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EF4A" w14:textId="210ECCDA" w:rsidR="006A379F" w:rsidRPr="00EB4BBE" w:rsidRDefault="00AA16AC" w:rsidP="00AA16AC">
      <w:pPr>
        <w:jc w:val="both"/>
        <w:rPr>
          <w:rFonts w:asciiTheme="majorHAnsi" w:hAnsiTheme="majorHAnsi" w:cstheme="majorHAnsi"/>
          <w:b/>
          <w:bCs/>
          <w:sz w:val="28"/>
          <w:szCs w:val="28"/>
          <w:lang w:val="sq-AL"/>
        </w:rPr>
      </w:pPr>
      <w:r w:rsidRPr="003F2ECD">
        <w:rPr>
          <w:b/>
          <w:noProof/>
          <w:sz w:val="16"/>
          <w:szCs w:val="16"/>
        </w:rPr>
        <w:drawing>
          <wp:anchor distT="0" distB="0" distL="114300" distR="114300" simplePos="0" relativeHeight="251661312" behindDoc="0" locked="0" layoutInCell="1" allowOverlap="1" wp14:anchorId="3F366CD4" wp14:editId="005152C8">
            <wp:simplePos x="0" y="0"/>
            <wp:positionH relativeFrom="margin">
              <wp:posOffset>2631232</wp:posOffset>
            </wp:positionH>
            <wp:positionV relativeFrom="paragraph">
              <wp:posOffset>286</wp:posOffset>
            </wp:positionV>
            <wp:extent cx="797321" cy="810610"/>
            <wp:effectExtent l="0" t="0" r="317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989" cy="813323"/>
                    </a:xfrm>
                    <a:prstGeom prst="rect">
                      <a:avLst/>
                    </a:prstGeom>
                    <a:noFill/>
                  </pic:spPr>
                </pic:pic>
              </a:graphicData>
            </a:graphic>
            <wp14:sizeRelH relativeFrom="page">
              <wp14:pctWidth>0</wp14:pctWidth>
            </wp14:sizeRelH>
            <wp14:sizeRelV relativeFrom="page">
              <wp14:pctHeight>0</wp14:pctHeight>
            </wp14:sizeRelV>
          </wp:anchor>
        </w:drawing>
      </w:r>
    </w:p>
    <w:p w14:paraId="1D34DA95" w14:textId="77777777" w:rsidR="00EB4BBE" w:rsidRPr="00EB4BBE" w:rsidRDefault="00EB4BBE" w:rsidP="00EB4BBE">
      <w:pPr>
        <w:spacing w:line="300" w:lineRule="atLeast"/>
        <w:jc w:val="both"/>
        <w:rPr>
          <w:rFonts w:asciiTheme="majorHAnsi" w:hAnsiTheme="majorHAnsi" w:cstheme="majorHAnsi"/>
          <w:lang w:val="sq-AL"/>
        </w:rPr>
      </w:pPr>
    </w:p>
    <w:p w14:paraId="0FB23A6F" w14:textId="77777777" w:rsidR="00EB4BBE" w:rsidRPr="00EB4BBE" w:rsidRDefault="00EB4BBE" w:rsidP="00EB4BBE">
      <w:pPr>
        <w:spacing w:line="300" w:lineRule="atLeast"/>
        <w:jc w:val="both"/>
        <w:rPr>
          <w:rFonts w:asciiTheme="majorHAnsi" w:hAnsiTheme="majorHAnsi" w:cstheme="majorHAnsi"/>
          <w:lang w:val="sq-AL"/>
        </w:rPr>
      </w:pPr>
    </w:p>
    <w:p w14:paraId="43787690" w14:textId="77777777" w:rsidR="00EB4BBE" w:rsidRPr="00AA16AC" w:rsidRDefault="00EB4BBE" w:rsidP="00AA16AC">
      <w:pPr>
        <w:spacing w:line="300" w:lineRule="atLeast"/>
        <w:jc w:val="center"/>
        <w:rPr>
          <w:rFonts w:ascii="Book Antiqua" w:hAnsi="Book Antiqua" w:cstheme="majorHAnsi"/>
          <w:lang w:val="sq-AL"/>
        </w:rPr>
      </w:pPr>
    </w:p>
    <w:p w14:paraId="43618BD9" w14:textId="77777777" w:rsidR="00AA16AC" w:rsidRPr="00AA16AC" w:rsidRDefault="00AA16AC" w:rsidP="00AA16AC">
      <w:pPr>
        <w:spacing w:line="300" w:lineRule="atLeast"/>
        <w:jc w:val="center"/>
        <w:rPr>
          <w:rFonts w:ascii="Book Antiqua" w:hAnsi="Book Antiqua" w:cstheme="majorHAnsi"/>
          <w:b/>
          <w:sz w:val="16"/>
          <w:szCs w:val="16"/>
        </w:rPr>
      </w:pPr>
    </w:p>
    <w:p w14:paraId="34D29030" w14:textId="4AE16160" w:rsidR="00AA16AC" w:rsidRPr="00AA16AC" w:rsidRDefault="00AA16AC" w:rsidP="00AA16AC">
      <w:pPr>
        <w:spacing w:line="300" w:lineRule="atLeast"/>
        <w:jc w:val="center"/>
        <w:rPr>
          <w:rFonts w:ascii="Book Antiqua" w:hAnsi="Book Antiqua" w:cstheme="majorHAnsi"/>
          <w:sz w:val="32"/>
          <w:szCs w:val="32"/>
        </w:rPr>
      </w:pPr>
      <w:proofErr w:type="spellStart"/>
      <w:r w:rsidRPr="00AA16AC">
        <w:rPr>
          <w:rFonts w:ascii="Book Antiqua" w:hAnsi="Book Antiqua" w:cstheme="majorHAnsi"/>
          <w:b/>
          <w:sz w:val="32"/>
          <w:szCs w:val="32"/>
        </w:rPr>
        <w:t>Republika</w:t>
      </w:r>
      <w:proofErr w:type="spellEnd"/>
      <w:r w:rsidRPr="00AA16AC">
        <w:rPr>
          <w:rFonts w:ascii="Book Antiqua" w:hAnsi="Book Antiqua" w:cstheme="majorHAnsi"/>
          <w:b/>
          <w:sz w:val="32"/>
          <w:szCs w:val="32"/>
        </w:rPr>
        <w:t xml:space="preserve"> e </w:t>
      </w:r>
      <w:proofErr w:type="spellStart"/>
      <w:r w:rsidRPr="00AA16AC">
        <w:rPr>
          <w:rFonts w:ascii="Book Antiqua" w:hAnsi="Book Antiqua" w:cstheme="majorHAnsi"/>
          <w:b/>
          <w:sz w:val="32"/>
          <w:szCs w:val="32"/>
        </w:rPr>
        <w:t>Kosovës</w:t>
      </w:r>
      <w:proofErr w:type="spellEnd"/>
    </w:p>
    <w:p w14:paraId="0CF2434E" w14:textId="77777777" w:rsidR="00AA16AC" w:rsidRPr="00AA16AC" w:rsidRDefault="00AA16AC" w:rsidP="00AA16AC">
      <w:pPr>
        <w:spacing w:line="300" w:lineRule="atLeast"/>
        <w:jc w:val="center"/>
        <w:rPr>
          <w:rFonts w:ascii="Book Antiqua" w:hAnsi="Book Antiqua" w:cstheme="majorHAnsi"/>
          <w:b/>
          <w:sz w:val="28"/>
          <w:szCs w:val="28"/>
        </w:rPr>
      </w:pPr>
      <w:proofErr w:type="spellStart"/>
      <w:r w:rsidRPr="00AA16AC">
        <w:rPr>
          <w:rFonts w:ascii="Book Antiqua" w:hAnsi="Book Antiqua" w:cstheme="majorHAnsi"/>
          <w:b/>
          <w:sz w:val="28"/>
          <w:szCs w:val="28"/>
        </w:rPr>
        <w:t>Republika</w:t>
      </w:r>
      <w:proofErr w:type="spellEnd"/>
      <w:r w:rsidRPr="00AA16AC">
        <w:rPr>
          <w:rFonts w:ascii="Book Antiqua" w:hAnsi="Book Antiqua" w:cstheme="majorHAnsi"/>
          <w:b/>
          <w:sz w:val="28"/>
          <w:szCs w:val="28"/>
        </w:rPr>
        <w:t xml:space="preserve"> </w:t>
      </w:r>
      <w:proofErr w:type="spellStart"/>
      <w:r w:rsidRPr="00AA16AC">
        <w:rPr>
          <w:rFonts w:ascii="Book Antiqua" w:hAnsi="Book Antiqua" w:cstheme="majorHAnsi"/>
          <w:b/>
          <w:sz w:val="28"/>
          <w:szCs w:val="28"/>
        </w:rPr>
        <w:t>Kosova</w:t>
      </w:r>
      <w:proofErr w:type="spellEnd"/>
      <w:r w:rsidRPr="00AA16AC">
        <w:rPr>
          <w:rFonts w:ascii="Book Antiqua" w:hAnsi="Book Antiqua" w:cstheme="majorHAnsi"/>
          <w:b/>
          <w:sz w:val="28"/>
          <w:szCs w:val="28"/>
        </w:rPr>
        <w:t>-Republic of Kosovo</w:t>
      </w:r>
    </w:p>
    <w:p w14:paraId="450CADD9" w14:textId="77777777" w:rsidR="00AA16AC" w:rsidRPr="00AA16AC" w:rsidRDefault="00AA16AC" w:rsidP="00AA16AC">
      <w:pPr>
        <w:spacing w:line="300" w:lineRule="atLeast"/>
        <w:jc w:val="center"/>
        <w:rPr>
          <w:rFonts w:ascii="Book Antiqua" w:hAnsi="Book Antiqua" w:cstheme="majorHAnsi"/>
          <w:b/>
          <w:i/>
          <w:sz w:val="28"/>
          <w:szCs w:val="28"/>
        </w:rPr>
      </w:pPr>
      <w:proofErr w:type="spellStart"/>
      <w:r w:rsidRPr="00AA16AC">
        <w:rPr>
          <w:rFonts w:ascii="Book Antiqua" w:hAnsi="Book Antiqua" w:cstheme="majorHAnsi"/>
          <w:b/>
          <w:i/>
          <w:sz w:val="28"/>
          <w:szCs w:val="28"/>
        </w:rPr>
        <w:t>Qeveria</w:t>
      </w:r>
      <w:proofErr w:type="spellEnd"/>
      <w:r w:rsidRPr="00AA16AC">
        <w:rPr>
          <w:rFonts w:ascii="Book Antiqua" w:hAnsi="Book Antiqua" w:cstheme="majorHAnsi"/>
          <w:b/>
          <w:i/>
          <w:sz w:val="28"/>
          <w:szCs w:val="28"/>
        </w:rPr>
        <w:t xml:space="preserve"> - </w:t>
      </w:r>
      <w:proofErr w:type="spellStart"/>
      <w:r w:rsidRPr="00AA16AC">
        <w:rPr>
          <w:rFonts w:ascii="Book Antiqua" w:hAnsi="Book Antiqua" w:cstheme="majorHAnsi"/>
          <w:b/>
          <w:i/>
          <w:sz w:val="28"/>
          <w:szCs w:val="28"/>
        </w:rPr>
        <w:t>Vlada</w:t>
      </w:r>
      <w:proofErr w:type="spellEnd"/>
      <w:r w:rsidRPr="00AA16AC">
        <w:rPr>
          <w:rFonts w:ascii="Book Antiqua" w:hAnsi="Book Antiqua" w:cstheme="majorHAnsi"/>
          <w:b/>
          <w:i/>
          <w:sz w:val="28"/>
          <w:szCs w:val="28"/>
        </w:rPr>
        <w:t xml:space="preserve"> – Government</w:t>
      </w:r>
    </w:p>
    <w:p w14:paraId="7D3C372F" w14:textId="77777777" w:rsidR="00AA16AC" w:rsidRPr="00AA16AC" w:rsidRDefault="00AA16AC" w:rsidP="00AA16AC">
      <w:pPr>
        <w:spacing w:line="20" w:lineRule="atLeast"/>
        <w:jc w:val="center"/>
        <w:rPr>
          <w:rFonts w:ascii="Book Antiqua" w:hAnsi="Book Antiqua" w:cstheme="majorHAnsi"/>
          <w:i/>
          <w:sz w:val="14"/>
          <w:szCs w:val="14"/>
        </w:rPr>
      </w:pPr>
    </w:p>
    <w:p w14:paraId="5E593B1A" w14:textId="712395F1" w:rsidR="00AA16AC" w:rsidRPr="00AA16AC" w:rsidRDefault="00AA16AC" w:rsidP="00AA16AC">
      <w:pPr>
        <w:spacing w:line="300" w:lineRule="atLeast"/>
        <w:jc w:val="center"/>
        <w:rPr>
          <w:rFonts w:ascii="Book Antiqua" w:hAnsi="Book Antiqua" w:cstheme="majorHAnsi"/>
          <w:i/>
        </w:rPr>
      </w:pPr>
      <w:proofErr w:type="spellStart"/>
      <w:r w:rsidRPr="00AA16AC">
        <w:rPr>
          <w:rFonts w:ascii="Book Antiqua" w:hAnsi="Book Antiqua" w:cstheme="majorHAnsi"/>
          <w:i/>
        </w:rPr>
        <w:t>Ministria</w:t>
      </w:r>
      <w:proofErr w:type="spellEnd"/>
      <w:r w:rsidRPr="00AA16AC">
        <w:rPr>
          <w:rFonts w:ascii="Book Antiqua" w:hAnsi="Book Antiqua" w:cstheme="majorHAnsi"/>
          <w:i/>
        </w:rPr>
        <w:t xml:space="preserve"> e </w:t>
      </w:r>
      <w:proofErr w:type="spellStart"/>
      <w:r w:rsidRPr="00AA16AC">
        <w:rPr>
          <w:rFonts w:ascii="Book Antiqua" w:hAnsi="Book Antiqua" w:cstheme="majorHAnsi"/>
          <w:i/>
        </w:rPr>
        <w:t>Administrimit</w:t>
      </w:r>
      <w:proofErr w:type="spellEnd"/>
      <w:r w:rsidRPr="00AA16AC">
        <w:rPr>
          <w:rFonts w:ascii="Book Antiqua" w:hAnsi="Book Antiqua" w:cstheme="majorHAnsi"/>
          <w:i/>
        </w:rPr>
        <w:t xml:space="preserve"> </w:t>
      </w:r>
      <w:proofErr w:type="spellStart"/>
      <w:r w:rsidRPr="00AA16AC">
        <w:rPr>
          <w:rFonts w:ascii="Book Antiqua" w:hAnsi="Book Antiqua" w:cstheme="majorHAnsi"/>
          <w:i/>
        </w:rPr>
        <w:t>të</w:t>
      </w:r>
      <w:proofErr w:type="spellEnd"/>
      <w:r w:rsidRPr="00AA16AC">
        <w:rPr>
          <w:rFonts w:ascii="Book Antiqua" w:hAnsi="Book Antiqua" w:cstheme="majorHAnsi"/>
          <w:i/>
        </w:rPr>
        <w:t xml:space="preserve"> </w:t>
      </w:r>
      <w:proofErr w:type="spellStart"/>
      <w:r w:rsidRPr="00AA16AC">
        <w:rPr>
          <w:rFonts w:ascii="Book Antiqua" w:hAnsi="Book Antiqua" w:cstheme="majorHAnsi"/>
          <w:i/>
        </w:rPr>
        <w:t>Pushtetit</w:t>
      </w:r>
      <w:proofErr w:type="spellEnd"/>
      <w:r w:rsidRPr="00AA16AC">
        <w:rPr>
          <w:rFonts w:ascii="Book Antiqua" w:hAnsi="Book Antiqua" w:cstheme="majorHAnsi"/>
          <w:i/>
        </w:rPr>
        <w:t xml:space="preserve"> </w:t>
      </w:r>
      <w:proofErr w:type="spellStart"/>
      <w:r w:rsidRPr="00AA16AC">
        <w:rPr>
          <w:rFonts w:ascii="Book Antiqua" w:hAnsi="Book Antiqua" w:cstheme="majorHAnsi"/>
          <w:i/>
        </w:rPr>
        <w:t>Lokal</w:t>
      </w:r>
      <w:proofErr w:type="spellEnd"/>
    </w:p>
    <w:p w14:paraId="203D2E96" w14:textId="7F9A70C0" w:rsidR="00AA16AC" w:rsidRPr="00AA16AC" w:rsidRDefault="00AA16AC" w:rsidP="00AA16AC">
      <w:pPr>
        <w:spacing w:line="300" w:lineRule="atLeast"/>
        <w:jc w:val="center"/>
        <w:rPr>
          <w:rFonts w:ascii="Book Antiqua" w:hAnsi="Book Antiqua" w:cstheme="majorHAnsi"/>
          <w:i/>
        </w:rPr>
      </w:pPr>
      <w:proofErr w:type="spellStart"/>
      <w:r w:rsidRPr="00AA16AC">
        <w:rPr>
          <w:rFonts w:ascii="Book Antiqua" w:hAnsi="Book Antiqua" w:cstheme="majorHAnsi"/>
          <w:i/>
        </w:rPr>
        <w:t>Ministarstvo</w:t>
      </w:r>
      <w:proofErr w:type="spellEnd"/>
      <w:r w:rsidRPr="00AA16AC">
        <w:rPr>
          <w:rFonts w:ascii="Book Antiqua" w:hAnsi="Book Antiqua" w:cstheme="majorHAnsi"/>
          <w:i/>
        </w:rPr>
        <w:t xml:space="preserve"> </w:t>
      </w:r>
      <w:proofErr w:type="spellStart"/>
      <w:r w:rsidRPr="00AA16AC">
        <w:rPr>
          <w:rFonts w:ascii="Book Antiqua" w:hAnsi="Book Antiqua" w:cstheme="majorHAnsi"/>
          <w:i/>
        </w:rPr>
        <w:t>Administracije</w:t>
      </w:r>
      <w:proofErr w:type="spellEnd"/>
      <w:r w:rsidRPr="00AA16AC">
        <w:rPr>
          <w:rFonts w:ascii="Book Antiqua" w:hAnsi="Book Antiqua" w:cstheme="majorHAnsi"/>
          <w:i/>
        </w:rPr>
        <w:t xml:space="preserve"> </w:t>
      </w:r>
      <w:proofErr w:type="spellStart"/>
      <w:r w:rsidRPr="00AA16AC">
        <w:rPr>
          <w:rFonts w:ascii="Book Antiqua" w:hAnsi="Book Antiqua" w:cstheme="majorHAnsi"/>
          <w:i/>
        </w:rPr>
        <w:t>Lokalne</w:t>
      </w:r>
      <w:proofErr w:type="spellEnd"/>
      <w:r w:rsidRPr="00AA16AC">
        <w:rPr>
          <w:rFonts w:ascii="Book Antiqua" w:hAnsi="Book Antiqua" w:cstheme="majorHAnsi"/>
          <w:i/>
        </w:rPr>
        <w:t xml:space="preserve"> </w:t>
      </w:r>
      <w:proofErr w:type="spellStart"/>
      <w:r w:rsidRPr="00AA16AC">
        <w:rPr>
          <w:rFonts w:ascii="Book Antiqua" w:hAnsi="Book Antiqua" w:cstheme="majorHAnsi"/>
          <w:i/>
        </w:rPr>
        <w:t>Samouprave</w:t>
      </w:r>
      <w:proofErr w:type="spellEnd"/>
    </w:p>
    <w:p w14:paraId="6630F7AC" w14:textId="77777777" w:rsidR="00AA16AC" w:rsidRPr="00AA16AC" w:rsidRDefault="00AA16AC" w:rsidP="00AA16AC">
      <w:pPr>
        <w:spacing w:line="300" w:lineRule="atLeast"/>
        <w:jc w:val="center"/>
        <w:rPr>
          <w:rFonts w:ascii="Book Antiqua" w:hAnsi="Book Antiqua" w:cstheme="majorHAnsi"/>
          <w:lang w:val="sq-AL"/>
        </w:rPr>
      </w:pPr>
      <w:r w:rsidRPr="00AA16AC">
        <w:rPr>
          <w:rFonts w:ascii="Book Antiqua" w:hAnsi="Book Antiqua" w:cstheme="majorHAnsi"/>
          <w:i/>
        </w:rPr>
        <w:t>Ministry of Local Government Administration</w:t>
      </w:r>
    </w:p>
    <w:p w14:paraId="7F693BAA" w14:textId="77777777" w:rsidR="00EB4BBE" w:rsidRPr="00AA16AC" w:rsidRDefault="00EB4BBE" w:rsidP="00AA16AC">
      <w:pPr>
        <w:pBdr>
          <w:bottom w:val="single" w:sz="12" w:space="1" w:color="auto"/>
        </w:pBdr>
        <w:spacing w:line="20" w:lineRule="atLeast"/>
        <w:jc w:val="both"/>
        <w:rPr>
          <w:rFonts w:asciiTheme="majorHAnsi" w:hAnsiTheme="majorHAnsi" w:cstheme="majorHAnsi"/>
          <w:sz w:val="18"/>
          <w:szCs w:val="18"/>
          <w:lang w:val="sq-AL"/>
        </w:rPr>
      </w:pPr>
    </w:p>
    <w:p w14:paraId="322FDC4F" w14:textId="77777777" w:rsidR="00AA16AC" w:rsidRPr="00AA16AC" w:rsidRDefault="00AA16AC" w:rsidP="00EB4BBE">
      <w:pPr>
        <w:spacing w:line="300" w:lineRule="atLeast"/>
        <w:jc w:val="both"/>
        <w:rPr>
          <w:rFonts w:asciiTheme="majorHAnsi" w:hAnsiTheme="majorHAnsi" w:cstheme="majorHAnsi"/>
        </w:rPr>
      </w:pPr>
    </w:p>
    <w:p w14:paraId="6C5022B2" w14:textId="77777777" w:rsidR="00EB4BBE" w:rsidRPr="00EB4BBE" w:rsidRDefault="00EB4BBE" w:rsidP="00EB4BBE">
      <w:pPr>
        <w:spacing w:line="300" w:lineRule="atLeast"/>
        <w:jc w:val="both"/>
        <w:rPr>
          <w:rFonts w:asciiTheme="majorHAnsi" w:hAnsiTheme="majorHAnsi" w:cstheme="majorHAnsi"/>
          <w:lang w:val="sq-AL"/>
        </w:rPr>
      </w:pPr>
    </w:p>
    <w:p w14:paraId="5950037F" w14:textId="77777777" w:rsidR="00EB4BBE" w:rsidRPr="00EB4BBE" w:rsidRDefault="00EB4BBE" w:rsidP="00EB4BBE">
      <w:pPr>
        <w:spacing w:line="300" w:lineRule="atLeast"/>
        <w:jc w:val="both"/>
        <w:rPr>
          <w:rFonts w:asciiTheme="majorHAnsi" w:hAnsiTheme="majorHAnsi" w:cstheme="majorHAnsi"/>
          <w:lang w:val="sq-AL"/>
        </w:rPr>
      </w:pPr>
    </w:p>
    <w:p w14:paraId="6DA30137" w14:textId="77777777" w:rsidR="00EB4BBE" w:rsidRPr="00EB4BBE" w:rsidRDefault="00EB4BBE" w:rsidP="00EB4BBE">
      <w:pPr>
        <w:spacing w:line="300" w:lineRule="atLeast"/>
        <w:jc w:val="both"/>
        <w:rPr>
          <w:rFonts w:asciiTheme="majorHAnsi" w:hAnsiTheme="majorHAnsi" w:cstheme="majorHAnsi"/>
          <w:lang w:val="sq-AL"/>
        </w:rPr>
      </w:pPr>
    </w:p>
    <w:p w14:paraId="21729245" w14:textId="77777777" w:rsidR="00EB4BBE" w:rsidRPr="00EB4BBE" w:rsidRDefault="00EB4BBE" w:rsidP="00EB4BBE">
      <w:pPr>
        <w:spacing w:line="300" w:lineRule="atLeast"/>
        <w:jc w:val="both"/>
        <w:rPr>
          <w:rFonts w:asciiTheme="majorHAnsi" w:hAnsiTheme="majorHAnsi" w:cstheme="majorHAnsi"/>
          <w:lang w:val="sq-AL"/>
        </w:rPr>
      </w:pPr>
    </w:p>
    <w:p w14:paraId="43621B23" w14:textId="5807461C" w:rsidR="00EB4BBE" w:rsidRPr="00EB4BBE" w:rsidRDefault="00EB4BBE" w:rsidP="00EB4BBE">
      <w:pPr>
        <w:spacing w:line="300" w:lineRule="atLeast"/>
        <w:jc w:val="both"/>
        <w:rPr>
          <w:rFonts w:asciiTheme="majorHAnsi" w:hAnsiTheme="majorHAnsi" w:cstheme="majorHAnsi"/>
          <w:lang w:val="sq-AL"/>
        </w:rPr>
      </w:pPr>
    </w:p>
    <w:p w14:paraId="25B7DECA" w14:textId="039B70C3" w:rsidR="00EB4BBE" w:rsidRPr="00EB4BBE" w:rsidRDefault="00EB4BBE" w:rsidP="00EB4BBE">
      <w:pPr>
        <w:spacing w:line="300" w:lineRule="atLeast"/>
        <w:jc w:val="both"/>
        <w:rPr>
          <w:rFonts w:asciiTheme="majorHAnsi" w:hAnsiTheme="majorHAnsi" w:cstheme="majorHAnsi"/>
          <w:lang w:val="sq-AL"/>
        </w:rPr>
      </w:pPr>
    </w:p>
    <w:p w14:paraId="19EAB364" w14:textId="2A197DAF" w:rsidR="00EB4BBE" w:rsidRPr="00EB4BBE" w:rsidRDefault="00AA16AC" w:rsidP="00EB4BBE">
      <w:pPr>
        <w:spacing w:line="300" w:lineRule="atLeast"/>
        <w:jc w:val="both"/>
        <w:rPr>
          <w:rFonts w:asciiTheme="majorHAnsi" w:hAnsiTheme="majorHAnsi" w:cstheme="majorHAnsi"/>
          <w:lang w:val="sq-AL"/>
        </w:rPr>
      </w:pPr>
      <w:r w:rsidRPr="00EB4BBE">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2DD36F08" wp14:editId="0AC4F983">
                <wp:simplePos x="0" y="0"/>
                <wp:positionH relativeFrom="column">
                  <wp:posOffset>-56281</wp:posOffset>
                </wp:positionH>
                <wp:positionV relativeFrom="paragraph">
                  <wp:posOffset>63733</wp:posOffset>
                </wp:positionV>
                <wp:extent cx="4981575" cy="867747"/>
                <wp:effectExtent l="0" t="0" r="28575" b="27940"/>
                <wp:wrapNone/>
                <wp:docPr id="2" name="Text Box 2"/>
                <wp:cNvGraphicFramePr/>
                <a:graphic xmlns:a="http://schemas.openxmlformats.org/drawingml/2006/main">
                  <a:graphicData uri="http://schemas.microsoft.com/office/word/2010/wordprocessingShape">
                    <wps:wsp>
                      <wps:cNvSpPr txBox="1"/>
                      <wps:spPr>
                        <a:xfrm>
                          <a:off x="0" y="0"/>
                          <a:ext cx="4981575" cy="867747"/>
                        </a:xfrm>
                        <a:prstGeom prst="rect">
                          <a:avLst/>
                        </a:prstGeom>
                        <a:solidFill>
                          <a:schemeClr val="lt1"/>
                        </a:solidFill>
                        <a:ln w="6350">
                          <a:solidFill>
                            <a:schemeClr val="bg1"/>
                          </a:solidFill>
                        </a:ln>
                      </wps:spPr>
                      <wps:txbx>
                        <w:txbxContent>
                          <w:p w14:paraId="07FAC1A5" w14:textId="1DA64EB3" w:rsidR="002B5E21" w:rsidRPr="002B5E21" w:rsidRDefault="00EB4BBE" w:rsidP="002B5E21">
                            <w:pPr>
                              <w:rPr>
                                <w:i/>
                                <w:lang w:val="sq-AL"/>
                              </w:rPr>
                            </w:pPr>
                            <w:r w:rsidRPr="00874994">
                              <w:rPr>
                                <w:b/>
                                <w:sz w:val="28"/>
                                <w:lang w:val="sq-AL"/>
                              </w:rPr>
                              <w:t xml:space="preserve">Raporti i vlerësimit të </w:t>
                            </w:r>
                            <w:r w:rsidR="00DA578E">
                              <w:rPr>
                                <w:i/>
                                <w:lang w:val="sq-AL"/>
                              </w:rPr>
                              <w:t>r</w:t>
                            </w:r>
                            <w:r w:rsidR="002B5E21" w:rsidRPr="002B5E21">
                              <w:rPr>
                                <w:i/>
                                <w:lang w:val="sq-AL"/>
                              </w:rPr>
                              <w:t>ishqyrtimi</w:t>
                            </w:r>
                            <w:r w:rsidR="00DA578E">
                              <w:rPr>
                                <w:i/>
                                <w:lang w:val="sq-AL"/>
                              </w:rPr>
                              <w:t>t</w:t>
                            </w:r>
                            <w:r w:rsidR="002B5E21" w:rsidRPr="002B5E21">
                              <w:rPr>
                                <w:i/>
                                <w:lang w:val="sq-AL"/>
                              </w:rPr>
                              <w:t xml:space="preserve"> </w:t>
                            </w:r>
                            <w:r w:rsidR="00DA578E">
                              <w:rPr>
                                <w:i/>
                                <w:lang w:val="sq-AL"/>
                              </w:rPr>
                              <w:t>t</w:t>
                            </w:r>
                            <w:r w:rsidR="00282A1D">
                              <w:rPr>
                                <w:i/>
                                <w:lang w:val="sq-AL"/>
                              </w:rPr>
                              <w:t>ë</w:t>
                            </w:r>
                            <w:r w:rsidR="002B5E21" w:rsidRPr="002B5E21">
                              <w:rPr>
                                <w:i/>
                                <w:lang w:val="sq-AL"/>
                              </w:rPr>
                              <w:t xml:space="preserve"> akteve të kundërligjshme të komunave të vitit 2019 për qëllime të Grantit të Performancës Komunale për vitin fiskal 2021</w:t>
                            </w:r>
                          </w:p>
                          <w:p w14:paraId="39E38ADE" w14:textId="77777777" w:rsidR="002B5E21" w:rsidRPr="002F15E5" w:rsidRDefault="002B5E21">
                            <w:pPr>
                              <w:rPr>
                                <w:b/>
                                <w:sz w:val="2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36F08" id="_x0000_t202" coordsize="21600,21600" o:spt="202" path="m,l,21600r21600,l21600,xe">
                <v:stroke joinstyle="miter"/>
                <v:path gradientshapeok="t" o:connecttype="rect"/>
              </v:shapetype>
              <v:shape id="Text Box 2" o:spid="_x0000_s1026" type="#_x0000_t202" style="position:absolute;left:0;text-align:left;margin-left:-4.45pt;margin-top:5pt;width:392.25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" fillcolor="white [3201]" strokecolor="white [3212]" strokeweight=".5pt">
                <v:textbox>
                  <w:txbxContent>
                    <w:p w14:paraId="07FAC1A5" w14:textId="1DA64EB3" w:rsidR="002B5E21" w:rsidRPr="002B5E21" w:rsidRDefault="00EB4BBE" w:rsidP="002B5E21">
                      <w:pPr>
                        <w:rPr>
                          <w:i/>
                          <w:lang w:val="sq-AL"/>
                        </w:rPr>
                      </w:pPr>
                      <w:r w:rsidRPr="00874994">
                        <w:rPr>
                          <w:b/>
                          <w:sz w:val="28"/>
                          <w:lang w:val="sq-AL"/>
                        </w:rPr>
                        <w:t xml:space="preserve">Raporti i vlerësimit të </w:t>
                      </w:r>
                      <w:r w:rsidR="00DA578E">
                        <w:rPr>
                          <w:i/>
                          <w:lang w:val="sq-AL"/>
                        </w:rPr>
                        <w:t>r</w:t>
                      </w:r>
                      <w:r w:rsidR="002B5E21" w:rsidRPr="002B5E21">
                        <w:rPr>
                          <w:i/>
                          <w:lang w:val="sq-AL"/>
                        </w:rPr>
                        <w:t>ishqyrtimi</w:t>
                      </w:r>
                      <w:r w:rsidR="00DA578E">
                        <w:rPr>
                          <w:i/>
                          <w:lang w:val="sq-AL"/>
                        </w:rPr>
                        <w:t>t</w:t>
                      </w:r>
                      <w:r w:rsidR="002B5E21" w:rsidRPr="002B5E21">
                        <w:rPr>
                          <w:i/>
                          <w:lang w:val="sq-AL"/>
                        </w:rPr>
                        <w:t xml:space="preserve"> </w:t>
                      </w:r>
                      <w:r w:rsidR="00DA578E">
                        <w:rPr>
                          <w:i/>
                          <w:lang w:val="sq-AL"/>
                        </w:rPr>
                        <w:t>t</w:t>
                      </w:r>
                      <w:r w:rsidR="00282A1D">
                        <w:rPr>
                          <w:i/>
                          <w:lang w:val="sq-AL"/>
                        </w:rPr>
                        <w:t>ë</w:t>
                      </w:r>
                      <w:r w:rsidR="002B5E21" w:rsidRPr="002B5E21">
                        <w:rPr>
                          <w:i/>
                          <w:lang w:val="sq-AL"/>
                        </w:rPr>
                        <w:t xml:space="preserve"> akteve të kundërligjshme të komunave të vitit 2019 për qëllime të Grantit të Performancës Komunale për vitin fiskal 2021</w:t>
                      </w:r>
                    </w:p>
                    <w:p w14:paraId="39E38ADE" w14:textId="77777777" w:rsidR="002B5E21" w:rsidRPr="002F15E5" w:rsidRDefault="002B5E21">
                      <w:pPr>
                        <w:rPr>
                          <w:b/>
                          <w:sz w:val="28"/>
                          <w:lang w:val="en-GB"/>
                        </w:rPr>
                      </w:pPr>
                    </w:p>
                  </w:txbxContent>
                </v:textbox>
              </v:shape>
            </w:pict>
          </mc:Fallback>
        </mc:AlternateContent>
      </w:r>
    </w:p>
    <w:p w14:paraId="5BF0CC28" w14:textId="394EE44B" w:rsidR="00EB4BBE" w:rsidRPr="00EB4BBE" w:rsidRDefault="00EB4BBE" w:rsidP="00EB4BBE">
      <w:pPr>
        <w:spacing w:line="300" w:lineRule="atLeast"/>
        <w:jc w:val="both"/>
        <w:rPr>
          <w:rFonts w:asciiTheme="majorHAnsi" w:hAnsiTheme="majorHAnsi" w:cstheme="majorHAnsi"/>
          <w:lang w:val="sq-AL"/>
        </w:rPr>
      </w:pPr>
    </w:p>
    <w:p w14:paraId="3FD509A6" w14:textId="77777777" w:rsidR="00EB4BBE" w:rsidRPr="00EB4BBE" w:rsidRDefault="00EB4BBE" w:rsidP="00EB4BBE">
      <w:pPr>
        <w:spacing w:line="300" w:lineRule="atLeast"/>
        <w:jc w:val="both"/>
        <w:rPr>
          <w:rFonts w:asciiTheme="majorHAnsi" w:hAnsiTheme="majorHAnsi" w:cstheme="majorHAnsi"/>
          <w:lang w:val="sq-AL"/>
        </w:rPr>
      </w:pPr>
    </w:p>
    <w:p w14:paraId="6AE00D74" w14:textId="77777777" w:rsidR="00EB4BBE" w:rsidRPr="00EB4BBE" w:rsidRDefault="00EB4BBE" w:rsidP="00EB4BBE">
      <w:pPr>
        <w:spacing w:line="300" w:lineRule="atLeast"/>
        <w:jc w:val="both"/>
        <w:rPr>
          <w:rFonts w:asciiTheme="majorHAnsi" w:hAnsiTheme="majorHAnsi" w:cstheme="majorHAnsi"/>
          <w:lang w:val="sq-AL"/>
        </w:rPr>
      </w:pPr>
    </w:p>
    <w:p w14:paraId="3071076A" w14:textId="77777777" w:rsidR="00EB4BBE" w:rsidRPr="00EB4BBE" w:rsidRDefault="00EB4BBE" w:rsidP="00EB4BBE">
      <w:pPr>
        <w:spacing w:line="300" w:lineRule="atLeast"/>
        <w:jc w:val="both"/>
        <w:rPr>
          <w:rFonts w:asciiTheme="majorHAnsi" w:hAnsiTheme="majorHAnsi" w:cstheme="majorHAnsi"/>
          <w:lang w:val="sq-AL"/>
        </w:rPr>
      </w:pPr>
    </w:p>
    <w:p w14:paraId="7B36331D" w14:textId="77777777" w:rsidR="00EB4BBE" w:rsidRPr="00EB4BBE" w:rsidRDefault="00EB4BBE" w:rsidP="00EB4BBE">
      <w:pPr>
        <w:spacing w:line="300" w:lineRule="atLeast"/>
        <w:jc w:val="both"/>
        <w:rPr>
          <w:rFonts w:asciiTheme="majorHAnsi" w:hAnsiTheme="majorHAnsi" w:cstheme="majorHAnsi"/>
          <w:lang w:val="sq-AL"/>
        </w:rPr>
      </w:pPr>
    </w:p>
    <w:p w14:paraId="6953D5EB" w14:textId="77777777" w:rsidR="00EB4BBE" w:rsidRPr="00EB4BBE" w:rsidRDefault="00EB4BBE" w:rsidP="00EB4BBE">
      <w:pPr>
        <w:spacing w:line="300" w:lineRule="atLeast"/>
        <w:jc w:val="both"/>
        <w:rPr>
          <w:rFonts w:asciiTheme="majorHAnsi" w:hAnsiTheme="majorHAnsi" w:cstheme="majorHAnsi"/>
          <w:lang w:val="sq-AL"/>
        </w:rPr>
      </w:pPr>
    </w:p>
    <w:p w14:paraId="50429846" w14:textId="77777777" w:rsidR="00EB4BBE" w:rsidRPr="00EB4BBE" w:rsidRDefault="00EB4BBE" w:rsidP="00EB4BBE">
      <w:pPr>
        <w:spacing w:line="300" w:lineRule="atLeast"/>
        <w:jc w:val="both"/>
        <w:rPr>
          <w:rFonts w:asciiTheme="majorHAnsi" w:hAnsiTheme="majorHAnsi" w:cstheme="majorHAnsi"/>
          <w:lang w:val="sq-AL"/>
        </w:rPr>
      </w:pPr>
    </w:p>
    <w:p w14:paraId="25D89198" w14:textId="77777777" w:rsidR="00EB4BBE" w:rsidRPr="00EB4BBE" w:rsidRDefault="00EB4BBE" w:rsidP="00EB4BBE">
      <w:pPr>
        <w:spacing w:line="300" w:lineRule="atLeast"/>
        <w:jc w:val="both"/>
        <w:rPr>
          <w:rFonts w:asciiTheme="majorHAnsi" w:hAnsiTheme="majorHAnsi" w:cstheme="majorHAnsi"/>
          <w:lang w:val="sq-AL"/>
        </w:rPr>
      </w:pPr>
    </w:p>
    <w:p w14:paraId="005637BC" w14:textId="77777777" w:rsidR="00EB4BBE" w:rsidRPr="00EB4BBE" w:rsidRDefault="00EB4BBE" w:rsidP="00EB4BBE">
      <w:pPr>
        <w:spacing w:line="300" w:lineRule="atLeast"/>
        <w:jc w:val="both"/>
        <w:rPr>
          <w:rFonts w:asciiTheme="majorHAnsi" w:hAnsiTheme="majorHAnsi" w:cstheme="majorHAnsi"/>
          <w:lang w:val="sq-AL"/>
        </w:rPr>
      </w:pPr>
    </w:p>
    <w:p w14:paraId="06A4CDAA" w14:textId="77777777" w:rsidR="00EB4BBE" w:rsidRPr="00EB4BBE" w:rsidRDefault="00EB4BBE" w:rsidP="00EB4BBE">
      <w:pPr>
        <w:spacing w:line="300" w:lineRule="atLeast"/>
        <w:jc w:val="both"/>
        <w:rPr>
          <w:rFonts w:asciiTheme="majorHAnsi" w:hAnsiTheme="majorHAnsi" w:cstheme="majorHAnsi"/>
          <w:lang w:val="sq-AL"/>
        </w:rPr>
      </w:pPr>
    </w:p>
    <w:p w14:paraId="7B72A63B" w14:textId="77777777" w:rsidR="00EB4BBE" w:rsidRPr="00EB4BBE" w:rsidRDefault="00EB4BBE" w:rsidP="00EB4BBE">
      <w:pPr>
        <w:spacing w:line="300" w:lineRule="atLeast"/>
        <w:jc w:val="both"/>
        <w:rPr>
          <w:rFonts w:asciiTheme="majorHAnsi" w:hAnsiTheme="majorHAnsi" w:cstheme="majorHAnsi"/>
          <w:lang w:val="sq-AL"/>
        </w:rPr>
      </w:pPr>
    </w:p>
    <w:p w14:paraId="3A348B78" w14:textId="2EF7706D" w:rsidR="00EB4BBE" w:rsidRDefault="00EB4BBE" w:rsidP="00EB4BBE">
      <w:pPr>
        <w:spacing w:line="300" w:lineRule="atLeast"/>
        <w:jc w:val="both"/>
        <w:rPr>
          <w:rFonts w:asciiTheme="majorHAnsi" w:hAnsiTheme="majorHAnsi" w:cstheme="majorHAnsi"/>
          <w:lang w:val="sq-AL"/>
        </w:rPr>
      </w:pPr>
    </w:p>
    <w:p w14:paraId="65A0D4DF" w14:textId="66134F98" w:rsidR="00AA16AC" w:rsidRDefault="00AA16AC" w:rsidP="00EB4BBE">
      <w:pPr>
        <w:spacing w:line="300" w:lineRule="atLeast"/>
        <w:jc w:val="both"/>
        <w:rPr>
          <w:rFonts w:asciiTheme="majorHAnsi" w:hAnsiTheme="majorHAnsi" w:cstheme="majorHAnsi"/>
          <w:lang w:val="sq-AL"/>
        </w:rPr>
      </w:pPr>
    </w:p>
    <w:p w14:paraId="0DE1593B" w14:textId="77777777" w:rsidR="00AA16AC" w:rsidRPr="00EB4BBE" w:rsidRDefault="00AA16AC" w:rsidP="00EB4BBE">
      <w:pPr>
        <w:spacing w:line="300" w:lineRule="atLeast"/>
        <w:jc w:val="both"/>
        <w:rPr>
          <w:rFonts w:asciiTheme="majorHAnsi" w:hAnsiTheme="majorHAnsi" w:cstheme="majorHAnsi"/>
          <w:lang w:val="sq-AL"/>
        </w:rPr>
      </w:pPr>
    </w:p>
    <w:p w14:paraId="0CD74560" w14:textId="77777777" w:rsidR="00EB4BBE" w:rsidRPr="00EB4BBE" w:rsidRDefault="00EB4BBE" w:rsidP="00EB4BBE">
      <w:pPr>
        <w:spacing w:line="300" w:lineRule="atLeast"/>
        <w:jc w:val="both"/>
        <w:rPr>
          <w:rFonts w:asciiTheme="majorHAnsi" w:hAnsiTheme="majorHAnsi" w:cstheme="majorHAnsi"/>
          <w:lang w:val="sq-AL"/>
        </w:rPr>
      </w:pPr>
    </w:p>
    <w:p w14:paraId="398D31FE" w14:textId="77777777" w:rsidR="00EB4BBE" w:rsidRPr="00EB4BBE" w:rsidRDefault="00EB4BBE" w:rsidP="00EB4BBE">
      <w:pPr>
        <w:spacing w:line="300" w:lineRule="atLeast"/>
        <w:jc w:val="both"/>
        <w:rPr>
          <w:rFonts w:asciiTheme="majorHAnsi" w:hAnsiTheme="majorHAnsi" w:cstheme="majorHAnsi"/>
          <w:lang w:val="sq-AL"/>
        </w:rPr>
      </w:pPr>
    </w:p>
    <w:p w14:paraId="78C3A700" w14:textId="77777777" w:rsidR="00EB4BBE" w:rsidRPr="00EB4BBE" w:rsidRDefault="00EB4BBE" w:rsidP="00EB4BBE">
      <w:pPr>
        <w:spacing w:line="300" w:lineRule="atLeast"/>
        <w:jc w:val="both"/>
        <w:rPr>
          <w:rFonts w:asciiTheme="majorHAnsi" w:hAnsiTheme="majorHAnsi" w:cstheme="majorHAnsi"/>
          <w:lang w:val="sq-AL"/>
        </w:rPr>
      </w:pPr>
    </w:p>
    <w:p w14:paraId="04EAA104" w14:textId="77777777" w:rsidR="00EB4BBE" w:rsidRPr="00EB4BBE" w:rsidRDefault="00EB4BBE" w:rsidP="00EB4BBE">
      <w:pPr>
        <w:spacing w:line="300" w:lineRule="atLeast"/>
        <w:jc w:val="both"/>
        <w:rPr>
          <w:rFonts w:asciiTheme="majorHAnsi" w:hAnsiTheme="majorHAnsi" w:cstheme="majorHAnsi"/>
          <w:lang w:val="sq-AL"/>
        </w:rPr>
      </w:pPr>
    </w:p>
    <w:p w14:paraId="382FCD3A" w14:textId="77777777" w:rsidR="00EB4BBE" w:rsidRPr="00EB4BBE" w:rsidRDefault="00EB4BBE" w:rsidP="00EB4BBE">
      <w:pPr>
        <w:spacing w:line="300" w:lineRule="atLeast"/>
        <w:jc w:val="both"/>
        <w:rPr>
          <w:rFonts w:asciiTheme="majorHAnsi" w:hAnsiTheme="majorHAnsi" w:cstheme="majorHAnsi"/>
          <w:lang w:val="sq-AL"/>
        </w:rPr>
      </w:pPr>
    </w:p>
    <w:p w14:paraId="193C2E4D" w14:textId="77777777" w:rsidR="00EB4BBE" w:rsidRPr="00EB4BBE" w:rsidRDefault="00EB4BBE" w:rsidP="00EB4BBE">
      <w:pPr>
        <w:spacing w:line="300" w:lineRule="atLeast"/>
        <w:jc w:val="both"/>
        <w:rPr>
          <w:rFonts w:asciiTheme="majorHAnsi" w:hAnsiTheme="majorHAnsi" w:cstheme="majorHAnsi"/>
          <w:lang w:val="sq-AL"/>
        </w:rPr>
      </w:pPr>
    </w:p>
    <w:sdt>
      <w:sdtPr>
        <w:rPr>
          <w:rFonts w:asciiTheme="minorHAnsi" w:eastAsiaTheme="minorHAnsi" w:hAnsiTheme="minorHAnsi" w:cstheme="majorHAnsi"/>
          <w:bCs w:val="0"/>
          <w:sz w:val="24"/>
          <w:szCs w:val="24"/>
          <w:lang w:val="sq-AL"/>
        </w:rPr>
        <w:id w:val="835185551"/>
        <w:docPartObj>
          <w:docPartGallery w:val="Table of Contents"/>
          <w:docPartUnique/>
        </w:docPartObj>
      </w:sdtPr>
      <w:sdtEndPr>
        <w:rPr>
          <w:noProof/>
        </w:rPr>
      </w:sdtEndPr>
      <w:sdtContent>
        <w:p w14:paraId="34C90728" w14:textId="77777777" w:rsidR="00B644AD" w:rsidRPr="00EB4BBE" w:rsidRDefault="00B644AD" w:rsidP="00EB4BBE">
          <w:pPr>
            <w:pStyle w:val="TOCHeading"/>
            <w:spacing w:before="0" w:line="300" w:lineRule="atLeast"/>
            <w:jc w:val="both"/>
            <w:rPr>
              <w:rFonts w:cstheme="majorHAnsi"/>
              <w:b/>
              <w:bCs w:val="0"/>
              <w:lang w:val="sq-AL"/>
            </w:rPr>
          </w:pPr>
          <w:r w:rsidRPr="00EB4BBE">
            <w:rPr>
              <w:rFonts w:cstheme="majorHAnsi"/>
              <w:b/>
              <w:bCs w:val="0"/>
              <w:lang w:val="sq-AL"/>
            </w:rPr>
            <w:t>Përmbajtja</w:t>
          </w:r>
        </w:p>
        <w:p w14:paraId="1F245270" w14:textId="77777777" w:rsidR="001B69B8" w:rsidRDefault="00B644AD">
          <w:pPr>
            <w:pStyle w:val="TOC1"/>
            <w:tabs>
              <w:tab w:val="right" w:leader="dot" w:pos="9350"/>
            </w:tabs>
            <w:rPr>
              <w:rFonts w:eastAsiaTheme="minorEastAsia"/>
              <w:b w:val="0"/>
              <w:bCs w:val="0"/>
              <w:i w:val="0"/>
              <w:iCs w:val="0"/>
              <w:noProof/>
              <w:sz w:val="22"/>
              <w:szCs w:val="22"/>
            </w:rPr>
          </w:pPr>
          <w:r w:rsidRPr="00EB4BBE">
            <w:rPr>
              <w:rFonts w:asciiTheme="majorHAnsi" w:hAnsiTheme="majorHAnsi" w:cstheme="majorHAnsi"/>
              <w:b w:val="0"/>
              <w:i w:val="0"/>
              <w:iCs w:val="0"/>
              <w:lang w:val="sq-AL"/>
            </w:rPr>
            <w:fldChar w:fldCharType="begin"/>
          </w:r>
          <w:r w:rsidRPr="00EB4BBE">
            <w:rPr>
              <w:rFonts w:asciiTheme="majorHAnsi" w:hAnsiTheme="majorHAnsi" w:cstheme="majorHAnsi"/>
              <w:b w:val="0"/>
              <w:i w:val="0"/>
              <w:iCs w:val="0"/>
              <w:lang w:val="sq-AL"/>
            </w:rPr>
            <w:instrText xml:space="preserve"> TOC \o "1-3" \h \z \u </w:instrText>
          </w:r>
          <w:r w:rsidRPr="00EB4BBE">
            <w:rPr>
              <w:rFonts w:asciiTheme="majorHAnsi" w:hAnsiTheme="majorHAnsi" w:cstheme="majorHAnsi"/>
              <w:b w:val="0"/>
              <w:i w:val="0"/>
              <w:iCs w:val="0"/>
              <w:lang w:val="sq-AL"/>
            </w:rPr>
            <w:fldChar w:fldCharType="separate"/>
          </w:r>
          <w:hyperlink w:anchor="_Toc62815179" w:history="1">
            <w:r w:rsidR="001B69B8" w:rsidRPr="006169E1">
              <w:rPr>
                <w:rStyle w:val="Hyperlink"/>
                <w:rFonts w:cstheme="majorHAnsi"/>
                <w:noProof/>
                <w:lang w:val="sq-AL"/>
              </w:rPr>
              <w:t>Hyrja</w:t>
            </w:r>
            <w:r w:rsidR="001B69B8">
              <w:rPr>
                <w:noProof/>
                <w:webHidden/>
              </w:rPr>
              <w:tab/>
            </w:r>
            <w:r w:rsidR="001B69B8">
              <w:rPr>
                <w:noProof/>
                <w:webHidden/>
              </w:rPr>
              <w:fldChar w:fldCharType="begin"/>
            </w:r>
            <w:r w:rsidR="001B69B8">
              <w:rPr>
                <w:noProof/>
                <w:webHidden/>
              </w:rPr>
              <w:instrText xml:space="preserve"> PAGEREF _Toc62815179 \h </w:instrText>
            </w:r>
            <w:r w:rsidR="001B69B8">
              <w:rPr>
                <w:noProof/>
                <w:webHidden/>
              </w:rPr>
            </w:r>
            <w:r w:rsidR="001B69B8">
              <w:rPr>
                <w:noProof/>
                <w:webHidden/>
              </w:rPr>
              <w:fldChar w:fldCharType="separate"/>
            </w:r>
            <w:r w:rsidR="001B69B8">
              <w:rPr>
                <w:noProof/>
                <w:webHidden/>
              </w:rPr>
              <w:t>3</w:t>
            </w:r>
            <w:r w:rsidR="001B69B8">
              <w:rPr>
                <w:noProof/>
                <w:webHidden/>
              </w:rPr>
              <w:fldChar w:fldCharType="end"/>
            </w:r>
          </w:hyperlink>
        </w:p>
        <w:p w14:paraId="4F7B6269" w14:textId="77777777" w:rsidR="001B69B8" w:rsidRDefault="00DC021F">
          <w:pPr>
            <w:pStyle w:val="TOC1"/>
            <w:tabs>
              <w:tab w:val="right" w:leader="dot" w:pos="9350"/>
            </w:tabs>
            <w:rPr>
              <w:rFonts w:eastAsiaTheme="minorEastAsia"/>
              <w:b w:val="0"/>
              <w:bCs w:val="0"/>
              <w:i w:val="0"/>
              <w:iCs w:val="0"/>
              <w:noProof/>
              <w:sz w:val="22"/>
              <w:szCs w:val="22"/>
            </w:rPr>
          </w:pPr>
          <w:hyperlink w:anchor="_Toc62815180" w:history="1">
            <w:r w:rsidR="001B69B8" w:rsidRPr="006169E1">
              <w:rPr>
                <w:rStyle w:val="Hyperlink"/>
                <w:rFonts w:cstheme="majorHAnsi"/>
                <w:noProof/>
                <w:lang w:val="sq-AL"/>
              </w:rPr>
              <w:t>Qëllimi i raportit dhe metodologjia</w:t>
            </w:r>
            <w:r w:rsidR="001B69B8">
              <w:rPr>
                <w:noProof/>
                <w:webHidden/>
              </w:rPr>
              <w:tab/>
            </w:r>
            <w:r w:rsidR="001B69B8">
              <w:rPr>
                <w:noProof/>
                <w:webHidden/>
              </w:rPr>
              <w:fldChar w:fldCharType="begin"/>
            </w:r>
            <w:r w:rsidR="001B69B8">
              <w:rPr>
                <w:noProof/>
                <w:webHidden/>
              </w:rPr>
              <w:instrText xml:space="preserve"> PAGEREF _Toc62815180 \h </w:instrText>
            </w:r>
            <w:r w:rsidR="001B69B8">
              <w:rPr>
                <w:noProof/>
                <w:webHidden/>
              </w:rPr>
            </w:r>
            <w:r w:rsidR="001B69B8">
              <w:rPr>
                <w:noProof/>
                <w:webHidden/>
              </w:rPr>
              <w:fldChar w:fldCharType="separate"/>
            </w:r>
            <w:r w:rsidR="001B69B8">
              <w:rPr>
                <w:noProof/>
                <w:webHidden/>
              </w:rPr>
              <w:t>3</w:t>
            </w:r>
            <w:r w:rsidR="001B69B8">
              <w:rPr>
                <w:noProof/>
                <w:webHidden/>
              </w:rPr>
              <w:fldChar w:fldCharType="end"/>
            </w:r>
          </w:hyperlink>
        </w:p>
        <w:p w14:paraId="4B7B3A2C" w14:textId="77777777" w:rsidR="001B69B8" w:rsidRDefault="00DC021F">
          <w:pPr>
            <w:pStyle w:val="TOC1"/>
            <w:tabs>
              <w:tab w:val="right" w:leader="dot" w:pos="9350"/>
            </w:tabs>
            <w:rPr>
              <w:rFonts w:eastAsiaTheme="minorEastAsia"/>
              <w:b w:val="0"/>
              <w:bCs w:val="0"/>
              <w:i w:val="0"/>
              <w:iCs w:val="0"/>
              <w:noProof/>
              <w:sz w:val="22"/>
              <w:szCs w:val="22"/>
            </w:rPr>
          </w:pPr>
          <w:hyperlink w:anchor="_Toc62815181" w:history="1">
            <w:r w:rsidR="001B69B8" w:rsidRPr="006169E1">
              <w:rPr>
                <w:rStyle w:val="Hyperlink"/>
                <w:rFonts w:cstheme="majorHAnsi"/>
                <w:noProof/>
                <w:lang w:val="sq-AL"/>
              </w:rPr>
              <w:t>Përmbledhje ekzekutive</w:t>
            </w:r>
            <w:r w:rsidR="001B69B8">
              <w:rPr>
                <w:noProof/>
                <w:webHidden/>
              </w:rPr>
              <w:tab/>
            </w:r>
            <w:r w:rsidR="001B69B8">
              <w:rPr>
                <w:noProof/>
                <w:webHidden/>
              </w:rPr>
              <w:fldChar w:fldCharType="begin"/>
            </w:r>
            <w:r w:rsidR="001B69B8">
              <w:rPr>
                <w:noProof/>
                <w:webHidden/>
              </w:rPr>
              <w:instrText xml:space="preserve"> PAGEREF _Toc62815181 \h </w:instrText>
            </w:r>
            <w:r w:rsidR="001B69B8">
              <w:rPr>
                <w:noProof/>
                <w:webHidden/>
              </w:rPr>
            </w:r>
            <w:r w:rsidR="001B69B8">
              <w:rPr>
                <w:noProof/>
                <w:webHidden/>
              </w:rPr>
              <w:fldChar w:fldCharType="separate"/>
            </w:r>
            <w:r w:rsidR="001B69B8">
              <w:rPr>
                <w:noProof/>
                <w:webHidden/>
              </w:rPr>
              <w:t>4</w:t>
            </w:r>
            <w:r w:rsidR="001B69B8">
              <w:rPr>
                <w:noProof/>
                <w:webHidden/>
              </w:rPr>
              <w:fldChar w:fldCharType="end"/>
            </w:r>
          </w:hyperlink>
        </w:p>
        <w:p w14:paraId="517396A1" w14:textId="77777777" w:rsidR="001B69B8" w:rsidRDefault="00DC021F">
          <w:pPr>
            <w:pStyle w:val="TOC1"/>
            <w:tabs>
              <w:tab w:val="right" w:leader="dot" w:pos="9350"/>
            </w:tabs>
            <w:rPr>
              <w:rFonts w:eastAsiaTheme="minorEastAsia"/>
              <w:b w:val="0"/>
              <w:bCs w:val="0"/>
              <w:i w:val="0"/>
              <w:iCs w:val="0"/>
              <w:noProof/>
              <w:sz w:val="22"/>
              <w:szCs w:val="22"/>
            </w:rPr>
          </w:pPr>
          <w:hyperlink w:anchor="_Toc62815182" w:history="1">
            <w:r w:rsidR="001B69B8" w:rsidRPr="006169E1">
              <w:rPr>
                <w:rStyle w:val="Hyperlink"/>
                <w:rFonts w:cstheme="majorHAnsi"/>
                <w:noProof/>
                <w:lang w:val="sq-AL"/>
              </w:rPr>
              <w:t>Obligimet që burojnë nga Kriteri Minimal 2</w:t>
            </w:r>
            <w:r w:rsidR="001B69B8">
              <w:rPr>
                <w:noProof/>
                <w:webHidden/>
              </w:rPr>
              <w:tab/>
            </w:r>
            <w:r w:rsidR="001B69B8">
              <w:rPr>
                <w:noProof/>
                <w:webHidden/>
              </w:rPr>
              <w:fldChar w:fldCharType="begin"/>
            </w:r>
            <w:r w:rsidR="001B69B8">
              <w:rPr>
                <w:noProof/>
                <w:webHidden/>
              </w:rPr>
              <w:instrText xml:space="preserve"> PAGEREF _Toc62815182 \h </w:instrText>
            </w:r>
            <w:r w:rsidR="001B69B8">
              <w:rPr>
                <w:noProof/>
                <w:webHidden/>
              </w:rPr>
            </w:r>
            <w:r w:rsidR="001B69B8">
              <w:rPr>
                <w:noProof/>
                <w:webHidden/>
              </w:rPr>
              <w:fldChar w:fldCharType="separate"/>
            </w:r>
            <w:r w:rsidR="001B69B8">
              <w:rPr>
                <w:noProof/>
                <w:webHidden/>
              </w:rPr>
              <w:t>4</w:t>
            </w:r>
            <w:r w:rsidR="001B69B8">
              <w:rPr>
                <w:noProof/>
                <w:webHidden/>
              </w:rPr>
              <w:fldChar w:fldCharType="end"/>
            </w:r>
          </w:hyperlink>
        </w:p>
        <w:p w14:paraId="5A6686DD" w14:textId="77777777" w:rsidR="001B69B8" w:rsidRDefault="00DC021F">
          <w:pPr>
            <w:pStyle w:val="TOC1"/>
            <w:tabs>
              <w:tab w:val="right" w:leader="dot" w:pos="9350"/>
            </w:tabs>
            <w:rPr>
              <w:rFonts w:eastAsiaTheme="minorEastAsia"/>
              <w:b w:val="0"/>
              <w:bCs w:val="0"/>
              <w:i w:val="0"/>
              <w:iCs w:val="0"/>
              <w:noProof/>
              <w:sz w:val="22"/>
              <w:szCs w:val="22"/>
            </w:rPr>
          </w:pPr>
          <w:hyperlink w:anchor="_Toc62815183" w:history="1">
            <w:r w:rsidR="001B69B8" w:rsidRPr="006169E1">
              <w:rPr>
                <w:rStyle w:val="Hyperlink"/>
                <w:rFonts w:cstheme="majorHAnsi"/>
                <w:noProof/>
                <w:lang w:val="sq-AL"/>
              </w:rPr>
              <w:t>Zbatueshmëria e Kriterit Minimal 2</w:t>
            </w:r>
            <w:r w:rsidR="001B69B8">
              <w:rPr>
                <w:noProof/>
                <w:webHidden/>
              </w:rPr>
              <w:tab/>
            </w:r>
            <w:r w:rsidR="001B69B8">
              <w:rPr>
                <w:noProof/>
                <w:webHidden/>
              </w:rPr>
              <w:fldChar w:fldCharType="begin"/>
            </w:r>
            <w:r w:rsidR="001B69B8">
              <w:rPr>
                <w:noProof/>
                <w:webHidden/>
              </w:rPr>
              <w:instrText xml:space="preserve"> PAGEREF _Toc62815183 \h </w:instrText>
            </w:r>
            <w:r w:rsidR="001B69B8">
              <w:rPr>
                <w:noProof/>
                <w:webHidden/>
              </w:rPr>
            </w:r>
            <w:r w:rsidR="001B69B8">
              <w:rPr>
                <w:noProof/>
                <w:webHidden/>
              </w:rPr>
              <w:fldChar w:fldCharType="separate"/>
            </w:r>
            <w:r w:rsidR="001B69B8">
              <w:rPr>
                <w:noProof/>
                <w:webHidden/>
              </w:rPr>
              <w:t>5</w:t>
            </w:r>
            <w:r w:rsidR="001B69B8">
              <w:rPr>
                <w:noProof/>
                <w:webHidden/>
              </w:rPr>
              <w:fldChar w:fldCharType="end"/>
            </w:r>
          </w:hyperlink>
        </w:p>
        <w:p w14:paraId="2A50A71A" w14:textId="77777777" w:rsidR="001B69B8" w:rsidRDefault="00DC021F">
          <w:pPr>
            <w:pStyle w:val="TOC1"/>
            <w:tabs>
              <w:tab w:val="right" w:leader="dot" w:pos="9350"/>
            </w:tabs>
            <w:rPr>
              <w:rFonts w:eastAsiaTheme="minorEastAsia"/>
              <w:b w:val="0"/>
              <w:bCs w:val="0"/>
              <w:i w:val="0"/>
              <w:iCs w:val="0"/>
              <w:noProof/>
              <w:sz w:val="22"/>
              <w:szCs w:val="22"/>
            </w:rPr>
          </w:pPr>
          <w:hyperlink w:anchor="_Toc62815184" w:history="1">
            <w:r w:rsidR="001B69B8" w:rsidRPr="006169E1">
              <w:rPr>
                <w:rStyle w:val="Hyperlink"/>
                <w:rFonts w:cstheme="majorHAnsi"/>
                <w:noProof/>
                <w:lang w:val="sq-AL"/>
              </w:rPr>
              <w:t>Aneksi I – Databaza e akteve per 10 komunat të cilat kanë prnuar shkresën për rishqyrtim</w:t>
            </w:r>
            <w:r w:rsidR="001B69B8">
              <w:rPr>
                <w:noProof/>
                <w:webHidden/>
              </w:rPr>
              <w:tab/>
            </w:r>
            <w:r w:rsidR="001B69B8">
              <w:rPr>
                <w:noProof/>
                <w:webHidden/>
              </w:rPr>
              <w:fldChar w:fldCharType="begin"/>
            </w:r>
            <w:r w:rsidR="001B69B8">
              <w:rPr>
                <w:noProof/>
                <w:webHidden/>
              </w:rPr>
              <w:instrText xml:space="preserve"> PAGEREF _Toc62815184 \h </w:instrText>
            </w:r>
            <w:r w:rsidR="001B69B8">
              <w:rPr>
                <w:noProof/>
                <w:webHidden/>
              </w:rPr>
            </w:r>
            <w:r w:rsidR="001B69B8">
              <w:rPr>
                <w:noProof/>
                <w:webHidden/>
              </w:rPr>
              <w:fldChar w:fldCharType="separate"/>
            </w:r>
            <w:r w:rsidR="001B69B8">
              <w:rPr>
                <w:noProof/>
                <w:webHidden/>
              </w:rPr>
              <w:t>8</w:t>
            </w:r>
            <w:r w:rsidR="001B69B8">
              <w:rPr>
                <w:noProof/>
                <w:webHidden/>
              </w:rPr>
              <w:fldChar w:fldCharType="end"/>
            </w:r>
          </w:hyperlink>
        </w:p>
        <w:p w14:paraId="7327499D" w14:textId="77777777" w:rsidR="00B644AD" w:rsidRPr="00EB4BBE" w:rsidRDefault="00B644AD" w:rsidP="00EB4BBE">
          <w:pPr>
            <w:spacing w:line="300" w:lineRule="atLeast"/>
            <w:jc w:val="both"/>
            <w:rPr>
              <w:rFonts w:asciiTheme="majorHAnsi" w:hAnsiTheme="majorHAnsi" w:cstheme="majorHAnsi"/>
              <w:lang w:val="sq-AL"/>
            </w:rPr>
          </w:pPr>
          <w:r w:rsidRPr="00EB4BBE">
            <w:rPr>
              <w:rFonts w:asciiTheme="majorHAnsi" w:hAnsiTheme="majorHAnsi" w:cstheme="majorHAnsi"/>
              <w:bCs/>
              <w:noProof/>
              <w:lang w:val="sq-AL"/>
            </w:rPr>
            <w:fldChar w:fldCharType="end"/>
          </w:r>
        </w:p>
      </w:sdtContent>
    </w:sdt>
    <w:p w14:paraId="453FFC94" w14:textId="77777777" w:rsidR="003A3431" w:rsidRPr="00EB4BBE" w:rsidRDefault="003A3431" w:rsidP="00EB4BBE">
      <w:pPr>
        <w:spacing w:line="300" w:lineRule="atLeast"/>
        <w:jc w:val="both"/>
        <w:rPr>
          <w:rFonts w:asciiTheme="majorHAnsi" w:hAnsiTheme="majorHAnsi" w:cstheme="majorHAnsi"/>
          <w:lang w:val="sq-AL"/>
        </w:rPr>
      </w:pPr>
    </w:p>
    <w:p w14:paraId="42C98D03" w14:textId="77777777" w:rsidR="003A3431" w:rsidRPr="00EB4BBE" w:rsidRDefault="003A3431" w:rsidP="00EB4BBE">
      <w:pPr>
        <w:spacing w:line="300" w:lineRule="atLeast"/>
        <w:jc w:val="both"/>
        <w:rPr>
          <w:rFonts w:asciiTheme="majorHAnsi" w:hAnsiTheme="majorHAnsi" w:cstheme="majorHAnsi"/>
          <w:lang w:val="sq-AL"/>
        </w:rPr>
      </w:pPr>
    </w:p>
    <w:p w14:paraId="49337E5C" w14:textId="77777777" w:rsidR="003A3431" w:rsidRPr="00EB4BBE" w:rsidRDefault="003A3431" w:rsidP="00EB4BBE">
      <w:pPr>
        <w:spacing w:line="300" w:lineRule="atLeast"/>
        <w:jc w:val="both"/>
        <w:rPr>
          <w:rFonts w:asciiTheme="majorHAnsi" w:hAnsiTheme="majorHAnsi" w:cstheme="majorHAnsi"/>
          <w:lang w:val="sq-AL"/>
        </w:rPr>
      </w:pPr>
    </w:p>
    <w:p w14:paraId="57837A32" w14:textId="77777777" w:rsidR="003A3431" w:rsidRPr="00EB4BBE" w:rsidRDefault="003A3431" w:rsidP="00EB4BBE">
      <w:pPr>
        <w:spacing w:line="300" w:lineRule="atLeast"/>
        <w:jc w:val="both"/>
        <w:rPr>
          <w:rFonts w:asciiTheme="majorHAnsi" w:hAnsiTheme="majorHAnsi" w:cstheme="majorHAnsi"/>
          <w:lang w:val="sq-AL"/>
        </w:rPr>
        <w:sectPr w:rsidR="003A3431" w:rsidRPr="00EB4BBE" w:rsidSect="00282A1D">
          <w:footerReference w:type="even" r:id="rId9"/>
          <w:footerReference w:type="default" r:id="rId10"/>
          <w:pgSz w:w="12240" w:h="15840"/>
          <w:pgMar w:top="1440" w:right="1440" w:bottom="1440" w:left="1440" w:header="720" w:footer="720" w:gutter="0"/>
          <w:cols w:space="720"/>
          <w:titlePg/>
          <w:docGrid w:linePitch="360"/>
        </w:sectPr>
      </w:pPr>
    </w:p>
    <w:p w14:paraId="69F3A3C8" w14:textId="77777777" w:rsidR="003A3431" w:rsidRPr="00EB4BBE" w:rsidRDefault="003A3431" w:rsidP="00EB4BBE">
      <w:pPr>
        <w:pStyle w:val="Heading1"/>
        <w:spacing w:before="0" w:line="300" w:lineRule="atLeast"/>
        <w:jc w:val="both"/>
        <w:rPr>
          <w:rFonts w:cstheme="majorHAnsi"/>
          <w:lang w:val="sq-AL"/>
        </w:rPr>
      </w:pPr>
      <w:bookmarkStart w:id="0" w:name="_Toc62723834"/>
      <w:bookmarkStart w:id="1" w:name="_Toc62815179"/>
      <w:r w:rsidRPr="00EB4BBE">
        <w:rPr>
          <w:rFonts w:cstheme="majorHAnsi"/>
          <w:lang w:val="sq-AL"/>
        </w:rPr>
        <w:lastRenderedPageBreak/>
        <w:t>Hyrja</w:t>
      </w:r>
      <w:bookmarkEnd w:id="0"/>
      <w:bookmarkEnd w:id="1"/>
    </w:p>
    <w:p w14:paraId="42DF24C5" w14:textId="77777777" w:rsidR="000C4B9E" w:rsidRPr="00EB4BBE" w:rsidRDefault="00AC012E"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Grant</w:t>
      </w:r>
      <w:r w:rsidR="00EB49A8" w:rsidRPr="00EB4BBE">
        <w:rPr>
          <w:rFonts w:asciiTheme="majorHAnsi" w:hAnsiTheme="majorHAnsi" w:cstheme="majorHAnsi"/>
          <w:lang w:val="sq-AL"/>
        </w:rPr>
        <w:t>i</w:t>
      </w:r>
      <w:r w:rsidRPr="00EB4BBE">
        <w:rPr>
          <w:rFonts w:asciiTheme="majorHAnsi" w:hAnsiTheme="majorHAnsi" w:cstheme="majorHAnsi"/>
          <w:lang w:val="sq-AL"/>
        </w:rPr>
        <w:t xml:space="preserve"> i Performanc</w:t>
      </w:r>
      <w:r w:rsidR="002E6B7B" w:rsidRPr="00EB4BBE">
        <w:rPr>
          <w:rFonts w:asciiTheme="majorHAnsi" w:hAnsiTheme="majorHAnsi" w:cstheme="majorHAnsi"/>
          <w:lang w:val="sq-AL"/>
        </w:rPr>
        <w:t>ë</w:t>
      </w:r>
      <w:r w:rsidR="00290D59" w:rsidRPr="00EB4BBE">
        <w:rPr>
          <w:rFonts w:asciiTheme="majorHAnsi" w:hAnsiTheme="majorHAnsi" w:cstheme="majorHAnsi"/>
          <w:lang w:val="sq-AL"/>
        </w:rPr>
        <w:t>s K</w:t>
      </w:r>
      <w:r w:rsidRPr="00EB4BBE">
        <w:rPr>
          <w:rFonts w:asciiTheme="majorHAnsi" w:hAnsiTheme="majorHAnsi" w:cstheme="majorHAnsi"/>
          <w:lang w:val="sq-AL"/>
        </w:rPr>
        <w:t xml:space="preserve">omunale </w:t>
      </w:r>
      <w:r w:rsidR="002E6B7B" w:rsidRPr="00EB4BBE">
        <w:rPr>
          <w:rFonts w:asciiTheme="majorHAnsi" w:hAnsiTheme="majorHAnsi" w:cstheme="majorHAnsi"/>
          <w:lang w:val="sq-AL"/>
        </w:rPr>
        <w:t>ë</w:t>
      </w:r>
      <w:r w:rsidRPr="00EB4BBE">
        <w:rPr>
          <w:rFonts w:asciiTheme="majorHAnsi" w:hAnsiTheme="majorHAnsi" w:cstheme="majorHAnsi"/>
          <w:lang w:val="sq-AL"/>
        </w:rPr>
        <w:t>sht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skem</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e mb</w:t>
      </w:r>
      <w:r w:rsidR="002E6B7B" w:rsidRPr="00EB4BBE">
        <w:rPr>
          <w:rFonts w:asciiTheme="majorHAnsi" w:hAnsiTheme="majorHAnsi" w:cstheme="majorHAnsi"/>
          <w:lang w:val="sq-AL"/>
        </w:rPr>
        <w:t>ë</w:t>
      </w:r>
      <w:r w:rsidRPr="00EB4BBE">
        <w:rPr>
          <w:rFonts w:asciiTheme="majorHAnsi" w:hAnsiTheme="majorHAnsi" w:cstheme="majorHAnsi"/>
          <w:lang w:val="sq-AL"/>
        </w:rPr>
        <w:t>shtetjes 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komunave bazuar 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performanc</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dhe parimet e merit</w:t>
      </w:r>
      <w:r w:rsidR="002E6B7B" w:rsidRPr="00EB4BBE">
        <w:rPr>
          <w:rFonts w:asciiTheme="majorHAnsi" w:hAnsiTheme="majorHAnsi" w:cstheme="majorHAnsi"/>
          <w:lang w:val="sq-AL"/>
        </w:rPr>
        <w:t>ë</w:t>
      </w:r>
      <w:r w:rsidRPr="00EB4BBE">
        <w:rPr>
          <w:rFonts w:asciiTheme="majorHAnsi" w:hAnsiTheme="majorHAnsi" w:cstheme="majorHAnsi"/>
          <w:lang w:val="sq-AL"/>
        </w:rPr>
        <w:t>s, objektivitetit dhe paanshm</w:t>
      </w:r>
      <w:r w:rsidR="002E6B7B" w:rsidRPr="00EB4BBE">
        <w:rPr>
          <w:rFonts w:asciiTheme="majorHAnsi" w:hAnsiTheme="majorHAnsi" w:cstheme="majorHAnsi"/>
          <w:lang w:val="sq-AL"/>
        </w:rPr>
        <w:t>ë</w:t>
      </w:r>
      <w:r w:rsidRPr="00EB4BBE">
        <w:rPr>
          <w:rFonts w:asciiTheme="majorHAnsi" w:hAnsiTheme="majorHAnsi" w:cstheme="majorHAnsi"/>
          <w:lang w:val="sq-AL"/>
        </w:rPr>
        <w:t>ris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w:t>
      </w:r>
      <w:r w:rsidR="00B644F8" w:rsidRPr="00EB4BBE">
        <w:rPr>
          <w:rFonts w:asciiTheme="majorHAnsi" w:hAnsiTheme="majorHAnsi" w:cstheme="majorHAnsi"/>
          <w:lang w:val="sq-AL"/>
        </w:rPr>
        <w:t>Granti i Performanc</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s </w:t>
      </w:r>
      <w:r w:rsidR="00290D59" w:rsidRPr="00EB4BBE">
        <w:rPr>
          <w:rFonts w:asciiTheme="majorHAnsi" w:hAnsiTheme="majorHAnsi" w:cstheme="majorHAnsi"/>
          <w:lang w:val="sq-AL"/>
        </w:rPr>
        <w:t>K</w:t>
      </w:r>
      <w:r w:rsidR="00B644F8" w:rsidRPr="00EB4BBE">
        <w:rPr>
          <w:rFonts w:asciiTheme="majorHAnsi" w:hAnsiTheme="majorHAnsi" w:cstheme="majorHAnsi"/>
          <w:lang w:val="sq-AL"/>
        </w:rPr>
        <w:t>omunale ka p</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r q</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llim t</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mb</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shtes</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komunat n</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synimin e rritjes s</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perfomanc</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s n</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sigurimin e funksionimit demoktratik t</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tyre, p</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rmir</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simin e menaxhimit efikas dhe ofrimit t</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sh</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rbimeve sa m</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cil</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sore p</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r qytetar</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t. Situata e krijuar nga pandemia globale COVID-19 ka ndikuar n</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pun</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n dhe efikasitetin e komunave n</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adresimin e synimeve q</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dalin nga Sistemi i Matjes s</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Performanc</w:t>
      </w:r>
      <w:r w:rsidR="002E6B7B" w:rsidRPr="00EB4BBE">
        <w:rPr>
          <w:rFonts w:asciiTheme="majorHAnsi" w:hAnsiTheme="majorHAnsi" w:cstheme="majorHAnsi"/>
          <w:lang w:val="sq-AL"/>
        </w:rPr>
        <w:t>ë</w:t>
      </w:r>
      <w:r w:rsidR="00290D59" w:rsidRPr="00EB4BBE">
        <w:rPr>
          <w:rFonts w:asciiTheme="majorHAnsi" w:hAnsiTheme="majorHAnsi" w:cstheme="majorHAnsi"/>
          <w:lang w:val="sq-AL"/>
        </w:rPr>
        <w:t>s K</w:t>
      </w:r>
      <w:r w:rsidR="00B644F8" w:rsidRPr="00EB4BBE">
        <w:rPr>
          <w:rFonts w:asciiTheme="majorHAnsi" w:hAnsiTheme="majorHAnsi" w:cstheme="majorHAnsi"/>
          <w:lang w:val="sq-AL"/>
        </w:rPr>
        <w:t>omunale. Me q</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llim t</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inkurajimit t</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komunave q</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t</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rmbushin k</w:t>
      </w:r>
      <w:r w:rsidR="002E6B7B" w:rsidRPr="00EB4BBE">
        <w:rPr>
          <w:rFonts w:asciiTheme="majorHAnsi" w:hAnsiTheme="majorHAnsi" w:cstheme="majorHAnsi"/>
          <w:lang w:val="sq-AL"/>
        </w:rPr>
        <w:t>ë</w:t>
      </w:r>
      <w:r w:rsidR="00B644F8" w:rsidRPr="00EB4BBE">
        <w:rPr>
          <w:rFonts w:asciiTheme="majorHAnsi" w:hAnsiTheme="majorHAnsi" w:cstheme="majorHAnsi"/>
          <w:lang w:val="sq-AL"/>
        </w:rPr>
        <w:t>to synime, Ministria e Pushtetit Lokal (tutje referuar si “MPL”)</w:t>
      </w:r>
      <w:r w:rsidR="000C4B9E" w:rsidRPr="00EB4BBE">
        <w:rPr>
          <w:rFonts w:asciiTheme="majorHAnsi" w:hAnsiTheme="majorHAnsi" w:cstheme="majorHAnsi"/>
          <w:lang w:val="sq-AL"/>
        </w:rPr>
        <w:t xml:space="preserve"> dhe donator</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 xml:space="preserve">t e grantit </w:t>
      </w:r>
      <w:r w:rsidR="009458A2" w:rsidRPr="00EB4BBE">
        <w:rPr>
          <w:rFonts w:asciiTheme="majorHAnsi" w:hAnsiTheme="majorHAnsi" w:cstheme="majorHAnsi"/>
          <w:lang w:val="sq-AL"/>
        </w:rPr>
        <w:t>Agjencia zvicerane për zh</w:t>
      </w:r>
      <w:r w:rsidR="00290D59" w:rsidRPr="00EB4BBE">
        <w:rPr>
          <w:rFonts w:asciiTheme="majorHAnsi" w:hAnsiTheme="majorHAnsi" w:cstheme="majorHAnsi"/>
          <w:lang w:val="sq-AL"/>
        </w:rPr>
        <w:t>villim dhe bashkëpunim (SDC),</w:t>
      </w:r>
      <w:r w:rsidR="009458A2" w:rsidRPr="00EB4BBE">
        <w:rPr>
          <w:rFonts w:asciiTheme="majorHAnsi" w:hAnsiTheme="majorHAnsi" w:cstheme="majorHAnsi"/>
          <w:lang w:val="sq-AL"/>
        </w:rPr>
        <w:t xml:space="preserve"> Agjencia Suedeze për zhvillim dhe bashkëpunim ndërkombëtar (Sida) </w:t>
      </w:r>
      <w:r w:rsidR="00290D59" w:rsidRPr="00EB4BBE">
        <w:rPr>
          <w:rFonts w:asciiTheme="majorHAnsi" w:hAnsiTheme="majorHAnsi" w:cstheme="majorHAnsi"/>
          <w:lang w:val="sq-AL"/>
        </w:rPr>
        <w:t xml:space="preserve">si dhe Ambasada Norvegjeze, </w:t>
      </w:r>
      <w:r w:rsidR="009458A2" w:rsidRPr="00EB4BBE">
        <w:rPr>
          <w:rFonts w:asciiTheme="majorHAnsi" w:hAnsiTheme="majorHAnsi" w:cstheme="majorHAnsi"/>
          <w:lang w:val="sq-AL"/>
        </w:rPr>
        <w:t>përmes projektit DEMOS</w:t>
      </w:r>
      <w:r w:rsidR="00290D59" w:rsidRPr="00EB4BBE">
        <w:rPr>
          <w:rFonts w:asciiTheme="majorHAnsi" w:hAnsiTheme="majorHAnsi" w:cstheme="majorHAnsi"/>
          <w:lang w:val="sq-AL"/>
        </w:rPr>
        <w:t xml:space="preserve"> </w:t>
      </w:r>
      <w:r w:rsidR="00B644F8" w:rsidRPr="00EB4BBE">
        <w:rPr>
          <w:rFonts w:asciiTheme="majorHAnsi" w:hAnsiTheme="majorHAnsi" w:cstheme="majorHAnsi"/>
          <w:lang w:val="sq-AL"/>
        </w:rPr>
        <w:t>ka</w:t>
      </w:r>
      <w:r w:rsidR="009458A2" w:rsidRPr="00EB4BBE">
        <w:rPr>
          <w:rFonts w:asciiTheme="majorHAnsi" w:hAnsiTheme="majorHAnsi" w:cstheme="majorHAnsi"/>
          <w:lang w:val="sq-AL"/>
        </w:rPr>
        <w:t>në</w:t>
      </w:r>
      <w:r w:rsidR="00B644F8" w:rsidRPr="00EB4BBE">
        <w:rPr>
          <w:rFonts w:asciiTheme="majorHAnsi" w:hAnsiTheme="majorHAnsi" w:cstheme="majorHAnsi"/>
          <w:lang w:val="sq-AL"/>
        </w:rPr>
        <w:t xml:space="preserve"> lejuar </w:t>
      </w:r>
      <w:r w:rsidR="000C4B9E" w:rsidRPr="00EB4BBE">
        <w:rPr>
          <w:rFonts w:asciiTheme="majorHAnsi" w:hAnsiTheme="majorHAnsi" w:cstheme="majorHAnsi"/>
          <w:lang w:val="sq-AL"/>
        </w:rPr>
        <w:t>nj</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 xml:space="preserve"> afat shtes</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r p</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rmbushjen e kushtit minimal 2, t</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 xml:space="preserve"> Rregullave t</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 xml:space="preserve"> Grantit t</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 xml:space="preserve"> Performanc</w:t>
      </w:r>
      <w:r w:rsidR="002E6B7B" w:rsidRPr="00EB4BBE">
        <w:rPr>
          <w:rFonts w:asciiTheme="majorHAnsi" w:hAnsiTheme="majorHAnsi" w:cstheme="majorHAnsi"/>
          <w:lang w:val="sq-AL"/>
        </w:rPr>
        <w:t>ë</w:t>
      </w:r>
      <w:r w:rsidR="000C4B9E" w:rsidRPr="00EB4BBE">
        <w:rPr>
          <w:rFonts w:asciiTheme="majorHAnsi" w:hAnsiTheme="majorHAnsi" w:cstheme="majorHAnsi"/>
          <w:lang w:val="sq-AL"/>
        </w:rPr>
        <w:t>s.</w:t>
      </w:r>
      <w:r w:rsidR="009458A2" w:rsidRPr="00EB4BBE">
        <w:rPr>
          <w:rStyle w:val="FootnoteReference"/>
          <w:rFonts w:asciiTheme="majorHAnsi" w:hAnsiTheme="majorHAnsi" w:cstheme="majorHAnsi"/>
          <w:lang w:val="sq-AL"/>
        </w:rPr>
        <w:footnoteReference w:id="1"/>
      </w:r>
      <w:r w:rsidR="000C4B9E" w:rsidRPr="00EB4BBE">
        <w:rPr>
          <w:rFonts w:asciiTheme="majorHAnsi" w:hAnsiTheme="majorHAnsi" w:cstheme="majorHAnsi"/>
          <w:lang w:val="sq-AL"/>
        </w:rPr>
        <w:t xml:space="preserve"> </w:t>
      </w:r>
    </w:p>
    <w:p w14:paraId="05926FBD" w14:textId="77777777" w:rsidR="000C4B9E" w:rsidRPr="00EB4BBE" w:rsidRDefault="000C4B9E" w:rsidP="00EB4BBE">
      <w:pPr>
        <w:spacing w:line="300" w:lineRule="atLeast"/>
        <w:jc w:val="both"/>
        <w:rPr>
          <w:rFonts w:asciiTheme="majorHAnsi" w:hAnsiTheme="majorHAnsi" w:cstheme="majorHAnsi"/>
          <w:lang w:val="sq-AL"/>
        </w:rPr>
      </w:pPr>
    </w:p>
    <w:p w14:paraId="5DD554CA" w14:textId="350204A9" w:rsidR="00EB49A8" w:rsidRPr="00EB4BBE" w:rsidRDefault="00AC012E"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P</w:t>
      </w:r>
      <w:r w:rsidR="002E6B7B" w:rsidRPr="00EB4BBE">
        <w:rPr>
          <w:rFonts w:asciiTheme="majorHAnsi" w:hAnsiTheme="majorHAnsi" w:cstheme="majorHAnsi"/>
          <w:lang w:val="sq-AL"/>
        </w:rPr>
        <w:t>ë</w:t>
      </w:r>
      <w:r w:rsidRPr="00EB4BBE">
        <w:rPr>
          <w:rFonts w:asciiTheme="majorHAnsi" w:hAnsiTheme="majorHAnsi" w:cstheme="majorHAnsi"/>
          <w:lang w:val="sq-AL"/>
        </w:rPr>
        <w:t>r shkak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procesit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rivler</w:t>
      </w:r>
      <w:r w:rsidR="002E6B7B" w:rsidRPr="00EB4BBE">
        <w:rPr>
          <w:rFonts w:asciiTheme="majorHAnsi" w:hAnsiTheme="majorHAnsi" w:cstheme="majorHAnsi"/>
          <w:lang w:val="sq-AL"/>
        </w:rPr>
        <w:t>ë</w:t>
      </w:r>
      <w:r w:rsidRPr="00EB4BBE">
        <w:rPr>
          <w:rFonts w:asciiTheme="majorHAnsi" w:hAnsiTheme="majorHAnsi" w:cstheme="majorHAnsi"/>
          <w:lang w:val="sq-AL"/>
        </w:rPr>
        <w:t>simit performanc</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s komunale </w:t>
      </w:r>
      <w:r w:rsidR="00D91388" w:rsidRPr="00EB4BBE">
        <w:rPr>
          <w:rFonts w:asciiTheme="majorHAnsi" w:hAnsiTheme="majorHAnsi" w:cstheme="majorHAnsi"/>
          <w:lang w:val="sq-AL"/>
        </w:rPr>
        <w:t xml:space="preserve">dhe </w:t>
      </w:r>
      <w:r w:rsidRPr="00EB4BBE">
        <w:rPr>
          <w:rFonts w:asciiTheme="majorHAnsi" w:hAnsiTheme="majorHAnsi" w:cstheme="majorHAnsi"/>
          <w:lang w:val="sq-AL"/>
        </w:rPr>
        <w:t>p</w:t>
      </w:r>
      <w:r w:rsidR="002E6B7B" w:rsidRPr="00EB4BBE">
        <w:rPr>
          <w:rFonts w:asciiTheme="majorHAnsi" w:hAnsiTheme="majorHAnsi" w:cstheme="majorHAnsi"/>
          <w:lang w:val="sq-AL"/>
        </w:rPr>
        <w:t>ë</w:t>
      </w:r>
      <w:r w:rsidRPr="00EB4BBE">
        <w:rPr>
          <w:rFonts w:asciiTheme="majorHAnsi" w:hAnsiTheme="majorHAnsi" w:cstheme="majorHAnsi"/>
          <w:lang w:val="sq-AL"/>
        </w:rPr>
        <w:t>r q</w:t>
      </w:r>
      <w:r w:rsidR="002E6B7B" w:rsidRPr="00EB4BBE">
        <w:rPr>
          <w:rFonts w:asciiTheme="majorHAnsi" w:hAnsiTheme="majorHAnsi" w:cstheme="majorHAnsi"/>
          <w:lang w:val="sq-AL"/>
        </w:rPr>
        <w:t>ë</w:t>
      </w:r>
      <w:r w:rsidRPr="00EB4BBE">
        <w:rPr>
          <w:rFonts w:asciiTheme="majorHAnsi" w:hAnsiTheme="majorHAnsi" w:cstheme="majorHAnsi"/>
          <w:lang w:val="sq-AL"/>
        </w:rPr>
        <w:t>llim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grantit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performanc</w:t>
      </w:r>
      <w:r w:rsidR="002E6B7B" w:rsidRPr="00EB4BBE">
        <w:rPr>
          <w:rFonts w:asciiTheme="majorHAnsi" w:hAnsiTheme="majorHAnsi" w:cstheme="majorHAnsi"/>
          <w:lang w:val="sq-AL"/>
        </w:rPr>
        <w:t>ë</w:t>
      </w:r>
      <w:r w:rsidRPr="00EB4BBE">
        <w:rPr>
          <w:rFonts w:asciiTheme="majorHAnsi" w:hAnsiTheme="majorHAnsi" w:cstheme="majorHAnsi"/>
          <w:lang w:val="sq-AL"/>
        </w:rPr>
        <w:t>s, MPL</w:t>
      </w:r>
      <w:r w:rsidR="00EB49A8" w:rsidRPr="00EB4BBE">
        <w:rPr>
          <w:rFonts w:asciiTheme="majorHAnsi" w:hAnsiTheme="majorHAnsi" w:cstheme="majorHAnsi"/>
          <w:lang w:val="sq-AL"/>
        </w:rPr>
        <w:t xml:space="preserve"> dhe donatorët e GPK-së,</w:t>
      </w:r>
      <w:r w:rsidRPr="00EB4BBE">
        <w:rPr>
          <w:rFonts w:asciiTheme="majorHAnsi" w:hAnsiTheme="majorHAnsi" w:cstheme="majorHAnsi"/>
          <w:lang w:val="sq-AL"/>
        </w:rPr>
        <w:t xml:space="preserve"> komunave </w:t>
      </w:r>
      <w:r w:rsidR="00D91388" w:rsidRPr="00EB4BBE">
        <w:rPr>
          <w:rFonts w:asciiTheme="majorHAnsi" w:hAnsiTheme="majorHAnsi" w:cstheme="majorHAnsi"/>
          <w:lang w:val="sq-AL"/>
        </w:rPr>
        <w:t>q</w:t>
      </w:r>
      <w:r w:rsidR="009458A2" w:rsidRPr="00EB4BBE">
        <w:rPr>
          <w:rFonts w:asciiTheme="majorHAnsi" w:hAnsiTheme="majorHAnsi" w:cstheme="majorHAnsi"/>
          <w:lang w:val="sq-AL"/>
        </w:rPr>
        <w:t>ë</w:t>
      </w:r>
      <w:r w:rsidR="00D91388" w:rsidRPr="00EB4BBE">
        <w:rPr>
          <w:rFonts w:asciiTheme="majorHAnsi" w:hAnsiTheme="majorHAnsi" w:cstheme="majorHAnsi"/>
          <w:lang w:val="sq-AL"/>
        </w:rPr>
        <w:t xml:space="preserve"> nuk i kan</w:t>
      </w:r>
      <w:r w:rsidR="009458A2" w:rsidRPr="00EB4BBE">
        <w:rPr>
          <w:rFonts w:asciiTheme="majorHAnsi" w:hAnsiTheme="majorHAnsi" w:cstheme="majorHAnsi"/>
          <w:lang w:val="sq-AL"/>
        </w:rPr>
        <w:t>ë</w:t>
      </w:r>
      <w:r w:rsidR="00D91388" w:rsidRPr="00EB4BBE">
        <w:rPr>
          <w:rFonts w:asciiTheme="majorHAnsi" w:hAnsiTheme="majorHAnsi" w:cstheme="majorHAnsi"/>
          <w:lang w:val="sq-AL"/>
        </w:rPr>
        <w:t xml:space="preserve"> rishqyrtuar vendimet gjat</w:t>
      </w:r>
      <w:r w:rsidR="009458A2" w:rsidRPr="00EB4BBE">
        <w:rPr>
          <w:rFonts w:asciiTheme="majorHAnsi" w:hAnsiTheme="majorHAnsi" w:cstheme="majorHAnsi"/>
          <w:lang w:val="sq-AL"/>
        </w:rPr>
        <w:t>ë</w:t>
      </w:r>
      <w:r w:rsidR="00D91388" w:rsidRPr="00EB4BBE">
        <w:rPr>
          <w:rFonts w:asciiTheme="majorHAnsi" w:hAnsiTheme="majorHAnsi" w:cstheme="majorHAnsi"/>
          <w:lang w:val="sq-AL"/>
        </w:rPr>
        <w:t xml:space="preserve"> vitit 2019, </w:t>
      </w:r>
      <w:r w:rsidR="00EB49A8" w:rsidRPr="00EB4BBE">
        <w:rPr>
          <w:rFonts w:asciiTheme="majorHAnsi" w:hAnsiTheme="majorHAnsi" w:cstheme="majorHAnsi"/>
          <w:lang w:val="sq-AL"/>
        </w:rPr>
        <w:t xml:space="preserve">i’u ka dhënë </w:t>
      </w:r>
      <w:r w:rsidRPr="00EB4BBE">
        <w:rPr>
          <w:rFonts w:asciiTheme="majorHAnsi" w:hAnsiTheme="majorHAnsi" w:cstheme="majorHAnsi"/>
          <w:lang w:val="sq-AL"/>
        </w:rPr>
        <w:t>nj</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afat shtes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deri me 22 janar 2021, p</w:t>
      </w:r>
      <w:r w:rsidR="002E6B7B" w:rsidRPr="00EB4BBE">
        <w:rPr>
          <w:rFonts w:asciiTheme="majorHAnsi" w:hAnsiTheme="majorHAnsi" w:cstheme="majorHAnsi"/>
          <w:lang w:val="sq-AL"/>
        </w:rPr>
        <w:t>ë</w:t>
      </w:r>
      <w:r w:rsidRPr="00EB4BBE">
        <w:rPr>
          <w:rFonts w:asciiTheme="majorHAnsi" w:hAnsiTheme="majorHAnsi" w:cstheme="majorHAnsi"/>
          <w:lang w:val="sq-AL"/>
        </w:rPr>
        <w:t>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w:t>
      </w:r>
      <w:r w:rsidR="00DA578E">
        <w:rPr>
          <w:rFonts w:asciiTheme="majorHAnsi" w:hAnsiTheme="majorHAnsi" w:cstheme="majorHAnsi"/>
          <w:lang w:val="sq-AL"/>
        </w:rPr>
        <w:t xml:space="preserve">rishqyrtuar </w:t>
      </w:r>
      <w:r w:rsidR="00393858">
        <w:rPr>
          <w:rFonts w:asciiTheme="majorHAnsi" w:hAnsiTheme="majorHAnsi" w:cstheme="majorHAnsi"/>
          <w:lang w:val="sq-AL"/>
        </w:rPr>
        <w:t>aktet</w:t>
      </w:r>
      <w:r w:rsidR="00DA578E">
        <w:rPr>
          <w:rFonts w:asciiTheme="majorHAnsi" w:hAnsiTheme="majorHAnsi" w:cstheme="majorHAnsi"/>
          <w:lang w:val="sq-AL"/>
        </w:rPr>
        <w:t xml:space="preserve"> e mbetura</w:t>
      </w:r>
      <w:r w:rsidRPr="00EB4BBE">
        <w:rPr>
          <w:rFonts w:asciiTheme="majorHAnsi" w:hAnsiTheme="majorHAnsi" w:cstheme="majorHAnsi"/>
          <w:lang w:val="sq-AL"/>
        </w:rPr>
        <w:t xml:space="preserve">. Kushti minimal 2 parasheh </w:t>
      </w:r>
      <w:r w:rsidR="00F85769" w:rsidRPr="00EB4BBE">
        <w:rPr>
          <w:rFonts w:asciiTheme="majorHAnsi" w:hAnsiTheme="majorHAnsi" w:cstheme="majorHAnsi"/>
          <w:lang w:val="sq-AL"/>
        </w:rPr>
        <w:t>q</w:t>
      </w:r>
      <w:r w:rsidR="008C12E3" w:rsidRPr="00EB4BBE">
        <w:rPr>
          <w:rFonts w:asciiTheme="majorHAnsi" w:hAnsiTheme="majorHAnsi" w:cstheme="majorHAnsi"/>
          <w:lang w:val="sq-AL"/>
        </w:rPr>
        <w:t>ë</w:t>
      </w:r>
      <w:r w:rsidR="00F85769" w:rsidRPr="00EB4BBE">
        <w:rPr>
          <w:rFonts w:asciiTheme="majorHAnsi" w:hAnsiTheme="majorHAnsi" w:cstheme="majorHAnsi"/>
          <w:lang w:val="sq-AL"/>
        </w:rPr>
        <w:t xml:space="preserve"> </w:t>
      </w:r>
      <w:r w:rsidR="00EB49A8" w:rsidRPr="00EB4BBE">
        <w:rPr>
          <w:rFonts w:asciiTheme="majorHAnsi" w:hAnsiTheme="majorHAnsi" w:cstheme="majorHAnsi"/>
          <w:lang w:val="sq-AL"/>
        </w:rPr>
        <w:t>“</w:t>
      </w:r>
      <w:r w:rsidR="00F85769" w:rsidRPr="00EB4BBE">
        <w:rPr>
          <w:rFonts w:asciiTheme="majorHAnsi" w:hAnsiTheme="majorHAnsi" w:cstheme="majorHAnsi"/>
          <w:lang w:val="sq-AL"/>
        </w:rPr>
        <w:t>[k]</w:t>
      </w:r>
      <w:r w:rsidR="00EB49A8" w:rsidRPr="00EB4BBE">
        <w:rPr>
          <w:rFonts w:asciiTheme="majorHAnsi" w:hAnsiTheme="majorHAnsi" w:cstheme="majorHAnsi"/>
          <w:lang w:val="sq-AL"/>
        </w:rPr>
        <w:t>omunat duhet të kenë respektuar obligimin ligjor për t’i rishqyrtuar aktet komunale të vlerësuara si të kundërligjshme nga autoriteti mbikëqyrës”.  Për më tepër, sipas Rregullave të Grantit të Performancës komunale për vitin fiskal 2021 është përcaktuar që “</w:t>
      </w:r>
      <w:r w:rsidR="00F85769" w:rsidRPr="00EB4BBE">
        <w:rPr>
          <w:rFonts w:asciiTheme="majorHAnsi" w:hAnsiTheme="majorHAnsi" w:cstheme="majorHAnsi"/>
          <w:lang w:val="sq-AL"/>
        </w:rPr>
        <w:t>[r]</w:t>
      </w:r>
      <w:r w:rsidR="00EB49A8" w:rsidRPr="00EB4BBE">
        <w:rPr>
          <w:rFonts w:asciiTheme="majorHAnsi" w:hAnsiTheme="majorHAnsi" w:cstheme="majorHAnsi"/>
          <w:lang w:val="sq-AL"/>
        </w:rPr>
        <w:t>ishqyrtimi për qëllime të GPK-së është kriter procedural, që nënkupton obligimin e komunës për të rishqyrtuar në Kuvendin e Komunës aktet e vlerësuara si të kundërligjshme në vitin 2019 nga autoriteti mbikëqyrës, pa presupozuar përmbajtjen përfundimtare të aktit të rishqyrtuar”</w:t>
      </w:r>
      <w:r w:rsidR="00B960A6">
        <w:rPr>
          <w:rFonts w:asciiTheme="majorHAnsi" w:hAnsiTheme="majorHAnsi" w:cstheme="majorHAnsi"/>
          <w:lang w:val="sq-AL"/>
        </w:rPr>
        <w:t>.</w:t>
      </w:r>
      <w:r w:rsidR="00EB49A8" w:rsidRPr="00EB4BBE">
        <w:rPr>
          <w:rStyle w:val="FootnoteReference"/>
          <w:rFonts w:asciiTheme="majorHAnsi" w:hAnsiTheme="majorHAnsi" w:cstheme="majorHAnsi"/>
          <w:lang w:val="sq-AL"/>
        </w:rPr>
        <w:footnoteReference w:id="2"/>
      </w:r>
    </w:p>
    <w:p w14:paraId="5C22ACE3" w14:textId="77777777" w:rsidR="00EB49A8" w:rsidRPr="00EB4BBE" w:rsidRDefault="00EB49A8" w:rsidP="00EB4BBE">
      <w:pPr>
        <w:spacing w:line="300" w:lineRule="atLeast"/>
        <w:jc w:val="both"/>
        <w:rPr>
          <w:rFonts w:asciiTheme="majorHAnsi" w:hAnsiTheme="majorHAnsi" w:cstheme="majorHAnsi"/>
          <w:lang w:val="sq-AL"/>
        </w:rPr>
      </w:pPr>
    </w:p>
    <w:p w14:paraId="394F62B2" w14:textId="77777777" w:rsidR="00B644F8" w:rsidRPr="00EB4BBE" w:rsidRDefault="000C4B9E"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Ky raport prezanton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dh</w:t>
      </w:r>
      <w:r w:rsidR="002E6B7B" w:rsidRPr="00EB4BBE">
        <w:rPr>
          <w:rFonts w:asciiTheme="majorHAnsi" w:hAnsiTheme="majorHAnsi" w:cstheme="majorHAnsi"/>
          <w:lang w:val="sq-AL"/>
        </w:rPr>
        <w:t>ë</w:t>
      </w:r>
      <w:r w:rsidRPr="00EB4BBE">
        <w:rPr>
          <w:rFonts w:asciiTheme="majorHAnsi" w:hAnsiTheme="majorHAnsi" w:cstheme="majorHAnsi"/>
          <w:lang w:val="sq-AL"/>
        </w:rPr>
        <w:t>nat e vler</w:t>
      </w:r>
      <w:r w:rsidR="002E6B7B" w:rsidRPr="00EB4BBE">
        <w:rPr>
          <w:rFonts w:asciiTheme="majorHAnsi" w:hAnsiTheme="majorHAnsi" w:cstheme="majorHAnsi"/>
          <w:lang w:val="sq-AL"/>
        </w:rPr>
        <w:t>ë</w:t>
      </w:r>
      <w:r w:rsidRPr="00EB4BBE">
        <w:rPr>
          <w:rFonts w:asciiTheme="majorHAnsi" w:hAnsiTheme="majorHAnsi" w:cstheme="majorHAnsi"/>
          <w:lang w:val="sq-AL"/>
        </w:rPr>
        <w:t>simit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Pr="00EB4BBE">
        <w:rPr>
          <w:rFonts w:asciiTheme="majorHAnsi" w:hAnsiTheme="majorHAnsi" w:cstheme="majorHAnsi"/>
          <w:lang w:val="sq-AL"/>
        </w:rPr>
        <w:t>rmbushjes 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kushtit minimal 2 nga ana e komunave deri me dat</w:t>
      </w:r>
      <w:r w:rsidR="002E6B7B" w:rsidRPr="00EB4BBE">
        <w:rPr>
          <w:rFonts w:asciiTheme="majorHAnsi" w:hAnsiTheme="majorHAnsi" w:cstheme="majorHAnsi"/>
          <w:lang w:val="sq-AL"/>
        </w:rPr>
        <w:t>ë</w:t>
      </w:r>
      <w:r w:rsidRPr="00EB4BBE">
        <w:rPr>
          <w:rFonts w:asciiTheme="majorHAnsi" w:hAnsiTheme="majorHAnsi" w:cstheme="majorHAnsi"/>
          <w:lang w:val="sq-AL"/>
        </w:rPr>
        <w:t>n 2</w:t>
      </w:r>
      <w:r w:rsidR="00AC012E" w:rsidRPr="00EB4BBE">
        <w:rPr>
          <w:rFonts w:asciiTheme="majorHAnsi" w:hAnsiTheme="majorHAnsi" w:cstheme="majorHAnsi"/>
          <w:lang w:val="sq-AL"/>
        </w:rPr>
        <w:t>2</w:t>
      </w:r>
      <w:r w:rsidRPr="00EB4BBE">
        <w:rPr>
          <w:rFonts w:asciiTheme="majorHAnsi" w:hAnsiTheme="majorHAnsi" w:cstheme="majorHAnsi"/>
          <w:lang w:val="sq-AL"/>
        </w:rPr>
        <w:t xml:space="preserve"> janar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vitit 2021. </w:t>
      </w:r>
    </w:p>
    <w:p w14:paraId="358A2586" w14:textId="77777777" w:rsidR="00B644F8" w:rsidRPr="00EB4BBE" w:rsidRDefault="00B644F8" w:rsidP="00EB4BBE">
      <w:pPr>
        <w:spacing w:line="300" w:lineRule="atLeast"/>
        <w:jc w:val="both"/>
        <w:rPr>
          <w:rFonts w:asciiTheme="majorHAnsi" w:hAnsiTheme="majorHAnsi" w:cstheme="majorHAnsi"/>
          <w:lang w:val="sq-AL"/>
        </w:rPr>
      </w:pPr>
    </w:p>
    <w:p w14:paraId="0FCE5DE0" w14:textId="77777777" w:rsidR="003A3431" w:rsidRPr="00EB4BBE" w:rsidRDefault="003A3431" w:rsidP="00EB4BBE">
      <w:pPr>
        <w:pStyle w:val="Heading1"/>
        <w:spacing w:before="0" w:line="300" w:lineRule="atLeast"/>
        <w:jc w:val="both"/>
        <w:rPr>
          <w:rFonts w:cstheme="majorHAnsi"/>
          <w:lang w:val="sq-AL"/>
        </w:rPr>
      </w:pPr>
      <w:bookmarkStart w:id="2" w:name="_Toc62723835"/>
      <w:bookmarkStart w:id="3" w:name="_Toc62815180"/>
      <w:r w:rsidRPr="00EB4BBE">
        <w:rPr>
          <w:rFonts w:cstheme="majorHAnsi"/>
          <w:lang w:val="sq-AL"/>
        </w:rPr>
        <w:t>Q</w:t>
      </w:r>
      <w:r w:rsidR="002E6B7B" w:rsidRPr="00EB4BBE">
        <w:rPr>
          <w:rFonts w:cstheme="majorHAnsi"/>
          <w:lang w:val="sq-AL"/>
        </w:rPr>
        <w:t>ë</w:t>
      </w:r>
      <w:r w:rsidRPr="00EB4BBE">
        <w:rPr>
          <w:rFonts w:cstheme="majorHAnsi"/>
          <w:lang w:val="sq-AL"/>
        </w:rPr>
        <w:t>llimi i raportit dhe metodologjia</w:t>
      </w:r>
      <w:bookmarkEnd w:id="2"/>
      <w:bookmarkEnd w:id="3"/>
    </w:p>
    <w:p w14:paraId="7AF405D5" w14:textId="4EC0FE83" w:rsidR="001870E7" w:rsidRPr="00EB4BBE" w:rsidRDefault="000C4B9E"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Rregullat e Grantit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Performanc</w:t>
      </w:r>
      <w:r w:rsidR="002E6B7B" w:rsidRPr="00EB4BBE">
        <w:rPr>
          <w:rFonts w:asciiTheme="majorHAnsi" w:hAnsiTheme="majorHAnsi" w:cstheme="majorHAnsi"/>
          <w:lang w:val="sq-AL"/>
        </w:rPr>
        <w:t>ë</w:t>
      </w:r>
      <w:r w:rsidRPr="00EB4BBE">
        <w:rPr>
          <w:rFonts w:asciiTheme="majorHAnsi" w:hAnsiTheme="majorHAnsi" w:cstheme="majorHAnsi"/>
          <w:lang w:val="sq-AL"/>
        </w:rPr>
        <w:t>s Komunale parashohin pes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kushte minimale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cilat komunat duhet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Pr="00EB4BBE">
        <w:rPr>
          <w:rFonts w:asciiTheme="majorHAnsi" w:hAnsiTheme="majorHAnsi" w:cstheme="majorHAnsi"/>
          <w:lang w:val="sq-AL"/>
        </w:rPr>
        <w:t>rmbushin 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m</w:t>
      </w:r>
      <w:r w:rsidR="002E6B7B" w:rsidRPr="00EB4BBE">
        <w:rPr>
          <w:rFonts w:asciiTheme="majorHAnsi" w:hAnsiTheme="majorHAnsi" w:cstheme="majorHAnsi"/>
          <w:lang w:val="sq-AL"/>
        </w:rPr>
        <w:t>ë</w:t>
      </w:r>
      <w:r w:rsidRPr="00EB4BBE">
        <w:rPr>
          <w:rFonts w:asciiTheme="majorHAnsi" w:hAnsiTheme="majorHAnsi" w:cstheme="majorHAnsi"/>
          <w:lang w:val="sq-AL"/>
        </w:rPr>
        <w:t>nyr</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kumulative, p</w:t>
      </w:r>
      <w:r w:rsidR="002E6B7B" w:rsidRPr="00EB4BBE">
        <w:rPr>
          <w:rFonts w:asciiTheme="majorHAnsi" w:hAnsiTheme="majorHAnsi" w:cstheme="majorHAnsi"/>
          <w:lang w:val="sq-AL"/>
        </w:rPr>
        <w:t>ë</w:t>
      </w:r>
      <w:r w:rsidRPr="00EB4BBE">
        <w:rPr>
          <w:rFonts w:asciiTheme="majorHAnsi" w:hAnsiTheme="majorHAnsi" w:cstheme="majorHAnsi"/>
          <w:lang w:val="sq-AL"/>
        </w:rPr>
        <w:t>r t’u kualifikuar p</w:t>
      </w:r>
      <w:r w:rsidR="002E6B7B" w:rsidRPr="00EB4BBE">
        <w:rPr>
          <w:rFonts w:asciiTheme="majorHAnsi" w:hAnsiTheme="majorHAnsi" w:cstheme="majorHAnsi"/>
          <w:lang w:val="sq-AL"/>
        </w:rPr>
        <w:t>ë</w:t>
      </w:r>
      <w:r w:rsidRPr="00EB4BBE">
        <w:rPr>
          <w:rFonts w:asciiTheme="majorHAnsi" w:hAnsiTheme="majorHAnsi" w:cstheme="majorHAnsi"/>
          <w:lang w:val="sq-AL"/>
        </w:rPr>
        <w:t>r grant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performanc</w:t>
      </w:r>
      <w:r w:rsidR="002E6B7B" w:rsidRPr="00EB4BBE">
        <w:rPr>
          <w:rFonts w:asciiTheme="majorHAnsi" w:hAnsiTheme="majorHAnsi" w:cstheme="majorHAnsi"/>
          <w:lang w:val="sq-AL"/>
        </w:rPr>
        <w:t>ë</w:t>
      </w:r>
      <w:r w:rsidRPr="00EB4BBE">
        <w:rPr>
          <w:rFonts w:asciiTheme="majorHAnsi" w:hAnsiTheme="majorHAnsi" w:cstheme="majorHAnsi"/>
          <w:lang w:val="sq-AL"/>
        </w:rPr>
        <w:t>s. Q</w:t>
      </w:r>
      <w:r w:rsidR="002E6B7B" w:rsidRPr="00EB4BBE">
        <w:rPr>
          <w:rFonts w:asciiTheme="majorHAnsi" w:hAnsiTheme="majorHAnsi" w:cstheme="majorHAnsi"/>
          <w:lang w:val="sq-AL"/>
        </w:rPr>
        <w:t>ë</w:t>
      </w:r>
      <w:r w:rsidRPr="00EB4BBE">
        <w:rPr>
          <w:rFonts w:asciiTheme="majorHAnsi" w:hAnsiTheme="majorHAnsi" w:cstheme="majorHAnsi"/>
          <w:lang w:val="sq-AL"/>
        </w:rPr>
        <w:t>llimi i hartimi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tij raporti </w:t>
      </w:r>
      <w:r w:rsidR="002E6B7B" w:rsidRPr="00EB4BBE">
        <w:rPr>
          <w:rFonts w:asciiTheme="majorHAnsi" w:hAnsiTheme="majorHAnsi" w:cstheme="majorHAnsi"/>
          <w:lang w:val="sq-AL"/>
        </w:rPr>
        <w:t>ë</w:t>
      </w:r>
      <w:r w:rsidRPr="00EB4BBE">
        <w:rPr>
          <w:rFonts w:asciiTheme="majorHAnsi" w:hAnsiTheme="majorHAnsi" w:cstheme="majorHAnsi"/>
          <w:lang w:val="sq-AL"/>
        </w:rPr>
        <w:t>sht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ofrimi i informatave 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lidhje me </w:t>
      </w:r>
      <w:r w:rsidR="00B960A6">
        <w:rPr>
          <w:rFonts w:asciiTheme="majorHAnsi" w:hAnsiTheme="majorHAnsi" w:cstheme="majorHAnsi"/>
          <w:lang w:val="sq-AL"/>
        </w:rPr>
        <w:t>rishqyrtimin e akteve komunale të konsideruara të kundërligjshme nga autoritetet mbikëqyrëse gjatë</w:t>
      </w:r>
      <w:r w:rsidR="00322AD3" w:rsidRPr="00EB4BBE">
        <w:rPr>
          <w:rFonts w:asciiTheme="majorHAnsi" w:hAnsiTheme="majorHAnsi" w:cstheme="majorHAnsi"/>
          <w:lang w:val="sq-AL"/>
        </w:rPr>
        <w:t xml:space="preserve"> vitit 2019</w:t>
      </w:r>
      <w:r w:rsidR="00B960A6">
        <w:rPr>
          <w:rFonts w:asciiTheme="majorHAnsi" w:hAnsiTheme="majorHAnsi" w:cstheme="majorHAnsi"/>
          <w:lang w:val="sq-AL"/>
        </w:rPr>
        <w:t xml:space="preserve">, </w:t>
      </w:r>
      <w:r w:rsidR="00322AD3" w:rsidRPr="00EB4BBE">
        <w:rPr>
          <w:rFonts w:asciiTheme="majorHAnsi" w:hAnsiTheme="majorHAnsi" w:cstheme="majorHAnsi"/>
          <w:lang w:val="sq-AL"/>
        </w:rPr>
        <w:t>2020</w:t>
      </w:r>
      <w:r w:rsidR="00B960A6">
        <w:rPr>
          <w:rFonts w:asciiTheme="majorHAnsi" w:hAnsiTheme="majorHAnsi" w:cstheme="majorHAnsi"/>
          <w:lang w:val="sq-AL"/>
        </w:rPr>
        <w:t xml:space="preserve"> dhe deri në afatin shtesë të dhënë </w:t>
      </w:r>
      <w:r w:rsidR="00393858">
        <w:rPr>
          <w:rFonts w:asciiTheme="majorHAnsi" w:hAnsiTheme="majorHAnsi" w:cstheme="majorHAnsi"/>
          <w:lang w:val="sq-AL"/>
        </w:rPr>
        <w:t xml:space="preserve">për qëllime të grantit </w:t>
      </w:r>
      <w:r w:rsidR="00B960A6">
        <w:rPr>
          <w:rFonts w:asciiTheme="majorHAnsi" w:hAnsiTheme="majorHAnsi" w:cstheme="majorHAnsi"/>
          <w:lang w:val="sq-AL"/>
        </w:rPr>
        <w:t>nga MPL</w:t>
      </w:r>
      <w:r w:rsidR="00393858">
        <w:rPr>
          <w:rFonts w:asciiTheme="majorHAnsi" w:hAnsiTheme="majorHAnsi" w:cstheme="majorHAnsi"/>
          <w:lang w:val="sq-AL"/>
        </w:rPr>
        <w:t xml:space="preserve"> dhe donatorët</w:t>
      </w:r>
      <w:r w:rsidR="00B960A6">
        <w:rPr>
          <w:rFonts w:asciiTheme="majorHAnsi" w:hAnsiTheme="majorHAnsi" w:cstheme="majorHAnsi"/>
          <w:lang w:val="sq-AL"/>
        </w:rPr>
        <w:t xml:space="preserve"> për komunat</w:t>
      </w:r>
      <w:r w:rsidRPr="00EB4BBE">
        <w:rPr>
          <w:rFonts w:asciiTheme="majorHAnsi" w:hAnsiTheme="majorHAnsi" w:cstheme="majorHAnsi"/>
          <w:lang w:val="sq-AL"/>
        </w:rPr>
        <w:t xml:space="preserve">. </w:t>
      </w:r>
      <w:r w:rsidR="00B960A6">
        <w:rPr>
          <w:rFonts w:asciiTheme="majorHAnsi" w:hAnsiTheme="majorHAnsi" w:cstheme="majorHAnsi"/>
          <w:lang w:val="sq-AL"/>
        </w:rPr>
        <w:t>Ndër kushte të tjera që përcaktohen me Rregullore është edhe obligimi që</w:t>
      </w:r>
      <w:r w:rsidRPr="00EB4BBE">
        <w:rPr>
          <w:rFonts w:asciiTheme="majorHAnsi" w:hAnsiTheme="majorHAnsi" w:cstheme="majorHAnsi"/>
          <w:lang w:val="sq-AL"/>
        </w:rPr>
        <w:t xml:space="preserve"> komunat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respektojn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obligimin ligjor p</w:t>
      </w:r>
      <w:r w:rsidR="002E6B7B" w:rsidRPr="00EB4BBE">
        <w:rPr>
          <w:rFonts w:asciiTheme="majorHAnsi" w:hAnsiTheme="majorHAnsi" w:cstheme="majorHAnsi"/>
          <w:lang w:val="sq-AL"/>
        </w:rPr>
        <w:t>ë</w:t>
      </w:r>
      <w:r w:rsidRPr="00EB4BBE">
        <w:rPr>
          <w:rFonts w:asciiTheme="majorHAnsi" w:hAnsiTheme="majorHAnsi" w:cstheme="majorHAnsi"/>
          <w:lang w:val="sq-AL"/>
        </w:rPr>
        <w:t>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rishqyrtuar aktet komunale,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cilat jan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vler</w:t>
      </w:r>
      <w:r w:rsidR="002E6B7B" w:rsidRPr="00EB4BBE">
        <w:rPr>
          <w:rFonts w:asciiTheme="majorHAnsi" w:hAnsiTheme="majorHAnsi" w:cstheme="majorHAnsi"/>
          <w:lang w:val="sq-AL"/>
        </w:rPr>
        <w:t>ë</w:t>
      </w:r>
      <w:r w:rsidRPr="00EB4BBE">
        <w:rPr>
          <w:rFonts w:asciiTheme="majorHAnsi" w:hAnsiTheme="majorHAnsi" w:cstheme="majorHAnsi"/>
          <w:lang w:val="sq-AL"/>
        </w:rPr>
        <w:t>suar si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kund</w:t>
      </w:r>
      <w:r w:rsidR="002E6B7B" w:rsidRPr="00EB4BBE">
        <w:rPr>
          <w:rFonts w:asciiTheme="majorHAnsi" w:hAnsiTheme="majorHAnsi" w:cstheme="majorHAnsi"/>
          <w:lang w:val="sq-AL"/>
        </w:rPr>
        <w:t>ë</w:t>
      </w:r>
      <w:r w:rsidRPr="00EB4BBE">
        <w:rPr>
          <w:rFonts w:asciiTheme="majorHAnsi" w:hAnsiTheme="majorHAnsi" w:cstheme="majorHAnsi"/>
          <w:lang w:val="sq-AL"/>
        </w:rPr>
        <w:t>rligjshme nga autoriteti mbik</w:t>
      </w:r>
      <w:r w:rsidR="002E6B7B" w:rsidRPr="00EB4BBE">
        <w:rPr>
          <w:rFonts w:asciiTheme="majorHAnsi" w:hAnsiTheme="majorHAnsi" w:cstheme="majorHAnsi"/>
          <w:lang w:val="sq-AL"/>
        </w:rPr>
        <w:t>ë</w:t>
      </w:r>
      <w:r w:rsidRPr="00EB4BBE">
        <w:rPr>
          <w:rFonts w:asciiTheme="majorHAnsi" w:hAnsiTheme="majorHAnsi" w:cstheme="majorHAnsi"/>
          <w:lang w:val="sq-AL"/>
        </w:rPr>
        <w:t>qyr</w:t>
      </w:r>
      <w:r w:rsidR="002E6B7B" w:rsidRPr="00EB4BBE">
        <w:rPr>
          <w:rFonts w:asciiTheme="majorHAnsi" w:hAnsiTheme="majorHAnsi" w:cstheme="majorHAnsi"/>
          <w:lang w:val="sq-AL"/>
        </w:rPr>
        <w:t>ë</w:t>
      </w:r>
      <w:r w:rsidRPr="00EB4BBE">
        <w:rPr>
          <w:rFonts w:asciiTheme="majorHAnsi" w:hAnsiTheme="majorHAnsi" w:cstheme="majorHAnsi"/>
          <w:lang w:val="sq-AL"/>
        </w:rPr>
        <w:t>s.</w:t>
      </w:r>
    </w:p>
    <w:p w14:paraId="7E90A3B4" w14:textId="77777777" w:rsidR="000C4B9E" w:rsidRPr="00EB4BBE" w:rsidRDefault="000C4B9E" w:rsidP="00EB4BBE">
      <w:pPr>
        <w:spacing w:line="300" w:lineRule="atLeast"/>
        <w:jc w:val="both"/>
        <w:rPr>
          <w:rFonts w:asciiTheme="majorHAnsi" w:hAnsiTheme="majorHAnsi" w:cstheme="majorHAnsi"/>
          <w:lang w:val="sq-AL"/>
        </w:rPr>
      </w:pPr>
    </w:p>
    <w:p w14:paraId="0DE51CD1" w14:textId="3ED37A15" w:rsidR="000C4B9E" w:rsidRPr="00EB4BBE" w:rsidRDefault="000C4B9E"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dh</w:t>
      </w:r>
      <w:r w:rsidR="002E6B7B" w:rsidRPr="00EB4BBE">
        <w:rPr>
          <w:rFonts w:asciiTheme="majorHAnsi" w:hAnsiTheme="majorHAnsi" w:cstheme="majorHAnsi"/>
          <w:lang w:val="sq-AL"/>
        </w:rPr>
        <w:t>ë</w:t>
      </w:r>
      <w:r w:rsidRPr="00EB4BBE">
        <w:rPr>
          <w:rFonts w:asciiTheme="majorHAnsi" w:hAnsiTheme="majorHAnsi" w:cstheme="majorHAnsi"/>
          <w:lang w:val="sq-AL"/>
        </w:rPr>
        <w:t>nat e p</w:t>
      </w:r>
      <w:r w:rsidR="002E6B7B" w:rsidRPr="00EB4BBE">
        <w:rPr>
          <w:rFonts w:asciiTheme="majorHAnsi" w:hAnsiTheme="majorHAnsi" w:cstheme="majorHAnsi"/>
          <w:lang w:val="sq-AL"/>
        </w:rPr>
        <w:t>ë</w:t>
      </w:r>
      <w:r w:rsidRPr="00EB4BBE">
        <w:rPr>
          <w:rFonts w:asciiTheme="majorHAnsi" w:hAnsiTheme="majorHAnsi" w:cstheme="majorHAnsi"/>
          <w:lang w:val="sq-AL"/>
        </w:rPr>
        <w:t>rdorura 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vler</w:t>
      </w:r>
      <w:r w:rsidR="002E6B7B" w:rsidRPr="00EB4BBE">
        <w:rPr>
          <w:rFonts w:asciiTheme="majorHAnsi" w:hAnsiTheme="majorHAnsi" w:cstheme="majorHAnsi"/>
          <w:lang w:val="sq-AL"/>
        </w:rPr>
        <w:t>ë</w:t>
      </w:r>
      <w:r w:rsidRPr="00EB4BBE">
        <w:rPr>
          <w:rFonts w:asciiTheme="majorHAnsi" w:hAnsiTheme="majorHAnsi" w:cstheme="majorHAnsi"/>
          <w:lang w:val="sq-AL"/>
        </w:rPr>
        <w:t>sim</w:t>
      </w:r>
      <w:r w:rsidR="00B960A6">
        <w:rPr>
          <w:rFonts w:asciiTheme="majorHAnsi" w:hAnsiTheme="majorHAnsi" w:cstheme="majorHAnsi"/>
          <w:lang w:val="sq-AL"/>
        </w:rPr>
        <w:t xml:space="preserve"> </w:t>
      </w:r>
      <w:r w:rsidRPr="00EB4BBE">
        <w:rPr>
          <w:rFonts w:asciiTheme="majorHAnsi" w:hAnsiTheme="majorHAnsi" w:cstheme="majorHAnsi"/>
          <w:lang w:val="sq-AL"/>
        </w:rPr>
        <w:t>p</w:t>
      </w:r>
      <w:r w:rsidR="002E6B7B" w:rsidRPr="00EB4BBE">
        <w:rPr>
          <w:rFonts w:asciiTheme="majorHAnsi" w:hAnsiTheme="majorHAnsi" w:cstheme="majorHAnsi"/>
          <w:lang w:val="sq-AL"/>
        </w:rPr>
        <w:t>ë</w:t>
      </w:r>
      <w:r w:rsidRPr="00EB4BBE">
        <w:rPr>
          <w:rFonts w:asciiTheme="majorHAnsi" w:hAnsiTheme="majorHAnsi" w:cstheme="majorHAnsi"/>
          <w:lang w:val="sq-AL"/>
        </w:rPr>
        <w:t>rfshijn</w:t>
      </w:r>
      <w:r w:rsidR="002E6B7B" w:rsidRPr="00EB4BBE">
        <w:rPr>
          <w:rFonts w:asciiTheme="majorHAnsi" w:hAnsiTheme="majorHAnsi" w:cstheme="majorHAnsi"/>
          <w:lang w:val="sq-AL"/>
        </w:rPr>
        <w:t>ë</w:t>
      </w:r>
      <w:r w:rsidR="00AC012E" w:rsidRPr="00EB4BBE">
        <w:rPr>
          <w:rFonts w:asciiTheme="majorHAnsi" w:hAnsiTheme="majorHAnsi" w:cstheme="majorHAnsi"/>
          <w:lang w:val="sq-AL"/>
        </w:rPr>
        <w:t xml:space="preserve"> t</w:t>
      </w:r>
      <w:r w:rsidR="002E6B7B" w:rsidRPr="00EB4BBE">
        <w:rPr>
          <w:rFonts w:asciiTheme="majorHAnsi" w:hAnsiTheme="majorHAnsi" w:cstheme="majorHAnsi"/>
          <w:lang w:val="sq-AL"/>
        </w:rPr>
        <w:t>ë</w:t>
      </w:r>
      <w:r w:rsidR="00AC012E" w:rsidRPr="00EB4BBE">
        <w:rPr>
          <w:rFonts w:asciiTheme="majorHAnsi" w:hAnsiTheme="majorHAnsi" w:cstheme="majorHAnsi"/>
          <w:lang w:val="sq-AL"/>
        </w:rPr>
        <w:t xml:space="preserve"> dh</w:t>
      </w:r>
      <w:r w:rsidR="002E6B7B" w:rsidRPr="00EB4BBE">
        <w:rPr>
          <w:rFonts w:asciiTheme="majorHAnsi" w:hAnsiTheme="majorHAnsi" w:cstheme="majorHAnsi"/>
          <w:lang w:val="sq-AL"/>
        </w:rPr>
        <w:t>ë</w:t>
      </w:r>
      <w:r w:rsidR="00AC012E" w:rsidRPr="00EB4BBE">
        <w:rPr>
          <w:rFonts w:asciiTheme="majorHAnsi" w:hAnsiTheme="majorHAnsi" w:cstheme="majorHAnsi"/>
          <w:lang w:val="sq-AL"/>
        </w:rPr>
        <w:t xml:space="preserve">nat zyrtare nga </w:t>
      </w:r>
      <w:r w:rsidR="00290D59" w:rsidRPr="00EB4BBE">
        <w:rPr>
          <w:rFonts w:asciiTheme="majorHAnsi" w:hAnsiTheme="majorHAnsi" w:cstheme="majorHAnsi"/>
          <w:lang w:val="sq-AL"/>
        </w:rPr>
        <w:t xml:space="preserve">Departamenti Ligjor dhe për Monitorim të Komunave </w:t>
      </w:r>
      <w:r w:rsidR="00AC012E" w:rsidRPr="00EB4BBE">
        <w:rPr>
          <w:rFonts w:asciiTheme="majorHAnsi" w:hAnsiTheme="majorHAnsi" w:cstheme="majorHAnsi"/>
          <w:lang w:val="sq-AL"/>
        </w:rPr>
        <w:t>i MPL</w:t>
      </w:r>
      <w:r w:rsidR="00EB49A8" w:rsidRPr="00EB4BBE">
        <w:rPr>
          <w:rFonts w:asciiTheme="majorHAnsi" w:hAnsiTheme="majorHAnsi" w:cstheme="majorHAnsi"/>
          <w:lang w:val="sq-AL"/>
        </w:rPr>
        <w:t>-së</w:t>
      </w:r>
      <w:r w:rsidR="00AC012E" w:rsidRPr="00EB4BBE">
        <w:rPr>
          <w:rFonts w:asciiTheme="majorHAnsi" w:hAnsiTheme="majorHAnsi" w:cstheme="majorHAnsi"/>
          <w:lang w:val="sq-AL"/>
        </w:rPr>
        <w:t>, p</w:t>
      </w:r>
      <w:r w:rsidR="002E6B7B" w:rsidRPr="00EB4BBE">
        <w:rPr>
          <w:rFonts w:asciiTheme="majorHAnsi" w:hAnsiTheme="majorHAnsi" w:cstheme="majorHAnsi"/>
          <w:lang w:val="sq-AL"/>
        </w:rPr>
        <w:t>ë</w:t>
      </w:r>
      <w:r w:rsidR="00AC012E" w:rsidRPr="00EB4BBE">
        <w:rPr>
          <w:rFonts w:asciiTheme="majorHAnsi" w:hAnsiTheme="majorHAnsi" w:cstheme="majorHAnsi"/>
          <w:lang w:val="sq-AL"/>
        </w:rPr>
        <w:t>r aktet e rishikuara t</w:t>
      </w:r>
      <w:r w:rsidR="002E6B7B" w:rsidRPr="00EB4BBE">
        <w:rPr>
          <w:rFonts w:asciiTheme="majorHAnsi" w:hAnsiTheme="majorHAnsi" w:cstheme="majorHAnsi"/>
          <w:lang w:val="sq-AL"/>
        </w:rPr>
        <w:t>ë</w:t>
      </w:r>
      <w:r w:rsidR="00AC012E" w:rsidRPr="00EB4BBE">
        <w:rPr>
          <w:rFonts w:asciiTheme="majorHAnsi" w:hAnsiTheme="majorHAnsi" w:cstheme="majorHAnsi"/>
          <w:lang w:val="sq-AL"/>
        </w:rPr>
        <w:t xml:space="preserve"> komunave, shkresat njoftuese nga ana e komunave, dhe dokumente t</w:t>
      </w:r>
      <w:r w:rsidR="002E6B7B" w:rsidRPr="00EB4BBE">
        <w:rPr>
          <w:rFonts w:asciiTheme="majorHAnsi" w:hAnsiTheme="majorHAnsi" w:cstheme="majorHAnsi"/>
          <w:lang w:val="sq-AL"/>
        </w:rPr>
        <w:t>ë</w:t>
      </w:r>
      <w:r w:rsidR="00AC012E" w:rsidRPr="00EB4BBE">
        <w:rPr>
          <w:rFonts w:asciiTheme="majorHAnsi" w:hAnsiTheme="majorHAnsi" w:cstheme="majorHAnsi"/>
          <w:lang w:val="sq-AL"/>
        </w:rPr>
        <w:t xml:space="preserve"> tjera zyrtare.</w:t>
      </w:r>
    </w:p>
    <w:p w14:paraId="298F2B1C" w14:textId="77777777" w:rsidR="00B644AD" w:rsidRPr="00EB4BBE" w:rsidRDefault="00B644AD" w:rsidP="00EB4BBE">
      <w:pPr>
        <w:spacing w:line="300" w:lineRule="atLeast"/>
        <w:jc w:val="both"/>
        <w:rPr>
          <w:rFonts w:asciiTheme="majorHAnsi" w:hAnsiTheme="majorHAnsi" w:cstheme="majorHAnsi"/>
          <w:lang w:val="sq-AL"/>
        </w:rPr>
      </w:pPr>
    </w:p>
    <w:p w14:paraId="747598F3" w14:textId="77777777" w:rsidR="003A3431" w:rsidRPr="00EB4BBE" w:rsidRDefault="003A3431" w:rsidP="00EB4BBE">
      <w:pPr>
        <w:pStyle w:val="Heading1"/>
        <w:spacing w:before="0" w:line="300" w:lineRule="atLeast"/>
        <w:jc w:val="both"/>
        <w:rPr>
          <w:rFonts w:cstheme="majorHAnsi"/>
          <w:lang w:val="sq-AL"/>
        </w:rPr>
      </w:pPr>
      <w:bookmarkStart w:id="4" w:name="_Toc62723836"/>
      <w:bookmarkStart w:id="5" w:name="_Toc62815181"/>
      <w:r w:rsidRPr="00EB4BBE">
        <w:rPr>
          <w:rFonts w:cstheme="majorHAnsi"/>
          <w:lang w:val="sq-AL"/>
        </w:rPr>
        <w:lastRenderedPageBreak/>
        <w:t>P</w:t>
      </w:r>
      <w:r w:rsidR="002E6B7B" w:rsidRPr="00EB4BBE">
        <w:rPr>
          <w:rFonts w:cstheme="majorHAnsi"/>
          <w:lang w:val="sq-AL"/>
        </w:rPr>
        <w:t>ë</w:t>
      </w:r>
      <w:r w:rsidRPr="00EB4BBE">
        <w:rPr>
          <w:rFonts w:cstheme="majorHAnsi"/>
          <w:lang w:val="sq-AL"/>
        </w:rPr>
        <w:t>rmbledhje ekzekutive</w:t>
      </w:r>
      <w:bookmarkEnd w:id="4"/>
      <w:bookmarkEnd w:id="5"/>
    </w:p>
    <w:p w14:paraId="5E79A2ED" w14:textId="1F69557C" w:rsidR="00EB49A8" w:rsidRPr="00EB4BBE" w:rsidRDefault="00A329A7"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Me q</w:t>
      </w:r>
      <w:r w:rsidR="009458A2" w:rsidRPr="00EB4BBE">
        <w:rPr>
          <w:rFonts w:asciiTheme="majorHAnsi" w:hAnsiTheme="majorHAnsi" w:cstheme="majorHAnsi"/>
          <w:lang w:val="sq-AL"/>
        </w:rPr>
        <w:t>ë</w:t>
      </w:r>
      <w:r w:rsidRPr="00EB4BBE">
        <w:rPr>
          <w:rFonts w:asciiTheme="majorHAnsi" w:hAnsiTheme="majorHAnsi" w:cstheme="majorHAnsi"/>
          <w:lang w:val="sq-AL"/>
        </w:rPr>
        <w:t>llim 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ofrimit 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nj</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mund</w:t>
      </w:r>
      <w:r w:rsidR="009458A2" w:rsidRPr="00EB4BBE">
        <w:rPr>
          <w:rFonts w:asciiTheme="majorHAnsi" w:hAnsiTheme="majorHAnsi" w:cstheme="majorHAnsi"/>
          <w:lang w:val="sq-AL"/>
        </w:rPr>
        <w:t>ë</w:t>
      </w:r>
      <w:r w:rsidRPr="00EB4BBE">
        <w:rPr>
          <w:rFonts w:asciiTheme="majorHAnsi" w:hAnsiTheme="majorHAnsi" w:cstheme="majorHAnsi"/>
          <w:lang w:val="sq-AL"/>
        </w:rPr>
        <w:t>sie shtes</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p</w:t>
      </w:r>
      <w:r w:rsidR="009458A2" w:rsidRPr="00EB4BBE">
        <w:rPr>
          <w:rFonts w:asciiTheme="majorHAnsi" w:hAnsiTheme="majorHAnsi" w:cstheme="majorHAnsi"/>
          <w:lang w:val="sq-AL"/>
        </w:rPr>
        <w:t>ë</w:t>
      </w:r>
      <w:r w:rsidRPr="00EB4BBE">
        <w:rPr>
          <w:rFonts w:asciiTheme="majorHAnsi" w:hAnsiTheme="majorHAnsi" w:cstheme="majorHAnsi"/>
          <w:lang w:val="sq-AL"/>
        </w:rPr>
        <w:t>r komunat q</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nuk kan</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arrit</w:t>
      </w:r>
      <w:r w:rsidR="00EB49A8" w:rsidRPr="00EB4BBE">
        <w:rPr>
          <w:rFonts w:asciiTheme="majorHAnsi" w:hAnsiTheme="majorHAnsi" w:cstheme="majorHAnsi"/>
          <w:lang w:val="sq-AL"/>
        </w:rPr>
        <w:t>ur</w:t>
      </w:r>
      <w:r w:rsidRPr="00EB4BBE">
        <w:rPr>
          <w:rFonts w:asciiTheme="majorHAnsi" w:hAnsiTheme="majorHAnsi" w:cstheme="majorHAnsi"/>
          <w:lang w:val="sq-AL"/>
        </w:rPr>
        <w:t xml:space="preserve"> 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p</w:t>
      </w:r>
      <w:r w:rsidR="009458A2" w:rsidRPr="00EB4BBE">
        <w:rPr>
          <w:rFonts w:asciiTheme="majorHAnsi" w:hAnsiTheme="majorHAnsi" w:cstheme="majorHAnsi"/>
          <w:lang w:val="sq-AL"/>
        </w:rPr>
        <w:t>ë</w:t>
      </w:r>
      <w:r w:rsidRPr="00EB4BBE">
        <w:rPr>
          <w:rFonts w:asciiTheme="majorHAnsi" w:hAnsiTheme="majorHAnsi" w:cstheme="majorHAnsi"/>
          <w:lang w:val="sq-AL"/>
        </w:rPr>
        <w:t>rmbushin kushtin minimal 2 p</w:t>
      </w:r>
      <w:r w:rsidR="009458A2" w:rsidRPr="00EB4BBE">
        <w:rPr>
          <w:rFonts w:asciiTheme="majorHAnsi" w:hAnsiTheme="majorHAnsi" w:cstheme="majorHAnsi"/>
          <w:lang w:val="sq-AL"/>
        </w:rPr>
        <w:t>ë</w:t>
      </w:r>
      <w:r w:rsidRPr="00EB4BBE">
        <w:rPr>
          <w:rFonts w:asciiTheme="majorHAnsi" w:hAnsiTheme="majorHAnsi" w:cstheme="majorHAnsi"/>
          <w:lang w:val="sq-AL"/>
        </w:rPr>
        <w:t>r kualifikim p</w:t>
      </w:r>
      <w:r w:rsidR="009458A2" w:rsidRPr="00EB4BBE">
        <w:rPr>
          <w:rFonts w:asciiTheme="majorHAnsi" w:hAnsiTheme="majorHAnsi" w:cstheme="majorHAnsi"/>
          <w:lang w:val="sq-AL"/>
        </w:rPr>
        <w:t>ë</w:t>
      </w:r>
      <w:r w:rsidRPr="00EB4BBE">
        <w:rPr>
          <w:rFonts w:asciiTheme="majorHAnsi" w:hAnsiTheme="majorHAnsi" w:cstheme="majorHAnsi"/>
          <w:lang w:val="sq-AL"/>
        </w:rPr>
        <w:t>r grant 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performanc</w:t>
      </w:r>
      <w:r w:rsidR="009458A2" w:rsidRPr="00EB4BBE">
        <w:rPr>
          <w:rFonts w:asciiTheme="majorHAnsi" w:hAnsiTheme="majorHAnsi" w:cstheme="majorHAnsi"/>
          <w:lang w:val="sq-AL"/>
        </w:rPr>
        <w:t>ë</w:t>
      </w:r>
      <w:r w:rsidRPr="00EB4BBE">
        <w:rPr>
          <w:rFonts w:asciiTheme="majorHAnsi" w:hAnsiTheme="majorHAnsi" w:cstheme="majorHAnsi"/>
          <w:lang w:val="sq-AL"/>
        </w:rPr>
        <w:t>s, MPL</w:t>
      </w:r>
      <w:r w:rsidR="00EB49A8" w:rsidRPr="00EB4BBE">
        <w:rPr>
          <w:rFonts w:asciiTheme="majorHAnsi" w:hAnsiTheme="majorHAnsi" w:cstheme="majorHAnsi"/>
          <w:lang w:val="sq-AL"/>
        </w:rPr>
        <w:t xml:space="preserve"> në bashkë</w:t>
      </w:r>
      <w:r w:rsidR="00290D59" w:rsidRPr="00EB4BBE">
        <w:rPr>
          <w:rFonts w:asciiTheme="majorHAnsi" w:hAnsiTheme="majorHAnsi" w:cstheme="majorHAnsi"/>
          <w:lang w:val="sq-AL"/>
        </w:rPr>
        <w:t>p</w:t>
      </w:r>
      <w:r w:rsidR="00EB49A8" w:rsidRPr="00EB4BBE">
        <w:rPr>
          <w:rFonts w:asciiTheme="majorHAnsi" w:hAnsiTheme="majorHAnsi" w:cstheme="majorHAnsi"/>
          <w:lang w:val="sq-AL"/>
        </w:rPr>
        <w:t xml:space="preserve">unim me donatorët e GPK-së, </w:t>
      </w:r>
      <w:r w:rsidRPr="00EB4BBE">
        <w:rPr>
          <w:rFonts w:asciiTheme="majorHAnsi" w:hAnsiTheme="majorHAnsi" w:cstheme="majorHAnsi"/>
          <w:lang w:val="sq-AL"/>
        </w:rPr>
        <w:t xml:space="preserve"> </w:t>
      </w:r>
      <w:r w:rsidR="00EB49A8" w:rsidRPr="00EB4BBE">
        <w:rPr>
          <w:rFonts w:asciiTheme="majorHAnsi" w:hAnsiTheme="majorHAnsi" w:cstheme="majorHAnsi"/>
          <w:lang w:val="sq-AL"/>
        </w:rPr>
        <w:t xml:space="preserve">kanë </w:t>
      </w:r>
      <w:r w:rsidRPr="00EB4BBE">
        <w:rPr>
          <w:rFonts w:asciiTheme="majorHAnsi" w:hAnsiTheme="majorHAnsi" w:cstheme="majorHAnsi"/>
          <w:lang w:val="sq-AL"/>
        </w:rPr>
        <w:t>dh</w:t>
      </w:r>
      <w:r w:rsidR="009458A2" w:rsidRPr="00EB4BBE">
        <w:rPr>
          <w:rFonts w:asciiTheme="majorHAnsi" w:hAnsiTheme="majorHAnsi" w:cstheme="majorHAnsi"/>
          <w:lang w:val="sq-AL"/>
        </w:rPr>
        <w:t>ë</w:t>
      </w:r>
      <w:r w:rsidRPr="00EB4BBE">
        <w:rPr>
          <w:rFonts w:asciiTheme="majorHAnsi" w:hAnsiTheme="majorHAnsi" w:cstheme="majorHAnsi"/>
          <w:lang w:val="sq-AL"/>
        </w:rPr>
        <w:t>n</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nj</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afat shtes</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w:t>
      </w:r>
      <w:r w:rsidR="00EB49A8" w:rsidRPr="00EB4BBE">
        <w:rPr>
          <w:rFonts w:asciiTheme="majorHAnsi" w:hAnsiTheme="majorHAnsi" w:cstheme="majorHAnsi"/>
          <w:lang w:val="sq-AL"/>
        </w:rPr>
        <w:t xml:space="preserve">për komunat të cilat këtë kriter nuk e kanë përmbushur gjatë vitit 2019. Në bazë të listës/bazës së të dhënave të Departamentit Ligjor dhe Monitorim të Komunave, janë identifikuar </w:t>
      </w:r>
      <w:r w:rsidRPr="00EB4BBE">
        <w:rPr>
          <w:rFonts w:asciiTheme="majorHAnsi" w:hAnsiTheme="majorHAnsi" w:cstheme="majorHAnsi"/>
          <w:lang w:val="sq-AL"/>
        </w:rPr>
        <w:t>dhjet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(10) </w:t>
      </w:r>
      <w:r w:rsidR="00B644AD" w:rsidRPr="00EB4BBE">
        <w:rPr>
          <w:rFonts w:asciiTheme="majorHAnsi" w:hAnsiTheme="majorHAnsi" w:cstheme="majorHAnsi"/>
          <w:lang w:val="sq-AL"/>
        </w:rPr>
        <w:t>komuna</w:t>
      </w:r>
      <w:r w:rsidR="00EB49A8" w:rsidRPr="00EB4BBE">
        <w:rPr>
          <w:rFonts w:asciiTheme="majorHAnsi" w:hAnsiTheme="majorHAnsi" w:cstheme="majorHAnsi"/>
          <w:lang w:val="sq-AL"/>
        </w:rPr>
        <w:t xml:space="preserve"> të cilat nuk </w:t>
      </w:r>
      <w:r w:rsidR="00282A1D">
        <w:rPr>
          <w:rFonts w:asciiTheme="majorHAnsi" w:hAnsiTheme="majorHAnsi" w:cstheme="majorHAnsi"/>
          <w:lang w:val="sq-AL"/>
        </w:rPr>
        <w:t>i</w:t>
      </w:r>
      <w:r w:rsidR="00282A1D" w:rsidRPr="00EB4BBE">
        <w:rPr>
          <w:rFonts w:asciiTheme="majorHAnsi" w:hAnsiTheme="majorHAnsi" w:cstheme="majorHAnsi"/>
          <w:lang w:val="sq-AL"/>
        </w:rPr>
        <w:t xml:space="preserve"> </w:t>
      </w:r>
      <w:r w:rsidR="00EB49A8" w:rsidRPr="00EB4BBE">
        <w:rPr>
          <w:rFonts w:asciiTheme="majorHAnsi" w:hAnsiTheme="majorHAnsi" w:cstheme="majorHAnsi"/>
          <w:lang w:val="sq-AL"/>
        </w:rPr>
        <w:t xml:space="preserve">kanë </w:t>
      </w:r>
      <w:r w:rsidR="00B960A6">
        <w:rPr>
          <w:rFonts w:asciiTheme="majorHAnsi" w:hAnsiTheme="majorHAnsi" w:cstheme="majorHAnsi"/>
          <w:lang w:val="sq-AL"/>
        </w:rPr>
        <w:t>rishqyrtuar aktet e kundërligjshme.</w:t>
      </w:r>
      <w:r w:rsidR="00B644AD" w:rsidRPr="00EB4BBE">
        <w:rPr>
          <w:rFonts w:asciiTheme="majorHAnsi" w:hAnsiTheme="majorHAnsi" w:cstheme="majorHAnsi"/>
          <w:lang w:val="sq-AL"/>
        </w:rPr>
        <w:t xml:space="preserve"> </w:t>
      </w:r>
      <w:r w:rsidR="00EB49A8" w:rsidRPr="00EB4BBE">
        <w:rPr>
          <w:rFonts w:asciiTheme="majorHAnsi" w:hAnsiTheme="majorHAnsi" w:cstheme="majorHAnsi"/>
          <w:lang w:val="sq-AL"/>
        </w:rPr>
        <w:t xml:space="preserve">Me këtë rast, me datën 28 Dhjetor 2020, MPL dhe donatorët kanë dërguar shkresën njoftuese në komuna, me të cilën janë njoftuar për rivlerësimin e komunave për Grantin e Performancës Komunale dhe mundësinë shtesë që </w:t>
      </w:r>
      <w:r w:rsidR="00B960A6">
        <w:rPr>
          <w:rFonts w:asciiTheme="majorHAnsi" w:hAnsiTheme="majorHAnsi" w:cstheme="majorHAnsi"/>
          <w:lang w:val="sq-AL"/>
        </w:rPr>
        <w:t>të rishqyrtojnë aktet e mbetura</w:t>
      </w:r>
      <w:r w:rsidR="00EB49A8" w:rsidRPr="00EB4BBE">
        <w:rPr>
          <w:rFonts w:asciiTheme="majorHAnsi" w:hAnsiTheme="majorHAnsi" w:cstheme="majorHAnsi"/>
          <w:lang w:val="sq-AL"/>
        </w:rPr>
        <w:t xml:space="preserve"> deri më datën 22 janar 2021. Krahas kësaj, MPL ka dërguar shkresa të veçanta në 10 komuna (Deçan, Gjakovë, Graçanicë, Lipjan, Malishevë, Mitrovicë e Jugut, Prishtinë, Prizren, Skenderaj dhe Vushtrri), me të cilat janë listuar aktet e vlerësuara si</w:t>
      </w:r>
      <w:r w:rsidR="00290D59" w:rsidRPr="00EB4BBE">
        <w:rPr>
          <w:rFonts w:asciiTheme="majorHAnsi" w:hAnsiTheme="majorHAnsi" w:cstheme="majorHAnsi"/>
          <w:lang w:val="sq-AL"/>
        </w:rPr>
        <w:t xml:space="preserve"> t</w:t>
      </w:r>
      <w:r w:rsidR="00EB49A8" w:rsidRPr="00EB4BBE">
        <w:rPr>
          <w:rFonts w:asciiTheme="majorHAnsi" w:hAnsiTheme="majorHAnsi" w:cstheme="majorHAnsi"/>
          <w:lang w:val="sq-AL"/>
        </w:rPr>
        <w:t>ë kundërligjshme, për të cilat deri në vitin 2019 nuk kishte veprime për rishqyrtimin e tyre. Përmes këtyre shkresave, është ritheksuar afati 22 Janar 2021, si mundësi për t’i rishqyrtuar në mënyrë që këto komuna të k</w:t>
      </w:r>
      <w:r w:rsidR="00B960A6">
        <w:rPr>
          <w:rFonts w:asciiTheme="majorHAnsi" w:hAnsiTheme="majorHAnsi" w:cstheme="majorHAnsi"/>
          <w:lang w:val="sq-AL"/>
        </w:rPr>
        <w:t>ualifikohen për grant</w:t>
      </w:r>
      <w:r w:rsidR="00EB49A8" w:rsidRPr="00EB4BBE">
        <w:rPr>
          <w:rFonts w:asciiTheme="majorHAnsi" w:hAnsiTheme="majorHAnsi" w:cstheme="majorHAnsi"/>
          <w:lang w:val="sq-AL"/>
        </w:rPr>
        <w:t xml:space="preserve">, apo për të konfirmuar se të njëjtat janë rishqyrtuar para dërgimit të kësaj shkrese.  </w:t>
      </w:r>
    </w:p>
    <w:p w14:paraId="7B6C59A7" w14:textId="77777777" w:rsidR="00EB49A8" w:rsidRPr="00EB4BBE" w:rsidRDefault="00EB49A8" w:rsidP="00EB4BBE">
      <w:pPr>
        <w:spacing w:line="300" w:lineRule="atLeast"/>
        <w:jc w:val="both"/>
        <w:rPr>
          <w:rFonts w:asciiTheme="majorHAnsi" w:hAnsiTheme="majorHAnsi" w:cstheme="majorHAnsi"/>
          <w:lang w:val="sq-AL"/>
        </w:rPr>
      </w:pPr>
    </w:p>
    <w:p w14:paraId="06B849AB" w14:textId="77777777" w:rsidR="00EB49A8" w:rsidRPr="00EB4BBE" w:rsidRDefault="00EB49A8"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Në bazë të të dhënave për monitorimin e mbledhjeve të kuvendeve të komunave të marra nga Departamenti Ligjor dhe për Monitorim të Komunave, deri më 22 janar 2021, </w:t>
      </w:r>
      <w:r w:rsidR="00B644AD" w:rsidRPr="00EB4BBE">
        <w:rPr>
          <w:rFonts w:asciiTheme="majorHAnsi" w:hAnsiTheme="majorHAnsi" w:cstheme="majorHAnsi"/>
          <w:lang w:val="sq-AL"/>
        </w:rPr>
        <w:t xml:space="preserve">vetëm </w:t>
      </w:r>
      <w:r w:rsidR="00962F9F" w:rsidRPr="00EB4BBE">
        <w:rPr>
          <w:rFonts w:asciiTheme="majorHAnsi" w:hAnsiTheme="majorHAnsi" w:cstheme="majorHAnsi"/>
          <w:lang w:val="sq-AL"/>
        </w:rPr>
        <w:t>gjasht</w:t>
      </w:r>
      <w:r w:rsidR="009458A2" w:rsidRPr="00EB4BBE">
        <w:rPr>
          <w:rFonts w:asciiTheme="majorHAnsi" w:hAnsiTheme="majorHAnsi" w:cstheme="majorHAnsi"/>
          <w:lang w:val="sq-AL"/>
        </w:rPr>
        <w:t>ë</w:t>
      </w:r>
      <w:r w:rsidR="00962F9F" w:rsidRPr="00EB4BBE">
        <w:rPr>
          <w:rFonts w:asciiTheme="majorHAnsi" w:hAnsiTheme="majorHAnsi" w:cstheme="majorHAnsi"/>
          <w:lang w:val="sq-AL"/>
        </w:rPr>
        <w:t xml:space="preserve"> (6</w:t>
      </w:r>
      <w:r w:rsidR="00B644AD" w:rsidRPr="00EB4BBE">
        <w:rPr>
          <w:rFonts w:asciiTheme="majorHAnsi" w:hAnsiTheme="majorHAnsi" w:cstheme="majorHAnsi"/>
          <w:lang w:val="sq-AL"/>
        </w:rPr>
        <w:t>) nga k</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to komuna kan</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 xml:space="preserve"> arrit</w:t>
      </w:r>
      <w:r w:rsidRPr="00EB4BBE">
        <w:rPr>
          <w:rFonts w:asciiTheme="majorHAnsi" w:hAnsiTheme="majorHAnsi" w:cstheme="majorHAnsi"/>
          <w:lang w:val="sq-AL"/>
        </w:rPr>
        <w:t>ur</w:t>
      </w:r>
      <w:r w:rsidR="00B644AD" w:rsidRPr="00EB4BBE">
        <w:rPr>
          <w:rFonts w:asciiTheme="majorHAnsi" w:hAnsiTheme="majorHAnsi" w:cstheme="majorHAnsi"/>
          <w:lang w:val="sq-AL"/>
        </w:rPr>
        <w:t xml:space="preserve"> t</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 xml:space="preserve"> rishqyrtojn</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 xml:space="preserve"> aktet komunale t</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 xml:space="preserve"> vler</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suar</w:t>
      </w:r>
      <w:r w:rsidRPr="00EB4BBE">
        <w:rPr>
          <w:rFonts w:asciiTheme="majorHAnsi" w:hAnsiTheme="majorHAnsi" w:cstheme="majorHAnsi"/>
          <w:lang w:val="sq-AL"/>
        </w:rPr>
        <w:t>a</w:t>
      </w:r>
      <w:r w:rsidR="00B644AD" w:rsidRPr="00EB4BBE">
        <w:rPr>
          <w:rFonts w:asciiTheme="majorHAnsi" w:hAnsiTheme="majorHAnsi" w:cstheme="majorHAnsi"/>
          <w:lang w:val="sq-AL"/>
        </w:rPr>
        <w:t xml:space="preserve"> t</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 xml:space="preserve"> kund</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rligjshme nga MPL apo ministrit</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 xml:space="preserve"> e linj</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s</w:t>
      </w:r>
      <w:r w:rsidRPr="00EB4BBE">
        <w:rPr>
          <w:rFonts w:asciiTheme="majorHAnsi" w:hAnsiTheme="majorHAnsi" w:cstheme="majorHAnsi"/>
          <w:lang w:val="sq-AL"/>
        </w:rPr>
        <w:t xml:space="preserve">, përkatësisht komunat: Graçanicë, Lipjan, Malishevë, Mitrovicë e Jugut, Skenderaj dhe Vushtrri. </w:t>
      </w:r>
    </w:p>
    <w:p w14:paraId="66EECB1C" w14:textId="77777777" w:rsidR="00EB49A8" w:rsidRPr="00EB4BBE" w:rsidRDefault="00EB49A8" w:rsidP="00EB4BBE">
      <w:pPr>
        <w:spacing w:line="300" w:lineRule="atLeast"/>
        <w:jc w:val="both"/>
        <w:rPr>
          <w:rFonts w:asciiTheme="majorHAnsi" w:hAnsiTheme="majorHAnsi" w:cstheme="majorHAnsi"/>
          <w:lang w:val="sq-AL"/>
        </w:rPr>
      </w:pPr>
    </w:p>
    <w:p w14:paraId="71F2CE88" w14:textId="77777777" w:rsidR="00EB49A8" w:rsidRPr="00EB4BBE" w:rsidRDefault="00B644AD"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Nd</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rkaq, </w:t>
      </w:r>
      <w:r w:rsidR="00962F9F" w:rsidRPr="00EB4BBE">
        <w:rPr>
          <w:rFonts w:asciiTheme="majorHAnsi" w:hAnsiTheme="majorHAnsi" w:cstheme="majorHAnsi"/>
          <w:lang w:val="sq-AL"/>
        </w:rPr>
        <w:t>kat</w:t>
      </w:r>
      <w:r w:rsidR="009458A2" w:rsidRPr="00EB4BBE">
        <w:rPr>
          <w:rFonts w:asciiTheme="majorHAnsi" w:hAnsiTheme="majorHAnsi" w:cstheme="majorHAnsi"/>
          <w:lang w:val="sq-AL"/>
        </w:rPr>
        <w:t>ë</w:t>
      </w:r>
      <w:r w:rsidR="00962F9F" w:rsidRPr="00EB4BBE">
        <w:rPr>
          <w:rFonts w:asciiTheme="majorHAnsi" w:hAnsiTheme="majorHAnsi" w:cstheme="majorHAnsi"/>
          <w:lang w:val="sq-AL"/>
        </w:rPr>
        <w:t>r</w:t>
      </w:r>
      <w:r w:rsidRPr="00EB4BBE">
        <w:rPr>
          <w:rFonts w:asciiTheme="majorHAnsi" w:hAnsiTheme="majorHAnsi" w:cstheme="majorHAnsi"/>
          <w:lang w:val="sq-AL"/>
        </w:rPr>
        <w:t xml:space="preserve"> (</w:t>
      </w:r>
      <w:r w:rsidR="00962F9F" w:rsidRPr="00EB4BBE">
        <w:rPr>
          <w:rFonts w:asciiTheme="majorHAnsi" w:hAnsiTheme="majorHAnsi" w:cstheme="majorHAnsi"/>
          <w:lang w:val="sq-AL"/>
        </w:rPr>
        <w:t>4</w:t>
      </w:r>
      <w:r w:rsidRPr="00EB4BBE">
        <w:rPr>
          <w:rFonts w:asciiTheme="majorHAnsi" w:hAnsiTheme="majorHAnsi" w:cstheme="majorHAnsi"/>
          <w:lang w:val="sq-AL"/>
        </w:rPr>
        <w:t>) komuna 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tjera </w:t>
      </w:r>
      <w:r w:rsidR="00EB49A8" w:rsidRPr="00EB4BBE">
        <w:rPr>
          <w:rFonts w:asciiTheme="majorHAnsi" w:hAnsiTheme="majorHAnsi" w:cstheme="majorHAnsi"/>
          <w:lang w:val="sq-AL"/>
        </w:rPr>
        <w:t xml:space="preserve">(Deçan, Gjakovë, Prizren, Prishtinë) </w:t>
      </w:r>
      <w:r w:rsidRPr="00EB4BBE">
        <w:rPr>
          <w:rFonts w:asciiTheme="majorHAnsi" w:hAnsiTheme="majorHAnsi" w:cstheme="majorHAnsi"/>
          <w:lang w:val="sq-AL"/>
        </w:rPr>
        <w:t xml:space="preserve">nuk </w:t>
      </w:r>
      <w:r w:rsidR="00EB49A8" w:rsidRPr="00EB4BBE">
        <w:rPr>
          <w:rFonts w:asciiTheme="majorHAnsi" w:hAnsiTheme="majorHAnsi" w:cstheme="majorHAnsi"/>
          <w:lang w:val="sq-AL"/>
        </w:rPr>
        <w:t xml:space="preserve">kanë rishqyrtuar aktet e kërkuara, si dhe nuk kanë ofruar asnjë informatë nëse për të njëjtat ka pasur një proces të rishqyrtimit para dërgimit të shkresës njoftuese të cekur si më lartë. </w:t>
      </w:r>
    </w:p>
    <w:p w14:paraId="0AEA1DB0" w14:textId="77777777" w:rsidR="00EB49A8" w:rsidRPr="00EB4BBE" w:rsidRDefault="00EB49A8" w:rsidP="00EB4BBE">
      <w:pPr>
        <w:spacing w:line="300" w:lineRule="atLeast"/>
        <w:jc w:val="both"/>
        <w:rPr>
          <w:rFonts w:asciiTheme="majorHAnsi" w:hAnsiTheme="majorHAnsi" w:cstheme="majorHAnsi"/>
          <w:lang w:val="sq-AL"/>
        </w:rPr>
      </w:pPr>
    </w:p>
    <w:p w14:paraId="52819A2A" w14:textId="77777777" w:rsidR="001870E7" w:rsidRPr="00EB4BBE" w:rsidRDefault="00EB49A8"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Krahas këtyre 10 komunave, të dhënat e Departamentit Ligjor dhe Monitorim të Komuanve për procesin e rishqyrtimit adminsitrativ të akteve komunale, tregojnë se </w:t>
      </w:r>
      <w:r w:rsidR="00B644AD" w:rsidRPr="00EB4BBE">
        <w:rPr>
          <w:rFonts w:asciiTheme="majorHAnsi" w:hAnsiTheme="majorHAnsi" w:cstheme="majorHAnsi"/>
          <w:lang w:val="sq-AL"/>
        </w:rPr>
        <w:t>28 komuna t</w:t>
      </w:r>
      <w:r w:rsidR="009458A2" w:rsidRPr="00EB4BBE">
        <w:rPr>
          <w:rFonts w:asciiTheme="majorHAnsi" w:hAnsiTheme="majorHAnsi" w:cstheme="majorHAnsi"/>
          <w:lang w:val="sq-AL"/>
        </w:rPr>
        <w:t>ë</w:t>
      </w:r>
      <w:r w:rsidR="00B644AD" w:rsidRPr="00EB4BBE">
        <w:rPr>
          <w:rFonts w:asciiTheme="majorHAnsi" w:hAnsiTheme="majorHAnsi" w:cstheme="majorHAnsi"/>
          <w:lang w:val="sq-AL"/>
        </w:rPr>
        <w:t xml:space="preserve"> tjera </w:t>
      </w:r>
      <w:r w:rsidR="00962F9F" w:rsidRPr="00EB4BBE">
        <w:rPr>
          <w:rFonts w:asciiTheme="majorHAnsi" w:hAnsiTheme="majorHAnsi" w:cstheme="majorHAnsi"/>
          <w:lang w:val="sq-AL"/>
        </w:rPr>
        <w:t>i kanë rishqyrtuar në kohë apo nuk kanë pas asnjë akt komunal të vlerësuar të kundërligjshme</w:t>
      </w:r>
      <w:r w:rsidRPr="00EB4BBE">
        <w:rPr>
          <w:rFonts w:asciiTheme="majorHAnsi" w:hAnsiTheme="majorHAnsi" w:cstheme="majorHAnsi"/>
          <w:lang w:val="sq-AL"/>
        </w:rPr>
        <w:t xml:space="preserve"> për vitin 2019. </w:t>
      </w:r>
    </w:p>
    <w:p w14:paraId="5104240F" w14:textId="77777777" w:rsidR="00962F9F" w:rsidRPr="00EB4BBE" w:rsidRDefault="00962F9F" w:rsidP="00EB4BBE">
      <w:pPr>
        <w:spacing w:line="300" w:lineRule="atLeast"/>
        <w:jc w:val="both"/>
        <w:rPr>
          <w:rFonts w:asciiTheme="majorHAnsi" w:hAnsiTheme="majorHAnsi" w:cstheme="majorHAnsi"/>
          <w:lang w:val="sq-AL"/>
        </w:rPr>
      </w:pPr>
    </w:p>
    <w:p w14:paraId="26E83562" w14:textId="77777777" w:rsidR="00D82E98" w:rsidRPr="00EB4BBE" w:rsidRDefault="003A3431" w:rsidP="00EB4BBE">
      <w:pPr>
        <w:pStyle w:val="Heading1"/>
        <w:spacing w:before="0" w:line="300" w:lineRule="atLeast"/>
        <w:jc w:val="both"/>
        <w:rPr>
          <w:rFonts w:cstheme="majorHAnsi"/>
          <w:lang w:val="sq-AL"/>
        </w:rPr>
      </w:pPr>
      <w:bookmarkStart w:id="6" w:name="_Toc62723837"/>
      <w:bookmarkStart w:id="7" w:name="_Toc62815182"/>
      <w:r w:rsidRPr="00EB4BBE">
        <w:rPr>
          <w:rFonts w:cstheme="majorHAnsi"/>
          <w:lang w:val="sq-AL"/>
        </w:rPr>
        <w:t xml:space="preserve">Obligimet </w:t>
      </w:r>
      <w:r w:rsidR="00020180" w:rsidRPr="00EB4BBE">
        <w:rPr>
          <w:rFonts w:cstheme="majorHAnsi"/>
          <w:lang w:val="sq-AL"/>
        </w:rPr>
        <w:t xml:space="preserve">që burojnë </w:t>
      </w:r>
      <w:r w:rsidRPr="00EB4BBE">
        <w:rPr>
          <w:rFonts w:cstheme="majorHAnsi"/>
          <w:lang w:val="sq-AL"/>
        </w:rPr>
        <w:t>nga Kriteri Minimal 2</w:t>
      </w:r>
      <w:bookmarkEnd w:id="6"/>
      <w:bookmarkEnd w:id="7"/>
      <w:r w:rsidRPr="00EB4BBE">
        <w:rPr>
          <w:rFonts w:cstheme="majorHAnsi"/>
          <w:lang w:val="sq-AL"/>
        </w:rPr>
        <w:t xml:space="preserve"> </w:t>
      </w:r>
    </w:p>
    <w:p w14:paraId="3554B397" w14:textId="77777777" w:rsidR="00AC012E" w:rsidRPr="00EB4BBE" w:rsidRDefault="001317E5"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mesin e 5 kushteve minimale q</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komunat duhet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plot</w:t>
      </w:r>
      <w:r w:rsidR="002E6B7B" w:rsidRPr="00EB4BBE">
        <w:rPr>
          <w:rFonts w:asciiTheme="majorHAnsi" w:hAnsiTheme="majorHAnsi" w:cstheme="majorHAnsi"/>
          <w:lang w:val="sq-AL"/>
        </w:rPr>
        <w:t>ë</w:t>
      </w:r>
      <w:r w:rsidRPr="00EB4BBE">
        <w:rPr>
          <w:rFonts w:asciiTheme="majorHAnsi" w:hAnsiTheme="majorHAnsi" w:cstheme="majorHAnsi"/>
          <w:lang w:val="sq-AL"/>
        </w:rPr>
        <w:t>sojn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Pr="00EB4BBE">
        <w:rPr>
          <w:rFonts w:asciiTheme="majorHAnsi" w:hAnsiTheme="majorHAnsi" w:cstheme="majorHAnsi"/>
          <w:lang w:val="sq-AL"/>
        </w:rPr>
        <w:t>r t’u kualifikuar p</w:t>
      </w:r>
      <w:r w:rsidR="002E6B7B" w:rsidRPr="00EB4BBE">
        <w:rPr>
          <w:rFonts w:asciiTheme="majorHAnsi" w:hAnsiTheme="majorHAnsi" w:cstheme="majorHAnsi"/>
          <w:lang w:val="sq-AL"/>
        </w:rPr>
        <w:t>ë</w:t>
      </w:r>
      <w:r w:rsidRPr="00EB4BBE">
        <w:rPr>
          <w:rFonts w:asciiTheme="majorHAnsi" w:hAnsiTheme="majorHAnsi" w:cstheme="majorHAnsi"/>
          <w:lang w:val="sq-AL"/>
        </w:rPr>
        <w:t>r grant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performanc</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s </w:t>
      </w:r>
      <w:r w:rsidR="002E6B7B" w:rsidRPr="00EB4BBE">
        <w:rPr>
          <w:rFonts w:asciiTheme="majorHAnsi" w:hAnsiTheme="majorHAnsi" w:cstheme="majorHAnsi"/>
          <w:lang w:val="sq-AL"/>
        </w:rPr>
        <w:t>ë</w:t>
      </w:r>
      <w:r w:rsidRPr="00EB4BBE">
        <w:rPr>
          <w:rFonts w:asciiTheme="majorHAnsi" w:hAnsiTheme="majorHAnsi" w:cstheme="majorHAnsi"/>
          <w:lang w:val="sq-AL"/>
        </w:rPr>
        <w:t>sht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kushti </w:t>
      </w:r>
      <w:r w:rsidR="009449EA" w:rsidRPr="00EB4BBE">
        <w:rPr>
          <w:rFonts w:asciiTheme="majorHAnsi" w:hAnsiTheme="majorHAnsi" w:cstheme="majorHAnsi"/>
          <w:lang w:val="sq-AL"/>
        </w:rPr>
        <w:t xml:space="preserve">minimal 2 </w:t>
      </w:r>
      <w:r w:rsidRPr="00EB4BBE">
        <w:rPr>
          <w:rFonts w:asciiTheme="majorHAnsi" w:hAnsiTheme="majorHAnsi" w:cstheme="majorHAnsi"/>
          <w:lang w:val="sq-AL"/>
        </w:rPr>
        <w:t>q</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Pr="00EB4BBE">
        <w:rPr>
          <w:rFonts w:asciiTheme="majorHAnsi" w:hAnsiTheme="majorHAnsi" w:cstheme="majorHAnsi"/>
          <w:lang w:val="sq-AL"/>
        </w:rPr>
        <w:t>rcakton q</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w:t>
      </w:r>
      <w:r w:rsidR="009449EA" w:rsidRPr="00EB4BBE">
        <w:rPr>
          <w:rFonts w:asciiTheme="majorHAnsi" w:hAnsiTheme="majorHAnsi" w:cstheme="majorHAnsi"/>
          <w:lang w:val="sq-AL"/>
        </w:rPr>
        <w:t>“</w:t>
      </w:r>
      <w:r w:rsidR="00F85769" w:rsidRPr="00EB4BBE">
        <w:rPr>
          <w:rFonts w:asciiTheme="majorHAnsi" w:hAnsiTheme="majorHAnsi" w:cstheme="majorHAnsi"/>
          <w:lang w:val="sq-AL"/>
        </w:rPr>
        <w:t>[k]</w:t>
      </w:r>
      <w:r w:rsidR="009449EA" w:rsidRPr="00EB4BBE">
        <w:rPr>
          <w:rFonts w:asciiTheme="majorHAnsi" w:hAnsiTheme="majorHAnsi" w:cstheme="majorHAnsi"/>
          <w:lang w:val="sq-AL"/>
        </w:rPr>
        <w:t>omunat duhet të kenë respektuar obligimin ligjor për t’i rishqyrtuar aktet komunale të vlerësuara si të kundërligjshme nga autoriteti mbikëqyrës”</w:t>
      </w:r>
      <w:r w:rsidRPr="00EB4BBE">
        <w:rPr>
          <w:rFonts w:asciiTheme="majorHAnsi" w:hAnsiTheme="majorHAnsi" w:cstheme="majorHAnsi"/>
          <w:lang w:val="sq-AL"/>
        </w:rPr>
        <w:t>.</w:t>
      </w:r>
      <w:r w:rsidR="009458A2" w:rsidRPr="00EB4BBE">
        <w:rPr>
          <w:rStyle w:val="FootnoteReference"/>
          <w:rFonts w:asciiTheme="majorHAnsi" w:hAnsiTheme="majorHAnsi" w:cstheme="majorHAnsi"/>
          <w:lang w:val="sq-AL"/>
        </w:rPr>
        <w:footnoteReference w:id="3"/>
      </w:r>
      <w:r w:rsidRPr="00EB4BBE">
        <w:rPr>
          <w:rFonts w:asciiTheme="majorHAnsi" w:hAnsiTheme="majorHAnsi" w:cstheme="majorHAnsi"/>
          <w:lang w:val="sq-AL"/>
        </w:rPr>
        <w:t xml:space="preserve"> 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esenc</w:t>
      </w:r>
      <w:r w:rsidR="002E6B7B" w:rsidRPr="00EB4BBE">
        <w:rPr>
          <w:rFonts w:asciiTheme="majorHAnsi" w:hAnsiTheme="majorHAnsi" w:cstheme="majorHAnsi"/>
          <w:lang w:val="sq-AL"/>
        </w:rPr>
        <w:t>ë</w:t>
      </w:r>
      <w:r w:rsidRPr="00EB4BBE">
        <w:rPr>
          <w:rFonts w:asciiTheme="majorHAnsi" w:hAnsiTheme="majorHAnsi" w:cstheme="majorHAnsi"/>
          <w:lang w:val="sq-AL"/>
        </w:rPr>
        <w:t>, ky kusht derivon nga obligimi ligjor q</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komunat kan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nga Ligji p</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r </w:t>
      </w:r>
      <w:r w:rsidR="009449EA" w:rsidRPr="00EB4BBE">
        <w:rPr>
          <w:rFonts w:asciiTheme="majorHAnsi" w:hAnsiTheme="majorHAnsi" w:cstheme="majorHAnsi"/>
          <w:lang w:val="sq-AL"/>
        </w:rPr>
        <w:t>Vetëqeverisje</w:t>
      </w:r>
      <w:r w:rsidRPr="00EB4BBE">
        <w:rPr>
          <w:rFonts w:asciiTheme="majorHAnsi" w:hAnsiTheme="majorHAnsi" w:cstheme="majorHAnsi"/>
          <w:lang w:val="sq-AL"/>
        </w:rPr>
        <w:t xml:space="preserve"> Lokale, p</w:t>
      </w:r>
      <w:r w:rsidR="002E6B7B" w:rsidRPr="00EB4BBE">
        <w:rPr>
          <w:rFonts w:asciiTheme="majorHAnsi" w:hAnsiTheme="majorHAnsi" w:cstheme="majorHAnsi"/>
          <w:lang w:val="sq-AL"/>
        </w:rPr>
        <w:t>ë</w:t>
      </w:r>
      <w:r w:rsidRPr="00EB4BBE">
        <w:rPr>
          <w:rFonts w:asciiTheme="majorHAnsi" w:hAnsiTheme="majorHAnsi" w:cstheme="majorHAnsi"/>
          <w:lang w:val="sq-AL"/>
        </w:rPr>
        <w:t>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rishqyrtuar aktet komunale q</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vler</w:t>
      </w:r>
      <w:r w:rsidR="002E6B7B" w:rsidRPr="00EB4BBE">
        <w:rPr>
          <w:rFonts w:asciiTheme="majorHAnsi" w:hAnsiTheme="majorHAnsi" w:cstheme="majorHAnsi"/>
          <w:lang w:val="sq-AL"/>
        </w:rPr>
        <w:t>ë</w:t>
      </w:r>
      <w:r w:rsidRPr="00EB4BBE">
        <w:rPr>
          <w:rFonts w:asciiTheme="majorHAnsi" w:hAnsiTheme="majorHAnsi" w:cstheme="majorHAnsi"/>
          <w:lang w:val="sq-AL"/>
        </w:rPr>
        <w:t>sohen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kund</w:t>
      </w:r>
      <w:r w:rsidR="002E6B7B" w:rsidRPr="00EB4BBE">
        <w:rPr>
          <w:rFonts w:asciiTheme="majorHAnsi" w:hAnsiTheme="majorHAnsi" w:cstheme="majorHAnsi"/>
          <w:lang w:val="sq-AL"/>
        </w:rPr>
        <w:t>ë</w:t>
      </w:r>
      <w:r w:rsidRPr="00EB4BBE">
        <w:rPr>
          <w:rFonts w:asciiTheme="majorHAnsi" w:hAnsiTheme="majorHAnsi" w:cstheme="majorHAnsi"/>
          <w:lang w:val="sq-AL"/>
        </w:rPr>
        <w:t>rligjshme nga MPL, apo ministrit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e tjera. Megjithat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kushti minimal 2 </w:t>
      </w:r>
      <w:r w:rsidR="002B5E21">
        <w:rPr>
          <w:rFonts w:asciiTheme="majorHAnsi" w:hAnsiTheme="majorHAnsi" w:cstheme="majorHAnsi"/>
          <w:lang w:val="sq-AL"/>
        </w:rPr>
        <w:t xml:space="preserve">i Rregullave te Grantit </w:t>
      </w:r>
      <w:r w:rsidRPr="00EB4BBE">
        <w:rPr>
          <w:rFonts w:asciiTheme="majorHAnsi" w:hAnsiTheme="majorHAnsi" w:cstheme="majorHAnsi"/>
          <w:lang w:val="sq-AL"/>
        </w:rPr>
        <w:t>nuk supozon asnj</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obligim q</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komunat, p</w:t>
      </w:r>
      <w:r w:rsidR="002E6B7B" w:rsidRPr="00EB4BBE">
        <w:rPr>
          <w:rFonts w:asciiTheme="majorHAnsi" w:hAnsiTheme="majorHAnsi" w:cstheme="majorHAnsi"/>
          <w:lang w:val="sq-AL"/>
        </w:rPr>
        <w:t>ë</w:t>
      </w:r>
      <w:r w:rsidRPr="00EB4BBE">
        <w:rPr>
          <w:rFonts w:asciiTheme="majorHAnsi" w:hAnsiTheme="majorHAnsi" w:cstheme="majorHAnsi"/>
          <w:lang w:val="sq-AL"/>
        </w:rPr>
        <w:t>rmes kuvendeve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tyre komunale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w:t>
      </w:r>
      <w:r w:rsidR="002B5E21">
        <w:rPr>
          <w:rFonts w:asciiTheme="majorHAnsi" w:hAnsiTheme="majorHAnsi" w:cstheme="majorHAnsi"/>
          <w:lang w:val="sq-AL"/>
        </w:rPr>
        <w:t xml:space="preserve">ndryshojne </w:t>
      </w:r>
      <w:r w:rsidR="009449EA" w:rsidRPr="00EB4BBE">
        <w:rPr>
          <w:rFonts w:asciiTheme="majorHAnsi" w:hAnsiTheme="majorHAnsi" w:cstheme="majorHAnsi"/>
          <w:lang w:val="sq-AL"/>
        </w:rPr>
        <w:t>domosdoshmërisht</w:t>
      </w:r>
      <w:r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Pr="00EB4BBE">
        <w:rPr>
          <w:rFonts w:asciiTheme="majorHAnsi" w:hAnsiTheme="majorHAnsi" w:cstheme="majorHAnsi"/>
          <w:lang w:val="sq-AL"/>
        </w:rPr>
        <w:t>rmbajtjen e aktit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rishqyrtuar.  </w:t>
      </w:r>
    </w:p>
    <w:p w14:paraId="0D7A6A2C" w14:textId="77777777" w:rsidR="001317E5" w:rsidRPr="00EB4BBE" w:rsidRDefault="001317E5" w:rsidP="00EB4BBE">
      <w:pPr>
        <w:spacing w:line="300" w:lineRule="atLeast"/>
        <w:jc w:val="both"/>
        <w:rPr>
          <w:rFonts w:asciiTheme="majorHAnsi" w:hAnsiTheme="majorHAnsi" w:cstheme="majorHAnsi"/>
          <w:lang w:val="sq-AL"/>
        </w:rPr>
      </w:pPr>
    </w:p>
    <w:p w14:paraId="2C47C3F2" w14:textId="77777777" w:rsidR="009449EA" w:rsidRPr="00EB4BBE" w:rsidRDefault="00D82E98"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lastRenderedPageBreak/>
        <w:t>P</w:t>
      </w:r>
      <w:r w:rsidR="002E6B7B" w:rsidRPr="00EB4BBE">
        <w:rPr>
          <w:rFonts w:asciiTheme="majorHAnsi" w:hAnsiTheme="majorHAnsi" w:cstheme="majorHAnsi"/>
          <w:lang w:val="sq-AL"/>
        </w:rPr>
        <w:t>ë</w:t>
      </w:r>
      <w:r w:rsidRPr="00EB4BBE">
        <w:rPr>
          <w:rFonts w:asciiTheme="majorHAnsi" w:hAnsiTheme="majorHAnsi" w:cstheme="majorHAnsi"/>
          <w:lang w:val="sq-AL"/>
        </w:rPr>
        <w:t>r vler</w:t>
      </w:r>
      <w:r w:rsidR="002E6B7B" w:rsidRPr="00EB4BBE">
        <w:rPr>
          <w:rFonts w:asciiTheme="majorHAnsi" w:hAnsiTheme="majorHAnsi" w:cstheme="majorHAnsi"/>
          <w:lang w:val="sq-AL"/>
        </w:rPr>
        <w:t>ë</w:t>
      </w:r>
      <w:r w:rsidRPr="00EB4BBE">
        <w:rPr>
          <w:rFonts w:asciiTheme="majorHAnsi" w:hAnsiTheme="majorHAnsi" w:cstheme="majorHAnsi"/>
          <w:lang w:val="sq-AL"/>
        </w:rPr>
        <w:t>simin e p</w:t>
      </w:r>
      <w:r w:rsidR="002E6B7B" w:rsidRPr="00EB4BBE">
        <w:rPr>
          <w:rFonts w:asciiTheme="majorHAnsi" w:hAnsiTheme="majorHAnsi" w:cstheme="majorHAnsi"/>
          <w:lang w:val="sq-AL"/>
        </w:rPr>
        <w:t>ë</w:t>
      </w:r>
      <w:r w:rsidRPr="00EB4BBE">
        <w:rPr>
          <w:rFonts w:asciiTheme="majorHAnsi" w:hAnsiTheme="majorHAnsi" w:cstheme="majorHAnsi"/>
          <w:lang w:val="sq-AL"/>
        </w:rPr>
        <w:t>rmbushjes 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kushtit minimal 2 p</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r vitin 2019, MPL </w:t>
      </w:r>
      <w:r w:rsidR="009449EA" w:rsidRPr="00EB4BBE">
        <w:rPr>
          <w:rFonts w:asciiTheme="majorHAnsi" w:hAnsiTheme="majorHAnsi" w:cstheme="majorHAnsi"/>
          <w:lang w:val="sq-AL"/>
        </w:rPr>
        <w:t xml:space="preserve">dhe donatorët </w:t>
      </w:r>
      <w:r w:rsidRPr="00EB4BBE">
        <w:rPr>
          <w:rFonts w:asciiTheme="majorHAnsi" w:hAnsiTheme="majorHAnsi" w:cstheme="majorHAnsi"/>
          <w:lang w:val="sq-AL"/>
        </w:rPr>
        <w:t>p</w:t>
      </w:r>
      <w:r w:rsidR="002E6B7B" w:rsidRPr="00EB4BBE">
        <w:rPr>
          <w:rFonts w:asciiTheme="majorHAnsi" w:hAnsiTheme="majorHAnsi" w:cstheme="majorHAnsi"/>
          <w:lang w:val="sq-AL"/>
        </w:rPr>
        <w:t>ë</w:t>
      </w:r>
      <w:r w:rsidRPr="00EB4BBE">
        <w:rPr>
          <w:rFonts w:asciiTheme="majorHAnsi" w:hAnsiTheme="majorHAnsi" w:cstheme="majorHAnsi"/>
          <w:lang w:val="sq-AL"/>
        </w:rPr>
        <w:t>rmes nj</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shkrese zyrtare</w:t>
      </w:r>
      <w:r w:rsidR="009449EA" w:rsidRPr="00EB4BBE">
        <w:rPr>
          <w:rStyle w:val="FootnoteReference"/>
          <w:rFonts w:asciiTheme="majorHAnsi" w:hAnsiTheme="majorHAnsi" w:cstheme="majorHAnsi"/>
          <w:lang w:val="sq-AL"/>
        </w:rPr>
        <w:footnoteReference w:id="4"/>
      </w:r>
      <w:r w:rsidRPr="00EB4BBE">
        <w:rPr>
          <w:rFonts w:asciiTheme="majorHAnsi" w:hAnsiTheme="majorHAnsi" w:cstheme="majorHAnsi"/>
          <w:lang w:val="sq-AL"/>
        </w:rPr>
        <w:t xml:space="preserve"> u ka dh</w:t>
      </w:r>
      <w:r w:rsidR="002E6B7B" w:rsidRPr="00EB4BBE">
        <w:rPr>
          <w:rFonts w:asciiTheme="majorHAnsi" w:hAnsiTheme="majorHAnsi" w:cstheme="majorHAnsi"/>
          <w:lang w:val="sq-AL"/>
        </w:rPr>
        <w:t>ë</w:t>
      </w:r>
      <w:r w:rsidRPr="00EB4BBE">
        <w:rPr>
          <w:rFonts w:asciiTheme="majorHAnsi" w:hAnsiTheme="majorHAnsi" w:cstheme="majorHAnsi"/>
          <w:lang w:val="sq-AL"/>
        </w:rPr>
        <w:t>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nj</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afat shtes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r rishqyrtim </w:t>
      </w:r>
      <w:r w:rsidR="009449EA" w:rsidRPr="00EB4BBE">
        <w:rPr>
          <w:rFonts w:asciiTheme="majorHAnsi" w:hAnsiTheme="majorHAnsi" w:cstheme="majorHAnsi"/>
          <w:lang w:val="sq-AL"/>
        </w:rPr>
        <w:t xml:space="preserve">të akteve të kundërligjshme të vitit 2019, </w:t>
      </w:r>
      <w:r w:rsidRPr="00EB4BBE">
        <w:rPr>
          <w:rFonts w:asciiTheme="majorHAnsi" w:hAnsiTheme="majorHAnsi" w:cstheme="majorHAnsi"/>
          <w:lang w:val="sq-AL"/>
        </w:rPr>
        <w:t>deri me 22 janar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vitit 2021. </w:t>
      </w:r>
    </w:p>
    <w:p w14:paraId="5834E9F6" w14:textId="77777777" w:rsidR="009449EA" w:rsidRPr="00EB4BBE" w:rsidRDefault="009449EA" w:rsidP="00EB4BBE">
      <w:pPr>
        <w:spacing w:line="300" w:lineRule="atLeast"/>
        <w:jc w:val="both"/>
        <w:rPr>
          <w:rFonts w:asciiTheme="majorHAnsi" w:hAnsiTheme="majorHAnsi" w:cstheme="majorHAnsi"/>
          <w:lang w:val="sq-AL"/>
        </w:rPr>
      </w:pPr>
    </w:p>
    <w:p w14:paraId="0100746A" w14:textId="61AC7EDE" w:rsidR="00C048D9" w:rsidRPr="00EB4BBE" w:rsidRDefault="00D82E98"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Komunat duhet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w:t>
      </w:r>
      <w:r w:rsidR="002E6B7B" w:rsidRPr="00EB4BBE">
        <w:rPr>
          <w:rFonts w:asciiTheme="majorHAnsi" w:hAnsiTheme="majorHAnsi" w:cstheme="majorHAnsi"/>
          <w:lang w:val="sq-AL"/>
        </w:rPr>
        <w:t>ë</w:t>
      </w:r>
      <w:r w:rsidRPr="00EB4BBE">
        <w:rPr>
          <w:rFonts w:asciiTheme="majorHAnsi" w:hAnsiTheme="majorHAnsi" w:cstheme="majorHAnsi"/>
          <w:lang w:val="sq-AL"/>
        </w:rPr>
        <w:t>rmbushin kumulativisht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gjitha kushtet minimale, p</w:t>
      </w:r>
      <w:r w:rsidR="002E6B7B" w:rsidRPr="00EB4BBE">
        <w:rPr>
          <w:rFonts w:asciiTheme="majorHAnsi" w:hAnsiTheme="majorHAnsi" w:cstheme="majorHAnsi"/>
          <w:lang w:val="sq-AL"/>
        </w:rPr>
        <w:t>ë</w:t>
      </w:r>
      <w:r w:rsidRPr="00EB4BBE">
        <w:rPr>
          <w:rFonts w:asciiTheme="majorHAnsi" w:hAnsiTheme="majorHAnsi" w:cstheme="majorHAnsi"/>
          <w:lang w:val="sq-AL"/>
        </w:rPr>
        <w:t>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qen</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pjes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e skem</w:t>
      </w:r>
      <w:r w:rsidR="002E6B7B" w:rsidRPr="00EB4BBE">
        <w:rPr>
          <w:rFonts w:asciiTheme="majorHAnsi" w:hAnsiTheme="majorHAnsi" w:cstheme="majorHAnsi"/>
          <w:lang w:val="sq-AL"/>
        </w:rPr>
        <w:t>ë</w:t>
      </w:r>
      <w:r w:rsidRPr="00EB4BBE">
        <w:rPr>
          <w:rFonts w:asciiTheme="majorHAnsi" w:hAnsiTheme="majorHAnsi" w:cstheme="majorHAnsi"/>
          <w:lang w:val="sq-AL"/>
        </w:rPr>
        <w:t>s s</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mb</w:t>
      </w:r>
      <w:r w:rsidR="002E6B7B" w:rsidRPr="00EB4BBE">
        <w:rPr>
          <w:rFonts w:asciiTheme="majorHAnsi" w:hAnsiTheme="majorHAnsi" w:cstheme="majorHAnsi"/>
          <w:lang w:val="sq-AL"/>
        </w:rPr>
        <w:t>ë</w:t>
      </w:r>
      <w:r w:rsidRPr="00EB4BBE">
        <w:rPr>
          <w:rFonts w:asciiTheme="majorHAnsi" w:hAnsiTheme="majorHAnsi" w:cstheme="majorHAnsi"/>
          <w:lang w:val="sq-AL"/>
        </w:rPr>
        <w:t>shtetjes me grant. Rrjedhimisht, d</w:t>
      </w:r>
      <w:r w:rsidR="002E6B7B" w:rsidRPr="00EB4BBE">
        <w:rPr>
          <w:rFonts w:asciiTheme="majorHAnsi" w:hAnsiTheme="majorHAnsi" w:cstheme="majorHAnsi"/>
          <w:lang w:val="sq-AL"/>
        </w:rPr>
        <w:t>ë</w:t>
      </w:r>
      <w:r w:rsidRPr="00EB4BBE">
        <w:rPr>
          <w:rFonts w:asciiTheme="majorHAnsi" w:hAnsiTheme="majorHAnsi" w:cstheme="majorHAnsi"/>
          <w:lang w:val="sq-AL"/>
        </w:rPr>
        <w:t>shtimi p</w:t>
      </w:r>
      <w:r w:rsidR="002E6B7B" w:rsidRPr="00EB4BBE">
        <w:rPr>
          <w:rFonts w:asciiTheme="majorHAnsi" w:hAnsiTheme="majorHAnsi" w:cstheme="majorHAnsi"/>
          <w:lang w:val="sq-AL"/>
        </w:rPr>
        <w:t>ë</w:t>
      </w:r>
      <w:r w:rsidRPr="00EB4BBE">
        <w:rPr>
          <w:rFonts w:asciiTheme="majorHAnsi" w:hAnsiTheme="majorHAnsi" w:cstheme="majorHAnsi"/>
          <w:lang w:val="sq-AL"/>
        </w:rPr>
        <w:t>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w:t>
      </w:r>
      <w:r w:rsidR="00B960A6">
        <w:rPr>
          <w:rFonts w:asciiTheme="majorHAnsi" w:hAnsiTheme="majorHAnsi" w:cstheme="majorHAnsi"/>
          <w:lang w:val="sq-AL"/>
        </w:rPr>
        <w:t>rishqyrtuar të gjitha aktet e mbetura e të vlerësuara të kundërligjshme</w:t>
      </w:r>
      <w:r w:rsidRPr="00EB4BBE">
        <w:rPr>
          <w:rFonts w:asciiTheme="majorHAnsi" w:hAnsiTheme="majorHAnsi" w:cstheme="majorHAnsi"/>
          <w:lang w:val="sq-AL"/>
        </w:rPr>
        <w:t xml:space="preserve"> deri me 22 janar t</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 vitit 2021</w:t>
      </w:r>
      <w:r w:rsidR="009449EA" w:rsidRPr="00EB4BBE">
        <w:rPr>
          <w:rFonts w:asciiTheme="majorHAnsi" w:hAnsiTheme="majorHAnsi" w:cstheme="majorHAnsi"/>
          <w:lang w:val="sq-AL"/>
        </w:rPr>
        <w:t xml:space="preserve">, </w:t>
      </w:r>
      <w:r w:rsidRPr="00EB4BBE">
        <w:rPr>
          <w:rFonts w:asciiTheme="majorHAnsi" w:hAnsiTheme="majorHAnsi" w:cstheme="majorHAnsi"/>
          <w:lang w:val="sq-AL"/>
        </w:rPr>
        <w:t xml:space="preserve"> skualifikon ato komuna nga Granti i Performanc</w:t>
      </w:r>
      <w:r w:rsidR="002E6B7B" w:rsidRPr="00EB4BBE">
        <w:rPr>
          <w:rFonts w:asciiTheme="majorHAnsi" w:hAnsiTheme="majorHAnsi" w:cstheme="majorHAnsi"/>
          <w:lang w:val="sq-AL"/>
        </w:rPr>
        <w:t>ë</w:t>
      </w:r>
      <w:r w:rsidRPr="00EB4BBE">
        <w:rPr>
          <w:rFonts w:asciiTheme="majorHAnsi" w:hAnsiTheme="majorHAnsi" w:cstheme="majorHAnsi"/>
          <w:lang w:val="sq-AL"/>
        </w:rPr>
        <w:t>s p</w:t>
      </w:r>
      <w:r w:rsidR="002E6B7B" w:rsidRPr="00EB4BBE">
        <w:rPr>
          <w:rFonts w:asciiTheme="majorHAnsi" w:hAnsiTheme="majorHAnsi" w:cstheme="majorHAnsi"/>
          <w:lang w:val="sq-AL"/>
        </w:rPr>
        <w:t>ë</w:t>
      </w:r>
      <w:r w:rsidRPr="00EB4BBE">
        <w:rPr>
          <w:rFonts w:asciiTheme="majorHAnsi" w:hAnsiTheme="majorHAnsi" w:cstheme="majorHAnsi"/>
          <w:lang w:val="sq-AL"/>
        </w:rPr>
        <w:t xml:space="preserve">r vitin </w:t>
      </w:r>
      <w:r w:rsidR="009449EA" w:rsidRPr="00EB4BBE">
        <w:rPr>
          <w:rFonts w:asciiTheme="majorHAnsi" w:hAnsiTheme="majorHAnsi" w:cstheme="majorHAnsi"/>
          <w:lang w:val="sq-AL"/>
        </w:rPr>
        <w:t>fiskal 2021 sipas performancës së vitit 2019.</w:t>
      </w:r>
      <w:r w:rsidRPr="00EB4BBE">
        <w:rPr>
          <w:rFonts w:asciiTheme="majorHAnsi" w:hAnsiTheme="majorHAnsi" w:cstheme="majorHAnsi"/>
          <w:lang w:val="sq-AL"/>
        </w:rPr>
        <w:t xml:space="preserve"> </w:t>
      </w:r>
    </w:p>
    <w:p w14:paraId="097EA528" w14:textId="77777777" w:rsidR="00C048D9" w:rsidRPr="00EB4BBE" w:rsidRDefault="00C048D9" w:rsidP="00EB4BBE">
      <w:pPr>
        <w:spacing w:line="300" w:lineRule="atLeast"/>
        <w:jc w:val="both"/>
        <w:rPr>
          <w:rFonts w:asciiTheme="majorHAnsi" w:hAnsiTheme="majorHAnsi" w:cstheme="majorHAnsi"/>
          <w:lang w:val="sq-AL"/>
        </w:rPr>
      </w:pPr>
    </w:p>
    <w:p w14:paraId="5A92AE2C" w14:textId="77777777" w:rsidR="00104A98" w:rsidRPr="00EB4BBE" w:rsidRDefault="003A3431" w:rsidP="00EB4BBE">
      <w:pPr>
        <w:pStyle w:val="Heading1"/>
        <w:spacing w:before="0" w:line="300" w:lineRule="atLeast"/>
        <w:jc w:val="both"/>
        <w:rPr>
          <w:rFonts w:cstheme="majorHAnsi"/>
          <w:lang w:val="sq-AL"/>
        </w:rPr>
      </w:pPr>
      <w:bookmarkStart w:id="8" w:name="_Toc62723838"/>
      <w:bookmarkStart w:id="9" w:name="_Toc62815183"/>
      <w:r w:rsidRPr="00EB4BBE">
        <w:rPr>
          <w:rFonts w:cstheme="majorHAnsi"/>
          <w:lang w:val="sq-AL"/>
        </w:rPr>
        <w:t>Zbatueshmëria e Kriterit Minimal 2</w:t>
      </w:r>
      <w:bookmarkEnd w:id="8"/>
      <w:bookmarkEnd w:id="9"/>
    </w:p>
    <w:p w14:paraId="4830ADA1" w14:textId="318BE4CA" w:rsidR="009449EA" w:rsidRPr="00EB4BBE" w:rsidRDefault="00322AD3"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N</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baz</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t</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 dh</w:t>
      </w:r>
      <w:r w:rsidR="009458A2" w:rsidRPr="00EB4BBE">
        <w:rPr>
          <w:rFonts w:asciiTheme="majorHAnsi" w:hAnsiTheme="majorHAnsi" w:cstheme="majorHAnsi"/>
          <w:lang w:val="sq-AL"/>
        </w:rPr>
        <w:t>ë</w:t>
      </w:r>
      <w:r w:rsidRPr="00EB4BBE">
        <w:rPr>
          <w:rFonts w:asciiTheme="majorHAnsi" w:hAnsiTheme="majorHAnsi" w:cstheme="majorHAnsi"/>
          <w:lang w:val="sq-AL"/>
        </w:rPr>
        <w:t xml:space="preserve">nave zyrtare </w:t>
      </w:r>
      <w:r w:rsidR="006A379F" w:rsidRPr="00EB4BBE">
        <w:rPr>
          <w:rFonts w:asciiTheme="majorHAnsi" w:hAnsiTheme="majorHAnsi" w:cstheme="majorHAnsi"/>
          <w:lang w:val="sq-AL"/>
        </w:rPr>
        <w:t xml:space="preserve">nga </w:t>
      </w:r>
      <w:r w:rsidR="00290D59" w:rsidRPr="00EB4BBE">
        <w:rPr>
          <w:rFonts w:asciiTheme="majorHAnsi" w:hAnsiTheme="majorHAnsi" w:cstheme="majorHAnsi"/>
          <w:lang w:val="sq-AL"/>
        </w:rPr>
        <w:t xml:space="preserve">Departamenti Ligjor dhe për Monitorim të Komunave </w:t>
      </w:r>
      <w:r w:rsidR="006A379F" w:rsidRPr="00EB4BBE">
        <w:rPr>
          <w:rFonts w:asciiTheme="majorHAnsi" w:hAnsiTheme="majorHAnsi" w:cstheme="majorHAnsi"/>
          <w:lang w:val="sq-AL"/>
        </w:rPr>
        <w:t>i MPL</w:t>
      </w:r>
      <w:r w:rsidR="009449EA" w:rsidRPr="00EB4BBE">
        <w:rPr>
          <w:rFonts w:asciiTheme="majorHAnsi" w:hAnsiTheme="majorHAnsi" w:cstheme="majorHAnsi"/>
          <w:lang w:val="sq-AL"/>
        </w:rPr>
        <w:t>-së</w:t>
      </w:r>
      <w:r w:rsidR="006A379F" w:rsidRPr="00EB4BBE">
        <w:rPr>
          <w:rFonts w:asciiTheme="majorHAnsi" w:hAnsiTheme="majorHAnsi" w:cstheme="majorHAnsi"/>
          <w:lang w:val="sq-AL"/>
        </w:rPr>
        <w:t xml:space="preserve"> t</w:t>
      </w:r>
      <w:r w:rsidR="009458A2" w:rsidRPr="00EB4BBE">
        <w:rPr>
          <w:rFonts w:asciiTheme="majorHAnsi" w:hAnsiTheme="majorHAnsi" w:cstheme="majorHAnsi"/>
          <w:lang w:val="sq-AL"/>
        </w:rPr>
        <w:t>ë</w:t>
      </w:r>
      <w:r w:rsidR="006A379F" w:rsidRPr="00EB4BBE">
        <w:rPr>
          <w:rFonts w:asciiTheme="majorHAnsi" w:hAnsiTheme="majorHAnsi" w:cstheme="majorHAnsi"/>
          <w:lang w:val="sq-AL"/>
        </w:rPr>
        <w:t xml:space="preserve"> vendimeve t</w:t>
      </w:r>
      <w:r w:rsidR="009458A2" w:rsidRPr="00EB4BBE">
        <w:rPr>
          <w:rFonts w:asciiTheme="majorHAnsi" w:hAnsiTheme="majorHAnsi" w:cstheme="majorHAnsi"/>
          <w:lang w:val="sq-AL"/>
        </w:rPr>
        <w:t>ë</w:t>
      </w:r>
      <w:r w:rsidR="006A379F" w:rsidRPr="00EB4BBE">
        <w:rPr>
          <w:rFonts w:asciiTheme="majorHAnsi" w:hAnsiTheme="majorHAnsi" w:cstheme="majorHAnsi"/>
          <w:lang w:val="sq-AL"/>
        </w:rPr>
        <w:t xml:space="preserve"> kthyera n</w:t>
      </w:r>
      <w:r w:rsidR="009458A2" w:rsidRPr="00EB4BBE">
        <w:rPr>
          <w:rFonts w:asciiTheme="majorHAnsi" w:hAnsiTheme="majorHAnsi" w:cstheme="majorHAnsi"/>
          <w:lang w:val="sq-AL"/>
        </w:rPr>
        <w:t>ë</w:t>
      </w:r>
      <w:r w:rsidR="006A379F" w:rsidRPr="00EB4BBE">
        <w:rPr>
          <w:rFonts w:asciiTheme="majorHAnsi" w:hAnsiTheme="majorHAnsi" w:cstheme="majorHAnsi"/>
          <w:lang w:val="sq-AL"/>
        </w:rPr>
        <w:t xml:space="preserve"> rishqyrtim, e t</w:t>
      </w:r>
      <w:r w:rsidR="009458A2" w:rsidRPr="00EB4BBE">
        <w:rPr>
          <w:rFonts w:asciiTheme="majorHAnsi" w:hAnsiTheme="majorHAnsi" w:cstheme="majorHAnsi"/>
          <w:lang w:val="sq-AL"/>
        </w:rPr>
        <w:t>ë</w:t>
      </w:r>
      <w:r w:rsidR="006A379F" w:rsidRPr="00EB4BBE">
        <w:rPr>
          <w:rFonts w:asciiTheme="majorHAnsi" w:hAnsiTheme="majorHAnsi" w:cstheme="majorHAnsi"/>
          <w:lang w:val="sq-AL"/>
        </w:rPr>
        <w:t xml:space="preserve"> cilat nuk jan</w:t>
      </w:r>
      <w:r w:rsidR="009458A2" w:rsidRPr="00EB4BBE">
        <w:rPr>
          <w:rFonts w:asciiTheme="majorHAnsi" w:hAnsiTheme="majorHAnsi" w:cstheme="majorHAnsi"/>
          <w:lang w:val="sq-AL"/>
        </w:rPr>
        <w:t>ë</w:t>
      </w:r>
      <w:r w:rsidR="006A379F" w:rsidRPr="00EB4BBE">
        <w:rPr>
          <w:rFonts w:asciiTheme="majorHAnsi" w:hAnsiTheme="majorHAnsi" w:cstheme="majorHAnsi"/>
          <w:lang w:val="sq-AL"/>
        </w:rPr>
        <w:t xml:space="preserve"> rishqyrtuar, del se</w:t>
      </w:r>
      <w:r w:rsidR="00962F9F" w:rsidRPr="00EB4BBE">
        <w:rPr>
          <w:rFonts w:asciiTheme="majorHAnsi" w:hAnsiTheme="majorHAnsi" w:cstheme="majorHAnsi"/>
          <w:lang w:val="sq-AL"/>
        </w:rPr>
        <w:t xml:space="preserve"> gjasht</w:t>
      </w:r>
      <w:r w:rsidR="009458A2" w:rsidRPr="00EB4BBE">
        <w:rPr>
          <w:rFonts w:asciiTheme="majorHAnsi" w:hAnsiTheme="majorHAnsi" w:cstheme="majorHAnsi"/>
          <w:lang w:val="sq-AL"/>
        </w:rPr>
        <w:t>ë</w:t>
      </w:r>
      <w:r w:rsidR="006A379F" w:rsidRPr="00EB4BBE">
        <w:rPr>
          <w:rFonts w:asciiTheme="majorHAnsi" w:hAnsiTheme="majorHAnsi" w:cstheme="majorHAnsi"/>
          <w:lang w:val="sq-AL"/>
        </w:rPr>
        <w:t xml:space="preserve"> (</w:t>
      </w:r>
      <w:r w:rsidR="00962F9F" w:rsidRPr="00EB4BBE">
        <w:rPr>
          <w:rFonts w:asciiTheme="majorHAnsi" w:hAnsiTheme="majorHAnsi" w:cstheme="majorHAnsi"/>
          <w:lang w:val="sq-AL"/>
        </w:rPr>
        <w:t>6</w:t>
      </w:r>
      <w:r w:rsidR="006A379F" w:rsidRPr="00EB4BBE">
        <w:rPr>
          <w:rFonts w:asciiTheme="majorHAnsi" w:hAnsiTheme="majorHAnsi" w:cstheme="majorHAnsi"/>
          <w:lang w:val="sq-AL"/>
        </w:rPr>
        <w:t xml:space="preserve">) nga to kanë arrit të </w:t>
      </w:r>
      <w:r w:rsidR="00B960A6">
        <w:rPr>
          <w:rFonts w:asciiTheme="majorHAnsi" w:hAnsiTheme="majorHAnsi" w:cstheme="majorHAnsi"/>
          <w:lang w:val="sq-AL"/>
        </w:rPr>
        <w:t>rishqyrtojnë të gjitha aktet e vlerësuara të kundërligjshme</w:t>
      </w:r>
      <w:r w:rsidR="006A379F" w:rsidRPr="00EB4BBE">
        <w:rPr>
          <w:rFonts w:asciiTheme="majorHAnsi" w:hAnsiTheme="majorHAnsi" w:cstheme="majorHAnsi"/>
          <w:lang w:val="sq-AL"/>
        </w:rPr>
        <w:t>, brenda afatit deri me 22 janar t</w:t>
      </w:r>
      <w:r w:rsidR="009458A2" w:rsidRPr="00EB4BBE">
        <w:rPr>
          <w:rFonts w:asciiTheme="majorHAnsi" w:hAnsiTheme="majorHAnsi" w:cstheme="majorHAnsi"/>
          <w:lang w:val="sq-AL"/>
        </w:rPr>
        <w:t>ë</w:t>
      </w:r>
      <w:r w:rsidR="006A379F" w:rsidRPr="00EB4BBE">
        <w:rPr>
          <w:rFonts w:asciiTheme="majorHAnsi" w:hAnsiTheme="majorHAnsi" w:cstheme="majorHAnsi"/>
          <w:lang w:val="sq-AL"/>
        </w:rPr>
        <w:t xml:space="preserve"> vitit 2021</w:t>
      </w:r>
      <w:r w:rsidR="009449EA" w:rsidRPr="00EB4BBE">
        <w:rPr>
          <w:rFonts w:asciiTheme="majorHAnsi" w:hAnsiTheme="majorHAnsi" w:cstheme="majorHAnsi"/>
          <w:lang w:val="sq-AL"/>
        </w:rPr>
        <w:t xml:space="preserve">, si vijon: </w:t>
      </w:r>
    </w:p>
    <w:p w14:paraId="0E81E158" w14:textId="77777777" w:rsidR="009449EA" w:rsidRPr="00EB4BBE" w:rsidRDefault="009449EA" w:rsidP="00EB4BBE">
      <w:pPr>
        <w:pStyle w:val="ListParagraph"/>
        <w:numPr>
          <w:ilvl w:val="0"/>
          <w:numId w:val="1"/>
        </w:numPr>
        <w:spacing w:line="300" w:lineRule="atLeast"/>
        <w:jc w:val="both"/>
        <w:rPr>
          <w:rFonts w:asciiTheme="majorHAnsi" w:hAnsiTheme="majorHAnsi" w:cstheme="majorHAnsi"/>
          <w:lang w:val="sq-AL"/>
        </w:rPr>
      </w:pPr>
      <w:r w:rsidRPr="00EB4BBE">
        <w:rPr>
          <w:rFonts w:asciiTheme="majorHAnsi" w:hAnsiTheme="majorHAnsi" w:cstheme="majorHAnsi"/>
          <w:lang w:val="sq-AL"/>
        </w:rPr>
        <w:t>Graçanicë</w:t>
      </w:r>
      <w:r w:rsidR="00FE5055" w:rsidRPr="00EB4BBE">
        <w:rPr>
          <w:rFonts w:asciiTheme="majorHAnsi" w:hAnsiTheme="majorHAnsi" w:cstheme="majorHAnsi"/>
          <w:lang w:val="sq-AL"/>
        </w:rPr>
        <w:t>,</w:t>
      </w:r>
    </w:p>
    <w:p w14:paraId="27AE9701" w14:textId="77777777" w:rsidR="009449EA" w:rsidRPr="00EB4BBE" w:rsidRDefault="009449EA" w:rsidP="00EB4BBE">
      <w:pPr>
        <w:pStyle w:val="ListParagraph"/>
        <w:numPr>
          <w:ilvl w:val="0"/>
          <w:numId w:val="1"/>
        </w:numPr>
        <w:spacing w:line="300" w:lineRule="atLeast"/>
        <w:jc w:val="both"/>
        <w:rPr>
          <w:rFonts w:asciiTheme="majorHAnsi" w:hAnsiTheme="majorHAnsi" w:cstheme="majorHAnsi"/>
          <w:lang w:val="sq-AL"/>
        </w:rPr>
      </w:pPr>
      <w:r w:rsidRPr="00EB4BBE">
        <w:rPr>
          <w:rFonts w:asciiTheme="majorHAnsi" w:hAnsiTheme="majorHAnsi" w:cstheme="majorHAnsi"/>
          <w:lang w:val="sq-AL"/>
        </w:rPr>
        <w:t>Lipjan</w:t>
      </w:r>
      <w:r w:rsidR="00FE5055" w:rsidRPr="00EB4BBE">
        <w:rPr>
          <w:rFonts w:asciiTheme="majorHAnsi" w:hAnsiTheme="majorHAnsi" w:cstheme="majorHAnsi"/>
          <w:lang w:val="sq-AL"/>
        </w:rPr>
        <w:t>,</w:t>
      </w:r>
    </w:p>
    <w:p w14:paraId="6FE3D761" w14:textId="77777777" w:rsidR="009449EA" w:rsidRPr="00EB4BBE" w:rsidRDefault="009449EA" w:rsidP="00EB4BBE">
      <w:pPr>
        <w:pStyle w:val="ListParagraph"/>
        <w:numPr>
          <w:ilvl w:val="0"/>
          <w:numId w:val="1"/>
        </w:numPr>
        <w:spacing w:line="300" w:lineRule="atLeast"/>
        <w:jc w:val="both"/>
        <w:rPr>
          <w:rFonts w:asciiTheme="majorHAnsi" w:hAnsiTheme="majorHAnsi" w:cstheme="majorHAnsi"/>
          <w:lang w:val="sq-AL"/>
        </w:rPr>
      </w:pPr>
      <w:r w:rsidRPr="00EB4BBE">
        <w:rPr>
          <w:rFonts w:asciiTheme="majorHAnsi" w:hAnsiTheme="majorHAnsi" w:cstheme="majorHAnsi"/>
          <w:lang w:val="sq-AL"/>
        </w:rPr>
        <w:t>Malishevë</w:t>
      </w:r>
      <w:r w:rsidR="00FE5055" w:rsidRPr="00EB4BBE">
        <w:rPr>
          <w:rFonts w:asciiTheme="majorHAnsi" w:hAnsiTheme="majorHAnsi" w:cstheme="majorHAnsi"/>
          <w:lang w:val="sq-AL"/>
        </w:rPr>
        <w:t>,</w:t>
      </w:r>
    </w:p>
    <w:p w14:paraId="12CA9229" w14:textId="77777777" w:rsidR="009449EA" w:rsidRPr="00EB4BBE" w:rsidRDefault="009449EA" w:rsidP="00EB4BBE">
      <w:pPr>
        <w:pStyle w:val="ListParagraph"/>
        <w:numPr>
          <w:ilvl w:val="0"/>
          <w:numId w:val="1"/>
        </w:numPr>
        <w:spacing w:line="300" w:lineRule="atLeast"/>
        <w:jc w:val="both"/>
        <w:rPr>
          <w:rFonts w:asciiTheme="majorHAnsi" w:hAnsiTheme="majorHAnsi" w:cstheme="majorHAnsi"/>
          <w:lang w:val="sq-AL"/>
        </w:rPr>
      </w:pPr>
      <w:r w:rsidRPr="00EB4BBE">
        <w:rPr>
          <w:rFonts w:asciiTheme="majorHAnsi" w:hAnsiTheme="majorHAnsi" w:cstheme="majorHAnsi"/>
          <w:lang w:val="sq-AL"/>
        </w:rPr>
        <w:t>Mitrovicë e Jugut</w:t>
      </w:r>
      <w:r w:rsidR="00FE5055" w:rsidRPr="00EB4BBE">
        <w:rPr>
          <w:rFonts w:asciiTheme="majorHAnsi" w:hAnsiTheme="majorHAnsi" w:cstheme="majorHAnsi"/>
          <w:lang w:val="sq-AL"/>
        </w:rPr>
        <w:t>,</w:t>
      </w:r>
    </w:p>
    <w:p w14:paraId="0055F45B" w14:textId="77777777" w:rsidR="009449EA" w:rsidRPr="00EB4BBE" w:rsidRDefault="009449EA" w:rsidP="00EB4BBE">
      <w:pPr>
        <w:pStyle w:val="ListParagraph"/>
        <w:numPr>
          <w:ilvl w:val="0"/>
          <w:numId w:val="1"/>
        </w:numPr>
        <w:spacing w:line="300" w:lineRule="atLeast"/>
        <w:jc w:val="both"/>
        <w:rPr>
          <w:rFonts w:asciiTheme="majorHAnsi" w:hAnsiTheme="majorHAnsi" w:cstheme="majorHAnsi"/>
          <w:lang w:val="sq-AL"/>
        </w:rPr>
      </w:pPr>
      <w:r w:rsidRPr="00EB4BBE">
        <w:rPr>
          <w:rFonts w:asciiTheme="majorHAnsi" w:hAnsiTheme="majorHAnsi" w:cstheme="majorHAnsi"/>
          <w:lang w:val="sq-AL"/>
        </w:rPr>
        <w:t>Skenderaj</w:t>
      </w:r>
      <w:r w:rsidR="00FE5055" w:rsidRPr="00EB4BBE">
        <w:rPr>
          <w:rFonts w:asciiTheme="majorHAnsi" w:hAnsiTheme="majorHAnsi" w:cstheme="majorHAnsi"/>
          <w:lang w:val="sq-AL"/>
        </w:rPr>
        <w:t>,</w:t>
      </w:r>
      <w:r w:rsidRPr="00EB4BBE">
        <w:rPr>
          <w:rFonts w:asciiTheme="majorHAnsi" w:hAnsiTheme="majorHAnsi" w:cstheme="majorHAnsi"/>
          <w:lang w:val="sq-AL"/>
        </w:rPr>
        <w:t xml:space="preserve"> dhe </w:t>
      </w:r>
    </w:p>
    <w:p w14:paraId="7C8C0924" w14:textId="77777777" w:rsidR="006A379F" w:rsidRPr="00EB4BBE" w:rsidRDefault="009449EA" w:rsidP="00EB4BBE">
      <w:pPr>
        <w:pStyle w:val="ListParagraph"/>
        <w:numPr>
          <w:ilvl w:val="0"/>
          <w:numId w:val="1"/>
        </w:numPr>
        <w:spacing w:line="300" w:lineRule="atLeast"/>
        <w:jc w:val="both"/>
        <w:rPr>
          <w:rFonts w:asciiTheme="majorHAnsi" w:hAnsiTheme="majorHAnsi" w:cstheme="majorHAnsi"/>
          <w:lang w:val="sq-AL"/>
        </w:rPr>
      </w:pPr>
      <w:r w:rsidRPr="00EB4BBE">
        <w:rPr>
          <w:rFonts w:asciiTheme="majorHAnsi" w:hAnsiTheme="majorHAnsi" w:cstheme="majorHAnsi"/>
          <w:lang w:val="sq-AL"/>
        </w:rPr>
        <w:t>Vushtrri.</w:t>
      </w:r>
    </w:p>
    <w:p w14:paraId="2347B23A" w14:textId="77777777" w:rsidR="006A379F" w:rsidRPr="00EB4BBE" w:rsidRDefault="006A379F" w:rsidP="00EB4BBE">
      <w:pPr>
        <w:spacing w:line="300" w:lineRule="atLeast"/>
        <w:jc w:val="both"/>
        <w:rPr>
          <w:rFonts w:asciiTheme="majorHAnsi" w:hAnsiTheme="majorHAnsi" w:cstheme="majorHAnsi"/>
          <w:lang w:val="sq-AL"/>
        </w:rPr>
      </w:pPr>
    </w:p>
    <w:p w14:paraId="108D1E95" w14:textId="77777777" w:rsidR="009449EA" w:rsidRPr="00EB4BBE" w:rsidRDefault="009449EA"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Për me saktë, procesi i rishqyrtimit për qëllime të grantit ka rrjedhur si vijon:</w:t>
      </w:r>
    </w:p>
    <w:p w14:paraId="10DB06DC" w14:textId="77777777" w:rsidR="009449EA" w:rsidRPr="00EB4BBE" w:rsidRDefault="009449EA" w:rsidP="00EB4BBE">
      <w:pPr>
        <w:spacing w:line="300" w:lineRule="atLeast"/>
        <w:jc w:val="both"/>
        <w:rPr>
          <w:rFonts w:asciiTheme="majorHAnsi" w:hAnsiTheme="majorHAnsi" w:cstheme="majorHAnsi"/>
          <w:lang w:val="sq-AL"/>
        </w:rPr>
      </w:pPr>
    </w:p>
    <w:p w14:paraId="3DA2D966" w14:textId="77777777" w:rsidR="00F85769" w:rsidRPr="00EB4BBE" w:rsidRDefault="009449EA"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Kuvendi i Komunës së Skenderajt, </w:t>
      </w:r>
      <w:r w:rsidR="00F85769" w:rsidRPr="00EB4BBE">
        <w:rPr>
          <w:rFonts w:asciiTheme="majorHAnsi" w:hAnsiTheme="majorHAnsi" w:cstheme="majorHAnsi"/>
          <w:lang w:val="sq-AL"/>
        </w:rPr>
        <w:t>në mbledhjen e jashtëzakonshme të</w:t>
      </w:r>
      <w:r w:rsidRPr="00EB4BBE">
        <w:rPr>
          <w:rFonts w:asciiTheme="majorHAnsi" w:hAnsiTheme="majorHAnsi" w:cstheme="majorHAnsi"/>
          <w:lang w:val="sq-AL"/>
        </w:rPr>
        <w:t xml:space="preserve"> datë</w:t>
      </w:r>
      <w:r w:rsidR="00F85769" w:rsidRPr="00EB4BBE">
        <w:rPr>
          <w:rFonts w:asciiTheme="majorHAnsi" w:hAnsiTheme="majorHAnsi" w:cstheme="majorHAnsi"/>
          <w:lang w:val="sq-AL"/>
        </w:rPr>
        <w:t>s 19 janar 2021,</w:t>
      </w:r>
      <w:r w:rsidRPr="00EB4BBE">
        <w:rPr>
          <w:rFonts w:asciiTheme="majorHAnsi" w:hAnsiTheme="majorHAnsi" w:cstheme="majorHAnsi"/>
          <w:lang w:val="sq-AL"/>
        </w:rPr>
        <w:t xml:space="preserve"> ka rishqyrtuar </w:t>
      </w:r>
      <w:r w:rsidR="00FE5055" w:rsidRPr="00EB4BBE">
        <w:rPr>
          <w:rFonts w:asciiTheme="majorHAnsi" w:hAnsiTheme="majorHAnsi" w:cstheme="majorHAnsi"/>
          <w:lang w:val="sq-AL"/>
        </w:rPr>
        <w:t>tre (</w:t>
      </w:r>
      <w:r w:rsidRPr="00EB4BBE">
        <w:rPr>
          <w:rFonts w:asciiTheme="majorHAnsi" w:hAnsiTheme="majorHAnsi" w:cstheme="majorHAnsi"/>
          <w:lang w:val="sq-AL"/>
        </w:rPr>
        <w:t>3</w:t>
      </w:r>
      <w:r w:rsidR="00FE5055" w:rsidRPr="00EB4BBE">
        <w:rPr>
          <w:rFonts w:asciiTheme="majorHAnsi" w:hAnsiTheme="majorHAnsi" w:cstheme="majorHAnsi"/>
          <w:lang w:val="sq-AL"/>
        </w:rPr>
        <w:t>)</w:t>
      </w:r>
      <w:r w:rsidRPr="00EB4BBE">
        <w:rPr>
          <w:rFonts w:asciiTheme="majorHAnsi" w:hAnsiTheme="majorHAnsi" w:cstheme="majorHAnsi"/>
          <w:lang w:val="sq-AL"/>
        </w:rPr>
        <w:t xml:space="preserve"> akte për të cilat është kërkuar rishqyrtimi i tyre</w:t>
      </w:r>
      <w:r w:rsidR="00F85769" w:rsidRPr="00EB4BBE">
        <w:rPr>
          <w:rFonts w:asciiTheme="majorHAnsi" w:hAnsiTheme="majorHAnsi" w:cstheme="majorHAnsi"/>
          <w:lang w:val="sq-AL"/>
        </w:rPr>
        <w:t xml:space="preserve">: </w:t>
      </w:r>
    </w:p>
    <w:p w14:paraId="2B7AEFBA" w14:textId="77777777" w:rsidR="00F85769" w:rsidRPr="00EB4BBE" w:rsidRDefault="00F85769" w:rsidP="00EB4BBE">
      <w:pPr>
        <w:pStyle w:val="ListParagraph"/>
        <w:numPr>
          <w:ilvl w:val="0"/>
          <w:numId w:val="3"/>
        </w:num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Vendim Nr.01-463/02-0047243 për dhënien e pronës se paluajtshme në shfrytëzim afatgjatë kompanisë për grumbullimin e mbeturinave </w:t>
      </w:r>
      <w:r w:rsidR="00FE5055" w:rsidRPr="00EB4BBE">
        <w:rPr>
          <w:rFonts w:asciiTheme="majorHAnsi" w:hAnsiTheme="majorHAnsi" w:cstheme="majorHAnsi"/>
          <w:lang w:val="sq-AL"/>
        </w:rPr>
        <w:t>“</w:t>
      </w:r>
      <w:r w:rsidRPr="00EB4BBE">
        <w:rPr>
          <w:rFonts w:asciiTheme="majorHAnsi" w:hAnsiTheme="majorHAnsi" w:cstheme="majorHAnsi"/>
          <w:lang w:val="sq-AL"/>
        </w:rPr>
        <w:t>UNITETI</w:t>
      </w:r>
      <w:r w:rsidR="00FE5055" w:rsidRPr="00EB4BBE">
        <w:rPr>
          <w:rFonts w:asciiTheme="majorHAnsi" w:hAnsiTheme="majorHAnsi" w:cstheme="majorHAnsi"/>
          <w:lang w:val="sq-AL"/>
        </w:rPr>
        <w:t>”</w:t>
      </w:r>
      <w:r w:rsidRPr="00EB4BBE">
        <w:rPr>
          <w:rFonts w:asciiTheme="majorHAnsi" w:hAnsiTheme="majorHAnsi" w:cstheme="majorHAnsi"/>
          <w:lang w:val="sq-AL"/>
        </w:rPr>
        <w:t xml:space="preserve"> dhe kompanisë së ujësjellësit Mitrovica njësia Skenderaj;</w:t>
      </w:r>
    </w:p>
    <w:p w14:paraId="264B8BF6" w14:textId="77777777" w:rsidR="00F85769" w:rsidRPr="00EB4BBE" w:rsidRDefault="00F85769" w:rsidP="00EB4BBE">
      <w:pPr>
        <w:pStyle w:val="ListParagraph"/>
        <w:numPr>
          <w:ilvl w:val="0"/>
          <w:numId w:val="3"/>
        </w:numPr>
        <w:spacing w:line="300" w:lineRule="atLeast"/>
        <w:jc w:val="both"/>
        <w:rPr>
          <w:rFonts w:asciiTheme="majorHAnsi" w:hAnsiTheme="majorHAnsi" w:cstheme="majorHAnsi"/>
          <w:lang w:val="sq-AL"/>
        </w:rPr>
      </w:pPr>
      <w:r w:rsidRPr="00EB4BBE">
        <w:rPr>
          <w:rFonts w:asciiTheme="majorHAnsi" w:hAnsiTheme="majorHAnsi" w:cstheme="majorHAnsi"/>
          <w:lang w:val="sq-AL"/>
        </w:rPr>
        <w:t>Vendimi Nr.01-351/01-0019484/19 për destinimin e pronave publike komunale për ndërtimin e fushave dhe sallave sportive;</w:t>
      </w:r>
    </w:p>
    <w:p w14:paraId="3B452A98" w14:textId="77777777" w:rsidR="009449EA" w:rsidRPr="00EB4BBE" w:rsidRDefault="00F85769" w:rsidP="00EB4BBE">
      <w:pPr>
        <w:pStyle w:val="ListParagraph"/>
        <w:numPr>
          <w:ilvl w:val="0"/>
          <w:numId w:val="3"/>
        </w:numPr>
        <w:spacing w:line="300" w:lineRule="atLeast"/>
        <w:jc w:val="both"/>
        <w:rPr>
          <w:rFonts w:asciiTheme="majorHAnsi" w:hAnsiTheme="majorHAnsi" w:cstheme="majorHAnsi"/>
          <w:lang w:val="sq-AL"/>
        </w:rPr>
      </w:pPr>
      <w:r w:rsidRPr="00EB4BBE">
        <w:rPr>
          <w:rFonts w:asciiTheme="majorHAnsi" w:hAnsiTheme="majorHAnsi" w:cstheme="majorHAnsi"/>
          <w:lang w:val="sq-AL"/>
        </w:rPr>
        <w:t>Vendimi Nr.01-463/03-0025335/19 për themelimin dhe destinimin e lokacionit për ndërtimin e inkubatorit të biznesit për Komunën e Skënderajt.</w:t>
      </w:r>
    </w:p>
    <w:p w14:paraId="677FD4F8" w14:textId="77777777" w:rsidR="00F85769" w:rsidRPr="00EB4BBE" w:rsidRDefault="00F85769" w:rsidP="00EB4BBE">
      <w:pPr>
        <w:spacing w:line="300" w:lineRule="atLeast"/>
        <w:jc w:val="both"/>
        <w:rPr>
          <w:rFonts w:asciiTheme="majorHAnsi" w:hAnsiTheme="majorHAnsi" w:cstheme="majorHAnsi"/>
          <w:lang w:val="sq-AL"/>
        </w:rPr>
      </w:pPr>
    </w:p>
    <w:p w14:paraId="2E1A2070" w14:textId="77777777" w:rsidR="009449EA" w:rsidRPr="00EB4BBE" w:rsidRDefault="009449EA"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Kuvendi i Komunës së </w:t>
      </w:r>
      <w:r w:rsidR="006A379F" w:rsidRPr="00EB4BBE">
        <w:rPr>
          <w:rFonts w:asciiTheme="majorHAnsi" w:hAnsiTheme="majorHAnsi" w:cstheme="majorHAnsi"/>
          <w:lang w:val="sq-AL"/>
        </w:rPr>
        <w:t xml:space="preserve">Lipjanit </w:t>
      </w:r>
      <w:r w:rsidRPr="00EB4BBE">
        <w:rPr>
          <w:rFonts w:asciiTheme="majorHAnsi" w:hAnsiTheme="majorHAnsi" w:cstheme="majorHAnsi"/>
          <w:lang w:val="sq-AL"/>
        </w:rPr>
        <w:t xml:space="preserve">më datë </w:t>
      </w:r>
      <w:r w:rsidR="007967A3" w:rsidRPr="00EB4BBE">
        <w:rPr>
          <w:rFonts w:asciiTheme="majorHAnsi" w:hAnsiTheme="majorHAnsi" w:cstheme="majorHAnsi"/>
          <w:lang w:val="sq-AL"/>
        </w:rPr>
        <w:t xml:space="preserve">19 janar 2021, </w:t>
      </w:r>
      <w:r w:rsidRPr="00EB4BBE">
        <w:rPr>
          <w:rFonts w:asciiTheme="majorHAnsi" w:hAnsiTheme="majorHAnsi" w:cstheme="majorHAnsi"/>
          <w:lang w:val="sq-AL"/>
        </w:rPr>
        <w:t xml:space="preserve">ka rishqyrtuar </w:t>
      </w:r>
      <w:r w:rsidR="006A379F" w:rsidRPr="00EB4BBE">
        <w:rPr>
          <w:rFonts w:asciiTheme="majorHAnsi" w:hAnsiTheme="majorHAnsi" w:cstheme="majorHAnsi"/>
          <w:lang w:val="sq-AL"/>
        </w:rPr>
        <w:t xml:space="preserve">tre (3) akte komunale, të vlerësuara të kundërligjshme nga </w:t>
      </w:r>
      <w:r w:rsidRPr="00EB4BBE">
        <w:rPr>
          <w:rFonts w:asciiTheme="majorHAnsi" w:hAnsiTheme="majorHAnsi" w:cstheme="majorHAnsi"/>
          <w:lang w:val="sq-AL"/>
        </w:rPr>
        <w:t>autoriteti mbikëqyrës</w:t>
      </w:r>
      <w:r w:rsidR="007967A3" w:rsidRPr="00EB4BBE">
        <w:rPr>
          <w:rFonts w:asciiTheme="majorHAnsi" w:hAnsiTheme="majorHAnsi" w:cstheme="majorHAnsi"/>
          <w:lang w:val="sq-AL"/>
        </w:rPr>
        <w:t xml:space="preserve">: </w:t>
      </w:r>
    </w:p>
    <w:p w14:paraId="3B5B2335" w14:textId="77777777" w:rsidR="007967A3" w:rsidRPr="00EB4BBE" w:rsidRDefault="007967A3" w:rsidP="00EB4BBE">
      <w:pPr>
        <w:pStyle w:val="ListParagraph"/>
        <w:numPr>
          <w:ilvl w:val="0"/>
          <w:numId w:val="5"/>
        </w:numPr>
        <w:spacing w:line="300" w:lineRule="atLeast"/>
        <w:jc w:val="both"/>
        <w:rPr>
          <w:rFonts w:asciiTheme="majorHAnsi" w:hAnsiTheme="majorHAnsi" w:cstheme="majorHAnsi"/>
          <w:lang w:val="sq-AL"/>
        </w:rPr>
      </w:pPr>
      <w:r w:rsidRPr="00EB4BBE">
        <w:rPr>
          <w:rFonts w:asciiTheme="majorHAnsi" w:hAnsiTheme="majorHAnsi" w:cstheme="majorHAnsi"/>
          <w:lang w:val="sq-AL"/>
        </w:rPr>
        <w:t>Vendimi Nr. 463-20391 për caktimin e lokacionit për ndërtimin e xhamisë në fshatin Llugaxhi;</w:t>
      </w:r>
    </w:p>
    <w:p w14:paraId="32627CC6" w14:textId="77777777" w:rsidR="007967A3" w:rsidRPr="00EB4BBE" w:rsidRDefault="007967A3" w:rsidP="00EB4BBE">
      <w:pPr>
        <w:pStyle w:val="ListParagraph"/>
        <w:numPr>
          <w:ilvl w:val="0"/>
          <w:numId w:val="5"/>
        </w:numPr>
        <w:spacing w:line="300" w:lineRule="atLeast"/>
        <w:jc w:val="both"/>
        <w:rPr>
          <w:rFonts w:asciiTheme="majorHAnsi" w:hAnsiTheme="majorHAnsi" w:cstheme="majorHAnsi"/>
          <w:lang w:val="sq-AL"/>
        </w:rPr>
      </w:pPr>
      <w:r w:rsidRPr="00EB4BBE">
        <w:rPr>
          <w:rFonts w:asciiTheme="majorHAnsi" w:hAnsiTheme="majorHAnsi" w:cstheme="majorHAnsi"/>
          <w:lang w:val="sq-AL"/>
        </w:rPr>
        <w:t>Vendimi Nr. 500-48448 për miratimin e Strategjisë dhe Planit të Veprimit të Komunës së Lipjanit për kujdes parësor–shëndetësor;</w:t>
      </w:r>
    </w:p>
    <w:p w14:paraId="07598D94" w14:textId="77777777" w:rsidR="007967A3" w:rsidRPr="00EB4BBE" w:rsidRDefault="007967A3" w:rsidP="00EB4BBE">
      <w:pPr>
        <w:pStyle w:val="ListParagraph"/>
        <w:numPr>
          <w:ilvl w:val="0"/>
          <w:numId w:val="5"/>
        </w:numPr>
        <w:spacing w:line="300" w:lineRule="atLeast"/>
        <w:jc w:val="both"/>
        <w:rPr>
          <w:rFonts w:asciiTheme="majorHAnsi" w:hAnsiTheme="majorHAnsi" w:cstheme="majorHAnsi"/>
          <w:lang w:val="sq-AL"/>
        </w:rPr>
      </w:pPr>
      <w:r w:rsidRPr="00EB4BBE">
        <w:rPr>
          <w:rFonts w:asciiTheme="majorHAnsi" w:hAnsiTheme="majorHAnsi" w:cstheme="majorHAnsi"/>
          <w:lang w:val="sq-AL"/>
        </w:rPr>
        <w:lastRenderedPageBreak/>
        <w:t>Vendimi 15</w:t>
      </w:r>
      <w:r w:rsidR="00C6314C" w:rsidRPr="00EB4BBE">
        <w:rPr>
          <w:rFonts w:asciiTheme="majorHAnsi" w:hAnsiTheme="majorHAnsi" w:cstheme="majorHAnsi"/>
          <w:lang w:val="sq-AL"/>
        </w:rPr>
        <w:t xml:space="preserve"> </w:t>
      </w:r>
      <w:r w:rsidRPr="00EB4BBE">
        <w:rPr>
          <w:rFonts w:asciiTheme="majorHAnsi" w:hAnsiTheme="majorHAnsi" w:cstheme="majorHAnsi"/>
          <w:lang w:val="sq-AL"/>
        </w:rPr>
        <w:t>Nr.463-14826 për dhënien në shfrytëzim të pronës komunale Këshillit të Bashkësisë islame në Lipjan për varreza të fshatit Rubofc.</w:t>
      </w:r>
    </w:p>
    <w:p w14:paraId="11990B7C" w14:textId="77777777" w:rsidR="007967A3" w:rsidRPr="00EB4BBE" w:rsidRDefault="007967A3" w:rsidP="00EB4BBE">
      <w:pPr>
        <w:spacing w:line="300" w:lineRule="atLeast"/>
        <w:jc w:val="both"/>
        <w:rPr>
          <w:rFonts w:asciiTheme="majorHAnsi" w:hAnsiTheme="majorHAnsi" w:cstheme="majorHAnsi"/>
          <w:lang w:val="sq-AL"/>
        </w:rPr>
      </w:pPr>
    </w:p>
    <w:p w14:paraId="375A47AC" w14:textId="77777777" w:rsidR="00F43548" w:rsidRPr="00EB4BBE" w:rsidRDefault="009449EA"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Kuvendi i Komunës së Vushtrrisë, me datë</w:t>
      </w:r>
      <w:r w:rsidR="007967A3" w:rsidRPr="00EB4BBE">
        <w:rPr>
          <w:rFonts w:asciiTheme="majorHAnsi" w:hAnsiTheme="majorHAnsi" w:cstheme="majorHAnsi"/>
          <w:lang w:val="sq-AL"/>
        </w:rPr>
        <w:t xml:space="preserve"> 30 dhjetor 2020,</w:t>
      </w:r>
      <w:r w:rsidRPr="00EB4BBE">
        <w:rPr>
          <w:rFonts w:asciiTheme="majorHAnsi" w:hAnsiTheme="majorHAnsi" w:cstheme="majorHAnsi"/>
          <w:lang w:val="sq-AL"/>
        </w:rPr>
        <w:t xml:space="preserve"> ka rishqyrtuar një (1) akt të kërkuar për rishqyrtim sipas kërkesës së autoritetit mbikëqyrës</w:t>
      </w:r>
      <w:r w:rsidR="00F43548" w:rsidRPr="00EB4BBE">
        <w:rPr>
          <w:rFonts w:asciiTheme="majorHAnsi" w:hAnsiTheme="majorHAnsi" w:cstheme="majorHAnsi"/>
          <w:lang w:val="sq-AL"/>
        </w:rPr>
        <w:t xml:space="preserve"> dhe atë:</w:t>
      </w:r>
    </w:p>
    <w:p w14:paraId="1D7C7118" w14:textId="77777777" w:rsidR="009449EA" w:rsidRPr="00EB4BBE" w:rsidRDefault="007967A3" w:rsidP="00EB4BBE">
      <w:pPr>
        <w:pStyle w:val="ListParagraph"/>
        <w:numPr>
          <w:ilvl w:val="0"/>
          <w:numId w:val="9"/>
        </w:num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Vendimin Nr. </w:t>
      </w:r>
      <w:r w:rsidR="00C563C3" w:rsidRPr="00EB4BBE">
        <w:rPr>
          <w:rFonts w:asciiTheme="majorHAnsi" w:hAnsiTheme="majorHAnsi" w:cstheme="majorHAnsi"/>
          <w:lang w:val="sq-AL"/>
        </w:rPr>
        <w:t xml:space="preserve">363/18 </w:t>
      </w:r>
      <w:r w:rsidR="00C563C3" w:rsidRPr="00EB4BBE">
        <w:rPr>
          <w:rFonts w:asciiTheme="majorHAnsi" w:hAnsiTheme="majorHAnsi" w:cstheme="majorHAnsi"/>
          <w:iCs/>
          <w:lang w:val="sq-AL"/>
        </w:rPr>
        <w:t>për anulimin e konkluzionit të Kuvendit të Komunës 12 Nr. 465-18 të datës 21.04.1984 për dhënien në shfrytëzim të pronave të komunës.</w:t>
      </w:r>
    </w:p>
    <w:p w14:paraId="4A0B76DE" w14:textId="77777777" w:rsidR="009449EA" w:rsidRPr="00EB4BBE" w:rsidRDefault="009449EA" w:rsidP="00EB4BBE">
      <w:pPr>
        <w:spacing w:line="300" w:lineRule="atLeast"/>
        <w:jc w:val="both"/>
        <w:rPr>
          <w:rFonts w:asciiTheme="majorHAnsi" w:hAnsiTheme="majorHAnsi" w:cstheme="majorHAnsi"/>
          <w:lang w:val="sq-AL"/>
        </w:rPr>
      </w:pPr>
    </w:p>
    <w:p w14:paraId="34DBF1A0" w14:textId="77777777" w:rsidR="00F43548" w:rsidRPr="00EB4BBE" w:rsidRDefault="009449EA"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Kuvendi i Komunës së Mitrovicës</w:t>
      </w:r>
      <w:r w:rsidR="008C12E3" w:rsidRPr="00EB4BBE">
        <w:rPr>
          <w:rFonts w:asciiTheme="majorHAnsi" w:hAnsiTheme="majorHAnsi" w:cstheme="majorHAnsi"/>
          <w:lang w:val="sq-AL"/>
        </w:rPr>
        <w:t xml:space="preserve"> së Jugut</w:t>
      </w:r>
      <w:r w:rsidRPr="00EB4BBE">
        <w:rPr>
          <w:rFonts w:asciiTheme="majorHAnsi" w:hAnsiTheme="majorHAnsi" w:cstheme="majorHAnsi"/>
          <w:lang w:val="sq-AL"/>
        </w:rPr>
        <w:t>, me datë</w:t>
      </w:r>
      <w:r w:rsidR="00F85769" w:rsidRPr="00EB4BBE">
        <w:rPr>
          <w:rFonts w:asciiTheme="majorHAnsi" w:hAnsiTheme="majorHAnsi" w:cstheme="majorHAnsi"/>
          <w:lang w:val="sq-AL"/>
        </w:rPr>
        <w:t xml:space="preserve"> 24 shtator 2020</w:t>
      </w:r>
      <w:r w:rsidR="00F43548" w:rsidRPr="00EB4BBE">
        <w:rPr>
          <w:rFonts w:asciiTheme="majorHAnsi" w:hAnsiTheme="majorHAnsi" w:cstheme="majorHAnsi"/>
          <w:lang w:val="sq-AL"/>
        </w:rPr>
        <w:t xml:space="preserve"> ka rishqyrtuar:</w:t>
      </w:r>
    </w:p>
    <w:p w14:paraId="74D14BD5" w14:textId="77777777" w:rsidR="009449EA" w:rsidRPr="00EB4BBE" w:rsidRDefault="00F85769" w:rsidP="00282A1D">
      <w:pPr>
        <w:pStyle w:val="ListParagraph"/>
        <w:numPr>
          <w:ilvl w:val="0"/>
          <w:numId w:val="10"/>
        </w:numPr>
        <w:spacing w:line="0" w:lineRule="atLeast"/>
        <w:jc w:val="both"/>
        <w:rPr>
          <w:rFonts w:asciiTheme="majorHAnsi" w:hAnsiTheme="majorHAnsi" w:cstheme="majorHAnsi"/>
          <w:lang w:val="sq-AL"/>
        </w:rPr>
      </w:pPr>
      <w:r w:rsidRPr="00EB4BBE">
        <w:rPr>
          <w:rFonts w:asciiTheme="majorHAnsi" w:hAnsiTheme="majorHAnsi" w:cstheme="majorHAnsi"/>
          <w:lang w:val="sq-AL"/>
        </w:rPr>
        <w:t>Vendimin Nr. 02-060/01-0075387/19-15</w:t>
      </w:r>
      <w:r w:rsidR="008C12E3" w:rsidRPr="00EB4BBE">
        <w:rPr>
          <w:rFonts w:asciiTheme="majorHAnsi" w:eastAsia="Times New Roman" w:hAnsiTheme="majorHAnsi" w:cstheme="majorHAnsi"/>
          <w:color w:val="000000"/>
          <w:lang w:val="sq-AL"/>
        </w:rPr>
        <w:t xml:space="preserve"> </w:t>
      </w:r>
      <w:r w:rsidR="008C12E3" w:rsidRPr="00EB4BBE">
        <w:rPr>
          <w:rFonts w:asciiTheme="majorHAnsi" w:hAnsiTheme="majorHAnsi" w:cstheme="majorHAnsi"/>
          <w:lang w:val="sq-AL"/>
        </w:rPr>
        <w:t>për destinimin (shfrytëzim) të tokës k</w:t>
      </w:r>
      <w:r w:rsidR="00F43548" w:rsidRPr="00EB4BBE">
        <w:rPr>
          <w:rFonts w:asciiTheme="majorHAnsi" w:hAnsiTheme="majorHAnsi" w:cstheme="majorHAnsi"/>
          <w:lang w:val="sq-AL"/>
        </w:rPr>
        <w:t>omunale në tokë ndërtimore me që</w:t>
      </w:r>
      <w:r w:rsidR="008C12E3" w:rsidRPr="00EB4BBE">
        <w:rPr>
          <w:rFonts w:asciiTheme="majorHAnsi" w:hAnsiTheme="majorHAnsi" w:cstheme="majorHAnsi"/>
          <w:lang w:val="sq-AL"/>
        </w:rPr>
        <w:t>llim të ndërtimit të shtëpive për arsye humanitare</w:t>
      </w:r>
      <w:r w:rsidRPr="00EB4BBE">
        <w:rPr>
          <w:rFonts w:asciiTheme="majorHAnsi" w:hAnsiTheme="majorHAnsi" w:cstheme="majorHAnsi"/>
          <w:lang w:val="sq-AL"/>
        </w:rPr>
        <w:t>,</w:t>
      </w:r>
      <w:r w:rsidR="009449EA" w:rsidRPr="00EB4BBE">
        <w:rPr>
          <w:rFonts w:asciiTheme="majorHAnsi" w:hAnsiTheme="majorHAnsi" w:cstheme="majorHAnsi"/>
          <w:lang w:val="sq-AL"/>
        </w:rPr>
        <w:t xml:space="preserve"> </w:t>
      </w:r>
      <w:r w:rsidRPr="00EB4BBE">
        <w:rPr>
          <w:rFonts w:asciiTheme="majorHAnsi" w:hAnsiTheme="majorHAnsi" w:cstheme="majorHAnsi"/>
          <w:lang w:val="sq-AL"/>
        </w:rPr>
        <w:t>i cili është kt</w:t>
      </w:r>
      <w:r w:rsidR="00904FCB" w:rsidRPr="00EB4BBE">
        <w:rPr>
          <w:rFonts w:asciiTheme="majorHAnsi" w:hAnsiTheme="majorHAnsi" w:cstheme="majorHAnsi"/>
          <w:lang w:val="sq-AL"/>
        </w:rPr>
        <w:t>h</w:t>
      </w:r>
      <w:r w:rsidRPr="00EB4BBE">
        <w:rPr>
          <w:rFonts w:asciiTheme="majorHAnsi" w:hAnsiTheme="majorHAnsi" w:cstheme="majorHAnsi"/>
          <w:lang w:val="sq-AL"/>
        </w:rPr>
        <w:t>yer</w:t>
      </w:r>
      <w:r w:rsidR="009449EA" w:rsidRPr="00EB4BBE">
        <w:rPr>
          <w:rFonts w:asciiTheme="majorHAnsi" w:hAnsiTheme="majorHAnsi" w:cstheme="majorHAnsi"/>
          <w:lang w:val="sq-AL"/>
        </w:rPr>
        <w:t xml:space="preserve"> për rishqyrtim sipas kërkesës së autoritetit mbikëqyrës. </w:t>
      </w:r>
    </w:p>
    <w:p w14:paraId="1C5719E0" w14:textId="77777777" w:rsidR="007967A3" w:rsidRPr="00EB4BBE" w:rsidRDefault="007967A3" w:rsidP="00EB4BBE">
      <w:pPr>
        <w:spacing w:line="300" w:lineRule="atLeast"/>
        <w:jc w:val="both"/>
        <w:rPr>
          <w:rFonts w:asciiTheme="majorHAnsi" w:hAnsiTheme="majorHAnsi" w:cstheme="majorHAnsi"/>
          <w:lang w:val="sq-AL"/>
        </w:rPr>
      </w:pPr>
    </w:p>
    <w:p w14:paraId="548864A4" w14:textId="77777777" w:rsidR="009449EA" w:rsidRPr="00EB4BBE" w:rsidRDefault="007967A3"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Komuna e Graçanicës ka njoftuar MPL</w:t>
      </w:r>
      <w:r w:rsidR="000A324A" w:rsidRPr="00EB4BBE">
        <w:rPr>
          <w:rFonts w:asciiTheme="majorHAnsi" w:hAnsiTheme="majorHAnsi" w:cstheme="majorHAnsi"/>
          <w:lang w:val="sq-AL"/>
        </w:rPr>
        <w:t>-në</w:t>
      </w:r>
      <w:r w:rsidRPr="00EB4BBE">
        <w:rPr>
          <w:rFonts w:asciiTheme="majorHAnsi" w:hAnsiTheme="majorHAnsi" w:cstheme="majorHAnsi"/>
          <w:lang w:val="sq-AL"/>
        </w:rPr>
        <w:t xml:space="preserve"> se </w:t>
      </w:r>
      <w:r w:rsidR="009449EA" w:rsidRPr="00EB4BBE">
        <w:rPr>
          <w:rFonts w:asciiTheme="majorHAnsi" w:hAnsiTheme="majorHAnsi" w:cstheme="majorHAnsi"/>
          <w:lang w:val="sq-AL"/>
        </w:rPr>
        <w:t>Kuvendi i Komunës së Graçanicës, me datë</w:t>
      </w:r>
      <w:r w:rsidRPr="00EB4BBE">
        <w:rPr>
          <w:rFonts w:asciiTheme="majorHAnsi" w:hAnsiTheme="majorHAnsi" w:cstheme="majorHAnsi"/>
          <w:lang w:val="sq-AL"/>
        </w:rPr>
        <w:t xml:space="preserve"> </w:t>
      </w:r>
      <w:r w:rsidR="000A324A" w:rsidRPr="00EB4BBE">
        <w:rPr>
          <w:rFonts w:asciiTheme="majorHAnsi" w:hAnsiTheme="majorHAnsi" w:cstheme="majorHAnsi"/>
          <w:lang w:val="sq-AL"/>
        </w:rPr>
        <w:t>26 gusht 2019</w:t>
      </w:r>
      <w:r w:rsidR="009449EA" w:rsidRPr="00EB4BBE">
        <w:rPr>
          <w:rFonts w:asciiTheme="majorHAnsi" w:hAnsiTheme="majorHAnsi" w:cstheme="majorHAnsi"/>
          <w:lang w:val="sq-AL"/>
        </w:rPr>
        <w:t xml:space="preserve"> ka rishqyrtuar </w:t>
      </w:r>
      <w:r w:rsidR="00904FCB" w:rsidRPr="00EB4BBE">
        <w:rPr>
          <w:rFonts w:asciiTheme="majorHAnsi" w:hAnsiTheme="majorHAnsi" w:cstheme="majorHAnsi"/>
          <w:lang w:val="sq-AL"/>
        </w:rPr>
        <w:t xml:space="preserve">një (1) </w:t>
      </w:r>
      <w:r w:rsidR="009449EA" w:rsidRPr="00EB4BBE">
        <w:rPr>
          <w:rFonts w:asciiTheme="majorHAnsi" w:hAnsiTheme="majorHAnsi" w:cstheme="majorHAnsi"/>
          <w:lang w:val="sq-AL"/>
        </w:rPr>
        <w:t>akt të kërkuar për rishqyrtim sipas kërkesës së autoritetit mbikëqyrës</w:t>
      </w:r>
      <w:r w:rsidR="00904FCB" w:rsidRPr="00EB4BBE">
        <w:rPr>
          <w:rFonts w:asciiTheme="majorHAnsi" w:hAnsiTheme="majorHAnsi" w:cstheme="majorHAnsi"/>
          <w:lang w:val="sq-AL"/>
        </w:rPr>
        <w:t xml:space="preserve"> dhe atë Vendimin Nr.285/14 për fillimin e procedures së hartimit të Hartës Zonale të Komunës së Graçanicës</w:t>
      </w:r>
      <w:r w:rsidR="009449EA" w:rsidRPr="00EB4BBE">
        <w:rPr>
          <w:rFonts w:asciiTheme="majorHAnsi" w:hAnsiTheme="majorHAnsi" w:cstheme="majorHAnsi"/>
          <w:lang w:val="sq-AL"/>
        </w:rPr>
        <w:t xml:space="preserve">. </w:t>
      </w:r>
    </w:p>
    <w:p w14:paraId="0F89BF3F" w14:textId="77777777" w:rsidR="00C563C3" w:rsidRPr="00EB4BBE" w:rsidRDefault="00C563C3" w:rsidP="00EB4BBE">
      <w:pPr>
        <w:spacing w:line="300" w:lineRule="atLeast"/>
        <w:jc w:val="both"/>
        <w:rPr>
          <w:rFonts w:asciiTheme="majorHAnsi" w:hAnsiTheme="majorHAnsi" w:cstheme="majorHAnsi"/>
          <w:lang w:val="sq-AL"/>
        </w:rPr>
      </w:pPr>
    </w:p>
    <w:p w14:paraId="327A9B4B" w14:textId="77777777" w:rsidR="009449EA" w:rsidRPr="00EB4BBE" w:rsidRDefault="009449EA"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Kuvendi i Komunës së Malishevës, </w:t>
      </w:r>
      <w:r w:rsidR="00C563C3" w:rsidRPr="00EB4BBE">
        <w:rPr>
          <w:rFonts w:asciiTheme="majorHAnsi" w:hAnsiTheme="majorHAnsi" w:cstheme="majorHAnsi"/>
          <w:lang w:val="sq-AL"/>
        </w:rPr>
        <w:t xml:space="preserve">në mbledhjen e datës </w:t>
      </w:r>
      <w:r w:rsidR="00C563C3" w:rsidRPr="00874994">
        <w:rPr>
          <w:rFonts w:asciiTheme="majorHAnsi" w:hAnsiTheme="majorHAnsi" w:cstheme="majorHAnsi"/>
          <w:lang w:val="sq-AL"/>
        </w:rPr>
        <w:t xml:space="preserve">21 </w:t>
      </w:r>
      <w:r w:rsidR="00874994" w:rsidRPr="00874994">
        <w:rPr>
          <w:rFonts w:asciiTheme="majorHAnsi" w:hAnsiTheme="majorHAnsi" w:cstheme="majorHAnsi"/>
          <w:lang w:val="sq-AL"/>
        </w:rPr>
        <w:t>janar</w:t>
      </w:r>
      <w:r w:rsidR="00874994">
        <w:rPr>
          <w:rFonts w:asciiTheme="majorHAnsi" w:hAnsiTheme="majorHAnsi" w:cstheme="majorHAnsi"/>
          <w:lang w:val="sq-AL"/>
        </w:rPr>
        <w:t xml:space="preserve"> </w:t>
      </w:r>
      <w:r w:rsidR="00C563C3" w:rsidRPr="00EB4BBE">
        <w:rPr>
          <w:rFonts w:asciiTheme="majorHAnsi" w:hAnsiTheme="majorHAnsi" w:cstheme="majorHAnsi"/>
          <w:lang w:val="sq-AL"/>
        </w:rPr>
        <w:t>2020</w:t>
      </w:r>
      <w:r w:rsidRPr="00EB4BBE">
        <w:rPr>
          <w:rFonts w:asciiTheme="majorHAnsi" w:hAnsiTheme="majorHAnsi" w:cstheme="majorHAnsi"/>
          <w:lang w:val="sq-AL"/>
        </w:rPr>
        <w:t xml:space="preserve"> ka rishqyrtuar </w:t>
      </w:r>
      <w:r w:rsidR="00C563C3" w:rsidRPr="00EB4BBE">
        <w:rPr>
          <w:rFonts w:asciiTheme="majorHAnsi" w:hAnsiTheme="majorHAnsi" w:cstheme="majorHAnsi"/>
          <w:lang w:val="sq-AL"/>
        </w:rPr>
        <w:t xml:space="preserve">dy (2) </w:t>
      </w:r>
      <w:r w:rsidRPr="00EB4BBE">
        <w:rPr>
          <w:rFonts w:asciiTheme="majorHAnsi" w:hAnsiTheme="majorHAnsi" w:cstheme="majorHAnsi"/>
          <w:lang w:val="sq-AL"/>
        </w:rPr>
        <w:t>akt</w:t>
      </w:r>
      <w:r w:rsidR="00C563C3" w:rsidRPr="00EB4BBE">
        <w:rPr>
          <w:rFonts w:asciiTheme="majorHAnsi" w:hAnsiTheme="majorHAnsi" w:cstheme="majorHAnsi"/>
          <w:lang w:val="sq-AL"/>
        </w:rPr>
        <w:t>et</w:t>
      </w:r>
      <w:r w:rsidRPr="00EB4BBE">
        <w:rPr>
          <w:rFonts w:asciiTheme="majorHAnsi" w:hAnsiTheme="majorHAnsi" w:cstheme="majorHAnsi"/>
          <w:lang w:val="sq-AL"/>
        </w:rPr>
        <w:t xml:space="preserve"> </w:t>
      </w:r>
      <w:r w:rsidR="00C563C3" w:rsidRPr="00EB4BBE">
        <w:rPr>
          <w:rFonts w:asciiTheme="majorHAnsi" w:hAnsiTheme="majorHAnsi" w:cstheme="majorHAnsi"/>
          <w:lang w:val="sq-AL"/>
        </w:rPr>
        <w:t>e</w:t>
      </w:r>
      <w:r w:rsidRPr="00EB4BBE">
        <w:rPr>
          <w:rFonts w:asciiTheme="majorHAnsi" w:hAnsiTheme="majorHAnsi" w:cstheme="majorHAnsi"/>
          <w:lang w:val="sq-AL"/>
        </w:rPr>
        <w:t xml:space="preserve"> kërkuar</w:t>
      </w:r>
      <w:r w:rsidR="00C563C3" w:rsidRPr="00EB4BBE">
        <w:rPr>
          <w:rFonts w:asciiTheme="majorHAnsi" w:hAnsiTheme="majorHAnsi" w:cstheme="majorHAnsi"/>
          <w:lang w:val="sq-AL"/>
        </w:rPr>
        <w:t>a</w:t>
      </w:r>
      <w:r w:rsidRPr="00EB4BBE">
        <w:rPr>
          <w:rFonts w:asciiTheme="majorHAnsi" w:hAnsiTheme="majorHAnsi" w:cstheme="majorHAnsi"/>
          <w:lang w:val="sq-AL"/>
        </w:rPr>
        <w:t xml:space="preserve"> për rishqyrtim sipas kërkesës së autoritetit mbikëqyrës</w:t>
      </w:r>
      <w:r w:rsidR="00C563C3" w:rsidRPr="00EB4BBE">
        <w:rPr>
          <w:rFonts w:asciiTheme="majorHAnsi" w:hAnsiTheme="majorHAnsi" w:cstheme="majorHAnsi"/>
          <w:lang w:val="sq-AL"/>
        </w:rPr>
        <w:t>:</w:t>
      </w:r>
    </w:p>
    <w:p w14:paraId="24A46A0F" w14:textId="77777777" w:rsidR="00C563C3" w:rsidRPr="00EB4BBE" w:rsidRDefault="00C563C3" w:rsidP="00EB4BBE">
      <w:pPr>
        <w:pStyle w:val="ListParagraph"/>
        <w:numPr>
          <w:ilvl w:val="0"/>
          <w:numId w:val="6"/>
        </w:numPr>
        <w:spacing w:line="300" w:lineRule="atLeast"/>
        <w:jc w:val="both"/>
        <w:rPr>
          <w:rFonts w:asciiTheme="majorHAnsi" w:hAnsiTheme="majorHAnsi" w:cstheme="majorHAnsi"/>
          <w:lang w:val="sq-AL"/>
        </w:rPr>
      </w:pPr>
      <w:r w:rsidRPr="00EB4BBE">
        <w:rPr>
          <w:rFonts w:asciiTheme="majorHAnsi" w:hAnsiTheme="majorHAnsi" w:cstheme="majorHAnsi"/>
          <w:lang w:val="sq-AL"/>
        </w:rPr>
        <w:t>Vendimi Nr.02/230 për caktimin e lokacionit për realizimin e projektit “Ndërtimi i Shtëpisë së Komunitetit”;</w:t>
      </w:r>
    </w:p>
    <w:p w14:paraId="528584CF" w14:textId="77777777" w:rsidR="00C563C3" w:rsidRPr="00EB4BBE" w:rsidRDefault="00C563C3" w:rsidP="00EB4BBE">
      <w:pPr>
        <w:pStyle w:val="ListParagraph"/>
        <w:numPr>
          <w:ilvl w:val="0"/>
          <w:numId w:val="6"/>
        </w:numPr>
        <w:spacing w:line="300" w:lineRule="atLeast"/>
        <w:jc w:val="both"/>
        <w:rPr>
          <w:rFonts w:asciiTheme="majorHAnsi" w:hAnsiTheme="majorHAnsi" w:cstheme="majorHAnsi"/>
          <w:lang w:val="sq-AL"/>
        </w:rPr>
      </w:pPr>
      <w:r w:rsidRPr="00EB4BBE">
        <w:rPr>
          <w:rFonts w:asciiTheme="majorHAnsi" w:hAnsiTheme="majorHAnsi" w:cstheme="majorHAnsi"/>
          <w:lang w:val="sq-AL"/>
        </w:rPr>
        <w:t>Vendimi Nr.02/237 për caktimin e lokacionit “Park të Memorialit të UÇK-së” në Malishevë.</w:t>
      </w:r>
    </w:p>
    <w:p w14:paraId="6744DE5A" w14:textId="77777777" w:rsidR="006A379F" w:rsidRPr="00EB4BBE" w:rsidRDefault="006A379F" w:rsidP="00EB4BBE">
      <w:pPr>
        <w:spacing w:line="300" w:lineRule="atLeast"/>
        <w:jc w:val="both"/>
        <w:rPr>
          <w:rFonts w:asciiTheme="majorHAnsi" w:hAnsiTheme="majorHAnsi" w:cstheme="majorHAnsi"/>
          <w:lang w:val="sq-AL"/>
        </w:rPr>
      </w:pPr>
    </w:p>
    <w:p w14:paraId="581304C6" w14:textId="77777777" w:rsidR="00FE5055" w:rsidRPr="00EB4BBE" w:rsidRDefault="006A379F"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Komunat të cilat nuk e kanë përmbushur kushtin minimal 2, dhe të cilat nuk mund të kualifikohen për grant, </w:t>
      </w:r>
      <w:r w:rsidR="00104A98" w:rsidRPr="00EB4BBE">
        <w:rPr>
          <w:rFonts w:asciiTheme="majorHAnsi" w:hAnsiTheme="majorHAnsi" w:cstheme="majorHAnsi"/>
          <w:lang w:val="sq-AL"/>
        </w:rPr>
        <w:t>janë</w:t>
      </w:r>
      <w:r w:rsidR="00FE5055" w:rsidRPr="00EB4BBE">
        <w:rPr>
          <w:rFonts w:asciiTheme="majorHAnsi" w:hAnsiTheme="majorHAnsi" w:cstheme="majorHAnsi"/>
          <w:lang w:val="sq-AL"/>
        </w:rPr>
        <w:t>:</w:t>
      </w:r>
    </w:p>
    <w:p w14:paraId="6CAB1737" w14:textId="77777777" w:rsidR="00FE5055" w:rsidRPr="00EB4BBE" w:rsidRDefault="00C048D9" w:rsidP="00EB4BBE">
      <w:pPr>
        <w:pStyle w:val="ListParagraph"/>
        <w:numPr>
          <w:ilvl w:val="0"/>
          <w:numId w:val="8"/>
        </w:num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Komuna e Prishtinës, </w:t>
      </w:r>
    </w:p>
    <w:p w14:paraId="7AA67969" w14:textId="77777777" w:rsidR="00FE5055" w:rsidRPr="00EB4BBE" w:rsidRDefault="00F43548" w:rsidP="00EB4BBE">
      <w:pPr>
        <w:pStyle w:val="ListParagraph"/>
        <w:numPr>
          <w:ilvl w:val="0"/>
          <w:numId w:val="8"/>
        </w:num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Komuna e </w:t>
      </w:r>
      <w:r w:rsidR="00C048D9" w:rsidRPr="00EB4BBE">
        <w:rPr>
          <w:rFonts w:asciiTheme="majorHAnsi" w:hAnsiTheme="majorHAnsi" w:cstheme="majorHAnsi"/>
          <w:lang w:val="sq-AL"/>
        </w:rPr>
        <w:t xml:space="preserve">Gjakovës, </w:t>
      </w:r>
    </w:p>
    <w:p w14:paraId="5F8CA8A7" w14:textId="77777777" w:rsidR="00FE5055" w:rsidRPr="00EB4BBE" w:rsidRDefault="00F43548" w:rsidP="00EB4BBE">
      <w:pPr>
        <w:pStyle w:val="ListParagraph"/>
        <w:numPr>
          <w:ilvl w:val="0"/>
          <w:numId w:val="8"/>
        </w:numPr>
        <w:spacing w:line="300" w:lineRule="atLeast"/>
        <w:jc w:val="both"/>
        <w:rPr>
          <w:rFonts w:asciiTheme="majorHAnsi" w:hAnsiTheme="majorHAnsi" w:cstheme="majorHAnsi"/>
          <w:lang w:val="sq-AL"/>
        </w:rPr>
      </w:pPr>
      <w:r w:rsidRPr="00EB4BBE">
        <w:rPr>
          <w:rFonts w:asciiTheme="majorHAnsi" w:hAnsiTheme="majorHAnsi" w:cstheme="majorHAnsi"/>
          <w:lang w:val="sq-AL"/>
        </w:rPr>
        <w:t xml:space="preserve">Komuna e </w:t>
      </w:r>
      <w:r w:rsidR="00C048D9" w:rsidRPr="00EB4BBE">
        <w:rPr>
          <w:rFonts w:asciiTheme="majorHAnsi" w:hAnsiTheme="majorHAnsi" w:cstheme="majorHAnsi"/>
          <w:lang w:val="sq-AL"/>
        </w:rPr>
        <w:t>Deçanit</w:t>
      </w:r>
      <w:r w:rsidR="00FE5055" w:rsidRPr="00EB4BBE">
        <w:rPr>
          <w:rFonts w:asciiTheme="majorHAnsi" w:hAnsiTheme="majorHAnsi" w:cstheme="majorHAnsi"/>
          <w:lang w:val="sq-AL"/>
        </w:rPr>
        <w:t>,</w:t>
      </w:r>
      <w:r w:rsidR="00C048D9" w:rsidRPr="00EB4BBE">
        <w:rPr>
          <w:rFonts w:asciiTheme="majorHAnsi" w:hAnsiTheme="majorHAnsi" w:cstheme="majorHAnsi"/>
          <w:lang w:val="sq-AL"/>
        </w:rPr>
        <w:t xml:space="preserve"> dhe </w:t>
      </w:r>
    </w:p>
    <w:p w14:paraId="322F0415" w14:textId="77777777" w:rsidR="00FE5055" w:rsidRPr="00EB4BBE" w:rsidRDefault="00F43548" w:rsidP="00282A1D">
      <w:pPr>
        <w:pStyle w:val="ListParagraph"/>
        <w:numPr>
          <w:ilvl w:val="0"/>
          <w:numId w:val="8"/>
        </w:numPr>
        <w:spacing w:line="0" w:lineRule="atLeast"/>
        <w:jc w:val="both"/>
        <w:rPr>
          <w:rFonts w:asciiTheme="majorHAnsi" w:hAnsiTheme="majorHAnsi" w:cstheme="majorHAnsi"/>
          <w:lang w:val="sq-AL"/>
        </w:rPr>
      </w:pPr>
      <w:r w:rsidRPr="00EB4BBE">
        <w:rPr>
          <w:rFonts w:asciiTheme="majorHAnsi" w:hAnsiTheme="majorHAnsi" w:cstheme="majorHAnsi"/>
          <w:lang w:val="sq-AL"/>
        </w:rPr>
        <w:t xml:space="preserve">Komuna e </w:t>
      </w:r>
      <w:r w:rsidR="00C048D9" w:rsidRPr="00EB4BBE">
        <w:rPr>
          <w:rFonts w:asciiTheme="majorHAnsi" w:hAnsiTheme="majorHAnsi" w:cstheme="majorHAnsi"/>
          <w:lang w:val="sq-AL"/>
        </w:rPr>
        <w:t xml:space="preserve">Prizrenit. </w:t>
      </w:r>
    </w:p>
    <w:p w14:paraId="50BC654E" w14:textId="77777777" w:rsidR="00FE5055" w:rsidRPr="00EB4BBE" w:rsidRDefault="00FE5055" w:rsidP="00EB4BBE">
      <w:pPr>
        <w:spacing w:line="300" w:lineRule="atLeast"/>
        <w:jc w:val="both"/>
        <w:rPr>
          <w:rFonts w:asciiTheme="majorHAnsi" w:hAnsiTheme="majorHAnsi" w:cstheme="majorHAnsi"/>
          <w:lang w:val="sq-AL"/>
        </w:rPr>
      </w:pPr>
    </w:p>
    <w:p w14:paraId="66874CB5" w14:textId="77777777" w:rsidR="00962F9F" w:rsidRPr="00EB4BBE" w:rsidRDefault="00F43548"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Komunës së</w:t>
      </w:r>
      <w:r w:rsidR="00C048D9" w:rsidRPr="00EB4BBE">
        <w:rPr>
          <w:rFonts w:asciiTheme="majorHAnsi" w:hAnsiTheme="majorHAnsi" w:cstheme="majorHAnsi"/>
          <w:lang w:val="sq-AL"/>
        </w:rPr>
        <w:t xml:space="preserve"> Prishtinës i janë kthyer për rishqyrtim nëntë (9)</w:t>
      </w:r>
      <w:r w:rsidR="00343D79" w:rsidRPr="00EB4BBE">
        <w:rPr>
          <w:rStyle w:val="FootnoteReference"/>
          <w:rFonts w:asciiTheme="majorHAnsi" w:hAnsiTheme="majorHAnsi" w:cstheme="majorHAnsi"/>
          <w:lang w:val="sq-AL"/>
        </w:rPr>
        <w:footnoteReference w:id="5"/>
      </w:r>
      <w:r w:rsidR="00C048D9" w:rsidRPr="00EB4BBE">
        <w:rPr>
          <w:rFonts w:asciiTheme="majorHAnsi" w:hAnsiTheme="majorHAnsi" w:cstheme="majorHAnsi"/>
          <w:lang w:val="sq-AL"/>
        </w:rPr>
        <w:t xml:space="preserve"> akte komunale, nga të cilat asnjë nuk është </w:t>
      </w:r>
      <w:r w:rsidR="00A329A7" w:rsidRPr="00EB4BBE">
        <w:rPr>
          <w:rFonts w:asciiTheme="majorHAnsi" w:hAnsiTheme="majorHAnsi" w:cstheme="majorHAnsi"/>
          <w:lang w:val="sq-AL"/>
        </w:rPr>
        <w:t xml:space="preserve">rishqyrtuar nga Kuvendi Komunal i Prishtinës brenda afatit shtesë. </w:t>
      </w:r>
    </w:p>
    <w:p w14:paraId="6F96A0C1" w14:textId="77777777" w:rsidR="00962F9F" w:rsidRPr="00EB4BBE" w:rsidRDefault="00962F9F" w:rsidP="00EB4BBE">
      <w:pPr>
        <w:spacing w:line="300" w:lineRule="atLeast"/>
        <w:jc w:val="both"/>
        <w:rPr>
          <w:rFonts w:asciiTheme="majorHAnsi" w:hAnsiTheme="majorHAnsi" w:cstheme="majorHAnsi"/>
          <w:lang w:val="sq-AL"/>
        </w:rPr>
      </w:pPr>
    </w:p>
    <w:p w14:paraId="00A206A0" w14:textId="54A29ADA" w:rsidR="00FD07DF" w:rsidRPr="00EB4BBE" w:rsidRDefault="00A329A7" w:rsidP="00EB4BBE">
      <w:pPr>
        <w:spacing w:line="300" w:lineRule="atLeast"/>
        <w:jc w:val="both"/>
        <w:rPr>
          <w:rFonts w:asciiTheme="majorHAnsi" w:hAnsiTheme="majorHAnsi" w:cstheme="majorHAnsi"/>
          <w:lang w:val="sq-AL"/>
        </w:rPr>
      </w:pPr>
      <w:r w:rsidRPr="00EB4BBE">
        <w:rPr>
          <w:rFonts w:asciiTheme="majorHAnsi" w:hAnsiTheme="majorHAnsi" w:cstheme="majorHAnsi"/>
          <w:lang w:val="sq-AL"/>
        </w:rPr>
        <w:t>Kuvend</w:t>
      </w:r>
      <w:r w:rsidR="00962F9F" w:rsidRPr="00EB4BBE">
        <w:rPr>
          <w:rFonts w:asciiTheme="majorHAnsi" w:hAnsiTheme="majorHAnsi" w:cstheme="majorHAnsi"/>
          <w:lang w:val="sq-AL"/>
        </w:rPr>
        <w:t>i</w:t>
      </w:r>
      <w:r w:rsidRPr="00EB4BBE">
        <w:rPr>
          <w:rFonts w:asciiTheme="majorHAnsi" w:hAnsiTheme="majorHAnsi" w:cstheme="majorHAnsi"/>
          <w:lang w:val="sq-AL"/>
        </w:rPr>
        <w:t xml:space="preserve"> </w:t>
      </w:r>
      <w:r w:rsidR="00962F9F" w:rsidRPr="00EB4BBE">
        <w:rPr>
          <w:rFonts w:asciiTheme="majorHAnsi" w:hAnsiTheme="majorHAnsi" w:cstheme="majorHAnsi"/>
          <w:lang w:val="sq-AL"/>
        </w:rPr>
        <w:t>K</w:t>
      </w:r>
      <w:r w:rsidRPr="00EB4BBE">
        <w:rPr>
          <w:rFonts w:asciiTheme="majorHAnsi" w:hAnsiTheme="majorHAnsi" w:cstheme="majorHAnsi"/>
          <w:lang w:val="sq-AL"/>
        </w:rPr>
        <w:t xml:space="preserve">omunal </w:t>
      </w:r>
      <w:r w:rsidR="00962F9F" w:rsidRPr="00EB4BBE">
        <w:rPr>
          <w:rFonts w:asciiTheme="majorHAnsi" w:hAnsiTheme="majorHAnsi" w:cstheme="majorHAnsi"/>
          <w:lang w:val="sq-AL"/>
        </w:rPr>
        <w:t>i</w:t>
      </w:r>
      <w:r w:rsidRPr="00EB4BBE">
        <w:rPr>
          <w:rFonts w:asciiTheme="majorHAnsi" w:hAnsiTheme="majorHAnsi" w:cstheme="majorHAnsi"/>
          <w:lang w:val="sq-AL"/>
        </w:rPr>
        <w:t xml:space="preserve"> Komunës së Gjakovës</w:t>
      </w:r>
      <w:r w:rsidR="00343D79" w:rsidRPr="00EB4BBE">
        <w:rPr>
          <w:rFonts w:asciiTheme="majorHAnsi" w:hAnsiTheme="majorHAnsi" w:cstheme="majorHAnsi"/>
          <w:lang w:val="sq-AL"/>
        </w:rPr>
        <w:t xml:space="preserve"> dhe i Deçanit</w:t>
      </w:r>
      <w:r w:rsidRPr="00EB4BBE">
        <w:rPr>
          <w:rFonts w:asciiTheme="majorHAnsi" w:hAnsiTheme="majorHAnsi" w:cstheme="majorHAnsi"/>
          <w:lang w:val="sq-AL"/>
        </w:rPr>
        <w:t xml:space="preserve"> ka</w:t>
      </w:r>
      <w:r w:rsidR="00343D79" w:rsidRPr="00EB4BBE">
        <w:rPr>
          <w:rFonts w:asciiTheme="majorHAnsi" w:hAnsiTheme="majorHAnsi" w:cstheme="majorHAnsi"/>
          <w:lang w:val="sq-AL"/>
        </w:rPr>
        <w:t>në</w:t>
      </w:r>
      <w:r w:rsidRPr="00EB4BBE">
        <w:rPr>
          <w:rFonts w:asciiTheme="majorHAnsi" w:hAnsiTheme="majorHAnsi" w:cstheme="majorHAnsi"/>
          <w:lang w:val="sq-AL"/>
        </w:rPr>
        <w:t xml:space="preserve"> dështuar </w:t>
      </w:r>
      <w:r w:rsidR="00B960A6">
        <w:rPr>
          <w:rFonts w:asciiTheme="majorHAnsi" w:hAnsiTheme="majorHAnsi" w:cstheme="majorHAnsi"/>
          <w:lang w:val="sq-AL"/>
        </w:rPr>
        <w:t xml:space="preserve">të kualifikohen për grant të performancës, </w:t>
      </w:r>
      <w:r w:rsidRPr="00EB4BBE">
        <w:rPr>
          <w:rFonts w:asciiTheme="majorHAnsi" w:hAnsiTheme="majorHAnsi" w:cstheme="majorHAnsi"/>
          <w:lang w:val="sq-AL"/>
        </w:rPr>
        <w:t>ngase nuk i ka</w:t>
      </w:r>
      <w:r w:rsidR="00343D79" w:rsidRPr="00EB4BBE">
        <w:rPr>
          <w:rFonts w:asciiTheme="majorHAnsi" w:hAnsiTheme="majorHAnsi" w:cstheme="majorHAnsi"/>
          <w:lang w:val="sq-AL"/>
        </w:rPr>
        <w:t>në</w:t>
      </w:r>
      <w:r w:rsidRPr="00EB4BBE">
        <w:rPr>
          <w:rFonts w:asciiTheme="majorHAnsi" w:hAnsiTheme="majorHAnsi" w:cstheme="majorHAnsi"/>
          <w:lang w:val="sq-AL"/>
        </w:rPr>
        <w:t xml:space="preserve"> rishqyrtuar </w:t>
      </w:r>
      <w:r w:rsidR="00343D79" w:rsidRPr="00EB4BBE">
        <w:rPr>
          <w:rFonts w:asciiTheme="majorHAnsi" w:hAnsiTheme="majorHAnsi" w:cstheme="majorHAnsi"/>
          <w:lang w:val="sq-AL"/>
        </w:rPr>
        <w:t xml:space="preserve">nga </w:t>
      </w:r>
      <w:r w:rsidRPr="00EB4BBE">
        <w:rPr>
          <w:rFonts w:asciiTheme="majorHAnsi" w:hAnsiTheme="majorHAnsi" w:cstheme="majorHAnsi"/>
          <w:lang w:val="sq-AL"/>
        </w:rPr>
        <w:t>tri (3)</w:t>
      </w:r>
      <w:r w:rsidR="00343D79" w:rsidRPr="00EB4BBE">
        <w:rPr>
          <w:rStyle w:val="FootnoteReference"/>
          <w:rFonts w:asciiTheme="majorHAnsi" w:hAnsiTheme="majorHAnsi" w:cstheme="majorHAnsi"/>
          <w:lang w:val="sq-AL"/>
        </w:rPr>
        <w:footnoteReference w:id="6"/>
      </w:r>
      <w:r w:rsidRPr="00EB4BBE">
        <w:rPr>
          <w:rFonts w:asciiTheme="majorHAnsi" w:hAnsiTheme="majorHAnsi" w:cstheme="majorHAnsi"/>
          <w:lang w:val="sq-AL"/>
        </w:rPr>
        <w:t xml:space="preserve"> akte komunale</w:t>
      </w:r>
      <w:r w:rsidR="00343D79" w:rsidRPr="00EB4BBE">
        <w:rPr>
          <w:rFonts w:asciiTheme="majorHAnsi" w:hAnsiTheme="majorHAnsi" w:cstheme="majorHAnsi"/>
          <w:lang w:val="sq-AL"/>
        </w:rPr>
        <w:t xml:space="preserve"> secila</w:t>
      </w:r>
      <w:r w:rsidRPr="00EB4BBE">
        <w:rPr>
          <w:rFonts w:asciiTheme="majorHAnsi" w:hAnsiTheme="majorHAnsi" w:cstheme="majorHAnsi"/>
          <w:lang w:val="sq-AL"/>
        </w:rPr>
        <w:t>, brenda afatit shtesë. Ndërkaq, Kuvend</w:t>
      </w:r>
      <w:r w:rsidR="00343D79" w:rsidRPr="00EB4BBE">
        <w:rPr>
          <w:rFonts w:asciiTheme="majorHAnsi" w:hAnsiTheme="majorHAnsi" w:cstheme="majorHAnsi"/>
          <w:lang w:val="sq-AL"/>
        </w:rPr>
        <w:t>i Komunal i</w:t>
      </w:r>
      <w:r w:rsidRPr="00EB4BBE">
        <w:rPr>
          <w:rFonts w:asciiTheme="majorHAnsi" w:hAnsiTheme="majorHAnsi" w:cstheme="majorHAnsi"/>
          <w:lang w:val="sq-AL"/>
        </w:rPr>
        <w:t xml:space="preserve"> Prizrenit ka pas vetëm nga një akt komunal për rishqyrtim, por të cil</w:t>
      </w:r>
      <w:r w:rsidR="00343D79" w:rsidRPr="00EB4BBE">
        <w:rPr>
          <w:rFonts w:asciiTheme="majorHAnsi" w:hAnsiTheme="majorHAnsi" w:cstheme="majorHAnsi"/>
          <w:lang w:val="sq-AL"/>
        </w:rPr>
        <w:t>in</w:t>
      </w:r>
      <w:r w:rsidRPr="00EB4BBE">
        <w:rPr>
          <w:rFonts w:asciiTheme="majorHAnsi" w:hAnsiTheme="majorHAnsi" w:cstheme="majorHAnsi"/>
          <w:lang w:val="sq-AL"/>
        </w:rPr>
        <w:t xml:space="preserve"> </w:t>
      </w:r>
      <w:r w:rsidRPr="00EB4BBE">
        <w:rPr>
          <w:rFonts w:asciiTheme="majorHAnsi" w:hAnsiTheme="majorHAnsi" w:cstheme="majorHAnsi"/>
          <w:lang w:val="sq-AL"/>
        </w:rPr>
        <w:lastRenderedPageBreak/>
        <w:t>nuk ka arritë ta bëj</w:t>
      </w:r>
      <w:r w:rsidR="00343D79" w:rsidRPr="00EB4BBE">
        <w:rPr>
          <w:rFonts w:asciiTheme="majorHAnsi" w:hAnsiTheme="majorHAnsi" w:cstheme="majorHAnsi"/>
          <w:lang w:val="sq-AL"/>
        </w:rPr>
        <w:t>.</w:t>
      </w:r>
      <w:r w:rsidR="00874994">
        <w:rPr>
          <w:rFonts w:asciiTheme="majorHAnsi" w:hAnsiTheme="majorHAnsi" w:cstheme="majorHAnsi"/>
          <w:lang w:val="sq-AL"/>
        </w:rPr>
        <w:t xml:space="preserve"> </w:t>
      </w:r>
      <w:r w:rsidRPr="00EB4BBE">
        <w:rPr>
          <w:rFonts w:asciiTheme="majorHAnsi" w:hAnsiTheme="majorHAnsi" w:cstheme="majorHAnsi"/>
          <w:lang w:val="sq-AL"/>
        </w:rPr>
        <w:t>Përveç komunave të përmendura më sipër, 28 komuna</w:t>
      </w:r>
      <w:r w:rsidR="00962F9F" w:rsidRPr="00EB4BBE">
        <w:rPr>
          <w:rStyle w:val="FootnoteReference"/>
          <w:rFonts w:asciiTheme="majorHAnsi" w:hAnsiTheme="majorHAnsi" w:cstheme="majorHAnsi"/>
          <w:lang w:val="sq-AL"/>
        </w:rPr>
        <w:footnoteReference w:id="7"/>
      </w:r>
      <w:r w:rsidRPr="00EB4BBE">
        <w:rPr>
          <w:rFonts w:asciiTheme="majorHAnsi" w:hAnsiTheme="majorHAnsi" w:cstheme="majorHAnsi"/>
          <w:lang w:val="sq-AL"/>
        </w:rPr>
        <w:t xml:space="preserve"> të tjera i kanë rishqyrtuar në kohë apo nuk kanë pas asnjë akt komunal të vlerësuara të kundërligjshme</w:t>
      </w:r>
      <w:r w:rsidR="00962F9F" w:rsidRPr="00EB4BBE">
        <w:rPr>
          <w:rFonts w:asciiTheme="majorHAnsi" w:hAnsiTheme="majorHAnsi" w:cstheme="majorHAnsi"/>
          <w:lang w:val="sq-AL"/>
        </w:rPr>
        <w:t>.</w:t>
      </w:r>
    </w:p>
    <w:p w14:paraId="62E4DB00" w14:textId="77777777" w:rsidR="00FD07DF" w:rsidRPr="00EB4BBE" w:rsidRDefault="00FD07DF" w:rsidP="00EB4BBE">
      <w:pPr>
        <w:spacing w:line="300" w:lineRule="atLeast"/>
        <w:jc w:val="both"/>
        <w:rPr>
          <w:rFonts w:asciiTheme="majorHAnsi" w:hAnsiTheme="majorHAnsi" w:cstheme="majorHAnsi"/>
          <w:lang w:val="sq-AL"/>
        </w:rPr>
      </w:pPr>
    </w:p>
    <w:p w14:paraId="00B275A8" w14:textId="77777777" w:rsidR="00FD07DF" w:rsidRPr="00EB4BBE" w:rsidRDefault="00FD07DF" w:rsidP="00EB4BBE">
      <w:pPr>
        <w:spacing w:line="300" w:lineRule="atLeast"/>
        <w:jc w:val="both"/>
        <w:rPr>
          <w:rFonts w:asciiTheme="majorHAnsi" w:hAnsiTheme="majorHAnsi" w:cstheme="majorHAnsi"/>
          <w:lang w:val="sq-AL"/>
        </w:rPr>
      </w:pPr>
    </w:p>
    <w:p w14:paraId="59586720" w14:textId="77777777" w:rsidR="00FD07DF" w:rsidRPr="00EB4BBE" w:rsidRDefault="00FD07DF" w:rsidP="00EB4BBE">
      <w:pPr>
        <w:spacing w:line="300" w:lineRule="atLeast"/>
        <w:jc w:val="both"/>
        <w:rPr>
          <w:rFonts w:asciiTheme="majorHAnsi" w:hAnsiTheme="majorHAnsi" w:cstheme="majorHAnsi"/>
          <w:lang w:val="sq-AL"/>
        </w:rPr>
      </w:pPr>
    </w:p>
    <w:p w14:paraId="2F792034" w14:textId="77777777" w:rsidR="00962F9F" w:rsidRPr="00EB4BBE" w:rsidRDefault="00962F9F" w:rsidP="00EB4BBE">
      <w:pPr>
        <w:pStyle w:val="Heading1"/>
        <w:spacing w:before="0" w:line="300" w:lineRule="atLeast"/>
        <w:jc w:val="both"/>
        <w:rPr>
          <w:rFonts w:cstheme="majorHAnsi"/>
          <w:lang w:val="sq-AL"/>
        </w:rPr>
        <w:sectPr w:rsidR="00962F9F" w:rsidRPr="00EB4BBE" w:rsidSect="005B0B27">
          <w:pgSz w:w="12240" w:h="15840"/>
          <w:pgMar w:top="1440" w:right="1440" w:bottom="1440" w:left="1440" w:header="720" w:footer="720" w:gutter="0"/>
          <w:cols w:space="720"/>
          <w:docGrid w:linePitch="360"/>
        </w:sectPr>
      </w:pPr>
      <w:bookmarkStart w:id="10" w:name="_Toc62723839"/>
    </w:p>
    <w:p w14:paraId="54D52735" w14:textId="77777777" w:rsidR="009D3336" w:rsidRPr="00EB4BBE" w:rsidRDefault="009D3336" w:rsidP="00EB4BBE">
      <w:pPr>
        <w:pStyle w:val="Heading1"/>
        <w:spacing w:before="0" w:line="300" w:lineRule="atLeast"/>
        <w:jc w:val="both"/>
        <w:rPr>
          <w:rFonts w:cstheme="majorHAnsi"/>
          <w:lang w:val="sq-AL"/>
        </w:rPr>
      </w:pPr>
      <w:bookmarkStart w:id="11" w:name="_Toc62815184"/>
      <w:r w:rsidRPr="00EB4BBE">
        <w:rPr>
          <w:rFonts w:cstheme="majorHAnsi"/>
          <w:lang w:val="sq-AL"/>
        </w:rPr>
        <w:lastRenderedPageBreak/>
        <w:t xml:space="preserve">Aneksi I – </w:t>
      </w:r>
      <w:bookmarkEnd w:id="10"/>
      <w:r w:rsidR="00874994">
        <w:rPr>
          <w:rFonts w:cstheme="majorHAnsi"/>
          <w:lang w:val="sq-AL"/>
        </w:rPr>
        <w:t>Databaza e akteve per 10 komunat të cilat kanë pr</w:t>
      </w:r>
      <w:r w:rsidR="00885611">
        <w:rPr>
          <w:rFonts w:cstheme="majorHAnsi"/>
          <w:lang w:val="sq-AL"/>
        </w:rPr>
        <w:t>a</w:t>
      </w:r>
      <w:r w:rsidR="00874994">
        <w:rPr>
          <w:rFonts w:cstheme="majorHAnsi"/>
          <w:lang w:val="sq-AL"/>
        </w:rPr>
        <w:t>nuar shkresën për rishqyrtim</w:t>
      </w:r>
      <w:bookmarkEnd w:id="11"/>
    </w:p>
    <w:tbl>
      <w:tblPr>
        <w:tblW w:w="12860" w:type="dxa"/>
        <w:tblLook w:val="04A0" w:firstRow="1" w:lastRow="0" w:firstColumn="1" w:lastColumn="0" w:noHBand="0" w:noVBand="1"/>
      </w:tblPr>
      <w:tblGrid>
        <w:gridCol w:w="511"/>
        <w:gridCol w:w="1548"/>
        <w:gridCol w:w="1407"/>
        <w:gridCol w:w="1446"/>
        <w:gridCol w:w="6505"/>
        <w:gridCol w:w="1443"/>
      </w:tblGrid>
      <w:tr w:rsidR="00343D79" w:rsidRPr="00EB4BBE" w14:paraId="584DABCE" w14:textId="77777777" w:rsidTr="00282A1D">
        <w:trPr>
          <w:trHeight w:val="1380"/>
        </w:trPr>
        <w:tc>
          <w:tcPr>
            <w:tcW w:w="44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04DFE90" w14:textId="77777777" w:rsidR="00343D79" w:rsidRPr="00EB4BBE" w:rsidRDefault="00343D79" w:rsidP="00282A1D">
            <w:pPr>
              <w:spacing w:line="300" w:lineRule="atLeast"/>
              <w:jc w:val="center"/>
              <w:rPr>
                <w:rFonts w:asciiTheme="majorHAnsi" w:eastAsia="Times New Roman" w:hAnsiTheme="majorHAnsi" w:cstheme="majorHAnsi"/>
                <w:b/>
                <w:bCs/>
                <w:color w:val="FFFFFF" w:themeColor="background1"/>
                <w:lang w:val="sq-AL"/>
              </w:rPr>
            </w:pPr>
            <w:r w:rsidRPr="00EB4BBE">
              <w:rPr>
                <w:rFonts w:asciiTheme="majorHAnsi" w:eastAsia="Times New Roman" w:hAnsiTheme="majorHAnsi" w:cstheme="majorHAnsi"/>
                <w:b/>
                <w:bCs/>
                <w:color w:val="FFFFFF" w:themeColor="background1"/>
                <w:lang w:val="sq-AL"/>
              </w:rPr>
              <w:t>Nr.</w:t>
            </w:r>
          </w:p>
        </w:tc>
        <w:tc>
          <w:tcPr>
            <w:tcW w:w="155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B2B99C8" w14:textId="77777777" w:rsidR="00343D79" w:rsidRPr="00EB4BBE" w:rsidRDefault="00343D79" w:rsidP="00282A1D">
            <w:pPr>
              <w:spacing w:line="300" w:lineRule="atLeast"/>
              <w:jc w:val="center"/>
              <w:rPr>
                <w:rFonts w:asciiTheme="majorHAnsi" w:eastAsia="Times New Roman" w:hAnsiTheme="majorHAnsi" w:cstheme="majorHAnsi"/>
                <w:b/>
                <w:bCs/>
                <w:color w:val="FFFFFF"/>
                <w:lang w:val="sq-AL"/>
              </w:rPr>
            </w:pPr>
            <w:r w:rsidRPr="00EB4BBE">
              <w:rPr>
                <w:rFonts w:asciiTheme="majorHAnsi" w:eastAsia="Times New Roman" w:hAnsiTheme="majorHAnsi" w:cstheme="majorHAnsi"/>
                <w:b/>
                <w:bCs/>
                <w:color w:val="FFFFFF" w:themeColor="background1"/>
                <w:lang w:val="sq-AL"/>
              </w:rPr>
              <w:t>Komuna</w:t>
            </w:r>
          </w:p>
        </w:tc>
        <w:tc>
          <w:tcPr>
            <w:tcW w:w="14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2B73B5C" w14:textId="77777777" w:rsidR="00343D79" w:rsidRPr="00EB4BBE" w:rsidRDefault="00343D79" w:rsidP="00282A1D">
            <w:pPr>
              <w:spacing w:line="300" w:lineRule="atLeast"/>
              <w:jc w:val="center"/>
              <w:rPr>
                <w:rFonts w:asciiTheme="majorHAnsi" w:eastAsia="Times New Roman" w:hAnsiTheme="majorHAnsi" w:cstheme="majorHAnsi"/>
                <w:b/>
                <w:bCs/>
                <w:color w:val="FFFFFF"/>
                <w:lang w:val="sq-AL"/>
              </w:rPr>
            </w:pPr>
            <w:r w:rsidRPr="00EB4BBE">
              <w:rPr>
                <w:rFonts w:asciiTheme="majorHAnsi" w:eastAsia="Times New Roman" w:hAnsiTheme="majorHAnsi" w:cstheme="majorHAnsi"/>
                <w:b/>
                <w:bCs/>
                <w:color w:val="FFFFFF" w:themeColor="background1"/>
                <w:lang w:val="sq-AL"/>
              </w:rPr>
              <w:t>Numri i vendimeve për rishqyrtim</w:t>
            </w:r>
          </w:p>
        </w:tc>
        <w:tc>
          <w:tcPr>
            <w:tcW w:w="1447"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A6D30FA" w14:textId="77777777" w:rsidR="00343D79" w:rsidRPr="00EB4BBE" w:rsidRDefault="00343D79" w:rsidP="00282A1D">
            <w:pPr>
              <w:spacing w:line="300" w:lineRule="atLeast"/>
              <w:jc w:val="center"/>
              <w:rPr>
                <w:rFonts w:asciiTheme="majorHAnsi" w:eastAsia="Times New Roman" w:hAnsiTheme="majorHAnsi" w:cstheme="majorHAnsi"/>
                <w:b/>
                <w:bCs/>
                <w:color w:val="FFFFFF"/>
                <w:lang w:val="sq-AL"/>
              </w:rPr>
            </w:pPr>
            <w:r w:rsidRPr="00EB4BBE">
              <w:rPr>
                <w:rFonts w:asciiTheme="majorHAnsi" w:eastAsia="Times New Roman" w:hAnsiTheme="majorHAnsi" w:cstheme="majorHAnsi"/>
                <w:b/>
                <w:bCs/>
                <w:color w:val="FFFFFF" w:themeColor="background1"/>
                <w:lang w:val="sq-AL"/>
              </w:rPr>
              <w:t>Numri i vendimeve të rishqyrtuara deri me 22 janar 2021</w:t>
            </w:r>
          </w:p>
        </w:tc>
        <w:tc>
          <w:tcPr>
            <w:tcW w:w="656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9FCF110" w14:textId="77777777" w:rsidR="00343D79" w:rsidRPr="00EB4BBE" w:rsidRDefault="00343D79" w:rsidP="00282A1D">
            <w:pPr>
              <w:spacing w:line="300" w:lineRule="atLeast"/>
              <w:jc w:val="center"/>
              <w:rPr>
                <w:rFonts w:asciiTheme="majorHAnsi" w:eastAsia="Times New Roman" w:hAnsiTheme="majorHAnsi" w:cstheme="majorHAnsi"/>
                <w:b/>
                <w:bCs/>
                <w:color w:val="FFFFFF"/>
                <w:lang w:val="sq-AL"/>
              </w:rPr>
            </w:pPr>
            <w:r w:rsidRPr="00EB4BBE">
              <w:rPr>
                <w:rFonts w:asciiTheme="majorHAnsi" w:eastAsia="Times New Roman" w:hAnsiTheme="majorHAnsi" w:cstheme="majorHAnsi"/>
                <w:b/>
                <w:bCs/>
                <w:color w:val="FFFFFF"/>
                <w:lang w:val="sq-AL"/>
              </w:rPr>
              <w:t>Lloji i vendimit</w:t>
            </w:r>
          </w:p>
        </w:tc>
        <w:tc>
          <w:tcPr>
            <w:tcW w:w="1443"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7B8D19A" w14:textId="77777777" w:rsidR="00343D79" w:rsidRPr="00EB4BBE" w:rsidRDefault="00343D79" w:rsidP="00282A1D">
            <w:pPr>
              <w:spacing w:line="300" w:lineRule="atLeast"/>
              <w:jc w:val="center"/>
              <w:rPr>
                <w:rFonts w:asciiTheme="majorHAnsi" w:eastAsia="Times New Roman" w:hAnsiTheme="majorHAnsi" w:cstheme="majorHAnsi"/>
                <w:b/>
                <w:bCs/>
                <w:color w:val="FFFFFF"/>
                <w:lang w:val="sq-AL"/>
              </w:rPr>
            </w:pPr>
            <w:r w:rsidRPr="00EB4BBE">
              <w:rPr>
                <w:rFonts w:asciiTheme="majorHAnsi" w:eastAsia="Times New Roman" w:hAnsiTheme="majorHAnsi" w:cstheme="majorHAnsi"/>
                <w:b/>
                <w:bCs/>
                <w:color w:val="FFFFFF" w:themeColor="background1"/>
                <w:lang w:val="sq-AL"/>
              </w:rPr>
              <w:t>Komuna e ka përmbushur KM 2 (po/jo)</w:t>
            </w:r>
          </w:p>
        </w:tc>
      </w:tr>
      <w:tr w:rsidR="00343D79" w:rsidRPr="00EB4BBE" w14:paraId="5CF2A01B" w14:textId="77777777" w:rsidTr="00282A1D">
        <w:trPr>
          <w:trHeight w:val="1141"/>
        </w:trPr>
        <w:tc>
          <w:tcPr>
            <w:tcW w:w="440"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36C4D3C8"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1</w:t>
            </w:r>
          </w:p>
        </w:tc>
        <w:tc>
          <w:tcPr>
            <w:tcW w:w="1553" w:type="dxa"/>
            <w:vMerge w:val="restart"/>
            <w:tcBorders>
              <w:top w:val="nil"/>
              <w:left w:val="single" w:sz="8" w:space="0" w:color="auto"/>
              <w:bottom w:val="single" w:sz="8" w:space="0" w:color="000000"/>
              <w:right w:val="single" w:sz="8" w:space="0" w:color="auto"/>
            </w:tcBorders>
            <w:shd w:val="clear" w:color="auto" w:fill="auto"/>
            <w:vAlign w:val="center"/>
            <w:hideMark/>
          </w:tcPr>
          <w:p w14:paraId="37FD603F"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Skenderaj</w:t>
            </w:r>
          </w:p>
        </w:tc>
        <w:tc>
          <w:tcPr>
            <w:tcW w:w="1409" w:type="dxa"/>
            <w:vMerge w:val="restart"/>
            <w:tcBorders>
              <w:top w:val="nil"/>
              <w:left w:val="single" w:sz="8" w:space="0" w:color="auto"/>
              <w:bottom w:val="single" w:sz="8" w:space="0" w:color="000000"/>
              <w:right w:val="single" w:sz="8" w:space="0" w:color="auto"/>
            </w:tcBorders>
            <w:shd w:val="clear" w:color="auto" w:fill="auto"/>
            <w:vAlign w:val="center"/>
            <w:hideMark/>
          </w:tcPr>
          <w:p w14:paraId="0E621A65"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3</w:t>
            </w:r>
          </w:p>
        </w:tc>
        <w:tc>
          <w:tcPr>
            <w:tcW w:w="1447" w:type="dxa"/>
            <w:vMerge w:val="restart"/>
            <w:tcBorders>
              <w:top w:val="nil"/>
              <w:left w:val="single" w:sz="8" w:space="0" w:color="auto"/>
              <w:bottom w:val="single" w:sz="8" w:space="0" w:color="000000"/>
              <w:right w:val="single" w:sz="8" w:space="0" w:color="auto"/>
            </w:tcBorders>
            <w:shd w:val="clear" w:color="auto" w:fill="auto"/>
            <w:vAlign w:val="center"/>
            <w:hideMark/>
          </w:tcPr>
          <w:p w14:paraId="649B4F6F"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3</w:t>
            </w:r>
          </w:p>
        </w:tc>
        <w:tc>
          <w:tcPr>
            <w:tcW w:w="6568" w:type="dxa"/>
            <w:tcBorders>
              <w:top w:val="nil"/>
              <w:left w:val="nil"/>
              <w:bottom w:val="single" w:sz="8" w:space="0" w:color="auto"/>
              <w:right w:val="single" w:sz="8" w:space="0" w:color="auto"/>
            </w:tcBorders>
            <w:shd w:val="clear" w:color="000000" w:fill="548235"/>
            <w:vAlign w:val="center"/>
            <w:hideMark/>
          </w:tcPr>
          <w:p w14:paraId="35433EC0"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1. Vendim Nr.01-463/02-0047243 për dhënien e pronës se paluajtshme në shfrytëzim afatgjatë kompanisë për grumbullimin e mbeturinave “UNITETI” dhe kompanisë së ujësjellësit Mitrovica njësia Skenderaj;</w:t>
            </w:r>
          </w:p>
        </w:tc>
        <w:tc>
          <w:tcPr>
            <w:tcW w:w="1443" w:type="dxa"/>
            <w:vMerge w:val="restart"/>
            <w:tcBorders>
              <w:top w:val="nil"/>
              <w:left w:val="nil"/>
              <w:bottom w:val="nil"/>
              <w:right w:val="single" w:sz="8" w:space="0" w:color="000000"/>
            </w:tcBorders>
            <w:shd w:val="clear" w:color="000000" w:fill="538135"/>
            <w:vAlign w:val="center"/>
            <w:hideMark/>
          </w:tcPr>
          <w:p w14:paraId="6FCB1507"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Po</w:t>
            </w:r>
          </w:p>
        </w:tc>
      </w:tr>
      <w:tr w:rsidR="00343D79" w:rsidRPr="00EB4BBE" w14:paraId="637BC930" w14:textId="77777777" w:rsidTr="00282A1D">
        <w:trPr>
          <w:trHeight w:val="313"/>
        </w:trPr>
        <w:tc>
          <w:tcPr>
            <w:tcW w:w="440"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62F521AB"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auto"/>
              <w:bottom w:val="single" w:sz="8" w:space="0" w:color="000000"/>
              <w:right w:val="single" w:sz="8" w:space="0" w:color="auto"/>
            </w:tcBorders>
            <w:vAlign w:val="center"/>
            <w:hideMark/>
          </w:tcPr>
          <w:p w14:paraId="7119929B"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auto"/>
              <w:bottom w:val="single" w:sz="8" w:space="0" w:color="000000"/>
              <w:right w:val="single" w:sz="8" w:space="0" w:color="auto"/>
            </w:tcBorders>
            <w:vAlign w:val="center"/>
            <w:hideMark/>
          </w:tcPr>
          <w:p w14:paraId="7D1A3D50"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auto"/>
              <w:bottom w:val="single" w:sz="8" w:space="0" w:color="000000"/>
              <w:right w:val="single" w:sz="8" w:space="0" w:color="auto"/>
            </w:tcBorders>
            <w:vAlign w:val="center"/>
            <w:hideMark/>
          </w:tcPr>
          <w:p w14:paraId="72AF33C0"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548235"/>
            <w:vAlign w:val="center"/>
            <w:hideMark/>
          </w:tcPr>
          <w:p w14:paraId="4661392C"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2. Vendimi Nr.01-351/01-0019484/19 për destinimin e pronave publike komunale për ndërtimin e fushave dhe sallave sportive;</w:t>
            </w:r>
          </w:p>
        </w:tc>
        <w:tc>
          <w:tcPr>
            <w:tcW w:w="1443" w:type="dxa"/>
            <w:vMerge/>
            <w:tcBorders>
              <w:top w:val="nil"/>
              <w:left w:val="nil"/>
              <w:bottom w:val="nil"/>
              <w:right w:val="single" w:sz="8" w:space="0" w:color="000000"/>
            </w:tcBorders>
            <w:vAlign w:val="center"/>
            <w:hideMark/>
          </w:tcPr>
          <w:p w14:paraId="1ADB2088"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487FD01B" w14:textId="77777777" w:rsidTr="00282A1D">
        <w:trPr>
          <w:trHeight w:val="601"/>
        </w:trPr>
        <w:tc>
          <w:tcPr>
            <w:tcW w:w="440"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14:paraId="1EE210BA"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auto"/>
              <w:bottom w:val="single" w:sz="8" w:space="0" w:color="000000"/>
              <w:right w:val="single" w:sz="8" w:space="0" w:color="auto"/>
            </w:tcBorders>
            <w:vAlign w:val="center"/>
            <w:hideMark/>
          </w:tcPr>
          <w:p w14:paraId="61A884B0"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auto"/>
              <w:bottom w:val="single" w:sz="8" w:space="0" w:color="000000"/>
              <w:right w:val="single" w:sz="8" w:space="0" w:color="auto"/>
            </w:tcBorders>
            <w:vAlign w:val="center"/>
            <w:hideMark/>
          </w:tcPr>
          <w:p w14:paraId="18F73AF7"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auto"/>
              <w:bottom w:val="single" w:sz="8" w:space="0" w:color="000000"/>
              <w:right w:val="single" w:sz="8" w:space="0" w:color="auto"/>
            </w:tcBorders>
            <w:vAlign w:val="center"/>
            <w:hideMark/>
          </w:tcPr>
          <w:p w14:paraId="5F9DE634"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548235"/>
            <w:vAlign w:val="center"/>
            <w:hideMark/>
          </w:tcPr>
          <w:p w14:paraId="479535E0"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3. Vendimi Nr.01-463/03-0025335/19 për themelimin dhe destinimin e lokacionit për ndërtimin e inkubatorit të biznesit për Komunën e Skënderajt.</w:t>
            </w:r>
          </w:p>
        </w:tc>
        <w:tc>
          <w:tcPr>
            <w:tcW w:w="1443" w:type="dxa"/>
            <w:vMerge/>
            <w:tcBorders>
              <w:top w:val="nil"/>
              <w:left w:val="nil"/>
              <w:bottom w:val="nil"/>
              <w:right w:val="single" w:sz="8" w:space="0" w:color="000000"/>
            </w:tcBorders>
            <w:vAlign w:val="center"/>
            <w:hideMark/>
          </w:tcPr>
          <w:p w14:paraId="4240BC2D"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77756DB1" w14:textId="77777777" w:rsidTr="00282A1D">
        <w:trPr>
          <w:trHeight w:val="160"/>
        </w:trPr>
        <w:tc>
          <w:tcPr>
            <w:tcW w:w="440" w:type="dxa"/>
            <w:vMerge w:val="restart"/>
            <w:tcBorders>
              <w:top w:val="nil"/>
              <w:left w:val="single" w:sz="8" w:space="0" w:color="000000"/>
              <w:bottom w:val="nil"/>
              <w:right w:val="single" w:sz="8" w:space="0" w:color="000000"/>
            </w:tcBorders>
            <w:shd w:val="clear" w:color="auto" w:fill="BFBFBF" w:themeFill="background1" w:themeFillShade="BF"/>
            <w:vAlign w:val="center"/>
            <w:hideMark/>
          </w:tcPr>
          <w:p w14:paraId="6A5F79C4"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2</w:t>
            </w:r>
          </w:p>
        </w:tc>
        <w:tc>
          <w:tcPr>
            <w:tcW w:w="1553" w:type="dxa"/>
            <w:vMerge w:val="restart"/>
            <w:tcBorders>
              <w:top w:val="nil"/>
              <w:left w:val="single" w:sz="8" w:space="0" w:color="000000"/>
              <w:bottom w:val="nil"/>
              <w:right w:val="single" w:sz="8" w:space="0" w:color="000000"/>
            </w:tcBorders>
            <w:shd w:val="clear" w:color="auto" w:fill="auto"/>
            <w:vAlign w:val="center"/>
            <w:hideMark/>
          </w:tcPr>
          <w:p w14:paraId="6BCF4BDC"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Lipjan</w:t>
            </w:r>
          </w:p>
        </w:tc>
        <w:tc>
          <w:tcPr>
            <w:tcW w:w="1409" w:type="dxa"/>
            <w:vMerge w:val="restart"/>
            <w:tcBorders>
              <w:top w:val="nil"/>
              <w:left w:val="single" w:sz="8" w:space="0" w:color="000000"/>
              <w:bottom w:val="nil"/>
              <w:right w:val="single" w:sz="8" w:space="0" w:color="000000"/>
            </w:tcBorders>
            <w:shd w:val="clear" w:color="auto" w:fill="auto"/>
            <w:vAlign w:val="center"/>
            <w:hideMark/>
          </w:tcPr>
          <w:p w14:paraId="0A9E3A33"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3</w:t>
            </w:r>
          </w:p>
        </w:tc>
        <w:tc>
          <w:tcPr>
            <w:tcW w:w="1447" w:type="dxa"/>
            <w:vMerge w:val="restart"/>
            <w:tcBorders>
              <w:top w:val="nil"/>
              <w:left w:val="single" w:sz="8" w:space="0" w:color="000000"/>
              <w:bottom w:val="nil"/>
              <w:right w:val="nil"/>
            </w:tcBorders>
            <w:shd w:val="clear" w:color="auto" w:fill="auto"/>
            <w:vAlign w:val="center"/>
            <w:hideMark/>
          </w:tcPr>
          <w:p w14:paraId="732B72FE"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3</w:t>
            </w:r>
          </w:p>
        </w:tc>
        <w:tc>
          <w:tcPr>
            <w:tcW w:w="6568" w:type="dxa"/>
            <w:tcBorders>
              <w:top w:val="nil"/>
              <w:left w:val="single" w:sz="8" w:space="0" w:color="auto"/>
              <w:bottom w:val="single" w:sz="8" w:space="0" w:color="auto"/>
              <w:right w:val="single" w:sz="8" w:space="0" w:color="auto"/>
            </w:tcBorders>
            <w:shd w:val="clear" w:color="000000" w:fill="548235"/>
            <w:vAlign w:val="center"/>
            <w:hideMark/>
          </w:tcPr>
          <w:p w14:paraId="64E76A84"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1. Vendimin Nr. 463-20391 për caktimin e lokacionit për ndërtimin e xhamisë në fshatin Llugaxhi;</w:t>
            </w:r>
          </w:p>
        </w:tc>
        <w:tc>
          <w:tcPr>
            <w:tcW w:w="1443" w:type="dxa"/>
            <w:vMerge w:val="restart"/>
            <w:tcBorders>
              <w:top w:val="single" w:sz="8" w:space="0" w:color="auto"/>
              <w:left w:val="single" w:sz="8" w:space="0" w:color="auto"/>
              <w:bottom w:val="single" w:sz="8" w:space="0" w:color="000000"/>
              <w:right w:val="single" w:sz="8" w:space="0" w:color="auto"/>
            </w:tcBorders>
            <w:shd w:val="clear" w:color="000000" w:fill="538135"/>
            <w:vAlign w:val="center"/>
            <w:hideMark/>
          </w:tcPr>
          <w:p w14:paraId="1CEE27B1"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Po</w:t>
            </w:r>
          </w:p>
        </w:tc>
      </w:tr>
      <w:tr w:rsidR="00343D79" w:rsidRPr="00EB4BBE" w14:paraId="567B56DB" w14:textId="77777777" w:rsidTr="00282A1D">
        <w:trPr>
          <w:trHeight w:val="277"/>
        </w:trPr>
        <w:tc>
          <w:tcPr>
            <w:tcW w:w="440" w:type="dxa"/>
            <w:vMerge/>
            <w:tcBorders>
              <w:top w:val="nil"/>
              <w:left w:val="single" w:sz="8" w:space="0" w:color="000000"/>
              <w:bottom w:val="nil"/>
              <w:right w:val="single" w:sz="8" w:space="0" w:color="000000"/>
            </w:tcBorders>
            <w:shd w:val="clear" w:color="auto" w:fill="BFBFBF" w:themeFill="background1" w:themeFillShade="BF"/>
            <w:vAlign w:val="center"/>
            <w:hideMark/>
          </w:tcPr>
          <w:p w14:paraId="6EFE0893"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000000"/>
              <w:bottom w:val="nil"/>
              <w:right w:val="single" w:sz="8" w:space="0" w:color="000000"/>
            </w:tcBorders>
            <w:vAlign w:val="center"/>
            <w:hideMark/>
          </w:tcPr>
          <w:p w14:paraId="229BD130"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000000"/>
              <w:bottom w:val="nil"/>
              <w:right w:val="single" w:sz="8" w:space="0" w:color="000000"/>
            </w:tcBorders>
            <w:vAlign w:val="center"/>
            <w:hideMark/>
          </w:tcPr>
          <w:p w14:paraId="4EB4D390"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000000"/>
              <w:bottom w:val="nil"/>
              <w:right w:val="nil"/>
            </w:tcBorders>
            <w:vAlign w:val="center"/>
            <w:hideMark/>
          </w:tcPr>
          <w:p w14:paraId="0A250CD7"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single" w:sz="8" w:space="0" w:color="auto"/>
              <w:bottom w:val="single" w:sz="8" w:space="0" w:color="auto"/>
              <w:right w:val="single" w:sz="8" w:space="0" w:color="auto"/>
            </w:tcBorders>
            <w:shd w:val="clear" w:color="000000" w:fill="548235"/>
            <w:vAlign w:val="center"/>
            <w:hideMark/>
          </w:tcPr>
          <w:p w14:paraId="4A6A3932"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2. Vendimin Nr. 500-48448 për miratimin e Strategjisë dhe Planit të Veprimit të Komunës së Lipjanit për kujdes parësor–shëndetësor;</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682109A1"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1817CF0B" w14:textId="77777777" w:rsidTr="00282A1D">
        <w:trPr>
          <w:trHeight w:val="358"/>
        </w:trPr>
        <w:tc>
          <w:tcPr>
            <w:tcW w:w="440" w:type="dxa"/>
            <w:vMerge/>
            <w:tcBorders>
              <w:top w:val="nil"/>
              <w:left w:val="single" w:sz="8" w:space="0" w:color="000000"/>
              <w:bottom w:val="nil"/>
              <w:right w:val="single" w:sz="8" w:space="0" w:color="000000"/>
            </w:tcBorders>
            <w:shd w:val="clear" w:color="auto" w:fill="BFBFBF" w:themeFill="background1" w:themeFillShade="BF"/>
            <w:vAlign w:val="center"/>
            <w:hideMark/>
          </w:tcPr>
          <w:p w14:paraId="54BFE294"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000000"/>
              <w:bottom w:val="nil"/>
              <w:right w:val="single" w:sz="8" w:space="0" w:color="000000"/>
            </w:tcBorders>
            <w:vAlign w:val="center"/>
            <w:hideMark/>
          </w:tcPr>
          <w:p w14:paraId="60642B7E"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000000"/>
              <w:bottom w:val="nil"/>
              <w:right w:val="single" w:sz="8" w:space="0" w:color="000000"/>
            </w:tcBorders>
            <w:vAlign w:val="center"/>
            <w:hideMark/>
          </w:tcPr>
          <w:p w14:paraId="7DE577E8"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000000"/>
              <w:bottom w:val="nil"/>
              <w:right w:val="nil"/>
            </w:tcBorders>
            <w:vAlign w:val="center"/>
            <w:hideMark/>
          </w:tcPr>
          <w:p w14:paraId="6735F823"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single" w:sz="8" w:space="0" w:color="auto"/>
              <w:bottom w:val="single" w:sz="8" w:space="0" w:color="auto"/>
              <w:right w:val="single" w:sz="8" w:space="0" w:color="auto"/>
            </w:tcBorders>
            <w:shd w:val="clear" w:color="000000" w:fill="548235"/>
            <w:vAlign w:val="center"/>
            <w:hideMark/>
          </w:tcPr>
          <w:p w14:paraId="1C7D5678"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3. Vendimin 15 Nr.463-14826 për dhënien në shfrytëzim të pronës komunale Këshillit të Bashkësisë islame në Lipjan për varreza të fshatit Rubofc.</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0F6B07D2"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6B1F8291" w14:textId="77777777" w:rsidTr="00282A1D">
        <w:trPr>
          <w:trHeight w:val="1040"/>
        </w:trPr>
        <w:tc>
          <w:tcPr>
            <w:tcW w:w="44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646EA4F9"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3</w:t>
            </w:r>
          </w:p>
        </w:tc>
        <w:tc>
          <w:tcPr>
            <w:tcW w:w="1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BBC558"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Malishevë</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8E6F20"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2</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49F444"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2</w:t>
            </w:r>
          </w:p>
        </w:tc>
        <w:tc>
          <w:tcPr>
            <w:tcW w:w="6568" w:type="dxa"/>
            <w:tcBorders>
              <w:top w:val="nil"/>
              <w:left w:val="nil"/>
              <w:bottom w:val="single" w:sz="8" w:space="0" w:color="auto"/>
              <w:right w:val="single" w:sz="8" w:space="0" w:color="auto"/>
            </w:tcBorders>
            <w:shd w:val="clear" w:color="000000" w:fill="548235"/>
            <w:vAlign w:val="center"/>
            <w:hideMark/>
          </w:tcPr>
          <w:p w14:paraId="342CC625"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1. Vendimi Nr.02/230 për caktimin e lokacionit për realizimin e projektit “Ndërtimi i Shtëpisë së Komunitetit”;</w:t>
            </w:r>
          </w:p>
        </w:tc>
        <w:tc>
          <w:tcPr>
            <w:tcW w:w="1443" w:type="dxa"/>
            <w:vMerge w:val="restart"/>
            <w:tcBorders>
              <w:top w:val="nil"/>
              <w:left w:val="single" w:sz="8" w:space="0" w:color="auto"/>
              <w:bottom w:val="single" w:sz="8" w:space="0" w:color="000000"/>
              <w:right w:val="single" w:sz="8" w:space="0" w:color="auto"/>
            </w:tcBorders>
            <w:shd w:val="clear" w:color="000000" w:fill="538135"/>
            <w:vAlign w:val="center"/>
            <w:hideMark/>
          </w:tcPr>
          <w:p w14:paraId="34BA536E"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Po</w:t>
            </w:r>
          </w:p>
        </w:tc>
      </w:tr>
      <w:tr w:rsidR="00343D79" w:rsidRPr="00EB4BBE" w14:paraId="6784FD80" w14:textId="77777777" w:rsidTr="00282A1D">
        <w:trPr>
          <w:trHeight w:val="67"/>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32E0EC30"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79D1BC7C"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7E38D316"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6506DE83"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548235"/>
            <w:vAlign w:val="center"/>
            <w:hideMark/>
          </w:tcPr>
          <w:p w14:paraId="53933A9B"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2. Vendimi Nr.02/237 për caktimin e lokacionit “Park të Memorialit të UÇK-së” në Malishevë.</w:t>
            </w:r>
          </w:p>
        </w:tc>
        <w:tc>
          <w:tcPr>
            <w:tcW w:w="1443" w:type="dxa"/>
            <w:vMerge/>
            <w:tcBorders>
              <w:top w:val="nil"/>
              <w:left w:val="single" w:sz="8" w:space="0" w:color="auto"/>
              <w:bottom w:val="single" w:sz="8" w:space="0" w:color="000000"/>
              <w:right w:val="single" w:sz="8" w:space="0" w:color="auto"/>
            </w:tcBorders>
            <w:vAlign w:val="center"/>
            <w:hideMark/>
          </w:tcPr>
          <w:p w14:paraId="523C1F2E"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61BBC875" w14:textId="77777777" w:rsidTr="00282A1D">
        <w:trPr>
          <w:trHeight w:val="700"/>
        </w:trPr>
        <w:tc>
          <w:tcPr>
            <w:tcW w:w="440" w:type="dxa"/>
            <w:tcBorders>
              <w:top w:val="nil"/>
              <w:left w:val="single" w:sz="8" w:space="0" w:color="000000"/>
              <w:bottom w:val="nil"/>
              <w:right w:val="single" w:sz="8" w:space="0" w:color="000000"/>
            </w:tcBorders>
            <w:shd w:val="clear" w:color="auto" w:fill="BFBFBF" w:themeFill="background1" w:themeFillShade="BF"/>
            <w:vAlign w:val="center"/>
            <w:hideMark/>
          </w:tcPr>
          <w:p w14:paraId="73FE16E0"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lastRenderedPageBreak/>
              <w:t>4</w:t>
            </w:r>
          </w:p>
        </w:tc>
        <w:tc>
          <w:tcPr>
            <w:tcW w:w="1553" w:type="dxa"/>
            <w:tcBorders>
              <w:top w:val="nil"/>
              <w:left w:val="nil"/>
              <w:bottom w:val="nil"/>
              <w:right w:val="single" w:sz="8" w:space="0" w:color="000000"/>
            </w:tcBorders>
            <w:shd w:val="clear" w:color="auto" w:fill="auto"/>
            <w:vAlign w:val="center"/>
            <w:hideMark/>
          </w:tcPr>
          <w:p w14:paraId="75C0877B"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Gracanica</w:t>
            </w:r>
          </w:p>
        </w:tc>
        <w:tc>
          <w:tcPr>
            <w:tcW w:w="1409" w:type="dxa"/>
            <w:tcBorders>
              <w:top w:val="nil"/>
              <w:left w:val="nil"/>
              <w:bottom w:val="nil"/>
              <w:right w:val="single" w:sz="8" w:space="0" w:color="000000"/>
            </w:tcBorders>
            <w:shd w:val="clear" w:color="auto" w:fill="auto"/>
            <w:vAlign w:val="center"/>
            <w:hideMark/>
          </w:tcPr>
          <w:p w14:paraId="761A807A"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1</w:t>
            </w:r>
          </w:p>
        </w:tc>
        <w:tc>
          <w:tcPr>
            <w:tcW w:w="1447" w:type="dxa"/>
            <w:tcBorders>
              <w:top w:val="nil"/>
              <w:left w:val="nil"/>
              <w:bottom w:val="nil"/>
              <w:right w:val="single" w:sz="8" w:space="0" w:color="000000"/>
            </w:tcBorders>
            <w:shd w:val="clear" w:color="auto" w:fill="auto"/>
            <w:vAlign w:val="center"/>
            <w:hideMark/>
          </w:tcPr>
          <w:p w14:paraId="71BFBFD4"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1</w:t>
            </w:r>
          </w:p>
        </w:tc>
        <w:tc>
          <w:tcPr>
            <w:tcW w:w="6568" w:type="dxa"/>
            <w:tcBorders>
              <w:top w:val="nil"/>
              <w:left w:val="nil"/>
              <w:bottom w:val="single" w:sz="8" w:space="0" w:color="auto"/>
              <w:right w:val="single" w:sz="8" w:space="0" w:color="auto"/>
            </w:tcBorders>
            <w:shd w:val="clear" w:color="000000" w:fill="548235"/>
            <w:vAlign w:val="center"/>
            <w:hideMark/>
          </w:tcPr>
          <w:p w14:paraId="642F1D6D" w14:textId="0AF2C7ED"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Vendimi Nr.285/14 për fillimin e procedures së hartimit të Hartës Zonale të Komunës së Graçanicës.</w:t>
            </w:r>
          </w:p>
        </w:tc>
        <w:tc>
          <w:tcPr>
            <w:tcW w:w="1443" w:type="dxa"/>
            <w:tcBorders>
              <w:top w:val="nil"/>
              <w:left w:val="nil"/>
              <w:bottom w:val="nil"/>
              <w:right w:val="single" w:sz="8" w:space="0" w:color="000000"/>
            </w:tcBorders>
            <w:shd w:val="clear" w:color="000000" w:fill="538135"/>
            <w:vAlign w:val="center"/>
            <w:hideMark/>
          </w:tcPr>
          <w:p w14:paraId="7E88D0B6"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Po</w:t>
            </w:r>
          </w:p>
        </w:tc>
      </w:tr>
      <w:tr w:rsidR="00343D79" w:rsidRPr="00EB4BBE" w14:paraId="42201C30" w14:textId="77777777" w:rsidTr="00282A1D">
        <w:trPr>
          <w:trHeight w:val="67"/>
        </w:trPr>
        <w:tc>
          <w:tcPr>
            <w:tcW w:w="44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7C061188"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5</w:t>
            </w:r>
          </w:p>
        </w:tc>
        <w:tc>
          <w:tcPr>
            <w:tcW w:w="1553" w:type="dxa"/>
            <w:tcBorders>
              <w:top w:val="single" w:sz="8" w:space="0" w:color="000000"/>
              <w:left w:val="nil"/>
              <w:bottom w:val="single" w:sz="8" w:space="0" w:color="000000"/>
              <w:right w:val="single" w:sz="8" w:space="0" w:color="000000"/>
            </w:tcBorders>
            <w:shd w:val="clear" w:color="auto" w:fill="auto"/>
            <w:vAlign w:val="center"/>
            <w:hideMark/>
          </w:tcPr>
          <w:p w14:paraId="0FDB973B"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Mitrovicë e Jugut</w:t>
            </w:r>
          </w:p>
        </w:tc>
        <w:tc>
          <w:tcPr>
            <w:tcW w:w="1409" w:type="dxa"/>
            <w:tcBorders>
              <w:top w:val="single" w:sz="8" w:space="0" w:color="000000"/>
              <w:left w:val="nil"/>
              <w:bottom w:val="single" w:sz="8" w:space="0" w:color="000000"/>
              <w:right w:val="single" w:sz="8" w:space="0" w:color="000000"/>
            </w:tcBorders>
            <w:shd w:val="clear" w:color="auto" w:fill="auto"/>
            <w:vAlign w:val="center"/>
            <w:hideMark/>
          </w:tcPr>
          <w:p w14:paraId="7645599E"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1</w:t>
            </w:r>
          </w:p>
        </w:tc>
        <w:tc>
          <w:tcPr>
            <w:tcW w:w="1447" w:type="dxa"/>
            <w:tcBorders>
              <w:top w:val="single" w:sz="8" w:space="0" w:color="000000"/>
              <w:left w:val="nil"/>
              <w:bottom w:val="single" w:sz="8" w:space="0" w:color="000000"/>
              <w:right w:val="single" w:sz="8" w:space="0" w:color="000000"/>
            </w:tcBorders>
            <w:shd w:val="clear" w:color="auto" w:fill="auto"/>
            <w:vAlign w:val="center"/>
            <w:hideMark/>
          </w:tcPr>
          <w:p w14:paraId="5D8C0286"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1</w:t>
            </w:r>
          </w:p>
        </w:tc>
        <w:tc>
          <w:tcPr>
            <w:tcW w:w="6568" w:type="dxa"/>
            <w:tcBorders>
              <w:top w:val="nil"/>
              <w:left w:val="nil"/>
              <w:bottom w:val="single" w:sz="8" w:space="0" w:color="auto"/>
              <w:right w:val="single" w:sz="8" w:space="0" w:color="auto"/>
            </w:tcBorders>
            <w:shd w:val="clear" w:color="000000" w:fill="548235"/>
            <w:vAlign w:val="center"/>
            <w:hideMark/>
          </w:tcPr>
          <w:p w14:paraId="5F49BFE5"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Vendimin Nr. 02-060/01-0075387/19-15 për destinimin (shfrytëzim) të tokës komunale në tokë ndërtimore me qellim të ndërtimit të shtëpive për arsye humanitare</w:t>
            </w:r>
          </w:p>
        </w:tc>
        <w:tc>
          <w:tcPr>
            <w:tcW w:w="1443" w:type="dxa"/>
            <w:tcBorders>
              <w:top w:val="single" w:sz="8" w:space="0" w:color="000000"/>
              <w:left w:val="nil"/>
              <w:bottom w:val="single" w:sz="8" w:space="0" w:color="000000"/>
              <w:right w:val="single" w:sz="8" w:space="0" w:color="000000"/>
            </w:tcBorders>
            <w:shd w:val="clear" w:color="000000" w:fill="538135"/>
            <w:vAlign w:val="center"/>
            <w:hideMark/>
          </w:tcPr>
          <w:p w14:paraId="2B539FA4"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Po</w:t>
            </w:r>
          </w:p>
        </w:tc>
      </w:tr>
      <w:tr w:rsidR="00343D79" w:rsidRPr="00EB4BBE" w14:paraId="6A156A6C" w14:textId="77777777" w:rsidTr="00282A1D">
        <w:trPr>
          <w:trHeight w:val="187"/>
        </w:trPr>
        <w:tc>
          <w:tcPr>
            <w:tcW w:w="440" w:type="dxa"/>
            <w:tcBorders>
              <w:top w:val="nil"/>
              <w:left w:val="single" w:sz="8" w:space="0" w:color="000000"/>
              <w:bottom w:val="nil"/>
              <w:right w:val="single" w:sz="8" w:space="0" w:color="000000"/>
            </w:tcBorders>
            <w:shd w:val="clear" w:color="auto" w:fill="BFBFBF" w:themeFill="background1" w:themeFillShade="BF"/>
            <w:vAlign w:val="center"/>
            <w:hideMark/>
          </w:tcPr>
          <w:p w14:paraId="64E62D76"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6</w:t>
            </w:r>
          </w:p>
        </w:tc>
        <w:tc>
          <w:tcPr>
            <w:tcW w:w="1553" w:type="dxa"/>
            <w:tcBorders>
              <w:top w:val="nil"/>
              <w:left w:val="nil"/>
              <w:bottom w:val="nil"/>
              <w:right w:val="single" w:sz="8" w:space="0" w:color="000000"/>
            </w:tcBorders>
            <w:shd w:val="clear" w:color="auto" w:fill="auto"/>
            <w:vAlign w:val="center"/>
            <w:hideMark/>
          </w:tcPr>
          <w:p w14:paraId="6D6AE167"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Vushtrri</w:t>
            </w:r>
          </w:p>
        </w:tc>
        <w:tc>
          <w:tcPr>
            <w:tcW w:w="1409" w:type="dxa"/>
            <w:tcBorders>
              <w:top w:val="nil"/>
              <w:left w:val="nil"/>
              <w:bottom w:val="nil"/>
              <w:right w:val="single" w:sz="8" w:space="0" w:color="000000"/>
            </w:tcBorders>
            <w:shd w:val="clear" w:color="auto" w:fill="auto"/>
            <w:vAlign w:val="center"/>
            <w:hideMark/>
          </w:tcPr>
          <w:p w14:paraId="38562EF2"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1</w:t>
            </w:r>
          </w:p>
        </w:tc>
        <w:tc>
          <w:tcPr>
            <w:tcW w:w="1447" w:type="dxa"/>
            <w:tcBorders>
              <w:top w:val="nil"/>
              <w:left w:val="nil"/>
              <w:bottom w:val="nil"/>
              <w:right w:val="single" w:sz="8" w:space="0" w:color="000000"/>
            </w:tcBorders>
            <w:shd w:val="clear" w:color="auto" w:fill="auto"/>
            <w:vAlign w:val="center"/>
            <w:hideMark/>
          </w:tcPr>
          <w:p w14:paraId="5D53BD93"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1</w:t>
            </w:r>
          </w:p>
        </w:tc>
        <w:tc>
          <w:tcPr>
            <w:tcW w:w="6568" w:type="dxa"/>
            <w:tcBorders>
              <w:top w:val="nil"/>
              <w:left w:val="nil"/>
              <w:bottom w:val="single" w:sz="8" w:space="0" w:color="auto"/>
              <w:right w:val="single" w:sz="8" w:space="0" w:color="auto"/>
            </w:tcBorders>
            <w:shd w:val="clear" w:color="000000" w:fill="548235"/>
            <w:vAlign w:val="center"/>
            <w:hideMark/>
          </w:tcPr>
          <w:p w14:paraId="709C8B10"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Vendimin Nr. 363/18 për anulimin e konkluzionit të Kuvendit të Komunës 12 Nr. 465-18 të datës 21.04.1984 për dhënien në shfrytëzim të pronave të komunës</w:t>
            </w:r>
          </w:p>
        </w:tc>
        <w:tc>
          <w:tcPr>
            <w:tcW w:w="1443" w:type="dxa"/>
            <w:tcBorders>
              <w:top w:val="nil"/>
              <w:left w:val="nil"/>
              <w:bottom w:val="nil"/>
              <w:right w:val="single" w:sz="8" w:space="0" w:color="000000"/>
            </w:tcBorders>
            <w:shd w:val="clear" w:color="000000" w:fill="538135"/>
            <w:vAlign w:val="center"/>
            <w:hideMark/>
          </w:tcPr>
          <w:p w14:paraId="408FDCC6"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Po</w:t>
            </w:r>
          </w:p>
        </w:tc>
      </w:tr>
      <w:tr w:rsidR="00343D79" w:rsidRPr="00EB4BBE" w14:paraId="65E6BB95" w14:textId="77777777" w:rsidTr="00282A1D">
        <w:trPr>
          <w:trHeight w:val="67"/>
        </w:trPr>
        <w:tc>
          <w:tcPr>
            <w:tcW w:w="440"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2A0B0E9"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7</w:t>
            </w:r>
          </w:p>
        </w:tc>
        <w:tc>
          <w:tcPr>
            <w:tcW w:w="15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AFC843"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Prishtinë</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A2A893"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9</w:t>
            </w:r>
          </w:p>
        </w:tc>
        <w:tc>
          <w:tcPr>
            <w:tcW w:w="14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2A0184"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0</w:t>
            </w:r>
          </w:p>
        </w:tc>
        <w:tc>
          <w:tcPr>
            <w:tcW w:w="6568" w:type="dxa"/>
            <w:tcBorders>
              <w:top w:val="nil"/>
              <w:left w:val="nil"/>
              <w:bottom w:val="single" w:sz="8" w:space="0" w:color="auto"/>
              <w:right w:val="single" w:sz="8" w:space="0" w:color="auto"/>
            </w:tcBorders>
            <w:shd w:val="clear" w:color="000000" w:fill="FF0000"/>
            <w:vAlign w:val="center"/>
            <w:hideMark/>
          </w:tcPr>
          <w:p w14:paraId="7489174A"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1. Vendimi Nr.01-353/01-0073683/19 për caktimin e lokacionit për vendosjen e lapidarit kushtuar të vrarëve Prishtinas në pesëvjeçarin e parë pas luftës së dytë botërore,</w:t>
            </w:r>
          </w:p>
        </w:tc>
        <w:tc>
          <w:tcPr>
            <w:tcW w:w="1443" w:type="dxa"/>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4A4F7921"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Jo</w:t>
            </w:r>
          </w:p>
        </w:tc>
      </w:tr>
      <w:tr w:rsidR="00343D79" w:rsidRPr="00EB4BBE" w14:paraId="4316222E" w14:textId="77777777" w:rsidTr="00282A1D">
        <w:trPr>
          <w:trHeight w:val="268"/>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FB71FBD"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0F4982FC"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1232B18D"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3DD223F2"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41B9DDD2"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2. Vendimi Nr.01-353/01-0073699/19 për caktimin e lokacionit për vendosjen e pllakatës përkujtimore kushtuar viktimave të luftës së vitit 1999 të lagjes”Sofalia”</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127F9224"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408EECBC" w14:textId="77777777" w:rsidTr="00282A1D">
        <w:trPr>
          <w:trHeight w:val="67"/>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32A13E8"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404A72EA"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0327475D"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14E971C9"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5ABEEBEF"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3.Vendimi Nr.01-350/01-0026729/19 për fillimin e hartimit të Planit rregullues të hollësishëm për zonën të fakulteti teknik, në lagjen” Bregu i Diellit”</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696E1E57"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4AA8088A" w14:textId="77777777" w:rsidTr="00282A1D">
        <w:trPr>
          <w:trHeight w:val="67"/>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61CCF2C"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5A44B3E2"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18B5CA55"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111FE191"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0F1D447B"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4. Vendimin Nr. 01-353/01-239139/19 për caktimin e lokacionit për vendosjen e bustit të senatorit Robert Doll</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70D8DD20"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1B314791" w14:textId="77777777" w:rsidTr="00282A1D">
        <w:trPr>
          <w:trHeight w:val="67"/>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2B5C6FF9"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14407522"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07DA4C62"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5CB0F376"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0B78E7FD"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5. Vendimin Nr. 01-353-01-239047/19 për caktimin e lokacionit për vendosjen e shtatores së legjendës së futbollit kosovar Fadil Vokrri</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38687A86"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556B6BFA" w14:textId="77777777" w:rsidTr="00282A1D">
        <w:trPr>
          <w:trHeight w:val="67"/>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4C9333D5"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46384806"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782FD941"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5EAE92F7"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6A48ED69"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6. Vendimin Nr. 01-353/01-0276651-19 për caktimin e lokacionit për vendosjen e shtatores së Komandantit Legjendar “Adem Jashari”</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0AC8D3A1"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6CFA23C9" w14:textId="77777777" w:rsidTr="00282A1D">
        <w:trPr>
          <w:trHeight w:val="1380"/>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151A4145"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2B46B9AD"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534DF1DF"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7044D18C"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1B27EA63"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7. Vendimin Nr. 01-353/02-275287/19 për caktimin e lokacionit për vendosjen e “Murit të Nderit” kushtuar sakrificës vetëmohuese të shqiptarëve të Kosovës për të shpëtuar hebrenjtë gjatë luftës së dytë botërore</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65579BA0"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761B3F7D" w14:textId="77777777" w:rsidTr="00282A1D">
        <w:trPr>
          <w:trHeight w:val="67"/>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533BCDFB"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3859E8AE"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6C403486"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762BE64C"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0D2EE7ED"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8. Vendimin Nr. 01-350 01-239151-19 për miratimin e Planit Rregullues të Hollësishëm për zonën “Mati 1” vazhdimi i rrugës “B” (Bahri Fazliu) pjesa jugore</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5B841B61"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5910EA9C" w14:textId="77777777" w:rsidTr="00282A1D">
        <w:trPr>
          <w:trHeight w:val="67"/>
        </w:trPr>
        <w:tc>
          <w:tcPr>
            <w:tcW w:w="440"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14:paraId="0E5F83CB"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single" w:sz="8" w:space="0" w:color="auto"/>
              <w:left w:val="single" w:sz="8" w:space="0" w:color="auto"/>
              <w:bottom w:val="single" w:sz="8" w:space="0" w:color="000000"/>
              <w:right w:val="single" w:sz="8" w:space="0" w:color="auto"/>
            </w:tcBorders>
            <w:vAlign w:val="center"/>
            <w:hideMark/>
          </w:tcPr>
          <w:p w14:paraId="014FAD16"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single" w:sz="8" w:space="0" w:color="auto"/>
              <w:left w:val="single" w:sz="8" w:space="0" w:color="auto"/>
              <w:bottom w:val="single" w:sz="8" w:space="0" w:color="000000"/>
              <w:right w:val="single" w:sz="8" w:space="0" w:color="auto"/>
            </w:tcBorders>
            <w:vAlign w:val="center"/>
            <w:hideMark/>
          </w:tcPr>
          <w:p w14:paraId="68AFCA28"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single" w:sz="8" w:space="0" w:color="auto"/>
              <w:left w:val="single" w:sz="8" w:space="0" w:color="auto"/>
              <w:bottom w:val="single" w:sz="8" w:space="0" w:color="000000"/>
              <w:right w:val="single" w:sz="8" w:space="0" w:color="auto"/>
            </w:tcBorders>
            <w:vAlign w:val="center"/>
            <w:hideMark/>
          </w:tcPr>
          <w:p w14:paraId="3AEB3DF8"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6DB52570"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9. Vendim nr. 01-421/01-275223/19 për autorizim të borxhit</w:t>
            </w:r>
          </w:p>
        </w:tc>
        <w:tc>
          <w:tcPr>
            <w:tcW w:w="1443" w:type="dxa"/>
            <w:vMerge/>
            <w:tcBorders>
              <w:top w:val="single" w:sz="8" w:space="0" w:color="auto"/>
              <w:left w:val="single" w:sz="8" w:space="0" w:color="auto"/>
              <w:bottom w:val="single" w:sz="8" w:space="0" w:color="000000"/>
              <w:right w:val="single" w:sz="8" w:space="0" w:color="auto"/>
            </w:tcBorders>
            <w:vAlign w:val="center"/>
            <w:hideMark/>
          </w:tcPr>
          <w:p w14:paraId="596A2B6D"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45AC7F0D" w14:textId="77777777" w:rsidTr="00282A1D">
        <w:trPr>
          <w:trHeight w:val="67"/>
        </w:trPr>
        <w:tc>
          <w:tcPr>
            <w:tcW w:w="440"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79053FBB"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8</w:t>
            </w:r>
          </w:p>
        </w:tc>
        <w:tc>
          <w:tcPr>
            <w:tcW w:w="155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6AD9B3"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Gjakovë</w:t>
            </w:r>
          </w:p>
        </w:tc>
        <w:tc>
          <w:tcPr>
            <w:tcW w:w="14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2E901A"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3</w:t>
            </w:r>
          </w:p>
        </w:tc>
        <w:tc>
          <w:tcPr>
            <w:tcW w:w="14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5B1ABF"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0</w:t>
            </w:r>
          </w:p>
        </w:tc>
        <w:tc>
          <w:tcPr>
            <w:tcW w:w="6568" w:type="dxa"/>
            <w:tcBorders>
              <w:top w:val="nil"/>
              <w:left w:val="nil"/>
              <w:bottom w:val="single" w:sz="8" w:space="0" w:color="auto"/>
              <w:right w:val="single" w:sz="8" w:space="0" w:color="auto"/>
            </w:tcBorders>
            <w:shd w:val="clear" w:color="000000" w:fill="FF0000"/>
            <w:vAlign w:val="center"/>
            <w:hideMark/>
          </w:tcPr>
          <w:p w14:paraId="2E1E0168"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1. Vendimi Nr.01-463/02-33027/18  për zgjatjen e afatit lidhur me dhënien në shfrytëzim afatshkurtër të pronës se komunës Kompanisë “Cacao” SHPK në hapësirën e pallatit të kulturës</w:t>
            </w:r>
          </w:p>
        </w:tc>
        <w:tc>
          <w:tcPr>
            <w:tcW w:w="1443" w:type="dxa"/>
            <w:tcBorders>
              <w:top w:val="nil"/>
              <w:left w:val="nil"/>
              <w:bottom w:val="nil"/>
              <w:right w:val="single" w:sz="8" w:space="0" w:color="000000"/>
            </w:tcBorders>
            <w:shd w:val="clear" w:color="000000" w:fill="FF0000"/>
            <w:vAlign w:val="center"/>
            <w:hideMark/>
          </w:tcPr>
          <w:p w14:paraId="5028BB76"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Jo</w:t>
            </w:r>
          </w:p>
        </w:tc>
      </w:tr>
      <w:tr w:rsidR="00343D79" w:rsidRPr="00EB4BBE" w14:paraId="641FAD1F" w14:textId="77777777" w:rsidTr="00282A1D">
        <w:trPr>
          <w:trHeight w:val="67"/>
        </w:trPr>
        <w:tc>
          <w:tcPr>
            <w:tcW w:w="440"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0592DFC1"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000000"/>
              <w:bottom w:val="single" w:sz="8" w:space="0" w:color="000000"/>
              <w:right w:val="single" w:sz="8" w:space="0" w:color="000000"/>
            </w:tcBorders>
            <w:vAlign w:val="center"/>
            <w:hideMark/>
          </w:tcPr>
          <w:p w14:paraId="6E9EB445"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000000"/>
              <w:bottom w:val="single" w:sz="8" w:space="0" w:color="000000"/>
              <w:right w:val="single" w:sz="8" w:space="0" w:color="000000"/>
            </w:tcBorders>
            <w:vAlign w:val="center"/>
            <w:hideMark/>
          </w:tcPr>
          <w:p w14:paraId="5976AE01"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000000"/>
              <w:bottom w:val="single" w:sz="8" w:space="0" w:color="000000"/>
              <w:right w:val="single" w:sz="8" w:space="0" w:color="000000"/>
            </w:tcBorders>
            <w:vAlign w:val="center"/>
            <w:hideMark/>
          </w:tcPr>
          <w:p w14:paraId="38FE4EC8"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0F211026"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2. Vendimi 01Nr.011/01-5061 për miratimin e Planit Rregullues të Hollësishëm të kompleksit urbanistik”Rezine dhe Petro Nini Luarasi”</w:t>
            </w:r>
          </w:p>
        </w:tc>
        <w:tc>
          <w:tcPr>
            <w:tcW w:w="1443" w:type="dxa"/>
            <w:tcBorders>
              <w:top w:val="nil"/>
              <w:left w:val="nil"/>
              <w:bottom w:val="nil"/>
              <w:right w:val="single" w:sz="8" w:space="0" w:color="000000"/>
            </w:tcBorders>
            <w:shd w:val="clear" w:color="000000" w:fill="FF0000"/>
            <w:vAlign w:val="center"/>
            <w:hideMark/>
          </w:tcPr>
          <w:p w14:paraId="02752BD8" w14:textId="1EEC875F"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71A72874" w14:textId="77777777" w:rsidTr="00282A1D">
        <w:trPr>
          <w:trHeight w:val="67"/>
        </w:trPr>
        <w:tc>
          <w:tcPr>
            <w:tcW w:w="440"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2E416C2F"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000000"/>
              <w:bottom w:val="single" w:sz="8" w:space="0" w:color="000000"/>
              <w:right w:val="single" w:sz="8" w:space="0" w:color="000000"/>
            </w:tcBorders>
            <w:vAlign w:val="center"/>
            <w:hideMark/>
          </w:tcPr>
          <w:p w14:paraId="1EE02377"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000000"/>
              <w:bottom w:val="single" w:sz="8" w:space="0" w:color="000000"/>
              <w:right w:val="single" w:sz="8" w:space="0" w:color="000000"/>
            </w:tcBorders>
            <w:vAlign w:val="center"/>
            <w:hideMark/>
          </w:tcPr>
          <w:p w14:paraId="17BD3E49"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000000"/>
              <w:bottom w:val="single" w:sz="8" w:space="0" w:color="000000"/>
              <w:right w:val="single" w:sz="8" w:space="0" w:color="000000"/>
            </w:tcBorders>
            <w:vAlign w:val="center"/>
            <w:hideMark/>
          </w:tcPr>
          <w:p w14:paraId="520B36E2"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13455711"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3. Vendimi Nr.01-011/01-9335 ndryshimin e pikës 1 të vendimit të Kuvendit të Komunës së Gjakovës 01Nr.011-78935/2015 për shpallje të interesit publik të Monumentit Kulturor dhe Historik Kulla Sylejman Vokshi</w:t>
            </w:r>
          </w:p>
        </w:tc>
        <w:tc>
          <w:tcPr>
            <w:tcW w:w="1443" w:type="dxa"/>
            <w:tcBorders>
              <w:top w:val="nil"/>
              <w:left w:val="nil"/>
              <w:bottom w:val="nil"/>
              <w:right w:val="single" w:sz="8" w:space="0" w:color="000000"/>
            </w:tcBorders>
            <w:shd w:val="clear" w:color="000000" w:fill="FF0000"/>
            <w:vAlign w:val="center"/>
            <w:hideMark/>
          </w:tcPr>
          <w:p w14:paraId="6629EE48" w14:textId="73120ACB"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6841ABAF" w14:textId="77777777" w:rsidTr="00282A1D">
        <w:trPr>
          <w:trHeight w:val="67"/>
        </w:trPr>
        <w:tc>
          <w:tcPr>
            <w:tcW w:w="440" w:type="dxa"/>
            <w:vMerge w:val="restart"/>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34C7E45A"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9</w:t>
            </w:r>
          </w:p>
        </w:tc>
        <w:tc>
          <w:tcPr>
            <w:tcW w:w="155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900E0F"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Deçan</w:t>
            </w:r>
          </w:p>
        </w:tc>
        <w:tc>
          <w:tcPr>
            <w:tcW w:w="140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784C95"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3</w:t>
            </w:r>
          </w:p>
        </w:tc>
        <w:tc>
          <w:tcPr>
            <w:tcW w:w="14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1EE924"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0</w:t>
            </w:r>
          </w:p>
        </w:tc>
        <w:tc>
          <w:tcPr>
            <w:tcW w:w="6568" w:type="dxa"/>
            <w:tcBorders>
              <w:top w:val="nil"/>
              <w:left w:val="nil"/>
              <w:bottom w:val="single" w:sz="8" w:space="0" w:color="auto"/>
              <w:right w:val="single" w:sz="8" w:space="0" w:color="auto"/>
            </w:tcBorders>
            <w:shd w:val="clear" w:color="000000" w:fill="FF0000"/>
            <w:vAlign w:val="center"/>
            <w:hideMark/>
          </w:tcPr>
          <w:p w14:paraId="4EE2CB0A"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1. Vendimi 01.Nr.VII(b) për caktimin e lokacionit për ndërtimin e objektit të qendrës Rinore</w:t>
            </w:r>
          </w:p>
        </w:tc>
        <w:tc>
          <w:tcPr>
            <w:tcW w:w="1443" w:type="dxa"/>
            <w:vMerge w:val="restart"/>
            <w:tcBorders>
              <w:top w:val="single" w:sz="8" w:space="0" w:color="000000"/>
              <w:left w:val="single" w:sz="8" w:space="0" w:color="000000"/>
              <w:bottom w:val="single" w:sz="8" w:space="0" w:color="000000"/>
              <w:right w:val="single" w:sz="8" w:space="0" w:color="000000"/>
            </w:tcBorders>
            <w:shd w:val="clear" w:color="000000" w:fill="FF0000"/>
            <w:vAlign w:val="center"/>
            <w:hideMark/>
          </w:tcPr>
          <w:p w14:paraId="6D942AFA"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Jo</w:t>
            </w:r>
          </w:p>
        </w:tc>
      </w:tr>
      <w:tr w:rsidR="00343D79" w:rsidRPr="00EB4BBE" w14:paraId="729BB8BD" w14:textId="77777777" w:rsidTr="00282A1D">
        <w:trPr>
          <w:trHeight w:val="67"/>
        </w:trPr>
        <w:tc>
          <w:tcPr>
            <w:tcW w:w="440"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3A6443F2"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000000"/>
              <w:bottom w:val="single" w:sz="8" w:space="0" w:color="000000"/>
              <w:right w:val="single" w:sz="8" w:space="0" w:color="000000"/>
            </w:tcBorders>
            <w:vAlign w:val="center"/>
            <w:hideMark/>
          </w:tcPr>
          <w:p w14:paraId="338F7FEB"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000000"/>
              <w:bottom w:val="single" w:sz="8" w:space="0" w:color="000000"/>
              <w:right w:val="single" w:sz="8" w:space="0" w:color="000000"/>
            </w:tcBorders>
            <w:vAlign w:val="center"/>
            <w:hideMark/>
          </w:tcPr>
          <w:p w14:paraId="232B2E85"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000000"/>
              <w:bottom w:val="single" w:sz="8" w:space="0" w:color="000000"/>
              <w:right w:val="single" w:sz="8" w:space="0" w:color="000000"/>
            </w:tcBorders>
            <w:vAlign w:val="center"/>
            <w:hideMark/>
          </w:tcPr>
          <w:p w14:paraId="4AA4571E"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1DAEF996" w14:textId="1635124C"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2. Vendim 01.Nr.VV-7(a) për caktimin e lokacionit për ndërtimin e objektit të kompanisë komunale të pastrimit Higjena</w:t>
            </w:r>
          </w:p>
        </w:tc>
        <w:tc>
          <w:tcPr>
            <w:tcW w:w="1443" w:type="dxa"/>
            <w:vMerge/>
            <w:tcBorders>
              <w:top w:val="single" w:sz="8" w:space="0" w:color="000000"/>
              <w:left w:val="single" w:sz="8" w:space="0" w:color="000000"/>
              <w:bottom w:val="single" w:sz="8" w:space="0" w:color="000000"/>
              <w:right w:val="single" w:sz="8" w:space="0" w:color="000000"/>
            </w:tcBorders>
            <w:vAlign w:val="center"/>
            <w:hideMark/>
          </w:tcPr>
          <w:p w14:paraId="5CA9A13E"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66E762DB" w14:textId="77777777" w:rsidTr="00282A1D">
        <w:trPr>
          <w:trHeight w:val="67"/>
        </w:trPr>
        <w:tc>
          <w:tcPr>
            <w:tcW w:w="440" w:type="dxa"/>
            <w:vMerge/>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5B0B161B"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p>
        </w:tc>
        <w:tc>
          <w:tcPr>
            <w:tcW w:w="1553" w:type="dxa"/>
            <w:vMerge/>
            <w:tcBorders>
              <w:top w:val="nil"/>
              <w:left w:val="single" w:sz="8" w:space="0" w:color="000000"/>
              <w:bottom w:val="single" w:sz="8" w:space="0" w:color="000000"/>
              <w:right w:val="single" w:sz="8" w:space="0" w:color="000000"/>
            </w:tcBorders>
            <w:vAlign w:val="center"/>
            <w:hideMark/>
          </w:tcPr>
          <w:p w14:paraId="535BF5EE"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09" w:type="dxa"/>
            <w:vMerge/>
            <w:tcBorders>
              <w:top w:val="nil"/>
              <w:left w:val="single" w:sz="8" w:space="0" w:color="000000"/>
              <w:bottom w:val="single" w:sz="8" w:space="0" w:color="000000"/>
              <w:right w:val="single" w:sz="8" w:space="0" w:color="000000"/>
            </w:tcBorders>
            <w:vAlign w:val="center"/>
            <w:hideMark/>
          </w:tcPr>
          <w:p w14:paraId="09F6896D"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1447" w:type="dxa"/>
            <w:vMerge/>
            <w:tcBorders>
              <w:top w:val="nil"/>
              <w:left w:val="single" w:sz="8" w:space="0" w:color="000000"/>
              <w:bottom w:val="single" w:sz="8" w:space="0" w:color="000000"/>
              <w:right w:val="single" w:sz="8" w:space="0" w:color="000000"/>
            </w:tcBorders>
            <w:vAlign w:val="center"/>
            <w:hideMark/>
          </w:tcPr>
          <w:p w14:paraId="5202C588"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p>
        </w:tc>
        <w:tc>
          <w:tcPr>
            <w:tcW w:w="6568" w:type="dxa"/>
            <w:tcBorders>
              <w:top w:val="nil"/>
              <w:left w:val="nil"/>
              <w:bottom w:val="single" w:sz="8" w:space="0" w:color="auto"/>
              <w:right w:val="single" w:sz="8" w:space="0" w:color="auto"/>
            </w:tcBorders>
            <w:shd w:val="clear" w:color="000000" w:fill="FF0000"/>
            <w:vAlign w:val="center"/>
            <w:hideMark/>
          </w:tcPr>
          <w:p w14:paraId="4F60CF51"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3. Vendimi Nr.I-8 për aprovimin e listës së vlerave të trashëgimisë natyrore në Komunën e Deçanit</w:t>
            </w:r>
          </w:p>
        </w:tc>
        <w:tc>
          <w:tcPr>
            <w:tcW w:w="1443" w:type="dxa"/>
            <w:vMerge/>
            <w:tcBorders>
              <w:top w:val="single" w:sz="8" w:space="0" w:color="000000"/>
              <w:left w:val="single" w:sz="8" w:space="0" w:color="000000"/>
              <w:bottom w:val="single" w:sz="8" w:space="0" w:color="000000"/>
              <w:right w:val="single" w:sz="8" w:space="0" w:color="000000"/>
            </w:tcBorders>
            <w:vAlign w:val="center"/>
            <w:hideMark/>
          </w:tcPr>
          <w:p w14:paraId="4FFE3941"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p>
        </w:tc>
      </w:tr>
      <w:tr w:rsidR="00343D79" w:rsidRPr="00EB4BBE" w14:paraId="281C8735" w14:textId="77777777" w:rsidTr="00282A1D">
        <w:trPr>
          <w:trHeight w:val="1040"/>
        </w:trPr>
        <w:tc>
          <w:tcPr>
            <w:tcW w:w="440" w:type="dxa"/>
            <w:tcBorders>
              <w:top w:val="nil"/>
              <w:left w:val="single" w:sz="8" w:space="0" w:color="000000"/>
              <w:bottom w:val="single" w:sz="8" w:space="0" w:color="000000"/>
              <w:right w:val="single" w:sz="8" w:space="0" w:color="000000"/>
            </w:tcBorders>
            <w:shd w:val="clear" w:color="auto" w:fill="BFBFBF" w:themeFill="background1" w:themeFillShade="BF"/>
            <w:vAlign w:val="center"/>
            <w:hideMark/>
          </w:tcPr>
          <w:p w14:paraId="55C84925" w14:textId="77777777" w:rsidR="00343D79" w:rsidRPr="00EB4BBE" w:rsidRDefault="00343D79" w:rsidP="00282A1D">
            <w:pPr>
              <w:spacing w:line="300" w:lineRule="atLeast"/>
              <w:jc w:val="center"/>
              <w:rPr>
                <w:rFonts w:asciiTheme="majorHAnsi" w:eastAsia="Times New Roman" w:hAnsiTheme="majorHAnsi" w:cstheme="majorHAnsi"/>
                <w:color w:val="FFFFFF" w:themeColor="background1"/>
                <w:lang w:val="sq-AL"/>
              </w:rPr>
            </w:pPr>
            <w:r w:rsidRPr="00EB4BBE">
              <w:rPr>
                <w:rFonts w:asciiTheme="majorHAnsi" w:eastAsia="Times New Roman" w:hAnsiTheme="majorHAnsi" w:cstheme="majorHAnsi"/>
                <w:color w:val="FFFFFF" w:themeColor="background1"/>
                <w:lang w:val="sq-AL"/>
              </w:rPr>
              <w:t>10</w:t>
            </w:r>
          </w:p>
        </w:tc>
        <w:tc>
          <w:tcPr>
            <w:tcW w:w="1553" w:type="dxa"/>
            <w:tcBorders>
              <w:top w:val="nil"/>
              <w:left w:val="nil"/>
              <w:bottom w:val="single" w:sz="8" w:space="0" w:color="000000"/>
              <w:right w:val="single" w:sz="8" w:space="0" w:color="000000"/>
            </w:tcBorders>
            <w:shd w:val="clear" w:color="auto" w:fill="auto"/>
            <w:vAlign w:val="center"/>
            <w:hideMark/>
          </w:tcPr>
          <w:p w14:paraId="7FAAE542"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Prizren</w:t>
            </w:r>
          </w:p>
        </w:tc>
        <w:tc>
          <w:tcPr>
            <w:tcW w:w="1409" w:type="dxa"/>
            <w:tcBorders>
              <w:top w:val="nil"/>
              <w:left w:val="nil"/>
              <w:bottom w:val="single" w:sz="8" w:space="0" w:color="000000"/>
              <w:right w:val="single" w:sz="8" w:space="0" w:color="000000"/>
            </w:tcBorders>
            <w:shd w:val="clear" w:color="auto" w:fill="auto"/>
            <w:vAlign w:val="center"/>
            <w:hideMark/>
          </w:tcPr>
          <w:p w14:paraId="5A2A067E"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1</w:t>
            </w:r>
          </w:p>
        </w:tc>
        <w:tc>
          <w:tcPr>
            <w:tcW w:w="1447" w:type="dxa"/>
            <w:tcBorders>
              <w:top w:val="nil"/>
              <w:left w:val="nil"/>
              <w:bottom w:val="single" w:sz="8" w:space="0" w:color="000000"/>
              <w:right w:val="single" w:sz="8" w:space="0" w:color="000000"/>
            </w:tcBorders>
            <w:shd w:val="clear" w:color="auto" w:fill="auto"/>
            <w:vAlign w:val="center"/>
            <w:hideMark/>
          </w:tcPr>
          <w:p w14:paraId="1947F0CF" w14:textId="77777777" w:rsidR="00343D79" w:rsidRPr="00EB4BBE" w:rsidRDefault="00343D79" w:rsidP="00282A1D">
            <w:pPr>
              <w:spacing w:line="300" w:lineRule="atLeast"/>
              <w:jc w:val="center"/>
              <w:rPr>
                <w:rFonts w:asciiTheme="majorHAnsi" w:eastAsia="Times New Roman" w:hAnsiTheme="majorHAnsi" w:cstheme="majorHAnsi"/>
                <w:color w:val="000000"/>
                <w:lang w:val="sq-AL"/>
              </w:rPr>
            </w:pPr>
            <w:r w:rsidRPr="00EB4BBE">
              <w:rPr>
                <w:rFonts w:asciiTheme="majorHAnsi" w:eastAsia="Times New Roman" w:hAnsiTheme="majorHAnsi" w:cstheme="majorHAnsi"/>
                <w:color w:val="000000"/>
                <w:lang w:val="sq-AL"/>
              </w:rPr>
              <w:t>0</w:t>
            </w:r>
          </w:p>
        </w:tc>
        <w:tc>
          <w:tcPr>
            <w:tcW w:w="6568" w:type="dxa"/>
            <w:tcBorders>
              <w:top w:val="nil"/>
              <w:left w:val="nil"/>
              <w:bottom w:val="single" w:sz="8" w:space="0" w:color="auto"/>
              <w:right w:val="single" w:sz="8" w:space="0" w:color="auto"/>
            </w:tcBorders>
            <w:shd w:val="clear" w:color="000000" w:fill="FF0000"/>
            <w:vAlign w:val="center"/>
            <w:hideMark/>
          </w:tcPr>
          <w:p w14:paraId="77EDF14A" w14:textId="77777777" w:rsidR="00343D79" w:rsidRPr="00EB4BBE" w:rsidRDefault="00343D79" w:rsidP="00AF2A1A">
            <w:pPr>
              <w:spacing w:line="300" w:lineRule="atLeast"/>
              <w:jc w:val="both"/>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lang w:val="sq-AL"/>
              </w:rPr>
              <w:t>Vendimin Nr. 001-011-77311 për rregullimin e kompensimit me marrëveshje të tokës ndërtimore Komunës së Prizrenit dhe pronarëve të tokave</w:t>
            </w:r>
          </w:p>
        </w:tc>
        <w:tc>
          <w:tcPr>
            <w:tcW w:w="1443" w:type="dxa"/>
            <w:tcBorders>
              <w:top w:val="nil"/>
              <w:left w:val="nil"/>
              <w:bottom w:val="single" w:sz="8" w:space="0" w:color="000000"/>
              <w:right w:val="single" w:sz="8" w:space="0" w:color="000000"/>
            </w:tcBorders>
            <w:shd w:val="clear" w:color="000000" w:fill="FF0000"/>
            <w:vAlign w:val="center"/>
            <w:hideMark/>
          </w:tcPr>
          <w:p w14:paraId="7E4E97A5" w14:textId="77777777" w:rsidR="00343D79" w:rsidRPr="00EB4BBE" w:rsidRDefault="00343D79" w:rsidP="00282A1D">
            <w:pPr>
              <w:spacing w:line="300" w:lineRule="atLeast"/>
              <w:jc w:val="center"/>
              <w:rPr>
                <w:rFonts w:asciiTheme="majorHAnsi" w:eastAsia="Times New Roman" w:hAnsiTheme="majorHAnsi" w:cstheme="majorHAnsi"/>
                <w:color w:val="FFFFFF"/>
                <w:lang w:val="sq-AL"/>
              </w:rPr>
            </w:pPr>
            <w:r w:rsidRPr="00EB4BBE">
              <w:rPr>
                <w:rFonts w:asciiTheme="majorHAnsi" w:eastAsia="Times New Roman" w:hAnsiTheme="majorHAnsi" w:cstheme="majorHAnsi"/>
                <w:color w:val="FFFFFF" w:themeColor="background1"/>
                <w:lang w:val="sq-AL"/>
              </w:rPr>
              <w:t>Jo</w:t>
            </w:r>
          </w:p>
        </w:tc>
      </w:tr>
    </w:tbl>
    <w:p w14:paraId="697BD63E" w14:textId="77777777" w:rsidR="003A3431" w:rsidRPr="00EB4BBE" w:rsidRDefault="003A3431" w:rsidP="00EB4BBE">
      <w:pPr>
        <w:spacing w:line="300" w:lineRule="atLeast"/>
        <w:jc w:val="both"/>
        <w:rPr>
          <w:rFonts w:asciiTheme="majorHAnsi" w:hAnsiTheme="majorHAnsi" w:cstheme="majorHAnsi"/>
          <w:lang w:val="sq-AL"/>
        </w:rPr>
      </w:pPr>
    </w:p>
    <w:p w14:paraId="4ED6E822" w14:textId="2339545B" w:rsidR="00C048D9" w:rsidRPr="00EB4BBE" w:rsidRDefault="00C048D9" w:rsidP="00EB4BBE">
      <w:pPr>
        <w:spacing w:line="300" w:lineRule="atLeast"/>
        <w:jc w:val="both"/>
        <w:rPr>
          <w:rFonts w:asciiTheme="majorHAnsi" w:hAnsiTheme="majorHAnsi" w:cstheme="majorHAnsi"/>
          <w:i/>
          <w:iCs/>
          <w:lang w:val="sq-AL"/>
        </w:rPr>
      </w:pPr>
      <w:r w:rsidRPr="00EB4BBE">
        <w:rPr>
          <w:rFonts w:asciiTheme="majorHAnsi" w:hAnsiTheme="majorHAnsi" w:cstheme="majorHAnsi"/>
          <w:i/>
          <w:iCs/>
          <w:lang w:val="sq-AL"/>
        </w:rPr>
        <w:t xml:space="preserve">Lista e komunave që ju është dhënë afat shtesë për </w:t>
      </w:r>
      <w:r w:rsidR="00AF2A1A">
        <w:rPr>
          <w:rFonts w:asciiTheme="majorHAnsi" w:hAnsiTheme="majorHAnsi" w:cstheme="majorHAnsi"/>
          <w:i/>
          <w:iCs/>
          <w:lang w:val="sq-AL"/>
        </w:rPr>
        <w:t>të rishqyrtuar aktet komunale të vlerësuara të kundërligjshme nga autoritetet mbikëqyrëse</w:t>
      </w:r>
      <w:r w:rsidRPr="00EB4BBE">
        <w:rPr>
          <w:rFonts w:asciiTheme="majorHAnsi" w:hAnsiTheme="majorHAnsi" w:cstheme="majorHAnsi"/>
          <w:i/>
          <w:iCs/>
          <w:lang w:val="sq-AL"/>
        </w:rPr>
        <w:t>.</w:t>
      </w:r>
    </w:p>
    <w:sectPr w:rsidR="00C048D9" w:rsidRPr="00EB4BBE" w:rsidSect="00343D7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E516A" w14:textId="77777777" w:rsidR="00736782" w:rsidRDefault="00736782" w:rsidP="00962F9F">
      <w:r>
        <w:separator/>
      </w:r>
    </w:p>
  </w:endnote>
  <w:endnote w:type="continuationSeparator" w:id="0">
    <w:p w14:paraId="18E02F18" w14:textId="77777777" w:rsidR="00736782" w:rsidRDefault="00736782" w:rsidP="00962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688523"/>
      <w:docPartObj>
        <w:docPartGallery w:val="Page Numbers (Bottom of Page)"/>
        <w:docPartUnique/>
      </w:docPartObj>
    </w:sdtPr>
    <w:sdtEndPr>
      <w:rPr>
        <w:rStyle w:val="PageNumber"/>
      </w:rPr>
    </w:sdtEndPr>
    <w:sdtContent>
      <w:p w14:paraId="079F5EED" w14:textId="77777777" w:rsidR="00962F9F" w:rsidRDefault="00962F9F" w:rsidP="00EC0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954CF" w14:textId="77777777" w:rsidR="00962F9F" w:rsidRDefault="00962F9F" w:rsidP="00962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2885927"/>
      <w:docPartObj>
        <w:docPartGallery w:val="Page Numbers (Bottom of Page)"/>
        <w:docPartUnique/>
      </w:docPartObj>
    </w:sdtPr>
    <w:sdtEndPr>
      <w:rPr>
        <w:rStyle w:val="PageNumber"/>
      </w:rPr>
    </w:sdtEndPr>
    <w:sdtContent>
      <w:p w14:paraId="58C32715" w14:textId="77777777" w:rsidR="00962F9F" w:rsidRDefault="00962F9F" w:rsidP="00EC08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E1684">
          <w:rPr>
            <w:rStyle w:val="PageNumber"/>
            <w:noProof/>
          </w:rPr>
          <w:t>4</w:t>
        </w:r>
        <w:r>
          <w:rPr>
            <w:rStyle w:val="PageNumber"/>
          </w:rPr>
          <w:fldChar w:fldCharType="end"/>
        </w:r>
      </w:p>
    </w:sdtContent>
  </w:sdt>
  <w:p w14:paraId="51BF3FBF" w14:textId="77777777" w:rsidR="00962F9F" w:rsidRDefault="00962F9F" w:rsidP="00962F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64F55" w14:textId="77777777" w:rsidR="00736782" w:rsidRDefault="00736782" w:rsidP="00962F9F">
      <w:r>
        <w:separator/>
      </w:r>
    </w:p>
  </w:footnote>
  <w:footnote w:type="continuationSeparator" w:id="0">
    <w:p w14:paraId="683064CD" w14:textId="77777777" w:rsidR="00736782" w:rsidRDefault="00736782" w:rsidP="00962F9F">
      <w:r>
        <w:continuationSeparator/>
      </w:r>
    </w:p>
  </w:footnote>
  <w:footnote w:id="1">
    <w:p w14:paraId="11A7C988" w14:textId="77777777" w:rsidR="009458A2" w:rsidRDefault="009458A2" w:rsidP="008C12E3">
      <w:pPr>
        <w:pStyle w:val="FootnoteText"/>
        <w:jc w:val="both"/>
      </w:pPr>
      <w:r>
        <w:rPr>
          <w:rStyle w:val="FootnoteReference"/>
        </w:rPr>
        <w:footnoteRef/>
      </w:r>
      <w:r>
        <w:t xml:space="preserve"> </w:t>
      </w:r>
      <w:proofErr w:type="spellStart"/>
      <w:r>
        <w:t>Shkresa</w:t>
      </w:r>
      <w:proofErr w:type="spellEnd"/>
      <w:r>
        <w:t xml:space="preserve"> </w:t>
      </w:r>
      <w:proofErr w:type="spellStart"/>
      <w:r>
        <w:t>zyrtare</w:t>
      </w:r>
      <w:proofErr w:type="spellEnd"/>
      <w:r>
        <w:t xml:space="preserve"> Nr. 454-666/11 e </w:t>
      </w:r>
      <w:proofErr w:type="spellStart"/>
      <w:r>
        <w:t>Ministrit</w:t>
      </w:r>
      <w:proofErr w:type="spellEnd"/>
      <w:r>
        <w:t xml:space="preserve"> </w:t>
      </w:r>
      <w:proofErr w:type="spellStart"/>
      <w:r>
        <w:t>të</w:t>
      </w:r>
      <w:proofErr w:type="spellEnd"/>
      <w:r>
        <w:t xml:space="preserve"> MAPL, Goran </w:t>
      </w:r>
      <w:proofErr w:type="spellStart"/>
      <w:r>
        <w:t>Rakić</w:t>
      </w:r>
      <w:proofErr w:type="spellEnd"/>
      <w:r>
        <w:t xml:space="preserve">, e </w:t>
      </w:r>
      <w:proofErr w:type="spellStart"/>
      <w:r>
        <w:t>datës</w:t>
      </w:r>
      <w:proofErr w:type="spellEnd"/>
      <w:r>
        <w:t xml:space="preserve"> 28 </w:t>
      </w:r>
      <w:proofErr w:type="spellStart"/>
      <w:r>
        <w:t>dhjetor</w:t>
      </w:r>
      <w:proofErr w:type="spellEnd"/>
      <w:r>
        <w:t xml:space="preserve"> 2020.</w:t>
      </w:r>
    </w:p>
  </w:footnote>
  <w:footnote w:id="2">
    <w:p w14:paraId="6CEB2F75" w14:textId="77777777" w:rsidR="00EB49A8" w:rsidRDefault="00EB49A8" w:rsidP="008C12E3">
      <w:pPr>
        <w:pStyle w:val="FootnoteText"/>
        <w:jc w:val="both"/>
      </w:pPr>
      <w:r>
        <w:rPr>
          <w:rStyle w:val="FootnoteReference"/>
        </w:rPr>
        <w:footnoteRef/>
      </w:r>
      <w:r>
        <w:t xml:space="preserve"> </w:t>
      </w:r>
      <w:proofErr w:type="spellStart"/>
      <w:r>
        <w:t>Rregullat</w:t>
      </w:r>
      <w:proofErr w:type="spellEnd"/>
      <w:r>
        <w:t xml:space="preserve"> e </w:t>
      </w:r>
      <w:proofErr w:type="spellStart"/>
      <w:r>
        <w:t>Grantit</w:t>
      </w:r>
      <w:proofErr w:type="spellEnd"/>
      <w:r>
        <w:t xml:space="preserve"> </w:t>
      </w:r>
      <w:proofErr w:type="spellStart"/>
      <w:r>
        <w:t>të</w:t>
      </w:r>
      <w:proofErr w:type="spellEnd"/>
      <w:r>
        <w:t xml:space="preserve"> </w:t>
      </w:r>
      <w:proofErr w:type="spellStart"/>
      <w:r>
        <w:t>Performancës</w:t>
      </w:r>
      <w:proofErr w:type="spellEnd"/>
      <w:r>
        <w:t xml:space="preserve"> </w:t>
      </w:r>
      <w:proofErr w:type="spellStart"/>
      <w:r>
        <w:t>Komunale</w:t>
      </w:r>
      <w:proofErr w:type="spellEnd"/>
      <w:r>
        <w:t xml:space="preserve"> </w:t>
      </w:r>
      <w:proofErr w:type="spellStart"/>
      <w:r>
        <w:t>për</w:t>
      </w:r>
      <w:proofErr w:type="spellEnd"/>
      <w:r>
        <w:t xml:space="preserve"> </w:t>
      </w:r>
      <w:proofErr w:type="spellStart"/>
      <w:r>
        <w:t>vitin</w:t>
      </w:r>
      <w:proofErr w:type="spellEnd"/>
      <w:r>
        <w:t xml:space="preserve"> </w:t>
      </w:r>
      <w:proofErr w:type="spellStart"/>
      <w:r>
        <w:t>fis</w:t>
      </w:r>
      <w:r w:rsidR="00F85769">
        <w:t>k</w:t>
      </w:r>
      <w:r>
        <w:t>al</w:t>
      </w:r>
      <w:proofErr w:type="spellEnd"/>
      <w:r>
        <w:t xml:space="preserve"> 2021, </w:t>
      </w:r>
      <w:proofErr w:type="spellStart"/>
      <w:r>
        <w:t>fq</w:t>
      </w:r>
      <w:proofErr w:type="spellEnd"/>
      <w:r>
        <w:t>. 10</w:t>
      </w:r>
      <w:r w:rsidR="00020180">
        <w:t>.</w:t>
      </w:r>
    </w:p>
  </w:footnote>
  <w:footnote w:id="3">
    <w:p w14:paraId="15889F88" w14:textId="77777777" w:rsidR="009458A2" w:rsidRDefault="009458A2" w:rsidP="008C12E3">
      <w:pPr>
        <w:pStyle w:val="FootnoteText"/>
        <w:jc w:val="both"/>
      </w:pPr>
      <w:r>
        <w:rPr>
          <w:rStyle w:val="FootnoteReference"/>
        </w:rPr>
        <w:footnoteRef/>
      </w:r>
      <w:r w:rsidR="00020180">
        <w:rPr>
          <w:color w:val="C00000"/>
        </w:rPr>
        <w:t xml:space="preserve"> </w:t>
      </w:r>
      <w:r w:rsidR="00020180" w:rsidRPr="008C12E3">
        <w:t xml:space="preserve">Id. </w:t>
      </w:r>
      <w:proofErr w:type="spellStart"/>
      <w:r w:rsidR="00020180" w:rsidRPr="008C12E3">
        <w:t>fq</w:t>
      </w:r>
      <w:proofErr w:type="spellEnd"/>
      <w:r w:rsidR="00020180" w:rsidRPr="008C12E3">
        <w:t>. 10.</w:t>
      </w:r>
    </w:p>
  </w:footnote>
  <w:footnote w:id="4">
    <w:p w14:paraId="355CD9FB" w14:textId="77777777" w:rsidR="009449EA" w:rsidRDefault="009449EA" w:rsidP="008C12E3">
      <w:pPr>
        <w:pStyle w:val="FootnoteText"/>
        <w:jc w:val="both"/>
      </w:pPr>
      <w:r>
        <w:rPr>
          <w:rStyle w:val="FootnoteReference"/>
        </w:rPr>
        <w:footnoteRef/>
      </w:r>
      <w:r>
        <w:t xml:space="preserve"> </w:t>
      </w:r>
      <w:proofErr w:type="spellStart"/>
      <w:r>
        <w:t>Shkresë</w:t>
      </w:r>
      <w:proofErr w:type="spellEnd"/>
      <w:r>
        <w:t xml:space="preserve"> </w:t>
      </w:r>
      <w:proofErr w:type="spellStart"/>
      <w:r>
        <w:t>Zyrtare</w:t>
      </w:r>
      <w:proofErr w:type="spellEnd"/>
      <w:r>
        <w:t xml:space="preserve"> me nr 454-666/11: </w:t>
      </w:r>
      <w:proofErr w:type="spellStart"/>
      <w:r>
        <w:t>Njoftim</w:t>
      </w:r>
      <w:proofErr w:type="spellEnd"/>
      <w:r>
        <w:t xml:space="preserve"> – </w:t>
      </w:r>
      <w:proofErr w:type="spellStart"/>
      <w:r>
        <w:t>Rivlerësimi</w:t>
      </w:r>
      <w:proofErr w:type="spellEnd"/>
      <w:r>
        <w:t xml:space="preserve"> </w:t>
      </w:r>
      <w:proofErr w:type="spellStart"/>
      <w:r w:rsidR="008C12E3">
        <w:t>i</w:t>
      </w:r>
      <w:proofErr w:type="spellEnd"/>
      <w:r>
        <w:t xml:space="preserve"> </w:t>
      </w:r>
      <w:proofErr w:type="spellStart"/>
      <w:r>
        <w:t>Grantit</w:t>
      </w:r>
      <w:proofErr w:type="spellEnd"/>
      <w:r>
        <w:t xml:space="preserve"> </w:t>
      </w:r>
      <w:proofErr w:type="spellStart"/>
      <w:r>
        <w:t>për</w:t>
      </w:r>
      <w:proofErr w:type="spellEnd"/>
      <w:r>
        <w:t xml:space="preserve"> </w:t>
      </w:r>
      <w:proofErr w:type="spellStart"/>
      <w:r>
        <w:t>Performancë</w:t>
      </w:r>
      <w:proofErr w:type="spellEnd"/>
      <w:r>
        <w:t xml:space="preserve"> </w:t>
      </w:r>
      <w:proofErr w:type="spellStart"/>
      <w:r>
        <w:t>Komunale</w:t>
      </w:r>
      <w:proofErr w:type="spellEnd"/>
      <w:r>
        <w:t xml:space="preserve">, </w:t>
      </w:r>
      <w:proofErr w:type="spellStart"/>
      <w:r w:rsidR="008C12E3">
        <w:t>i</w:t>
      </w:r>
      <w:proofErr w:type="spellEnd"/>
      <w:r w:rsidR="008C12E3">
        <w:t xml:space="preserve"> </w:t>
      </w:r>
      <w:proofErr w:type="spellStart"/>
      <w:r>
        <w:t>d</w:t>
      </w:r>
      <w:r w:rsidR="008C12E3">
        <w:t>a</w:t>
      </w:r>
      <w:r>
        <w:t>t</w:t>
      </w:r>
      <w:r w:rsidR="008C12E3">
        <w:t>ës</w:t>
      </w:r>
      <w:proofErr w:type="spellEnd"/>
      <w:r>
        <w:t xml:space="preserve"> 28 </w:t>
      </w:r>
      <w:proofErr w:type="spellStart"/>
      <w:r>
        <w:t>Dhjetor</w:t>
      </w:r>
      <w:proofErr w:type="spellEnd"/>
      <w:r>
        <w:t xml:space="preserve"> 2020</w:t>
      </w:r>
      <w:r w:rsidR="008C12E3">
        <w:t>.</w:t>
      </w:r>
    </w:p>
  </w:footnote>
  <w:footnote w:id="5">
    <w:p w14:paraId="46234727" w14:textId="77777777" w:rsidR="00343D79" w:rsidRDefault="00343D79">
      <w:pPr>
        <w:pStyle w:val="FootnoteText"/>
      </w:pPr>
      <w:r>
        <w:rPr>
          <w:rStyle w:val="FootnoteReference"/>
        </w:rPr>
        <w:footnoteRef/>
      </w:r>
      <w:r>
        <w:t xml:space="preserve"> </w:t>
      </w:r>
      <w:proofErr w:type="spellStart"/>
      <w:r>
        <w:t>Për</w:t>
      </w:r>
      <w:proofErr w:type="spellEnd"/>
      <w:r>
        <w:t xml:space="preserve"> </w:t>
      </w:r>
      <w:proofErr w:type="spellStart"/>
      <w:r>
        <w:t>referencë</w:t>
      </w:r>
      <w:proofErr w:type="spellEnd"/>
      <w:r>
        <w:t xml:space="preserve"> </w:t>
      </w:r>
      <w:proofErr w:type="spellStart"/>
      <w:r>
        <w:t>të</w:t>
      </w:r>
      <w:proofErr w:type="spellEnd"/>
      <w:r>
        <w:t xml:space="preserve"> </w:t>
      </w:r>
      <w:proofErr w:type="spellStart"/>
      <w:r>
        <w:t>vendimeve</w:t>
      </w:r>
      <w:proofErr w:type="spellEnd"/>
      <w:r>
        <w:t xml:space="preserve"> </w:t>
      </w:r>
      <w:proofErr w:type="spellStart"/>
      <w:r>
        <w:t>konkrete</w:t>
      </w:r>
      <w:proofErr w:type="spellEnd"/>
      <w:r>
        <w:t xml:space="preserve">, shih </w:t>
      </w:r>
      <w:proofErr w:type="spellStart"/>
      <w:r>
        <w:t>Aneksi</w:t>
      </w:r>
      <w:proofErr w:type="spellEnd"/>
      <w:r>
        <w:t xml:space="preserve"> 1 – </w:t>
      </w:r>
      <w:proofErr w:type="spellStart"/>
      <w:r>
        <w:t>Tabela</w:t>
      </w:r>
      <w:proofErr w:type="spellEnd"/>
      <w:r>
        <w:t xml:space="preserve"> 1.</w:t>
      </w:r>
    </w:p>
  </w:footnote>
  <w:footnote w:id="6">
    <w:p w14:paraId="526D7C42" w14:textId="77777777" w:rsidR="00343D79" w:rsidRDefault="00343D79">
      <w:pPr>
        <w:pStyle w:val="FootnoteText"/>
      </w:pPr>
      <w:r>
        <w:rPr>
          <w:rStyle w:val="FootnoteReference"/>
        </w:rPr>
        <w:footnoteRef/>
      </w:r>
      <w:r>
        <w:t xml:space="preserve"> Id. </w:t>
      </w:r>
    </w:p>
  </w:footnote>
  <w:footnote w:id="7">
    <w:p w14:paraId="4D44C8B1" w14:textId="77777777" w:rsidR="00962F9F" w:rsidRDefault="00962F9F" w:rsidP="008C12E3">
      <w:pPr>
        <w:pStyle w:val="FootnoteText"/>
        <w:jc w:val="both"/>
      </w:pPr>
      <w:r>
        <w:rPr>
          <w:rStyle w:val="FootnoteReference"/>
        </w:rPr>
        <w:footnoteRef/>
      </w:r>
      <w:r>
        <w:t xml:space="preserve"> </w:t>
      </w:r>
      <w:proofErr w:type="spellStart"/>
      <w:r w:rsidR="00020180">
        <w:t>Komunat</w:t>
      </w:r>
      <w:proofErr w:type="spellEnd"/>
      <w:r w:rsidR="00020180">
        <w:t xml:space="preserve">: </w:t>
      </w:r>
      <w:proofErr w:type="spellStart"/>
      <w:r w:rsidR="00020180" w:rsidRPr="00020180">
        <w:t>Dragash</w:t>
      </w:r>
      <w:proofErr w:type="spellEnd"/>
      <w:r w:rsidR="00020180" w:rsidRPr="00020180">
        <w:t xml:space="preserve">, </w:t>
      </w:r>
      <w:proofErr w:type="spellStart"/>
      <w:r w:rsidR="00020180" w:rsidRPr="00020180">
        <w:t>Ferizaj</w:t>
      </w:r>
      <w:proofErr w:type="spellEnd"/>
      <w:r w:rsidR="00020180" w:rsidRPr="00020180">
        <w:t xml:space="preserve">, </w:t>
      </w:r>
      <w:proofErr w:type="spellStart"/>
      <w:r w:rsidR="00020180" w:rsidRPr="00020180">
        <w:t>Fushë</w:t>
      </w:r>
      <w:proofErr w:type="spellEnd"/>
      <w:r w:rsidR="00020180" w:rsidRPr="00020180">
        <w:t xml:space="preserve"> </w:t>
      </w:r>
      <w:proofErr w:type="spellStart"/>
      <w:r w:rsidR="00020180" w:rsidRPr="00020180">
        <w:t>Kosovë</w:t>
      </w:r>
      <w:proofErr w:type="spellEnd"/>
      <w:r w:rsidR="00020180" w:rsidRPr="00020180">
        <w:t xml:space="preserve">, </w:t>
      </w:r>
      <w:proofErr w:type="spellStart"/>
      <w:r w:rsidR="00020180" w:rsidRPr="00020180">
        <w:t>Gjilan</w:t>
      </w:r>
      <w:proofErr w:type="spellEnd"/>
      <w:r w:rsidR="00020180" w:rsidRPr="00020180">
        <w:t xml:space="preserve">, </w:t>
      </w:r>
      <w:proofErr w:type="spellStart"/>
      <w:r w:rsidR="00020180" w:rsidRPr="00020180">
        <w:t>Gllogovc</w:t>
      </w:r>
      <w:proofErr w:type="spellEnd"/>
      <w:r w:rsidR="00020180" w:rsidRPr="00020180">
        <w:t xml:space="preserve">, Hani </w:t>
      </w:r>
      <w:proofErr w:type="spellStart"/>
      <w:r w:rsidR="00020180" w:rsidRPr="00020180">
        <w:t>i</w:t>
      </w:r>
      <w:proofErr w:type="spellEnd"/>
      <w:r w:rsidR="00020180" w:rsidRPr="00020180">
        <w:t xml:space="preserve"> </w:t>
      </w:r>
      <w:proofErr w:type="spellStart"/>
      <w:r w:rsidR="00020180" w:rsidRPr="00020180">
        <w:t>Elezit</w:t>
      </w:r>
      <w:proofErr w:type="spellEnd"/>
      <w:r w:rsidR="00020180" w:rsidRPr="00020180">
        <w:t xml:space="preserve">, </w:t>
      </w:r>
      <w:proofErr w:type="spellStart"/>
      <w:r w:rsidR="00020180" w:rsidRPr="00020180">
        <w:t>Istog</w:t>
      </w:r>
      <w:proofErr w:type="spellEnd"/>
      <w:r w:rsidR="00020180" w:rsidRPr="00020180">
        <w:t xml:space="preserve">, </w:t>
      </w:r>
      <w:proofErr w:type="spellStart"/>
      <w:r w:rsidR="00020180" w:rsidRPr="00020180">
        <w:t>Junik</w:t>
      </w:r>
      <w:proofErr w:type="spellEnd"/>
      <w:r w:rsidR="00020180" w:rsidRPr="00020180">
        <w:t xml:space="preserve">, </w:t>
      </w:r>
      <w:proofErr w:type="spellStart"/>
      <w:r w:rsidR="00020180" w:rsidRPr="00020180">
        <w:t>Kaçanik</w:t>
      </w:r>
      <w:proofErr w:type="spellEnd"/>
      <w:r w:rsidR="00020180" w:rsidRPr="00020180">
        <w:t xml:space="preserve">, </w:t>
      </w:r>
      <w:proofErr w:type="spellStart"/>
      <w:r w:rsidR="00020180" w:rsidRPr="00020180">
        <w:t>Kamenicë</w:t>
      </w:r>
      <w:proofErr w:type="spellEnd"/>
      <w:r w:rsidR="00020180" w:rsidRPr="00020180">
        <w:t xml:space="preserve">, </w:t>
      </w:r>
      <w:proofErr w:type="spellStart"/>
      <w:r w:rsidR="00020180" w:rsidRPr="00020180">
        <w:t>Klinë</w:t>
      </w:r>
      <w:proofErr w:type="spellEnd"/>
      <w:r w:rsidR="00020180" w:rsidRPr="00020180">
        <w:t xml:space="preserve">, </w:t>
      </w:r>
      <w:proofErr w:type="spellStart"/>
      <w:r w:rsidR="00020180" w:rsidRPr="00020180">
        <w:t>Kllokot</w:t>
      </w:r>
      <w:proofErr w:type="spellEnd"/>
      <w:r w:rsidR="00020180" w:rsidRPr="00020180">
        <w:t xml:space="preserve">, </w:t>
      </w:r>
      <w:proofErr w:type="spellStart"/>
      <w:r w:rsidR="00020180" w:rsidRPr="00020180">
        <w:t>Leposaviç</w:t>
      </w:r>
      <w:proofErr w:type="spellEnd"/>
      <w:r w:rsidR="00020180" w:rsidRPr="00020180">
        <w:t xml:space="preserve">, </w:t>
      </w:r>
      <w:proofErr w:type="spellStart"/>
      <w:r w:rsidR="00020180" w:rsidRPr="00020180">
        <w:t>Mamushë</w:t>
      </w:r>
      <w:proofErr w:type="spellEnd"/>
      <w:r w:rsidR="00020180" w:rsidRPr="00020180">
        <w:t xml:space="preserve">, </w:t>
      </w:r>
      <w:proofErr w:type="spellStart"/>
      <w:r w:rsidR="00020180" w:rsidRPr="00020180">
        <w:t>Novobërdë</w:t>
      </w:r>
      <w:proofErr w:type="spellEnd"/>
      <w:r w:rsidR="00020180" w:rsidRPr="00020180">
        <w:t xml:space="preserve">, </w:t>
      </w:r>
      <w:proofErr w:type="spellStart"/>
      <w:r w:rsidR="00020180" w:rsidRPr="00020180">
        <w:t>Obiliq</w:t>
      </w:r>
      <w:proofErr w:type="spellEnd"/>
      <w:r w:rsidR="00020180" w:rsidRPr="00020180">
        <w:t xml:space="preserve">, </w:t>
      </w:r>
      <w:proofErr w:type="spellStart"/>
      <w:r w:rsidR="00020180" w:rsidRPr="00020180">
        <w:t>Partesh</w:t>
      </w:r>
      <w:proofErr w:type="spellEnd"/>
      <w:r w:rsidR="00020180" w:rsidRPr="00020180">
        <w:t xml:space="preserve">, </w:t>
      </w:r>
      <w:proofErr w:type="spellStart"/>
      <w:r w:rsidR="00020180" w:rsidRPr="00020180">
        <w:t>Pejë</w:t>
      </w:r>
      <w:proofErr w:type="spellEnd"/>
      <w:r w:rsidR="00020180" w:rsidRPr="00020180">
        <w:t xml:space="preserve">, </w:t>
      </w:r>
      <w:proofErr w:type="spellStart"/>
      <w:r w:rsidR="00020180" w:rsidRPr="00020180">
        <w:t>Podujevë</w:t>
      </w:r>
      <w:proofErr w:type="spellEnd"/>
      <w:r w:rsidR="00020180" w:rsidRPr="00020180">
        <w:t xml:space="preserve">, </w:t>
      </w:r>
      <w:proofErr w:type="spellStart"/>
      <w:r w:rsidR="00020180" w:rsidRPr="00020180">
        <w:t>Rahovec</w:t>
      </w:r>
      <w:proofErr w:type="spellEnd"/>
      <w:r w:rsidR="00020180" w:rsidRPr="00020180">
        <w:t xml:space="preserve">, </w:t>
      </w:r>
      <w:proofErr w:type="spellStart"/>
      <w:r w:rsidR="00020180" w:rsidRPr="00020180">
        <w:t>Ranillug</w:t>
      </w:r>
      <w:proofErr w:type="spellEnd"/>
      <w:r w:rsidR="00020180" w:rsidRPr="00020180">
        <w:t xml:space="preserve">, Mitrovica e </w:t>
      </w:r>
      <w:proofErr w:type="spellStart"/>
      <w:r w:rsidR="00020180" w:rsidRPr="00020180">
        <w:t>Veriut</w:t>
      </w:r>
      <w:proofErr w:type="spellEnd"/>
      <w:r w:rsidR="00020180" w:rsidRPr="00020180">
        <w:t xml:space="preserve">, </w:t>
      </w:r>
      <w:proofErr w:type="spellStart"/>
      <w:r w:rsidR="00020180" w:rsidRPr="00020180">
        <w:t>Shtime</w:t>
      </w:r>
      <w:proofErr w:type="spellEnd"/>
      <w:r w:rsidR="00020180" w:rsidRPr="00020180">
        <w:t xml:space="preserve">, </w:t>
      </w:r>
      <w:proofErr w:type="spellStart"/>
      <w:r w:rsidR="00020180" w:rsidRPr="00020180">
        <w:t>Shtërpcë</w:t>
      </w:r>
      <w:proofErr w:type="spellEnd"/>
      <w:r w:rsidR="00020180" w:rsidRPr="00020180">
        <w:t xml:space="preserve">, </w:t>
      </w:r>
      <w:proofErr w:type="spellStart"/>
      <w:r w:rsidR="00020180" w:rsidRPr="00020180">
        <w:t>Suharekë</w:t>
      </w:r>
      <w:proofErr w:type="spellEnd"/>
      <w:r w:rsidR="00020180" w:rsidRPr="00020180">
        <w:t xml:space="preserve">, Viti, Zubin </w:t>
      </w:r>
      <w:proofErr w:type="spellStart"/>
      <w:r w:rsidR="00020180" w:rsidRPr="00020180">
        <w:t>Potok</w:t>
      </w:r>
      <w:proofErr w:type="spellEnd"/>
      <w:r w:rsidR="00020180" w:rsidRPr="00020180">
        <w:t xml:space="preserve">, </w:t>
      </w:r>
      <w:proofErr w:type="spellStart"/>
      <w:r w:rsidR="00020180" w:rsidRPr="00020180">
        <w:t>Zveçan</w:t>
      </w:r>
      <w:proofErr w:type="spellEnd"/>
      <w:r w:rsidR="00020180" w:rsidRPr="0002018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108DB"/>
    <w:multiLevelType w:val="hybridMultilevel"/>
    <w:tmpl w:val="F9802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6AF3"/>
    <w:multiLevelType w:val="hybridMultilevel"/>
    <w:tmpl w:val="961AE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8176F"/>
    <w:multiLevelType w:val="hybridMultilevel"/>
    <w:tmpl w:val="741E4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428CA"/>
    <w:multiLevelType w:val="hybridMultilevel"/>
    <w:tmpl w:val="1C9E5926"/>
    <w:lvl w:ilvl="0" w:tplc="9AC05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A2ECF"/>
    <w:multiLevelType w:val="hybridMultilevel"/>
    <w:tmpl w:val="8A36C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C4174"/>
    <w:multiLevelType w:val="hybridMultilevel"/>
    <w:tmpl w:val="967EF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D5437"/>
    <w:multiLevelType w:val="hybridMultilevel"/>
    <w:tmpl w:val="1B56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024C3"/>
    <w:multiLevelType w:val="hybridMultilevel"/>
    <w:tmpl w:val="06CC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A60B7"/>
    <w:multiLevelType w:val="hybridMultilevel"/>
    <w:tmpl w:val="A4700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A48BD"/>
    <w:multiLevelType w:val="hybridMultilevel"/>
    <w:tmpl w:val="92983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9"/>
  </w:num>
  <w:num w:numId="7">
    <w:abstractNumId w:val="6"/>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796"/>
    <w:rsid w:val="00020180"/>
    <w:rsid w:val="00024B8B"/>
    <w:rsid w:val="000A324A"/>
    <w:rsid w:val="000C4B9E"/>
    <w:rsid w:val="00104A98"/>
    <w:rsid w:val="0011609C"/>
    <w:rsid w:val="001317E5"/>
    <w:rsid w:val="001870E7"/>
    <w:rsid w:val="001A253E"/>
    <w:rsid w:val="001B69B8"/>
    <w:rsid w:val="00282A1D"/>
    <w:rsid w:val="00290D59"/>
    <w:rsid w:val="002B5E21"/>
    <w:rsid w:val="002E0824"/>
    <w:rsid w:val="002E6B7B"/>
    <w:rsid w:val="002F15E5"/>
    <w:rsid w:val="00316823"/>
    <w:rsid w:val="00322AD3"/>
    <w:rsid w:val="003429D8"/>
    <w:rsid w:val="00343D79"/>
    <w:rsid w:val="00392F5F"/>
    <w:rsid w:val="00393858"/>
    <w:rsid w:val="003A3431"/>
    <w:rsid w:val="00410ECB"/>
    <w:rsid w:val="004D73A1"/>
    <w:rsid w:val="00527C6C"/>
    <w:rsid w:val="00575803"/>
    <w:rsid w:val="005B0B27"/>
    <w:rsid w:val="005D18CC"/>
    <w:rsid w:val="006179C1"/>
    <w:rsid w:val="006A379F"/>
    <w:rsid w:val="00736782"/>
    <w:rsid w:val="00790C18"/>
    <w:rsid w:val="007967A3"/>
    <w:rsid w:val="007A2CCE"/>
    <w:rsid w:val="00811E6C"/>
    <w:rsid w:val="00874994"/>
    <w:rsid w:val="00875820"/>
    <w:rsid w:val="00885611"/>
    <w:rsid w:val="008C12E3"/>
    <w:rsid w:val="00904FCB"/>
    <w:rsid w:val="009449EA"/>
    <w:rsid w:val="009458A2"/>
    <w:rsid w:val="00962F9F"/>
    <w:rsid w:val="009D3336"/>
    <w:rsid w:val="00A14948"/>
    <w:rsid w:val="00A155D0"/>
    <w:rsid w:val="00A325AF"/>
    <w:rsid w:val="00A329A7"/>
    <w:rsid w:val="00A5016B"/>
    <w:rsid w:val="00AA16AC"/>
    <w:rsid w:val="00AC012E"/>
    <w:rsid w:val="00AF2A1A"/>
    <w:rsid w:val="00B644AD"/>
    <w:rsid w:val="00B644F8"/>
    <w:rsid w:val="00B960A6"/>
    <w:rsid w:val="00C048D9"/>
    <w:rsid w:val="00C563C3"/>
    <w:rsid w:val="00C6314C"/>
    <w:rsid w:val="00D82E98"/>
    <w:rsid w:val="00D91388"/>
    <w:rsid w:val="00DA578E"/>
    <w:rsid w:val="00DC021F"/>
    <w:rsid w:val="00DE3033"/>
    <w:rsid w:val="00E30796"/>
    <w:rsid w:val="00E31686"/>
    <w:rsid w:val="00EB49A8"/>
    <w:rsid w:val="00EB4BBE"/>
    <w:rsid w:val="00EE1684"/>
    <w:rsid w:val="00F37FDA"/>
    <w:rsid w:val="00F43548"/>
    <w:rsid w:val="00F85769"/>
    <w:rsid w:val="00FD07DF"/>
    <w:rsid w:val="00FD7D53"/>
    <w:rsid w:val="00FE5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6945"/>
  <w15:chartTrackingRefBased/>
  <w15:docId w15:val="{EB0C2E34-2072-CC4C-A5F5-CA03C29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9A7"/>
    <w:pPr>
      <w:keepNext/>
      <w:keepLines/>
      <w:spacing w:before="240" w:line="360" w:lineRule="auto"/>
      <w:outlineLvl w:val="0"/>
    </w:pPr>
    <w:rPr>
      <w:rFonts w:asciiTheme="majorHAnsi" w:eastAsiaTheme="majorEastAsia" w:hAnsiTheme="majorHAnsi" w:cstheme="majorBidi"/>
      <w:b/>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9A7"/>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3A3431"/>
    <w:pPr>
      <w:spacing w:before="480" w:line="276" w:lineRule="auto"/>
      <w:outlineLvl w:val="9"/>
    </w:pPr>
    <w:rPr>
      <w:b w:val="0"/>
      <w:bCs/>
      <w:szCs w:val="28"/>
    </w:rPr>
  </w:style>
  <w:style w:type="paragraph" w:styleId="TOC1">
    <w:name w:val="toc 1"/>
    <w:basedOn w:val="Normal"/>
    <w:next w:val="Normal"/>
    <w:autoRedefine/>
    <w:uiPriority w:val="39"/>
    <w:unhideWhenUsed/>
    <w:rsid w:val="003A3431"/>
    <w:pPr>
      <w:spacing w:before="120"/>
    </w:pPr>
    <w:rPr>
      <w:b/>
      <w:bCs/>
      <w:i/>
      <w:iCs/>
    </w:rPr>
  </w:style>
  <w:style w:type="character" w:styleId="Hyperlink">
    <w:name w:val="Hyperlink"/>
    <w:basedOn w:val="DefaultParagraphFont"/>
    <w:uiPriority w:val="99"/>
    <w:unhideWhenUsed/>
    <w:rsid w:val="003A3431"/>
    <w:rPr>
      <w:color w:val="0563C1" w:themeColor="hyperlink"/>
      <w:u w:val="single"/>
    </w:rPr>
  </w:style>
  <w:style w:type="paragraph" w:styleId="TOC2">
    <w:name w:val="toc 2"/>
    <w:basedOn w:val="Normal"/>
    <w:next w:val="Normal"/>
    <w:autoRedefine/>
    <w:uiPriority w:val="39"/>
    <w:semiHidden/>
    <w:unhideWhenUsed/>
    <w:rsid w:val="003A3431"/>
    <w:pPr>
      <w:spacing w:before="120"/>
      <w:ind w:left="240"/>
    </w:pPr>
    <w:rPr>
      <w:b/>
      <w:bCs/>
      <w:sz w:val="22"/>
      <w:szCs w:val="22"/>
    </w:rPr>
  </w:style>
  <w:style w:type="paragraph" w:styleId="TOC3">
    <w:name w:val="toc 3"/>
    <w:basedOn w:val="Normal"/>
    <w:next w:val="Normal"/>
    <w:autoRedefine/>
    <w:uiPriority w:val="39"/>
    <w:semiHidden/>
    <w:unhideWhenUsed/>
    <w:rsid w:val="003A3431"/>
    <w:pPr>
      <w:ind w:left="480"/>
    </w:pPr>
    <w:rPr>
      <w:sz w:val="20"/>
      <w:szCs w:val="20"/>
    </w:rPr>
  </w:style>
  <w:style w:type="paragraph" w:styleId="TOC4">
    <w:name w:val="toc 4"/>
    <w:basedOn w:val="Normal"/>
    <w:next w:val="Normal"/>
    <w:autoRedefine/>
    <w:uiPriority w:val="39"/>
    <w:semiHidden/>
    <w:unhideWhenUsed/>
    <w:rsid w:val="003A3431"/>
    <w:pPr>
      <w:ind w:left="720"/>
    </w:pPr>
    <w:rPr>
      <w:sz w:val="20"/>
      <w:szCs w:val="20"/>
    </w:rPr>
  </w:style>
  <w:style w:type="paragraph" w:styleId="TOC5">
    <w:name w:val="toc 5"/>
    <w:basedOn w:val="Normal"/>
    <w:next w:val="Normal"/>
    <w:autoRedefine/>
    <w:uiPriority w:val="39"/>
    <w:semiHidden/>
    <w:unhideWhenUsed/>
    <w:rsid w:val="003A3431"/>
    <w:pPr>
      <w:ind w:left="960"/>
    </w:pPr>
    <w:rPr>
      <w:sz w:val="20"/>
      <w:szCs w:val="20"/>
    </w:rPr>
  </w:style>
  <w:style w:type="paragraph" w:styleId="TOC6">
    <w:name w:val="toc 6"/>
    <w:basedOn w:val="Normal"/>
    <w:next w:val="Normal"/>
    <w:autoRedefine/>
    <w:uiPriority w:val="39"/>
    <w:semiHidden/>
    <w:unhideWhenUsed/>
    <w:rsid w:val="003A3431"/>
    <w:pPr>
      <w:ind w:left="1200"/>
    </w:pPr>
    <w:rPr>
      <w:sz w:val="20"/>
      <w:szCs w:val="20"/>
    </w:rPr>
  </w:style>
  <w:style w:type="paragraph" w:styleId="TOC7">
    <w:name w:val="toc 7"/>
    <w:basedOn w:val="Normal"/>
    <w:next w:val="Normal"/>
    <w:autoRedefine/>
    <w:uiPriority w:val="39"/>
    <w:semiHidden/>
    <w:unhideWhenUsed/>
    <w:rsid w:val="003A3431"/>
    <w:pPr>
      <w:ind w:left="1440"/>
    </w:pPr>
    <w:rPr>
      <w:sz w:val="20"/>
      <w:szCs w:val="20"/>
    </w:rPr>
  </w:style>
  <w:style w:type="paragraph" w:styleId="TOC8">
    <w:name w:val="toc 8"/>
    <w:basedOn w:val="Normal"/>
    <w:next w:val="Normal"/>
    <w:autoRedefine/>
    <w:uiPriority w:val="39"/>
    <w:semiHidden/>
    <w:unhideWhenUsed/>
    <w:rsid w:val="003A3431"/>
    <w:pPr>
      <w:ind w:left="1680"/>
    </w:pPr>
    <w:rPr>
      <w:sz w:val="20"/>
      <w:szCs w:val="20"/>
    </w:rPr>
  </w:style>
  <w:style w:type="paragraph" w:styleId="TOC9">
    <w:name w:val="toc 9"/>
    <w:basedOn w:val="Normal"/>
    <w:next w:val="Normal"/>
    <w:autoRedefine/>
    <w:uiPriority w:val="39"/>
    <w:semiHidden/>
    <w:unhideWhenUsed/>
    <w:rsid w:val="003A3431"/>
    <w:pPr>
      <w:ind w:left="1920"/>
    </w:pPr>
    <w:rPr>
      <w:sz w:val="20"/>
      <w:szCs w:val="20"/>
    </w:rPr>
  </w:style>
  <w:style w:type="table" w:styleId="TableGrid">
    <w:name w:val="Table Grid"/>
    <w:basedOn w:val="TableNormal"/>
    <w:uiPriority w:val="39"/>
    <w:rsid w:val="00DE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D07D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3">
    <w:name w:val="List Table 3 Accent 3"/>
    <w:basedOn w:val="TableNormal"/>
    <w:uiPriority w:val="48"/>
    <w:rsid w:val="00FD07DF"/>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FD07D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er">
    <w:name w:val="footer"/>
    <w:basedOn w:val="Normal"/>
    <w:link w:val="FooterChar"/>
    <w:uiPriority w:val="99"/>
    <w:unhideWhenUsed/>
    <w:rsid w:val="00962F9F"/>
    <w:pPr>
      <w:tabs>
        <w:tab w:val="center" w:pos="4680"/>
        <w:tab w:val="right" w:pos="9360"/>
      </w:tabs>
    </w:pPr>
  </w:style>
  <w:style w:type="character" w:customStyle="1" w:styleId="FooterChar">
    <w:name w:val="Footer Char"/>
    <w:basedOn w:val="DefaultParagraphFont"/>
    <w:link w:val="Footer"/>
    <w:uiPriority w:val="99"/>
    <w:rsid w:val="00962F9F"/>
  </w:style>
  <w:style w:type="character" w:styleId="PageNumber">
    <w:name w:val="page number"/>
    <w:basedOn w:val="DefaultParagraphFont"/>
    <w:uiPriority w:val="99"/>
    <w:semiHidden/>
    <w:unhideWhenUsed/>
    <w:rsid w:val="00962F9F"/>
  </w:style>
  <w:style w:type="paragraph" w:styleId="FootnoteText">
    <w:name w:val="footnote text"/>
    <w:basedOn w:val="Normal"/>
    <w:link w:val="FootnoteTextChar"/>
    <w:uiPriority w:val="99"/>
    <w:unhideWhenUsed/>
    <w:rsid w:val="00962F9F"/>
    <w:rPr>
      <w:sz w:val="20"/>
      <w:szCs w:val="20"/>
    </w:rPr>
  </w:style>
  <w:style w:type="character" w:customStyle="1" w:styleId="FootnoteTextChar">
    <w:name w:val="Footnote Text Char"/>
    <w:basedOn w:val="DefaultParagraphFont"/>
    <w:link w:val="FootnoteText"/>
    <w:uiPriority w:val="99"/>
    <w:rsid w:val="00962F9F"/>
    <w:rPr>
      <w:sz w:val="20"/>
      <w:szCs w:val="20"/>
    </w:rPr>
  </w:style>
  <w:style w:type="character" w:styleId="FootnoteReference">
    <w:name w:val="footnote reference"/>
    <w:basedOn w:val="DefaultParagraphFont"/>
    <w:uiPriority w:val="99"/>
    <w:semiHidden/>
    <w:unhideWhenUsed/>
    <w:rsid w:val="00962F9F"/>
    <w:rPr>
      <w:vertAlign w:val="superscript"/>
    </w:rPr>
  </w:style>
  <w:style w:type="paragraph" w:styleId="ListParagraph">
    <w:name w:val="List Paragraph"/>
    <w:basedOn w:val="Normal"/>
    <w:uiPriority w:val="34"/>
    <w:qFormat/>
    <w:rsid w:val="009449EA"/>
    <w:pPr>
      <w:ind w:left="720"/>
      <w:contextualSpacing/>
    </w:pPr>
  </w:style>
  <w:style w:type="character" w:styleId="CommentReference">
    <w:name w:val="annotation reference"/>
    <w:basedOn w:val="DefaultParagraphFont"/>
    <w:uiPriority w:val="99"/>
    <w:semiHidden/>
    <w:unhideWhenUsed/>
    <w:rsid w:val="009449EA"/>
    <w:rPr>
      <w:sz w:val="16"/>
      <w:szCs w:val="16"/>
    </w:rPr>
  </w:style>
  <w:style w:type="paragraph" w:styleId="CommentText">
    <w:name w:val="annotation text"/>
    <w:basedOn w:val="Normal"/>
    <w:link w:val="CommentTextChar"/>
    <w:uiPriority w:val="99"/>
    <w:semiHidden/>
    <w:unhideWhenUsed/>
    <w:rsid w:val="009449EA"/>
    <w:rPr>
      <w:sz w:val="20"/>
      <w:szCs w:val="20"/>
    </w:rPr>
  </w:style>
  <w:style w:type="character" w:customStyle="1" w:styleId="CommentTextChar">
    <w:name w:val="Comment Text Char"/>
    <w:basedOn w:val="DefaultParagraphFont"/>
    <w:link w:val="CommentText"/>
    <w:uiPriority w:val="99"/>
    <w:semiHidden/>
    <w:rsid w:val="009449EA"/>
    <w:rPr>
      <w:sz w:val="20"/>
      <w:szCs w:val="20"/>
    </w:rPr>
  </w:style>
  <w:style w:type="paragraph" w:styleId="CommentSubject">
    <w:name w:val="annotation subject"/>
    <w:basedOn w:val="CommentText"/>
    <w:next w:val="CommentText"/>
    <w:link w:val="CommentSubjectChar"/>
    <w:uiPriority w:val="99"/>
    <w:semiHidden/>
    <w:unhideWhenUsed/>
    <w:rsid w:val="009449EA"/>
    <w:rPr>
      <w:b/>
      <w:bCs/>
    </w:rPr>
  </w:style>
  <w:style w:type="character" w:customStyle="1" w:styleId="CommentSubjectChar">
    <w:name w:val="Comment Subject Char"/>
    <w:basedOn w:val="CommentTextChar"/>
    <w:link w:val="CommentSubject"/>
    <w:uiPriority w:val="99"/>
    <w:semiHidden/>
    <w:rsid w:val="009449EA"/>
    <w:rPr>
      <w:b/>
      <w:bCs/>
      <w:sz w:val="20"/>
      <w:szCs w:val="20"/>
    </w:rPr>
  </w:style>
  <w:style w:type="paragraph" w:styleId="BalloonText">
    <w:name w:val="Balloon Text"/>
    <w:basedOn w:val="Normal"/>
    <w:link w:val="BalloonTextChar"/>
    <w:uiPriority w:val="99"/>
    <w:semiHidden/>
    <w:unhideWhenUsed/>
    <w:rsid w:val="00944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EA"/>
    <w:rPr>
      <w:rFonts w:ascii="Segoe UI" w:hAnsi="Segoe UI" w:cs="Segoe UI"/>
      <w:sz w:val="18"/>
      <w:szCs w:val="18"/>
    </w:rPr>
  </w:style>
  <w:style w:type="paragraph" w:styleId="Revision">
    <w:name w:val="Revision"/>
    <w:hidden/>
    <w:uiPriority w:val="99"/>
    <w:semiHidden/>
    <w:rsid w:val="00FE5055"/>
  </w:style>
  <w:style w:type="paragraph" w:styleId="Header">
    <w:name w:val="header"/>
    <w:basedOn w:val="Normal"/>
    <w:link w:val="HeaderChar"/>
    <w:uiPriority w:val="99"/>
    <w:unhideWhenUsed/>
    <w:rsid w:val="00DA578E"/>
    <w:pPr>
      <w:tabs>
        <w:tab w:val="center" w:pos="4680"/>
        <w:tab w:val="right" w:pos="9360"/>
      </w:tabs>
    </w:pPr>
  </w:style>
  <w:style w:type="character" w:customStyle="1" w:styleId="HeaderChar">
    <w:name w:val="Header Char"/>
    <w:basedOn w:val="DefaultParagraphFont"/>
    <w:link w:val="Header"/>
    <w:uiPriority w:val="99"/>
    <w:rsid w:val="00DA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464569">
      <w:bodyDiv w:val="1"/>
      <w:marLeft w:val="0"/>
      <w:marRight w:val="0"/>
      <w:marTop w:val="0"/>
      <w:marBottom w:val="0"/>
      <w:divBdr>
        <w:top w:val="none" w:sz="0" w:space="0" w:color="auto"/>
        <w:left w:val="none" w:sz="0" w:space="0" w:color="auto"/>
        <w:bottom w:val="none" w:sz="0" w:space="0" w:color="auto"/>
        <w:right w:val="none" w:sz="0" w:space="0" w:color="auto"/>
      </w:divBdr>
    </w:div>
    <w:div w:id="467284447">
      <w:bodyDiv w:val="1"/>
      <w:marLeft w:val="0"/>
      <w:marRight w:val="0"/>
      <w:marTop w:val="0"/>
      <w:marBottom w:val="0"/>
      <w:divBdr>
        <w:top w:val="none" w:sz="0" w:space="0" w:color="auto"/>
        <w:left w:val="none" w:sz="0" w:space="0" w:color="auto"/>
        <w:bottom w:val="none" w:sz="0" w:space="0" w:color="auto"/>
        <w:right w:val="none" w:sz="0" w:space="0" w:color="auto"/>
      </w:divBdr>
    </w:div>
    <w:div w:id="1548183339">
      <w:bodyDiv w:val="1"/>
      <w:marLeft w:val="0"/>
      <w:marRight w:val="0"/>
      <w:marTop w:val="0"/>
      <w:marBottom w:val="0"/>
      <w:divBdr>
        <w:top w:val="none" w:sz="0" w:space="0" w:color="auto"/>
        <w:left w:val="none" w:sz="0" w:space="0" w:color="auto"/>
        <w:bottom w:val="none" w:sz="0" w:space="0" w:color="auto"/>
        <w:right w:val="none" w:sz="0" w:space="0" w:color="auto"/>
      </w:divBdr>
    </w:div>
    <w:div w:id="171392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0177-FD41-47F2-A065-D3110A4D2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Arber Kadriu</dc:creator>
  <cp:keywords/>
  <dc:description/>
  <cp:lastModifiedBy>mpl</cp:lastModifiedBy>
  <cp:revision>5</cp:revision>
  <cp:lastPrinted>2021-01-27T10:17:00Z</cp:lastPrinted>
  <dcterms:created xsi:type="dcterms:W3CDTF">2021-02-26T11:21:00Z</dcterms:created>
  <dcterms:modified xsi:type="dcterms:W3CDTF">2021-02-26T11:33:00Z</dcterms:modified>
</cp:coreProperties>
</file>