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7EC" w:rsidRPr="006B75AB" w:rsidRDefault="008507EC" w:rsidP="008507EC">
      <w:pPr>
        <w:spacing w:after="0"/>
        <w:jc w:val="center"/>
        <w:rPr>
          <w:rFonts w:ascii="Book Antiqua" w:eastAsia="Batang" w:hAnsi="Book Antiqua"/>
          <w:sz w:val="24"/>
        </w:rPr>
      </w:pPr>
      <w:r w:rsidRPr="006B75AB">
        <w:rPr>
          <w:rFonts w:ascii="Calibri" w:eastAsia="Batang" w:hAnsi="Calibri"/>
          <w:noProof/>
          <w:sz w:val="18"/>
        </w:rPr>
        <w:drawing>
          <wp:inline distT="0" distB="0" distL="0" distR="0" wp14:anchorId="0B10C964" wp14:editId="1E0AA72C">
            <wp:extent cx="667909" cy="725887"/>
            <wp:effectExtent l="0" t="0" r="0" b="0"/>
            <wp:docPr id="2" name="Picture 2" descr="kosov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ovo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09" cy="725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5AB">
        <w:rPr>
          <w:rFonts w:ascii="Calibri" w:eastAsia="Batang" w:hAnsi="Calibri"/>
          <w:noProof/>
          <w:sz w:val="18"/>
        </w:rPr>
        <w:t xml:space="preserve">  </w:t>
      </w:r>
    </w:p>
    <w:p w:rsidR="008507EC" w:rsidRPr="006B75AB" w:rsidRDefault="008507EC" w:rsidP="008507EC">
      <w:pPr>
        <w:spacing w:after="0"/>
        <w:jc w:val="center"/>
        <w:rPr>
          <w:rFonts w:ascii="Book Antiqua" w:eastAsia="Batang" w:hAnsi="Book Antiqua" w:cs="Book Antiqua"/>
          <w:b/>
          <w:bCs/>
          <w:sz w:val="2"/>
        </w:rPr>
      </w:pPr>
    </w:p>
    <w:p w:rsidR="008507EC" w:rsidRPr="006B75AB" w:rsidRDefault="008507EC" w:rsidP="008507EC">
      <w:pPr>
        <w:spacing w:after="0"/>
        <w:jc w:val="center"/>
        <w:rPr>
          <w:rFonts w:ascii="Book Antiqua" w:eastAsia="Batang" w:hAnsi="Book Antiqua"/>
          <w:b/>
          <w:bCs/>
          <w:sz w:val="24"/>
        </w:rPr>
      </w:pPr>
      <w:r w:rsidRPr="006B75AB">
        <w:rPr>
          <w:rFonts w:ascii="Book Antiqua" w:eastAsia="Batang" w:hAnsi="Book Antiqua" w:cs="Book Antiqua"/>
          <w:b/>
          <w:bCs/>
          <w:sz w:val="24"/>
        </w:rPr>
        <w:t>Republika e Kosovës</w:t>
      </w:r>
    </w:p>
    <w:p w:rsidR="008507EC" w:rsidRPr="006B75AB" w:rsidRDefault="008507EC" w:rsidP="008507EC">
      <w:pPr>
        <w:spacing w:after="0"/>
        <w:jc w:val="center"/>
        <w:rPr>
          <w:rFonts w:ascii="Book Antiqua" w:eastAsia="Batang" w:hAnsi="Book Antiqua" w:cs="Book Antiqua"/>
          <w:b/>
          <w:bCs/>
          <w:szCs w:val="26"/>
        </w:rPr>
      </w:pPr>
      <w:r w:rsidRPr="006B75AB">
        <w:rPr>
          <w:rFonts w:ascii="Book Antiqua" w:eastAsia="Batang" w:hAnsi="Book Antiqua"/>
          <w:b/>
          <w:bCs/>
          <w:szCs w:val="26"/>
        </w:rPr>
        <w:t>Republika Kosova-Republic of Kosovo</w:t>
      </w:r>
    </w:p>
    <w:p w:rsidR="008507EC" w:rsidRPr="006B75AB" w:rsidRDefault="008507EC" w:rsidP="008507EC">
      <w:pPr>
        <w:spacing w:after="0"/>
        <w:jc w:val="center"/>
        <w:rPr>
          <w:rFonts w:ascii="Book Antiqua" w:eastAsia="Batang" w:hAnsi="Book Antiqua" w:cs="Book Antiqua"/>
          <w:b/>
          <w:i/>
          <w:iCs/>
        </w:rPr>
      </w:pPr>
      <w:r w:rsidRPr="006B75AB">
        <w:rPr>
          <w:rFonts w:ascii="Book Antiqua" w:eastAsia="Batang" w:hAnsi="Book Antiqua" w:cs="Book Antiqua"/>
          <w:b/>
          <w:i/>
          <w:iCs/>
        </w:rPr>
        <w:t>Qeveria - Vlada – Government</w:t>
      </w:r>
    </w:p>
    <w:p w:rsidR="008507EC" w:rsidRPr="006B75AB" w:rsidRDefault="008507EC" w:rsidP="008507EC">
      <w:pPr>
        <w:spacing w:after="0"/>
        <w:jc w:val="center"/>
        <w:rPr>
          <w:rFonts w:ascii="Book Antiqua" w:eastAsia="Batang" w:hAnsi="Book Antiqua" w:cs="Book Antiqua"/>
          <w:i/>
          <w:iCs/>
          <w:sz w:val="20"/>
        </w:rPr>
      </w:pPr>
      <w:r w:rsidRPr="006B75AB">
        <w:rPr>
          <w:rFonts w:ascii="Book Antiqua" w:eastAsia="Batang" w:hAnsi="Book Antiqua"/>
          <w:i/>
          <w:sz w:val="20"/>
        </w:rPr>
        <w:t>Ministria e Administrimit të Pushtetit Lokal</w:t>
      </w:r>
    </w:p>
    <w:p w:rsidR="008507EC" w:rsidRPr="006B75AB" w:rsidRDefault="008507EC" w:rsidP="008507EC">
      <w:pPr>
        <w:spacing w:after="0"/>
        <w:jc w:val="center"/>
        <w:rPr>
          <w:rFonts w:ascii="Book Antiqua" w:eastAsia="Batang" w:hAnsi="Book Antiqua"/>
          <w:i/>
          <w:sz w:val="20"/>
        </w:rPr>
      </w:pPr>
      <w:r w:rsidRPr="006B75AB">
        <w:rPr>
          <w:rFonts w:ascii="Book Antiqua" w:eastAsia="Batang" w:hAnsi="Book Antiqua"/>
          <w:i/>
          <w:sz w:val="20"/>
        </w:rPr>
        <w:t>Ministarstvo Lokalne Samouprave Administracije</w:t>
      </w:r>
    </w:p>
    <w:p w:rsidR="008507EC" w:rsidRPr="006B75AB" w:rsidRDefault="008507EC" w:rsidP="008507EC">
      <w:pPr>
        <w:pBdr>
          <w:bottom w:val="single" w:sz="6" w:space="1" w:color="auto"/>
        </w:pBdr>
        <w:spacing w:after="0"/>
        <w:jc w:val="center"/>
        <w:rPr>
          <w:rFonts w:ascii="Book Antiqua" w:eastAsia="Batang" w:hAnsi="Book Antiqua"/>
          <w:i/>
          <w:sz w:val="20"/>
        </w:rPr>
      </w:pPr>
      <w:r w:rsidRPr="006B75AB">
        <w:rPr>
          <w:rFonts w:ascii="Book Antiqua" w:eastAsia="Batang" w:hAnsi="Book Antiqua"/>
          <w:i/>
          <w:sz w:val="20"/>
        </w:rPr>
        <w:t>Ministry of Local Government Administration</w:t>
      </w:r>
    </w:p>
    <w:p w:rsidR="008507EC" w:rsidRPr="002842F1" w:rsidRDefault="00F84CE6" w:rsidP="008507EC">
      <w:pPr>
        <w:rPr>
          <w:lang w:val="sq-AL"/>
        </w:rPr>
      </w:pP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8A694" wp14:editId="7C4B638A">
                <wp:simplePos x="0" y="0"/>
                <wp:positionH relativeFrom="column">
                  <wp:posOffset>358140</wp:posOffset>
                </wp:positionH>
                <wp:positionV relativeFrom="paragraph">
                  <wp:posOffset>112395</wp:posOffset>
                </wp:positionV>
                <wp:extent cx="1651000" cy="70675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7EC" w:rsidRPr="004235DB" w:rsidRDefault="008507EC" w:rsidP="008507EC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</w:pPr>
                            <w:r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t xml:space="preserve">INDEKS </w:t>
                            </w:r>
                            <w:r w:rsidRPr="004235DB">
                              <w:rPr>
                                <w:color w:val="000000" w:themeColor="text1"/>
                                <w:sz w:val="17"/>
                                <w:szCs w:val="17"/>
                              </w:rPr>
                              <w:br/>
                            </w:r>
                            <w:r w:rsidRPr="004235DB">
                              <w:rPr>
                                <w:b/>
                                <w:color w:val="000000" w:themeColor="text1"/>
                                <w:sz w:val="17"/>
                                <w:szCs w:val="17"/>
                              </w:rPr>
                              <w:t>JANAR-DHJETOR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E8A69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.2pt;margin-top:8.85pt;width:130pt;height:5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" filled="f" stroked="f" strokeweight=".5pt">
                <v:textbox>
                  <w:txbxContent>
                    <w:p w:rsidR="008507EC" w:rsidRPr="004235DB" w:rsidRDefault="008507EC" w:rsidP="008507EC">
                      <w:pPr>
                        <w:spacing w:line="276" w:lineRule="auto"/>
                        <w:jc w:val="right"/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</w:pPr>
                      <w:r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t xml:space="preserve">INDEKS </w:t>
                      </w:r>
                      <w:r w:rsidRPr="004235DB">
                        <w:rPr>
                          <w:color w:val="000000" w:themeColor="text1"/>
                          <w:sz w:val="17"/>
                          <w:szCs w:val="17"/>
                        </w:rPr>
                        <w:br/>
                      </w:r>
                      <w:r w:rsidRPr="004235DB">
                        <w:rPr>
                          <w:b/>
                          <w:color w:val="000000" w:themeColor="text1"/>
                          <w:sz w:val="17"/>
                          <w:szCs w:val="17"/>
                        </w:rPr>
                        <w:t>JANAR-DHJETOR 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  <w:noProof/>
          <w:color w:val="323E4F" w:themeColor="text2" w:themeShade="BF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3694EC" wp14:editId="0FFC223D">
                <wp:simplePos x="0" y="0"/>
                <wp:positionH relativeFrom="column">
                  <wp:posOffset>900125</wp:posOffset>
                </wp:positionH>
                <wp:positionV relativeFrom="paragraph">
                  <wp:posOffset>220980</wp:posOffset>
                </wp:positionV>
                <wp:extent cx="631825" cy="0"/>
                <wp:effectExtent l="0" t="19050" r="53975" b="381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A34F65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pt,17.4pt" to="120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" strokecolor="#cfcdcd [2894]" strokeweight="4.5pt">
                <v:stroke joinstyle="miter"/>
              </v:line>
            </w:pict>
          </mc:Fallback>
        </mc:AlternateContent>
      </w:r>
    </w:p>
    <w:p w:rsidR="008507EC" w:rsidRPr="00B50619" w:rsidRDefault="006E41D6" w:rsidP="008507EC">
      <w:pPr>
        <w:pStyle w:val="BodyText2"/>
        <w:spacing w:line="276" w:lineRule="auto"/>
        <w:jc w:val="both"/>
        <w:rPr>
          <w:rFonts w:ascii="Book Antiqua" w:hAnsi="Book Antiqua"/>
          <w:b/>
          <w:color w:val="323E4F" w:themeColor="text2" w:themeShade="BF"/>
          <w:sz w:val="22"/>
          <w:szCs w:val="24"/>
        </w:rPr>
      </w:pPr>
      <w:r>
        <w:rPr>
          <w:rFonts w:ascii="Book Antiqua" w:hAnsi="Book Antiqua"/>
          <w:b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7B2A3D" wp14:editId="231038A9">
                <wp:simplePos x="0" y="0"/>
                <wp:positionH relativeFrom="page">
                  <wp:align>right</wp:align>
                </wp:positionH>
                <wp:positionV relativeFrom="paragraph">
                  <wp:posOffset>14976</wp:posOffset>
                </wp:positionV>
                <wp:extent cx="3399549" cy="948059"/>
                <wp:effectExtent l="0" t="0" r="0" b="44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9549" cy="9480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7EC" w:rsidRPr="004235DB" w:rsidRDefault="006E41D6" w:rsidP="008507EC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</w:pPr>
                            <w:r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6</w:t>
                            </w:r>
                            <w:r w:rsidR="00385AE4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8</w:t>
                            </w:r>
                            <w:r w:rsidR="008507EC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.</w:t>
                            </w:r>
                            <w:r w:rsidR="00385AE4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68</w:t>
                            </w:r>
                            <w:r w:rsidR="008507EC" w:rsidRPr="004235DB">
                              <w:rPr>
                                <w:rFonts w:ascii="Century Gothic" w:eastAsia="Times New Roman" w:hAnsi="Century Gothic" w:cs="Arial"/>
                                <w:color w:val="FFC000"/>
                                <w:sz w:val="104"/>
                                <w:szCs w:val="104"/>
                              </w:rPr>
                              <w:t>%</w:t>
                            </w:r>
                          </w:p>
                          <w:p w:rsidR="008507EC" w:rsidRPr="004235DB" w:rsidRDefault="008507EC" w:rsidP="008507EC">
                            <w:pPr>
                              <w:rPr>
                                <w:color w:val="FFC000"/>
                                <w:sz w:val="104"/>
                                <w:szCs w:val="10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B2A3D" id="Text Box 14" o:spid="_x0000_s1027" type="#_x0000_t202" style="position:absolute;left:0;text-align:left;margin-left:216.5pt;margin-top:1.2pt;width:267.7pt;height:74.65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" filled="f" stroked="f" strokeweight=".5pt">
                <v:textbox>
                  <w:txbxContent>
                    <w:p w:rsidR="008507EC" w:rsidRPr="004235DB" w:rsidRDefault="006E41D6" w:rsidP="008507EC">
                      <w:pPr>
                        <w:spacing w:after="0" w:line="240" w:lineRule="auto"/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</w:pPr>
                      <w:r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6</w:t>
                      </w:r>
                      <w:r w:rsidR="00385AE4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8</w:t>
                      </w:r>
                      <w:r w:rsidR="008507EC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.</w:t>
                      </w:r>
                      <w:r w:rsidR="00385AE4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68</w:t>
                      </w:r>
                      <w:r w:rsidR="008507EC" w:rsidRPr="004235DB">
                        <w:rPr>
                          <w:rFonts w:ascii="Century Gothic" w:eastAsia="Times New Roman" w:hAnsi="Century Gothic" w:cs="Arial"/>
                          <w:color w:val="FFC000"/>
                          <w:sz w:val="104"/>
                          <w:szCs w:val="104"/>
                        </w:rPr>
                        <w:t>%</w:t>
                      </w:r>
                    </w:p>
                    <w:p w:rsidR="008507EC" w:rsidRPr="004235DB" w:rsidRDefault="008507EC" w:rsidP="008507EC">
                      <w:pPr>
                        <w:rPr>
                          <w:color w:val="FFC000"/>
                          <w:sz w:val="104"/>
                          <w:szCs w:val="10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507EC">
        <w:rPr>
          <w:rFonts w:ascii="Book Antiqua" w:hAnsi="Book Antiqua"/>
          <w:b/>
          <w:noProof/>
          <w:color w:val="323E4F" w:themeColor="text2" w:themeShade="BF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158493" wp14:editId="5D8BBD43">
                <wp:simplePos x="0" y="0"/>
                <wp:positionH relativeFrom="column">
                  <wp:posOffset>-276330</wp:posOffset>
                </wp:positionH>
                <wp:positionV relativeFrom="paragraph">
                  <wp:posOffset>-200967</wp:posOffset>
                </wp:positionV>
                <wp:extent cx="2146300" cy="1534160"/>
                <wp:effectExtent l="0" t="0" r="6350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153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7EC" w:rsidRPr="00F84CE6" w:rsidRDefault="008507EC" w:rsidP="008507EC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44"/>
                                <w:szCs w:val="48"/>
                              </w:rPr>
                            </w:pPr>
                            <w:r w:rsidRPr="00F84CE6">
                              <w:rPr>
                                <w:rFonts w:asciiTheme="minorHAnsi" w:hAnsiTheme="minorHAnsi"/>
                                <w:b/>
                                <w:sz w:val="44"/>
                                <w:szCs w:val="48"/>
                              </w:rPr>
                              <w:t xml:space="preserve">MATJA E PERFORMANCËS SË KOMUNËS SË </w:t>
                            </w:r>
                          </w:p>
                          <w:p w:rsidR="008507EC" w:rsidRPr="00F84CE6" w:rsidRDefault="008507EC" w:rsidP="008507EC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b/>
                                <w:sz w:val="44"/>
                                <w:szCs w:val="48"/>
                              </w:rPr>
                            </w:pPr>
                            <w:r w:rsidRPr="00F84CE6">
                              <w:rPr>
                                <w:rFonts w:asciiTheme="minorHAnsi" w:hAnsiTheme="minorHAnsi"/>
                                <w:b/>
                                <w:sz w:val="44"/>
                                <w:szCs w:val="48"/>
                              </w:rPr>
                              <w:t>DEÇANIT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158493" id="Text Box 3" o:spid="_x0000_s1028" type="#_x0000_t202" style="position:absolute;left:0;text-align:left;margin-left:-21.75pt;margin-top:-15.8pt;width:169pt;height:120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" fillcolor="white [3201]" stroked="f" strokeweight=".5pt">
                <v:textbox>
                  <w:txbxContent>
                    <w:p w:rsidR="008507EC" w:rsidRPr="00F84CE6" w:rsidRDefault="008507EC" w:rsidP="008507EC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/>
                          <w:b/>
                          <w:sz w:val="44"/>
                          <w:szCs w:val="48"/>
                        </w:rPr>
                      </w:pPr>
                      <w:r w:rsidRPr="00F84CE6">
                        <w:rPr>
                          <w:rFonts w:asciiTheme="minorHAnsi" w:hAnsiTheme="minorHAnsi"/>
                          <w:b/>
                          <w:sz w:val="44"/>
                          <w:szCs w:val="48"/>
                        </w:rPr>
                        <w:t xml:space="preserve">MATJA E PERFORMANCËS SË KOMUNËS SË </w:t>
                      </w:r>
                    </w:p>
                    <w:p w:rsidR="008507EC" w:rsidRPr="00F84CE6" w:rsidRDefault="008507EC" w:rsidP="008507EC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  <w:rPr>
                          <w:rFonts w:asciiTheme="minorHAnsi" w:hAnsiTheme="minorHAnsi"/>
                          <w:b/>
                          <w:sz w:val="44"/>
                          <w:szCs w:val="48"/>
                        </w:rPr>
                      </w:pPr>
                      <w:r w:rsidRPr="00F84CE6">
                        <w:rPr>
                          <w:rFonts w:asciiTheme="minorHAnsi" w:hAnsiTheme="minorHAnsi"/>
                          <w:b/>
                          <w:sz w:val="44"/>
                          <w:szCs w:val="48"/>
                        </w:rPr>
                        <w:t>DEÇANIT</w:t>
                      </w:r>
                    </w:p>
                  </w:txbxContent>
                </v:textbox>
              </v:shape>
            </w:pict>
          </mc:Fallback>
        </mc:AlternateContent>
      </w:r>
    </w:p>
    <w:p w:rsidR="008507EC" w:rsidRDefault="008507EC" w:rsidP="008507EC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8507EC" w:rsidRDefault="008507EC" w:rsidP="008507EC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8507EC" w:rsidRDefault="008507EC" w:rsidP="008507EC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8507EC" w:rsidRDefault="00F84CE6" w:rsidP="008507EC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323E4F" w:themeColor="text2" w:themeShade="BF"/>
          <w:sz w:val="22"/>
          <w:szCs w:val="24"/>
          <w:lang w:val="en-US"/>
        </w:rPr>
        <w:drawing>
          <wp:anchor distT="0" distB="0" distL="114300" distR="114300" simplePos="0" relativeHeight="251663360" behindDoc="0" locked="0" layoutInCell="1" allowOverlap="1" wp14:anchorId="2C3771B3" wp14:editId="66119E71">
            <wp:simplePos x="0" y="0"/>
            <wp:positionH relativeFrom="column">
              <wp:posOffset>1132739</wp:posOffset>
            </wp:positionH>
            <wp:positionV relativeFrom="paragraph">
              <wp:posOffset>113665</wp:posOffset>
            </wp:positionV>
            <wp:extent cx="247650" cy="2476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41D6"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EADFB3" wp14:editId="6194AAFF">
                <wp:simplePos x="0" y="0"/>
                <wp:positionH relativeFrom="page">
                  <wp:posOffset>4355465</wp:posOffset>
                </wp:positionH>
                <wp:positionV relativeFrom="page">
                  <wp:posOffset>3826510</wp:posOffset>
                </wp:positionV>
                <wp:extent cx="2959100" cy="3105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910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1D6" w:rsidRPr="00E6390E" w:rsidRDefault="006E41D6" w:rsidP="006E41D6">
                            <w:pPr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</w:pPr>
                            <w:r w:rsidRPr="00E6390E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PERFORMANCA </w:t>
                            </w:r>
                            <w:r w:rsidR="00547978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>E</w:t>
                            </w:r>
                            <w:r w:rsidR="00C75E1E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 xml:space="preserve"> </w:t>
                            </w:r>
                            <w:r w:rsidR="00547978">
                              <w:rPr>
                                <w:rFonts w:asciiTheme="majorHAnsi" w:hAnsiTheme="majorHAnsi" w:cstheme="majorHAnsi"/>
                                <w:color w:val="AEAAAA" w:themeColor="background2" w:themeShade="BF"/>
                                <w:sz w:val="20"/>
                                <w:szCs w:val="20"/>
                                <w:lang w:val="sq-AL"/>
                              </w:rPr>
                              <w:t>KOMUNËS NË 19 FUSHA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ADFB3" id="Text Box 6" o:spid="_x0000_s1029" type="#_x0000_t202" style="position:absolute;left:0;text-align:left;margin-left:342.95pt;margin-top:301.3pt;width:233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" fillcolor="white [3201]" stroked="f" strokeweight=".5pt">
                <v:textbox>
                  <w:txbxContent>
                    <w:p w:rsidR="006E41D6" w:rsidRPr="00E6390E" w:rsidRDefault="006E41D6" w:rsidP="006E41D6">
                      <w:pPr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</w:pPr>
                      <w:r w:rsidRPr="00E6390E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PERFORMANCA </w:t>
                      </w:r>
                      <w:r w:rsidR="00547978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>E</w:t>
                      </w:r>
                      <w:r w:rsidR="00C75E1E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 xml:space="preserve"> </w:t>
                      </w:r>
                      <w:r w:rsidR="00547978">
                        <w:rPr>
                          <w:rFonts w:asciiTheme="majorHAnsi" w:hAnsiTheme="majorHAnsi" w:cstheme="majorHAnsi"/>
                          <w:color w:val="AEAAAA" w:themeColor="background2" w:themeShade="BF"/>
                          <w:sz w:val="20"/>
                          <w:szCs w:val="20"/>
                          <w:lang w:val="sq-AL"/>
                        </w:rPr>
                        <w:t>KOMUNËS NË 19 FUSHA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507EC" w:rsidRDefault="008507EC" w:rsidP="008507EC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8507EC" w:rsidRDefault="008507EC" w:rsidP="008507EC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  <w:r>
        <w:rPr>
          <w:rFonts w:ascii="Book Antiqua" w:hAnsi="Book Antiqua"/>
          <w:noProof/>
          <w:color w:val="44546A" w:themeColor="text2"/>
          <w:sz w:val="2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E1783" wp14:editId="43F8DC59">
                <wp:simplePos x="0" y="0"/>
                <wp:positionH relativeFrom="page">
                  <wp:align>left</wp:align>
                </wp:positionH>
                <wp:positionV relativeFrom="paragraph">
                  <wp:posOffset>213037</wp:posOffset>
                </wp:positionV>
                <wp:extent cx="7915275" cy="784746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5275" cy="7847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7EC" w:rsidRPr="004E480A" w:rsidRDefault="008507EC" w:rsidP="008507EC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2"/>
                                <w:szCs w:val="20"/>
                                <w:lang w:val="sq-AL"/>
                              </w:rPr>
                            </w:pPr>
                          </w:p>
                          <w:p w:rsidR="008507EC" w:rsidRPr="004E480A" w:rsidRDefault="008507EC" w:rsidP="008507EC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Fushave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19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="00547978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Tregues të pezulluar</w:t>
                            </w:r>
                            <w:r w:rsidR="00547978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="00547978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="00547978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17</w:t>
                            </w:r>
                          </w:p>
                          <w:p w:rsidR="00547978" w:rsidRPr="004E480A" w:rsidRDefault="008507EC" w:rsidP="00547978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përgjithshëm i indikatorëve në SMPK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>119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                            </w:t>
                            </w:r>
                            <w:r w:rsidR="00547978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Performanca e </w:t>
                            </w:r>
                            <w:r w:rsidR="00547978"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komunës</w:t>
                            </w:r>
                            <w:r w:rsidR="00547978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sipas fushave</w:t>
                            </w:r>
                            <w:r w:rsidR="00547978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              6</w:t>
                            </w:r>
                            <w:r w:rsidR="00385AE4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8</w:t>
                            </w:r>
                            <w:r w:rsidR="00547978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.</w:t>
                            </w:r>
                            <w:r w:rsidR="00385AE4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68</w:t>
                            </w:r>
                            <w:r w:rsidR="00547978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 xml:space="preserve"> %</w:t>
                            </w:r>
                          </w:p>
                          <w:p w:rsidR="00547978" w:rsidRDefault="008507EC" w:rsidP="008507EC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Numri i tregueseve të vlerësuar</w:t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102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="00547978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>Performanca në nivel vendi sipas tregueseve      57.87 %</w:t>
                            </w:r>
                          </w:p>
                          <w:p w:rsidR="008507EC" w:rsidRPr="004E480A" w:rsidRDefault="008507EC" w:rsidP="008507EC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  <w:t xml:space="preserve"> </w:t>
                            </w:r>
                          </w:p>
                          <w:p w:rsidR="008507EC" w:rsidRPr="004E480A" w:rsidRDefault="008507EC" w:rsidP="008507EC">
                            <w:pPr>
                              <w:spacing w:after="100" w:line="240" w:lineRule="auto"/>
                              <w:ind w:left="994"/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</w:pP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  <w:r w:rsidRPr="004E480A">
                              <w:rPr>
                                <w:b/>
                                <w:color w:val="000000" w:themeColor="text1"/>
                                <w:sz w:val="18"/>
                                <w:szCs w:val="20"/>
                                <w:lang w:val="sq-AL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E1783" id="Text Box 8" o:spid="_x0000_s1030" type="#_x0000_t202" style="position:absolute;left:0;text-align:left;margin-left:0;margin-top:16.75pt;width:623.25pt;height:61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" fillcolor="#f2f2f2 [3052]" stroked="f" strokeweight=".5pt">
                <v:textbox>
                  <w:txbxContent>
                    <w:p w:rsidR="008507EC" w:rsidRPr="004E480A" w:rsidRDefault="008507EC" w:rsidP="008507EC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2"/>
                          <w:szCs w:val="20"/>
                          <w:lang w:val="sq-AL"/>
                        </w:rPr>
                      </w:pPr>
                    </w:p>
                    <w:p w:rsidR="008507EC" w:rsidRPr="004E480A" w:rsidRDefault="008507EC" w:rsidP="008507EC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Fushave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19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="00547978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Tregues të pezulluar</w:t>
                      </w:r>
                      <w:r w:rsidR="00547978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="00547978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="00547978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17</w:t>
                      </w:r>
                    </w:p>
                    <w:p w:rsidR="00547978" w:rsidRPr="004E480A" w:rsidRDefault="008507EC" w:rsidP="00547978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përgjithshëm i indikatorëve në SMPK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>119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                            </w:t>
                      </w:r>
                      <w:r w:rsidR="00547978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Performanca e </w:t>
                      </w:r>
                      <w:r w:rsidR="00547978"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komunës</w:t>
                      </w:r>
                      <w:r w:rsidR="00547978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sipas fushave</w:t>
                      </w:r>
                      <w:r w:rsidR="00547978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              6</w:t>
                      </w:r>
                      <w:r w:rsidR="00385AE4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8</w:t>
                      </w:r>
                      <w:r w:rsidR="00547978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.</w:t>
                      </w:r>
                      <w:r w:rsidR="00385AE4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68</w:t>
                      </w:r>
                      <w:r w:rsidR="00547978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 xml:space="preserve"> %</w:t>
                      </w:r>
                    </w:p>
                    <w:p w:rsidR="00547978" w:rsidRDefault="008507EC" w:rsidP="008507EC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Numri i tregueseve të vlerësuar</w:t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102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="00547978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>Performanca në nivel vendi sipas tregueseve      57.87 %</w:t>
                      </w:r>
                    </w:p>
                    <w:p w:rsidR="008507EC" w:rsidRPr="004E480A" w:rsidRDefault="008507EC" w:rsidP="008507EC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  <w:t xml:space="preserve"> </w:t>
                      </w:r>
                    </w:p>
                    <w:p w:rsidR="008507EC" w:rsidRPr="004E480A" w:rsidRDefault="008507EC" w:rsidP="008507EC">
                      <w:pPr>
                        <w:spacing w:after="100" w:line="240" w:lineRule="auto"/>
                        <w:ind w:left="994"/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</w:pP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  <w:r w:rsidRPr="004E480A">
                        <w:rPr>
                          <w:b/>
                          <w:color w:val="000000" w:themeColor="text1"/>
                          <w:sz w:val="18"/>
                          <w:szCs w:val="20"/>
                          <w:lang w:val="sq-AL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507EC" w:rsidRDefault="008507EC" w:rsidP="008507EC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8507EC" w:rsidRDefault="008507EC" w:rsidP="008507EC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8507EC" w:rsidRDefault="008507EC" w:rsidP="008507EC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8507EC" w:rsidRDefault="008507EC" w:rsidP="008507EC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8507EC" w:rsidRDefault="008507EC" w:rsidP="008507EC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p w:rsidR="008507EC" w:rsidRDefault="0051201D" w:rsidP="008507EC">
      <w:pPr>
        <w:tabs>
          <w:tab w:val="left" w:pos="1335"/>
        </w:tabs>
        <w:rPr>
          <w:rFonts w:ascii="Book Antiqua" w:hAnsi="Book Antiqua"/>
          <w:color w:val="323E4F" w:themeColor="text2" w:themeShade="BF"/>
          <w:szCs w:val="24"/>
        </w:rPr>
      </w:pPr>
      <w:r>
        <w:rPr>
          <w:noProof/>
        </w:rPr>
        <w:drawing>
          <wp:inline distT="0" distB="0" distL="0" distR="0" wp14:anchorId="11289675" wp14:editId="4B450165">
            <wp:extent cx="5854700" cy="36576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07EC" w:rsidRDefault="008507EC" w:rsidP="008507EC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  <w:sectPr w:rsidR="008507E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8507EC" w:rsidRDefault="008507EC" w:rsidP="008507EC">
      <w:pPr>
        <w:pStyle w:val="BodyText2"/>
        <w:spacing w:line="276" w:lineRule="auto"/>
        <w:jc w:val="both"/>
        <w:rPr>
          <w:rFonts w:ascii="Book Antiqua" w:hAnsi="Book Antiqua"/>
          <w:color w:val="323E4F" w:themeColor="text2" w:themeShade="BF"/>
          <w:sz w:val="22"/>
          <w:szCs w:val="24"/>
        </w:rPr>
      </w:pPr>
    </w:p>
    <w:tbl>
      <w:tblPr>
        <w:tblW w:w="12668" w:type="dxa"/>
        <w:tblInd w:w="-5" w:type="dxa"/>
        <w:tblLook w:val="04A0" w:firstRow="1" w:lastRow="0" w:firstColumn="1" w:lastColumn="0" w:noHBand="0" w:noVBand="1"/>
      </w:tblPr>
      <w:tblGrid>
        <w:gridCol w:w="2268"/>
        <w:gridCol w:w="669"/>
        <w:gridCol w:w="9014"/>
        <w:gridCol w:w="717"/>
      </w:tblGrid>
      <w:tr w:rsidR="008507EC" w:rsidRPr="006B75AB" w:rsidTr="00547978">
        <w:trPr>
          <w:trHeight w:val="5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 ADMINISTRATIVE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</w:rPr>
              <w:t>1.1.1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 administrative të shqyrtuara gjatë vitit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98,81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1.1.2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Kërkesat administrative të shqyrtuara brenda afateve ligjore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1.1.4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Shërbimet administrative të ofruara në mënyrë elektronike nga komuna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60,00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TRANSPARENCA KOMUNALE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</w:rPr>
              <w:t>2.1.1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Mbledhjet e kuvendit të bëra publike dhe të transmetuara drejtpërdrejt online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20,00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2.1.2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qasje në dokumente publike nga qytetarët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2.1.3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Përmbushja e kritereve të  faqes zyrtare elektronike të komunës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87,50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2.1.4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 i akteve të miratuara në kuvendin komunal, në faqën zyrtare të komunës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40,35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2.1.5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akteve me karakter të përgjithshëm, të miratuara nga kryetari i komunës, në faqën zyrtare të komunës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2.2.1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dokumenteve për planifikim dhe shpenzim të buxhetit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2.2.2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dokumenteve të prokurimit publik dhe i kontratave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71,09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PËRGJEGJSHMËRIA KOMUNALE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</w:rPr>
              <w:t>3.1.1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Publikimi i njoftimeve për mbajtjen e 2 takimeve publike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25,00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3.1.2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Pjesëmarrja e qytetarëve në konsultime publike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3.1.3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Aktet komunale dhe dokumentet e politikave lokale  të konsultuara me publikun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3.1.4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Dëgjime publike për KAB dhe buxhet komunal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3.1.5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Publikimi i raporteve për procese të konsultimeve publike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3.2.1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Miratimi me kohë i propozim buxhetit vjetor komunal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3.2.2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Diskutime për raportet buxhetore tre-mujore nga Kuvendi Komunal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50,00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3.2.3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 për raportin e performancës komunale nga kuvendi komunal për vitin paraprak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3.2.4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 i raportit të auditorit të jashtëm dhe planit të veprimit për adresim të rekomandimeve në Asamblenë Komunale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50,00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3.2.5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Diskutimi i raportit të auditorit të brendshem dhe planit të veprimit  në Asamblenë Komunale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3.2.6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Mbledhje të Kuvendit me pjesëmarrje të kryetarit të komunës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84,62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3.3.1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zbatimit të planit të prokurimit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50,72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3.3.2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pagesave të procesuara brenda afatit ligjor prej 30 ditëve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52,14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3.3.3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adresimit të rekomandimeve të Zyrës Kombëtare të Auditorit 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44,44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3.4.1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Raportimi i planit vjetor të planit të integritetit para kuvendit komunal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3.4.2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Suspendimi i zyrtarëve komunal në raport me akt-akuzat e ngritura ndaj tyre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3.5.1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Zbatimi i skemës për shpërndarjen e vlerësimeve të punës për shërbyesit civil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3.5.3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Kontratat për shërbime të veçanta janë në pajtueshmëri me kornizën ligjore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000000"/>
                <w:sz w:val="18"/>
              </w:rPr>
              <w:t>BARAZIA NË PUNËSIM, SHËRBIMET SOCIALE DHE FAMILJARE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4.1.1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Të punësuar me nevoja të veçanta në institucione komunale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54,28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4.1.2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Të punësuar nga komunitetet jo-shumicë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52,38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4.2.1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Familje me nevojë të cilave iu është siguruar banimi dhe janë krijuar kushtet për lëshim të banimit social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80,00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4.2.2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 me nevojë për strehim që iu është siguruar strehimi familjar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000000"/>
                <w:sz w:val="18"/>
              </w:rPr>
              <w:t>KULTURË, RINI DHE SPORT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</w:rPr>
              <w:t>5.1.1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 për aktivitete sportive për numër të banorëve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58,85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000000"/>
                <w:sz w:val="18"/>
              </w:rPr>
              <w:t xml:space="preserve">MENAXHIMI I FATKEQËSIVE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6.1.1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realizimit të planit komunal për menaxhimin e fatkeqësive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6.1.2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Intervenimet për mbrojtje nga fatkeqësitë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000000"/>
                <w:sz w:val="18"/>
              </w:rPr>
              <w:t>PLANIFIKIMI HAPSINOR KOMUNAL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7.1.1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 e territorit të komunës i mbuluar me plane rregulluese (të hollësishme)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0,03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</w:rPr>
              <w:t>7.2.1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Kërkesa të shqyrtura për leje të ndërtimit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7.2.2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Ndërtesa të reja të inspektuara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7.2.3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 të reja me leje të ndërtimit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000000"/>
                <w:sz w:val="18"/>
              </w:rPr>
              <w:t>HAPËSIRAT PUBLIKE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</w:rPr>
              <w:t>8.1.1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 e hapësirave të gjelbra publike në m2 për kokë banori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2,05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8.1.2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Sipërfaqja e hapësirave publike që mirëmbahen rregullisht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</w:rPr>
              <w:t>8.1.3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Hapësirat publike të pajisura me ndriçim publik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000000"/>
                <w:sz w:val="18"/>
              </w:rPr>
              <w:t>INFRASTRUKTURA RRUGORE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9.1.1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lokale të shtruara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78,49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9.1.2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lokale të mirëmbajtura gjatë sezonës së verës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78,03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9.1.3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lokale të mirëmbajtura gjatë sezonës së dimrit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60,49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</w:rPr>
              <w:t>9.2.1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 e rrugëve lokale të pajisura me trotuare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14,33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9.2.2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 e rrugëve lokale të pajisura me ndriçim publik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14,97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9.2.3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Gjatësia e rrugëve lokale të pajisura me shenjëzim vertikal dhe horizontal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</w:rPr>
              <w:t>9.2.4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në zonën urbane me shteg të biçikletave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9.2.5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Rrugët lokale të riasfaltuara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000000"/>
                <w:sz w:val="18"/>
              </w:rPr>
              <w:t xml:space="preserve">TRANSPORTI PUBLIK 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10.1.1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komunal për transport lokal publik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10.1.2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Vendbanimet e përfshira në transportin lokal publik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10.1.3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Vendndalimet e shënjëzuara për automjetet e transportit publik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000000"/>
                <w:sz w:val="18"/>
              </w:rPr>
              <w:t xml:space="preserve">PARKINGJET PUBLIKE 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11.1.1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Numri i parkingjeve për parkimin e mjeteve motorike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4,00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11.1.2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Vendparkimet për mjete motorike në territorin e komunës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38,29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11.1.3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Vendparkimet e destinuara për taksi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</w:rPr>
              <w:t>11.1.4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 i parkingjeve me vendparkime të rezervuara për persona me aftësi të kufizuar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000000"/>
                <w:sz w:val="18"/>
              </w:rPr>
              <w:t>UJË I PIJSHËM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12.1.1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për ndërtimin dhe mirëmbajtjen e sistemit të ujësjellësit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12.1.2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Ekonomitë familjare, institucionet publike dhe njësitë biznesore të përfshira në sistemin e ujit të pijshëm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78,06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000000"/>
                <w:sz w:val="18"/>
              </w:rPr>
              <w:t>KANALIZIMI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</w:rPr>
              <w:t>13.1.1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për ndërtimin dhe mirëmbajtjen e sistemit të kanalizimit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13.1.2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 familjare, instuticionet publike dhe njësitë biznesore të përfshira në sistemin e kanalizimit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63,21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000000"/>
                <w:sz w:val="18"/>
              </w:rPr>
              <w:t>MENAXHIMI I MBETURINAVE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14.1.1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komunal për menaxhimin e mbeturinave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14.1.2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Ekonomitë familjare që kanë qasje në sistemin e grumbullimit të mbeturinave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99,67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</w:rPr>
              <w:t>14.2.1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orarit për mbledhjen e mbeturinave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14.2.2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Inkasimi i mjeteve për mbledhjen e mbeturinave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75,48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</w:rPr>
              <w:t>14.3.1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Sasia e deponimit të mbeturinave në kilogram për kokë banori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68,63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000000"/>
                <w:sz w:val="18"/>
              </w:rPr>
              <w:lastRenderedPageBreak/>
              <w:t>MBROJTJA E AMBIENTIT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15.1.1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Realizimi i planit të veprimit lokal në mjedis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15.1.2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Lejet mjedisore komunale të lëshuara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</w:rPr>
              <w:t>15.1.3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Ndërtesat e reja që e kanë zbatuar lejen mjedisore komunale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000000"/>
                <w:sz w:val="18"/>
              </w:rPr>
              <w:t>PERFAQESIMI GJINOR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16.1.1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Gratë e punësuara në institucione/administratën komunale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93,37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16.1.2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Gratë në pozita udhëheqëse në institucionet arsimore, shëndetësore dhe kulturore/sportive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21,62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16.1.3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Gratë e emëruara në pozita politike në komunë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46,15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16.1.4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gjinore tek anëtarët e komiteteve komunale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69,50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</w:rPr>
              <w:t>16.1.5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gjinore tek përbërja e këshillave lokale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78,95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16.2.1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Buxhetimi dhe shpenzimi i përgjegjshëm gjinor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16.2.2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gjinore në buxhetim për punësim dhe ndërmarrësi të grave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</w:rPr>
              <w:t>16.2.4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 komunal për barazi gjinore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16.3.1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Barazia gjinore tek emërtimet e rrugëve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2,09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16.3.2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Regjistrimi I pronësisë në emër të dy gjinive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0,46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000000"/>
                <w:sz w:val="18"/>
              </w:rPr>
              <w:t>ARSIMI PARAUNIVERISTAR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17.1.1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Çerdhe dhe kopshte në zona rurale për 10000 banorë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0,25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17.1.2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m2 të hapësirave për nxënës – urban dhe rural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17.1.3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 e paisura me kabinet te TIK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75,00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17.1.4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Shkollat me masa te eficiencës së energjisë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60,00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17.1.5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Siguria në institucionet e arsimit parauniversitar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74,00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17.1.6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 i kushteve të kërkuara me infrastrukturë, paisje dhe mjete në institucionet e arsimit parauniversitar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33,35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17.2.1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Mësimdhënësit që i plotësojnë kriteret e kualifikimit të licensuar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84,43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17.2.2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pajtueshmërisë me raportin nxënës për mësimdhënës - urban dhe rural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50,85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</w:rPr>
              <w:t>17.2.3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Plotësimi i buxhetit për arsim prej të hyrave vetanake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2,22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17.2.4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Plotësimi i vendeve të lira të punës në arsim me konkurs të rregullt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17.3.5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 xml:space="preserve">Kalueshmëria në maturën kombëtare kl.12-të  (ndarja sipas gjinisë) 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81,35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17.3.7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Braktisja e shkollës nga nxënësit (shkalla inverse)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000000"/>
                <w:sz w:val="18"/>
              </w:rPr>
              <w:t>SHENDETESIA PRIMARE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18.1.1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m2 të hapësirave KPS për 10000 banorë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6,04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18.1.2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Objektet e KPS që janë të pajisura sipas udhëzimit administrativ edhe shërbimet laboratorike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18.2.1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pajtueshmërisë me raportin 1 mjek familjar edhe 2 infermier për 2000 banorë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74,11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18.2.2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Përqindja e buxhetit për kujdes primar shendetësor të mbështetur nga komunat prej të hyrave vetanake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1,18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18.3.1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Numri i vizitave të pacientëve në kujdesin primar shëndetësor për kokë banori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18.3.2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Fëmijët e përfshirë në programin e imunizimit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85,74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18.3.3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Ofrimi i kujdesit shëndetësor specifik për gra dhe femijë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000000"/>
                <w:sz w:val="18"/>
              </w:rPr>
              <w:t>ZHVILLIMI EKONOMIK LOKAL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19.1.1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Plani për zhvillim ekonomik lokal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19.1.2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Përgatitja dhe publikimi i listës së pronave komunale të planifikuar për dhënie në shfrytëzim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100,00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19.1.3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azhurnimit të regjistrit të tatimit në pronë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22,57</w:t>
            </w:r>
          </w:p>
        </w:tc>
      </w:tr>
      <w:tr w:rsidR="008507EC" w:rsidRPr="006B75AB" w:rsidTr="00547978">
        <w:trPr>
          <w:trHeight w:val="20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18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sz w:val="18"/>
                <w:lang w:val="sq-AL"/>
              </w:rPr>
              <w:t>19.1.4</w:t>
            </w:r>
          </w:p>
        </w:tc>
        <w:tc>
          <w:tcPr>
            <w:tcW w:w="9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7EC" w:rsidRPr="006B75AB" w:rsidRDefault="008507EC" w:rsidP="009D6C7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2F2B20"/>
                <w:sz w:val="18"/>
              </w:rPr>
            </w:pPr>
            <w:r w:rsidRPr="006B75AB">
              <w:rPr>
                <w:rFonts w:asciiTheme="majorHAnsi" w:eastAsia="Times New Roman" w:hAnsiTheme="majorHAnsi" w:cstheme="majorHAnsi"/>
                <w:color w:val="2F2B20"/>
                <w:sz w:val="18"/>
              </w:rPr>
              <w:t>Niveli i mbledhjes së faturës së tatimit në pronë (pa borxhe, interesa, ndëshkime)</w:t>
            </w:r>
          </w:p>
        </w:tc>
        <w:tc>
          <w:tcPr>
            <w:tcW w:w="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07EC" w:rsidRPr="006B75AB" w:rsidRDefault="008507EC" w:rsidP="009D6C79">
            <w:pPr>
              <w:jc w:val="center"/>
              <w:rPr>
                <w:rFonts w:asciiTheme="majorHAnsi" w:hAnsiTheme="majorHAnsi" w:cstheme="majorHAnsi"/>
                <w:color w:val="000000"/>
                <w:sz w:val="18"/>
                <w:szCs w:val="16"/>
              </w:rPr>
            </w:pPr>
            <w:r w:rsidRPr="006B75AB">
              <w:rPr>
                <w:rFonts w:asciiTheme="majorHAnsi" w:hAnsiTheme="majorHAnsi" w:cstheme="majorHAnsi"/>
                <w:color w:val="000000"/>
                <w:sz w:val="18"/>
                <w:szCs w:val="16"/>
              </w:rPr>
              <w:t>61,35</w:t>
            </w:r>
          </w:p>
        </w:tc>
      </w:tr>
    </w:tbl>
    <w:p w:rsidR="008507EC" w:rsidRDefault="008507EC" w:rsidP="008507EC"/>
    <w:p w:rsidR="00412F4F" w:rsidRDefault="00412F4F"/>
    <w:sectPr w:rsidR="00412F4F" w:rsidSect="00B2697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68A" w:rsidRDefault="00A9768A" w:rsidP="00AC3A2A">
      <w:pPr>
        <w:spacing w:after="0" w:line="240" w:lineRule="auto"/>
      </w:pPr>
      <w:r>
        <w:separator/>
      </w:r>
    </w:p>
  </w:endnote>
  <w:endnote w:type="continuationSeparator" w:id="0">
    <w:p w:rsidR="00A9768A" w:rsidRDefault="00A9768A" w:rsidP="00AC3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68A" w:rsidRDefault="00A9768A" w:rsidP="00AC3A2A">
      <w:pPr>
        <w:spacing w:after="0" w:line="240" w:lineRule="auto"/>
      </w:pPr>
      <w:r>
        <w:separator/>
      </w:r>
    </w:p>
  </w:footnote>
  <w:footnote w:type="continuationSeparator" w:id="0">
    <w:p w:rsidR="00A9768A" w:rsidRDefault="00A9768A" w:rsidP="00AC3A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67E1C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EC"/>
    <w:rsid w:val="00385AE4"/>
    <w:rsid w:val="00412F4F"/>
    <w:rsid w:val="0051201D"/>
    <w:rsid w:val="00547978"/>
    <w:rsid w:val="005608A4"/>
    <w:rsid w:val="00567864"/>
    <w:rsid w:val="006E41D6"/>
    <w:rsid w:val="008507EC"/>
    <w:rsid w:val="00A9768A"/>
    <w:rsid w:val="00AC3A2A"/>
    <w:rsid w:val="00AF71BF"/>
    <w:rsid w:val="00B4523A"/>
    <w:rsid w:val="00C75E1E"/>
    <w:rsid w:val="00CA2AD2"/>
    <w:rsid w:val="00CA6675"/>
    <w:rsid w:val="00D63563"/>
    <w:rsid w:val="00E676C6"/>
    <w:rsid w:val="00F44287"/>
    <w:rsid w:val="00F84CE6"/>
    <w:rsid w:val="00FB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3E524-76DB-49B0-B0FF-7338DD00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7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507EC"/>
    <w:pPr>
      <w:spacing w:after="0" w:line="240" w:lineRule="auto"/>
    </w:pPr>
    <w:rPr>
      <w:rFonts w:ascii="Times New Roman" w:eastAsia="MS Mincho" w:hAnsi="Times New Roman" w:cs="Times New Roman"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8507EC"/>
    <w:rPr>
      <w:rFonts w:ascii="Times New Roman" w:eastAsia="MS Mincho" w:hAnsi="Times New Roman" w:cs="Times New Roman"/>
      <w:sz w:val="28"/>
      <w:szCs w:val="20"/>
      <w:lang w:val="sq-AL"/>
    </w:rPr>
  </w:style>
  <w:style w:type="paragraph" w:styleId="ListBullet">
    <w:name w:val="List Bullet"/>
    <w:basedOn w:val="Normal"/>
    <w:uiPriority w:val="99"/>
    <w:unhideWhenUsed/>
    <w:rsid w:val="008507EC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AC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A2A"/>
  </w:style>
  <w:style w:type="paragraph" w:styleId="Footer">
    <w:name w:val="footer"/>
    <w:basedOn w:val="Normal"/>
    <w:link w:val="FooterChar"/>
    <w:uiPriority w:val="99"/>
    <w:unhideWhenUsed/>
    <w:rsid w:val="00AC3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ellor.gashi\Desktop\raportet%20individuale%20+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Performanca sipas fushave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Deçan!$M$95</c:f>
              <c:strCache>
                <c:ptCount val="1"/>
                <c:pt idx="0">
                  <c:v>Deçan</c:v>
                </c:pt>
              </c:strCache>
            </c:strRef>
          </c:tx>
          <c:spPr>
            <a:solidFill>
              <a:srgbClr val="33CCFF"/>
            </a:solidFill>
            <a:ln>
              <a:noFill/>
            </a:ln>
            <a:effectLst/>
          </c:spPr>
          <c:invertIfNegative val="0"/>
          <c:dPt>
            <c:idx val="10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Deçan!$L$96:$L$115</c:f>
              <c:strCache>
                <c:ptCount val="20"/>
                <c:pt idx="0">
                  <c:v>PLANIFIKIMI HAPSINOR</c:v>
                </c:pt>
                <c:pt idx="1">
                  <c:v>KANALIZIMI</c:v>
                </c:pt>
                <c:pt idx="2">
                  <c:v>ZHVILLIMI EKONOMIK LOKAL</c:v>
                </c:pt>
                <c:pt idx="3">
                  <c:v>PËRGJEGJSHMËRIA KOMUNALE</c:v>
                </c:pt>
                <c:pt idx="4">
                  <c:v>PËRFAQËSIMI GJINOR</c:v>
                </c:pt>
                <c:pt idx="5">
                  <c:v> KULUTURË RINI DHE SPORT</c:v>
                </c:pt>
                <c:pt idx="6">
                  <c:v>INFRASTRUKTURA RRUGORE</c:v>
                </c:pt>
                <c:pt idx="7">
                  <c:v>KUJDESI PRIMAR SHËNDETËSOR</c:v>
                </c:pt>
                <c:pt idx="8">
                  <c:v>TRANSPORTI PUBLIK</c:v>
                </c:pt>
                <c:pt idx="9">
                  <c:v>HAPËSIRAT PUBLIKE</c:v>
                </c:pt>
                <c:pt idx="10">
                  <c:v>MESATARJA</c:v>
                </c:pt>
                <c:pt idx="11">
                  <c:v>BARAZIA NË PUNËSIM, SHËRBIMET SOCIALE DHE FAMILJARE</c:v>
                </c:pt>
                <c:pt idx="12">
                  <c:v>ARSIMI PARAUNIVERSITAR</c:v>
                </c:pt>
                <c:pt idx="13">
                  <c:v>TRANSPARENCA KOMUNALE</c:v>
                </c:pt>
                <c:pt idx="14">
                  <c:v>PARKINGJET PUBLIKE</c:v>
                </c:pt>
                <c:pt idx="15">
                  <c:v>MENAXHIMI I MBETURINAVE</c:v>
                </c:pt>
                <c:pt idx="16">
                  <c:v>SHËRBIMET PUBLIKE ADMINISTRATIVE</c:v>
                </c:pt>
                <c:pt idx="17">
                  <c:v>UJI I PIJSHËM</c:v>
                </c:pt>
                <c:pt idx="18">
                  <c:v>MENAXHIMI I FATKEQËSIVE </c:v>
                </c:pt>
                <c:pt idx="19">
                  <c:v>MBROJTJA E AMBIENTIT</c:v>
                </c:pt>
              </c:strCache>
            </c:strRef>
          </c:cat>
          <c:val>
            <c:numRef>
              <c:f>Deçan!$M$96:$M$115</c:f>
              <c:numCache>
                <c:formatCode>0.00</c:formatCode>
                <c:ptCount val="20"/>
                <c:pt idx="0">
                  <c:v>33.350819389564272</c:v>
                </c:pt>
                <c:pt idx="1">
                  <c:v>40.802568475721131</c:v>
                </c:pt>
                <c:pt idx="2">
                  <c:v>45.979698450750533</c:v>
                </c:pt>
                <c:pt idx="3">
                  <c:v>54.307291279570236</c:v>
                </c:pt>
                <c:pt idx="4">
                  <c:v>54.397714185103915</c:v>
                </c:pt>
                <c:pt idx="5">
                  <c:v>58.85202839462066</c:v>
                </c:pt>
                <c:pt idx="6">
                  <c:v>59.097533485360813</c:v>
                </c:pt>
                <c:pt idx="7">
                  <c:v>61.968817454446537</c:v>
                </c:pt>
                <c:pt idx="8">
                  <c:v>66.666666666666671</c:v>
                </c:pt>
                <c:pt idx="9">
                  <c:v>67.349675570770557</c:v>
                </c:pt>
                <c:pt idx="10">
                  <c:v>68.682609328897229</c:v>
                </c:pt>
                <c:pt idx="11">
                  <c:v>71.664732558672185</c:v>
                </c:pt>
                <c:pt idx="12">
                  <c:v>72.840422609743158</c:v>
                </c:pt>
                <c:pt idx="13">
                  <c:v>77.558525219298247</c:v>
                </c:pt>
                <c:pt idx="14">
                  <c:v>79.431072210065636</c:v>
                </c:pt>
                <c:pt idx="15">
                  <c:v>85.401006467989134</c:v>
                </c:pt>
                <c:pt idx="16">
                  <c:v>86.269901059715735</c:v>
                </c:pt>
                <c:pt idx="17">
                  <c:v>89.031103770988167</c:v>
                </c:pt>
                <c:pt idx="18">
                  <c:v>100</c:v>
                </c:pt>
                <c:pt idx="19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81976944"/>
        <c:axId val="181978512"/>
      </c:barChart>
      <c:catAx>
        <c:axId val="1819769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81978512"/>
        <c:crosses val="autoZero"/>
        <c:auto val="1"/>
        <c:lblAlgn val="ctr"/>
        <c:lblOffset val="100"/>
        <c:noMultiLvlLbl val="0"/>
      </c:catAx>
      <c:valAx>
        <c:axId val="181978512"/>
        <c:scaling>
          <c:orientation val="minMax"/>
        </c:scaling>
        <c:delete val="1"/>
        <c:axPos val="b"/>
        <c:numFmt formatCode="0.00" sourceLinked="1"/>
        <c:majorTickMark val="none"/>
        <c:minorTickMark val="none"/>
        <c:tickLblPos val="nextTo"/>
        <c:crossAx val="1819769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 Mitic</dc:creator>
  <cp:keywords/>
  <dc:description/>
  <cp:lastModifiedBy>Diellor Gashi</cp:lastModifiedBy>
  <cp:revision>17</cp:revision>
  <dcterms:created xsi:type="dcterms:W3CDTF">2022-02-23T08:48:00Z</dcterms:created>
  <dcterms:modified xsi:type="dcterms:W3CDTF">2022-03-14T12:39:00Z</dcterms:modified>
</cp:coreProperties>
</file>