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4BE7B" w14:textId="57A93318" w:rsidR="004D4457" w:rsidRDefault="004D4457" w:rsidP="004D4457">
      <w:pPr>
        <w:pBdr>
          <w:bottom w:val="single" w:sz="12" w:space="1" w:color="auto"/>
        </w:pBdr>
        <w:tabs>
          <w:tab w:val="left" w:pos="3773"/>
        </w:tabs>
        <w:spacing w:before="120"/>
        <w:rPr>
          <w:rFonts w:ascii="Arial" w:hAnsi="Arial"/>
          <w:bCs/>
          <w:color w:val="FF0000"/>
          <w:sz w:val="22"/>
          <w:szCs w:val="22"/>
          <w:lang w:val="en-GB"/>
        </w:rPr>
      </w:pPr>
    </w:p>
    <w:p w14:paraId="111A09D2" w14:textId="77777777" w:rsidR="00FD4A7E" w:rsidRPr="001E5747" w:rsidRDefault="00FD4A7E" w:rsidP="004D4457">
      <w:pPr>
        <w:pBdr>
          <w:bottom w:val="single" w:sz="12" w:space="1" w:color="auto"/>
        </w:pBdr>
        <w:tabs>
          <w:tab w:val="left" w:pos="3773"/>
        </w:tabs>
        <w:spacing w:before="120"/>
        <w:rPr>
          <w:rFonts w:ascii="Arial" w:hAnsi="Arial"/>
          <w:bCs/>
          <w:color w:val="FF0000"/>
          <w:sz w:val="22"/>
          <w:szCs w:val="22"/>
          <w:lang w:val="en-GB"/>
        </w:rPr>
      </w:pPr>
    </w:p>
    <w:p w14:paraId="348C45C2" w14:textId="77777777" w:rsidR="004D4457" w:rsidRPr="001E5747" w:rsidRDefault="004D4457" w:rsidP="004D4457">
      <w:pPr>
        <w:tabs>
          <w:tab w:val="left" w:pos="3773"/>
        </w:tabs>
        <w:spacing w:before="120"/>
        <w:rPr>
          <w:rFonts w:ascii="Arial" w:hAnsi="Arial"/>
          <w:bCs/>
          <w:color w:val="FF0000"/>
          <w:sz w:val="22"/>
          <w:szCs w:val="22"/>
          <w:lang w:val="en-GB"/>
        </w:rPr>
      </w:pPr>
    </w:p>
    <w:p w14:paraId="045CEB7D" w14:textId="77777777" w:rsidR="004D4457" w:rsidRPr="001E5747" w:rsidRDefault="004D4457" w:rsidP="004D4457">
      <w:pPr>
        <w:tabs>
          <w:tab w:val="left" w:pos="3773"/>
        </w:tabs>
        <w:spacing w:before="120"/>
        <w:rPr>
          <w:rFonts w:ascii="Arial" w:hAnsi="Arial"/>
          <w:bCs/>
          <w:color w:val="FF0000"/>
          <w:sz w:val="22"/>
          <w:szCs w:val="22"/>
          <w:lang w:val="en-GB"/>
        </w:rPr>
      </w:pPr>
    </w:p>
    <w:p w14:paraId="7BC2BCE0" w14:textId="4B4D2363" w:rsidR="00B739C3" w:rsidRPr="001E5747" w:rsidRDefault="00B739C3" w:rsidP="00B739C3">
      <w:pPr>
        <w:tabs>
          <w:tab w:val="left" w:pos="3773"/>
        </w:tabs>
        <w:spacing w:before="120"/>
        <w:jc w:val="center"/>
        <w:rPr>
          <w:rFonts w:ascii="Arial" w:hAnsi="Arial"/>
          <w:bCs/>
          <w:color w:val="FF0000"/>
          <w:sz w:val="28"/>
          <w:szCs w:val="28"/>
          <w:lang w:val="en-GB"/>
        </w:rPr>
      </w:pPr>
      <w:bookmarkStart w:id="0" w:name="_Toc161855240"/>
      <w:bookmarkStart w:id="1" w:name="_Toc165912540"/>
      <w:bookmarkStart w:id="2" w:name="_Toc170004036"/>
      <w:bookmarkStart w:id="3" w:name="_Toc100390159"/>
      <w:r w:rsidRPr="001E5747">
        <w:rPr>
          <w:rFonts w:ascii="Arial" w:hAnsi="Arial"/>
          <w:bCs/>
          <w:color w:val="FF0000"/>
          <w:sz w:val="28"/>
          <w:szCs w:val="28"/>
          <w:lang w:val="en-GB"/>
        </w:rPr>
        <w:t>Rules of the</w:t>
      </w:r>
    </w:p>
    <w:p w14:paraId="78D4CC7E" w14:textId="77777777" w:rsidR="00B739C3" w:rsidRPr="001E5747" w:rsidRDefault="00B739C3" w:rsidP="00B739C3">
      <w:pPr>
        <w:tabs>
          <w:tab w:val="left" w:pos="3773"/>
        </w:tabs>
        <w:spacing w:before="120"/>
        <w:jc w:val="center"/>
        <w:rPr>
          <w:rFonts w:ascii="Arial" w:hAnsi="Arial"/>
          <w:bCs/>
          <w:color w:val="FF0000"/>
          <w:sz w:val="28"/>
          <w:szCs w:val="28"/>
          <w:lang w:val="en-GB"/>
        </w:rPr>
      </w:pPr>
    </w:p>
    <w:p w14:paraId="16B5E600" w14:textId="77777777" w:rsidR="00B739C3" w:rsidRPr="001E5747" w:rsidRDefault="00B739C3" w:rsidP="00B739C3">
      <w:pPr>
        <w:tabs>
          <w:tab w:val="left" w:pos="3773"/>
        </w:tabs>
        <w:spacing w:before="120"/>
        <w:jc w:val="center"/>
        <w:rPr>
          <w:rFonts w:ascii="Arial" w:hAnsi="Arial"/>
          <w:b/>
          <w:bCs/>
          <w:caps/>
          <w:color w:val="FF0000"/>
          <w:sz w:val="52"/>
          <w:szCs w:val="52"/>
          <w:lang w:val="en-GB"/>
        </w:rPr>
      </w:pPr>
      <w:r w:rsidRPr="001E5747">
        <w:rPr>
          <w:rFonts w:ascii="Arial" w:hAnsi="Arial"/>
          <w:b/>
          <w:bCs/>
          <w:caps/>
          <w:color w:val="FF0000"/>
          <w:sz w:val="52"/>
          <w:szCs w:val="52"/>
          <w:lang w:val="en-GB"/>
        </w:rPr>
        <w:t>MUNICIPAL PERFORMANCE GRANT</w:t>
      </w:r>
    </w:p>
    <w:p w14:paraId="5B455AF3" w14:textId="77777777" w:rsidR="00B739C3" w:rsidRPr="001E5747" w:rsidRDefault="00B739C3" w:rsidP="00B739C3">
      <w:pPr>
        <w:tabs>
          <w:tab w:val="left" w:pos="3773"/>
        </w:tabs>
        <w:spacing w:before="120"/>
        <w:jc w:val="center"/>
        <w:rPr>
          <w:rFonts w:ascii="Arial" w:hAnsi="Arial"/>
          <w:b/>
          <w:bCs/>
          <w:color w:val="FF0000"/>
          <w:sz w:val="28"/>
          <w:szCs w:val="28"/>
          <w:lang w:val="en-GB"/>
        </w:rPr>
      </w:pPr>
    </w:p>
    <w:p w14:paraId="0EBF0B06" w14:textId="692DE11C" w:rsidR="00B739C3" w:rsidRDefault="00B739C3" w:rsidP="00B739C3">
      <w:pPr>
        <w:tabs>
          <w:tab w:val="left" w:pos="3773"/>
        </w:tabs>
        <w:spacing w:before="120"/>
        <w:jc w:val="center"/>
        <w:rPr>
          <w:rFonts w:ascii="Arial" w:hAnsi="Arial"/>
          <w:bCs/>
          <w:color w:val="FF0000"/>
          <w:sz w:val="28"/>
          <w:szCs w:val="28"/>
          <w:lang w:val="en-GB"/>
        </w:rPr>
      </w:pPr>
      <w:r w:rsidRPr="001E5747">
        <w:rPr>
          <w:rFonts w:ascii="Arial" w:hAnsi="Arial"/>
          <w:bCs/>
          <w:color w:val="FF0000"/>
          <w:sz w:val="28"/>
          <w:szCs w:val="28"/>
          <w:lang w:val="en-GB"/>
        </w:rPr>
        <w:t xml:space="preserve"> for the fiscal year </w:t>
      </w:r>
      <w:r w:rsidR="002333A4" w:rsidRPr="001E5747">
        <w:rPr>
          <w:rFonts w:ascii="Arial" w:hAnsi="Arial"/>
          <w:bCs/>
          <w:color w:val="FF0000"/>
          <w:sz w:val="28"/>
          <w:szCs w:val="28"/>
          <w:lang w:val="en-GB"/>
        </w:rPr>
        <w:t>202</w:t>
      </w:r>
      <w:r w:rsidR="00070CE4">
        <w:rPr>
          <w:rFonts w:ascii="Arial" w:hAnsi="Arial"/>
          <w:bCs/>
          <w:color w:val="FF0000"/>
          <w:sz w:val="28"/>
          <w:szCs w:val="28"/>
          <w:lang w:val="en-GB"/>
        </w:rPr>
        <w:t>6</w:t>
      </w:r>
    </w:p>
    <w:p w14:paraId="0DD75DF2" w14:textId="4FAFB5A5" w:rsidR="00E537E1" w:rsidRPr="001E5747" w:rsidRDefault="00E537E1" w:rsidP="00B739C3">
      <w:pPr>
        <w:tabs>
          <w:tab w:val="left" w:pos="3773"/>
        </w:tabs>
        <w:spacing w:before="120"/>
        <w:jc w:val="center"/>
        <w:rPr>
          <w:rFonts w:ascii="Arial" w:hAnsi="Arial"/>
          <w:bCs/>
          <w:color w:val="FF0000"/>
          <w:sz w:val="28"/>
          <w:szCs w:val="28"/>
          <w:lang w:val="en-GB"/>
        </w:rPr>
      </w:pPr>
      <w:r>
        <w:rPr>
          <w:rFonts w:ascii="Arial" w:hAnsi="Arial"/>
          <w:bCs/>
          <w:color w:val="FF0000"/>
          <w:sz w:val="28"/>
          <w:szCs w:val="28"/>
          <w:lang w:val="en-GB"/>
        </w:rPr>
        <w:t xml:space="preserve">based on the performance assessment of fiscal year </w:t>
      </w:r>
      <w:r w:rsidR="002333A4">
        <w:rPr>
          <w:rFonts w:ascii="Arial" w:hAnsi="Arial"/>
          <w:bCs/>
          <w:color w:val="FF0000"/>
          <w:sz w:val="28"/>
          <w:szCs w:val="28"/>
          <w:lang w:val="en-GB"/>
        </w:rPr>
        <w:t>202</w:t>
      </w:r>
      <w:r w:rsidR="00070CE4">
        <w:rPr>
          <w:rFonts w:ascii="Arial" w:hAnsi="Arial"/>
          <w:bCs/>
          <w:color w:val="FF0000"/>
          <w:sz w:val="28"/>
          <w:szCs w:val="28"/>
          <w:lang w:val="en-GB"/>
        </w:rPr>
        <w:t>4</w:t>
      </w:r>
    </w:p>
    <w:p w14:paraId="5216AA7D" w14:textId="77777777" w:rsidR="00B739C3" w:rsidRPr="001E5747" w:rsidRDefault="00B739C3" w:rsidP="00B739C3">
      <w:pPr>
        <w:spacing w:before="120" w:line="264" w:lineRule="auto"/>
        <w:jc w:val="center"/>
        <w:rPr>
          <w:rFonts w:ascii="Arial" w:hAnsi="Arial"/>
          <w:bCs/>
          <w:color w:val="FF0000"/>
          <w:sz w:val="28"/>
          <w:szCs w:val="28"/>
          <w:lang w:val="en-GB"/>
        </w:rPr>
      </w:pPr>
    </w:p>
    <w:p w14:paraId="4A9757EC" w14:textId="77777777" w:rsidR="00B739C3" w:rsidRPr="001E5747" w:rsidRDefault="00B739C3" w:rsidP="00B739C3">
      <w:pPr>
        <w:tabs>
          <w:tab w:val="left" w:pos="1655"/>
        </w:tabs>
        <w:spacing w:before="120" w:line="264" w:lineRule="auto"/>
        <w:jc w:val="both"/>
        <w:rPr>
          <w:rFonts w:ascii="Arial" w:hAnsi="Arial"/>
          <w:bCs/>
          <w:color w:val="FF0000"/>
          <w:sz w:val="22"/>
          <w:szCs w:val="32"/>
          <w:lang w:val="en-GB"/>
        </w:rPr>
      </w:pPr>
      <w:r w:rsidRPr="001E5747">
        <w:rPr>
          <w:rFonts w:ascii="Arial" w:hAnsi="Arial"/>
          <w:bCs/>
          <w:color w:val="FF0000"/>
          <w:sz w:val="22"/>
          <w:szCs w:val="32"/>
          <w:lang w:val="en-GB"/>
        </w:rPr>
        <w:tab/>
      </w:r>
    </w:p>
    <w:p w14:paraId="2B14E2C2" w14:textId="77777777" w:rsidR="00B739C3" w:rsidRPr="001E5747" w:rsidRDefault="00B739C3" w:rsidP="00B739C3">
      <w:pPr>
        <w:tabs>
          <w:tab w:val="left" w:pos="1655"/>
        </w:tabs>
        <w:spacing w:before="120" w:line="264" w:lineRule="auto"/>
        <w:jc w:val="both"/>
        <w:rPr>
          <w:rFonts w:ascii="Arial" w:hAnsi="Arial"/>
          <w:bCs/>
          <w:color w:val="FF0000"/>
          <w:sz w:val="22"/>
          <w:szCs w:val="32"/>
          <w:lang w:val="en-GB"/>
        </w:rPr>
      </w:pPr>
    </w:p>
    <w:p w14:paraId="5B4C0723" w14:textId="77777777" w:rsidR="00B739C3" w:rsidRPr="001E5747" w:rsidRDefault="00B739C3" w:rsidP="00B739C3">
      <w:pPr>
        <w:tabs>
          <w:tab w:val="left" w:pos="1655"/>
        </w:tabs>
        <w:spacing w:before="120" w:line="264" w:lineRule="auto"/>
        <w:jc w:val="both"/>
        <w:rPr>
          <w:rFonts w:ascii="Arial" w:hAnsi="Arial"/>
          <w:bCs/>
          <w:color w:val="FF0000"/>
          <w:sz w:val="22"/>
          <w:szCs w:val="32"/>
          <w:lang w:val="en-GB"/>
        </w:rPr>
      </w:pPr>
    </w:p>
    <w:p w14:paraId="0EBAC1AE" w14:textId="77777777" w:rsidR="00B739C3" w:rsidRPr="001E5747" w:rsidRDefault="00B739C3" w:rsidP="00B739C3">
      <w:pPr>
        <w:tabs>
          <w:tab w:val="left" w:pos="1655"/>
        </w:tabs>
        <w:spacing w:before="120" w:line="264" w:lineRule="auto"/>
        <w:jc w:val="both"/>
        <w:rPr>
          <w:rFonts w:ascii="Arial" w:hAnsi="Arial"/>
          <w:bCs/>
          <w:color w:val="FF0000"/>
          <w:sz w:val="22"/>
          <w:szCs w:val="32"/>
          <w:lang w:val="en-GB"/>
        </w:rPr>
      </w:pPr>
    </w:p>
    <w:p w14:paraId="2DA4DC45" w14:textId="77777777" w:rsidR="00B739C3" w:rsidRPr="001E5747" w:rsidRDefault="00B739C3" w:rsidP="00B739C3">
      <w:pPr>
        <w:tabs>
          <w:tab w:val="left" w:pos="1655"/>
        </w:tabs>
        <w:spacing w:before="120" w:line="264" w:lineRule="auto"/>
        <w:jc w:val="right"/>
        <w:rPr>
          <w:rFonts w:ascii="Arial" w:hAnsi="Arial"/>
          <w:bCs/>
          <w:color w:val="FF0000"/>
          <w:sz w:val="22"/>
          <w:szCs w:val="32"/>
          <w:lang w:val="en-GB"/>
        </w:rPr>
      </w:pPr>
    </w:p>
    <w:p w14:paraId="28A3156A" w14:textId="69F601EB" w:rsidR="00B739C3" w:rsidRPr="001E5747" w:rsidRDefault="00070CE4" w:rsidP="00A75321">
      <w:pPr>
        <w:tabs>
          <w:tab w:val="left" w:pos="1655"/>
        </w:tabs>
        <w:spacing w:before="120" w:line="264" w:lineRule="auto"/>
        <w:jc w:val="center"/>
        <w:rPr>
          <w:rFonts w:ascii="Arial" w:hAnsi="Arial"/>
          <w:bCs/>
          <w:color w:val="FF0000"/>
          <w:sz w:val="22"/>
          <w:szCs w:val="32"/>
          <w:lang w:val="en-GB"/>
        </w:rPr>
      </w:pPr>
      <w:r>
        <w:rPr>
          <w:rFonts w:ascii="Arial" w:hAnsi="Arial"/>
          <w:bCs/>
          <w:color w:val="FF0000"/>
          <w:sz w:val="22"/>
          <w:szCs w:val="32"/>
          <w:lang w:val="en-GB"/>
        </w:rPr>
        <w:t>November</w:t>
      </w:r>
      <w:r w:rsidR="00B739C3" w:rsidRPr="001E5747">
        <w:rPr>
          <w:rFonts w:ascii="Arial" w:hAnsi="Arial"/>
          <w:bCs/>
          <w:color w:val="FF0000"/>
          <w:sz w:val="22"/>
          <w:szCs w:val="32"/>
          <w:lang w:val="en-GB"/>
        </w:rPr>
        <w:t>, 202</w:t>
      </w:r>
      <w:r w:rsidR="007E6BEF">
        <w:rPr>
          <w:rFonts w:ascii="Arial" w:hAnsi="Arial"/>
          <w:bCs/>
          <w:color w:val="FF0000"/>
          <w:sz w:val="22"/>
          <w:szCs w:val="32"/>
          <w:lang w:val="en-GB"/>
        </w:rPr>
        <w:t>5</w:t>
      </w:r>
    </w:p>
    <w:p w14:paraId="13794EE4" w14:textId="77777777" w:rsidR="00B739C3" w:rsidRPr="001E5747" w:rsidRDefault="00B739C3" w:rsidP="00B739C3">
      <w:pPr>
        <w:tabs>
          <w:tab w:val="left" w:pos="1655"/>
        </w:tabs>
        <w:spacing w:before="120" w:line="264" w:lineRule="auto"/>
        <w:jc w:val="both"/>
        <w:rPr>
          <w:rFonts w:ascii="Arial" w:hAnsi="Arial"/>
          <w:bCs/>
          <w:color w:val="000000" w:themeColor="text1"/>
          <w:sz w:val="22"/>
          <w:szCs w:val="32"/>
          <w:lang w:val="en-GB"/>
        </w:rPr>
      </w:pPr>
    </w:p>
    <w:p w14:paraId="2FD429F7" w14:textId="0BC2F6A5" w:rsidR="00B739C3" w:rsidRPr="001E5747" w:rsidRDefault="00B739C3" w:rsidP="00B739C3">
      <w:pPr>
        <w:jc w:val="right"/>
        <w:rPr>
          <w:rFonts w:asciiTheme="majorHAnsi" w:hAnsiTheme="majorHAnsi"/>
          <w:color w:val="000000" w:themeColor="text1"/>
          <w:sz w:val="18"/>
          <w:szCs w:val="18"/>
          <w:lang w:val="en-GB"/>
        </w:rPr>
      </w:pPr>
      <w:r w:rsidRPr="001E5747">
        <w:rPr>
          <w:rFonts w:asciiTheme="majorHAnsi" w:hAnsiTheme="majorHAnsi"/>
          <w:color w:val="000000" w:themeColor="text1"/>
          <w:sz w:val="18"/>
          <w:szCs w:val="18"/>
          <w:lang w:val="en-GB"/>
        </w:rPr>
        <w:t xml:space="preserve">With technical and financial support of: </w:t>
      </w:r>
    </w:p>
    <w:p w14:paraId="795AB7DA" w14:textId="062E9754" w:rsidR="00B739C3" w:rsidRPr="001E5747" w:rsidRDefault="007104A1" w:rsidP="00B739C3">
      <w:pPr>
        <w:jc w:val="right"/>
        <w:rPr>
          <w:rFonts w:asciiTheme="majorHAnsi" w:hAnsiTheme="majorHAnsi"/>
          <w:color w:val="000000" w:themeColor="text1"/>
          <w:sz w:val="18"/>
          <w:szCs w:val="18"/>
          <w:lang w:val="en-GB"/>
        </w:rPr>
      </w:pPr>
      <w:r w:rsidRPr="0069038E">
        <w:rPr>
          <w:noProof/>
          <w:lang w:eastAsia="sq-AL"/>
        </w:rPr>
        <w:drawing>
          <wp:anchor distT="0" distB="0" distL="114300" distR="114300" simplePos="0" relativeHeight="251653632" behindDoc="0" locked="0" layoutInCell="1" allowOverlap="1" wp14:anchorId="3A981225" wp14:editId="1630BE04">
            <wp:simplePos x="0" y="0"/>
            <wp:positionH relativeFrom="column">
              <wp:posOffset>1759585</wp:posOffset>
            </wp:positionH>
            <wp:positionV relativeFrom="paragraph">
              <wp:posOffset>177800</wp:posOffset>
            </wp:positionV>
            <wp:extent cx="1695450" cy="86106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86106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noProof/>
          <w:sz w:val="21"/>
          <w:szCs w:val="21"/>
          <w:lang w:eastAsia="sq-AL"/>
        </w:rPr>
        <w:drawing>
          <wp:anchor distT="0" distB="0" distL="114300" distR="114300" simplePos="0" relativeHeight="251668992" behindDoc="0" locked="0" layoutInCell="1" allowOverlap="1" wp14:anchorId="2AF59076" wp14:editId="4666AD85">
            <wp:simplePos x="0" y="0"/>
            <wp:positionH relativeFrom="column">
              <wp:posOffset>-229235</wp:posOffset>
            </wp:positionH>
            <wp:positionV relativeFrom="paragraph">
              <wp:posOffset>349885</wp:posOffset>
            </wp:positionV>
            <wp:extent cx="1619250" cy="402590"/>
            <wp:effectExtent l="0" t="0" r="0" b="0"/>
            <wp:wrapSquare wrapText="bothSides"/>
            <wp:docPr id="15" name="Picture 1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402590"/>
                    </a:xfrm>
                    <a:prstGeom prst="rect">
                      <a:avLst/>
                    </a:prstGeom>
                    <a:noFill/>
                  </pic:spPr>
                </pic:pic>
              </a:graphicData>
            </a:graphic>
          </wp:anchor>
        </w:drawing>
      </w:r>
      <w:r w:rsidRPr="0069038E">
        <w:rPr>
          <w:noProof/>
          <w:lang w:eastAsia="sq-AL"/>
        </w:rPr>
        <w:drawing>
          <wp:anchor distT="0" distB="0" distL="114300" distR="114300" simplePos="0" relativeHeight="251659776" behindDoc="0" locked="0" layoutInCell="1" allowOverlap="1" wp14:anchorId="5D5272E9" wp14:editId="32380364">
            <wp:simplePos x="0" y="0"/>
            <wp:positionH relativeFrom="margin">
              <wp:posOffset>4207510</wp:posOffset>
            </wp:positionH>
            <wp:positionV relativeFrom="paragraph">
              <wp:posOffset>271145</wp:posOffset>
            </wp:positionV>
            <wp:extent cx="1229360" cy="481330"/>
            <wp:effectExtent l="0" t="0" r="889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9360" cy="481330"/>
                    </a:xfrm>
                    <a:prstGeom prst="rect">
                      <a:avLst/>
                    </a:prstGeom>
                    <a:noFill/>
                  </pic:spPr>
                </pic:pic>
              </a:graphicData>
            </a:graphic>
            <wp14:sizeRelH relativeFrom="page">
              <wp14:pctWidth>0</wp14:pctWidth>
            </wp14:sizeRelH>
            <wp14:sizeRelV relativeFrom="page">
              <wp14:pctHeight>0</wp14:pctHeight>
            </wp14:sizeRelV>
          </wp:anchor>
        </w:drawing>
      </w:r>
    </w:p>
    <w:p w14:paraId="284C1F35" w14:textId="77777777" w:rsidR="00B739C3" w:rsidRPr="001E5747" w:rsidRDefault="00B739C3" w:rsidP="00B739C3">
      <w:pPr>
        <w:rPr>
          <w:rFonts w:ascii="Arial" w:hAnsi="Arial"/>
          <w:b/>
          <w:bCs/>
          <w:color w:val="000000" w:themeColor="text1"/>
          <w:sz w:val="28"/>
          <w:szCs w:val="28"/>
          <w:lang w:val="en-GB"/>
        </w:rPr>
        <w:sectPr w:rsidR="00B739C3" w:rsidRPr="001E5747" w:rsidSect="007E0AF9">
          <w:headerReference w:type="default" r:id="rId13"/>
          <w:type w:val="continuous"/>
          <w:pgSz w:w="11909" w:h="16834"/>
          <w:pgMar w:top="709" w:right="1440" w:bottom="1729" w:left="1729" w:header="0" w:footer="0" w:gutter="0"/>
          <w:pgNumType w:start="0"/>
          <w:cols w:space="720"/>
        </w:sectPr>
      </w:pPr>
    </w:p>
    <w:p w14:paraId="0B55F538" w14:textId="1B702584" w:rsidR="00B739C3" w:rsidRPr="001E5747" w:rsidRDefault="00B739C3" w:rsidP="00B739C3">
      <w:pPr>
        <w:rPr>
          <w:rFonts w:asciiTheme="majorHAnsi" w:hAnsiTheme="majorHAnsi"/>
          <w:sz w:val="21"/>
          <w:szCs w:val="21"/>
          <w:lang w:val="en-GB"/>
        </w:rPr>
      </w:pPr>
    </w:p>
    <w:p w14:paraId="7BAD2B53" w14:textId="77777777" w:rsidR="00B739C3" w:rsidRPr="001E5747" w:rsidRDefault="00B739C3" w:rsidP="00B739C3">
      <w:pPr>
        <w:rPr>
          <w:rFonts w:asciiTheme="majorHAnsi" w:hAnsiTheme="majorHAnsi"/>
          <w:sz w:val="21"/>
          <w:szCs w:val="21"/>
          <w:lang w:val="en-GB"/>
        </w:rPr>
      </w:pPr>
    </w:p>
    <w:p w14:paraId="3D640205" w14:textId="77777777" w:rsidR="00B739C3" w:rsidRPr="001E5747" w:rsidRDefault="00B739C3" w:rsidP="00B739C3">
      <w:pPr>
        <w:rPr>
          <w:rFonts w:asciiTheme="majorHAnsi" w:hAnsiTheme="majorHAnsi"/>
          <w:sz w:val="21"/>
          <w:szCs w:val="21"/>
          <w:lang w:val="en-GB"/>
        </w:rPr>
      </w:pPr>
    </w:p>
    <w:p w14:paraId="40AE3ED3" w14:textId="77777777" w:rsidR="00B739C3" w:rsidRPr="001E5747" w:rsidRDefault="00B739C3" w:rsidP="00B739C3">
      <w:pPr>
        <w:rPr>
          <w:rFonts w:asciiTheme="majorHAnsi" w:hAnsiTheme="majorHAnsi"/>
          <w:sz w:val="21"/>
          <w:szCs w:val="21"/>
          <w:lang w:val="en-GB"/>
        </w:rPr>
      </w:pPr>
    </w:p>
    <w:p w14:paraId="77AD09A7" w14:textId="77777777" w:rsidR="00B739C3" w:rsidRPr="001E5747" w:rsidRDefault="00B739C3" w:rsidP="00B739C3">
      <w:pPr>
        <w:rPr>
          <w:rFonts w:asciiTheme="majorHAnsi" w:hAnsiTheme="majorHAnsi"/>
          <w:sz w:val="21"/>
          <w:szCs w:val="21"/>
          <w:lang w:val="en-GB"/>
        </w:rPr>
      </w:pPr>
    </w:p>
    <w:p w14:paraId="6D3ABA07" w14:textId="77777777" w:rsidR="007E6BEF" w:rsidRPr="001E5747" w:rsidRDefault="00A75321" w:rsidP="00B739C3">
      <w:pPr>
        <w:pStyle w:val="Heading1"/>
        <w:shd w:val="clear" w:color="auto" w:fill="D55635"/>
        <w:tabs>
          <w:tab w:val="left" w:pos="540"/>
        </w:tabs>
        <w:rPr>
          <w:rFonts w:asciiTheme="majorHAnsi" w:hAnsiTheme="majorHAnsi"/>
          <w:color w:val="FFFFFF" w:themeColor="background1"/>
          <w:sz w:val="32"/>
          <w:szCs w:val="32"/>
          <w:lang w:val="en-GB"/>
        </w:rPr>
      </w:pPr>
      <w:r w:rsidRPr="001E5747">
        <w:rPr>
          <w:rFonts w:asciiTheme="majorHAnsi" w:hAnsiTheme="majorHAnsi"/>
          <w:sz w:val="21"/>
          <w:szCs w:val="21"/>
          <w:lang w:val="en-GB"/>
        </w:rPr>
        <w:lastRenderedPageBreak/>
        <w:br w:type="page"/>
      </w:r>
    </w:p>
    <w:sdt>
      <w:sdtPr>
        <w:rPr>
          <w:rFonts w:ascii="Times New Roman" w:eastAsiaTheme="minorEastAsia" w:hAnsi="Times New Roman" w:cs="Times New Roman"/>
          <w:color w:val="auto"/>
          <w:sz w:val="24"/>
          <w:szCs w:val="24"/>
          <w:lang w:val="sq-AL"/>
        </w:rPr>
        <w:id w:val="1902326305"/>
        <w:docPartObj>
          <w:docPartGallery w:val="Table of Contents"/>
          <w:docPartUnique/>
        </w:docPartObj>
      </w:sdtPr>
      <w:sdtEndPr>
        <w:rPr>
          <w:b/>
          <w:bCs/>
          <w:noProof/>
        </w:rPr>
      </w:sdtEndPr>
      <w:sdtContent>
        <w:p w14:paraId="00FFA318" w14:textId="083CBE2C" w:rsidR="007E6BEF" w:rsidRDefault="007E6BEF">
          <w:pPr>
            <w:pStyle w:val="TOCHeading"/>
          </w:pPr>
          <w:proofErr w:type="spellStart"/>
          <w:r>
            <w:t>Tabele</w:t>
          </w:r>
          <w:proofErr w:type="spellEnd"/>
          <w:r>
            <w:t xml:space="preserve"> of contents</w:t>
          </w:r>
        </w:p>
        <w:p w14:paraId="2330E632" w14:textId="184F25CE" w:rsidR="007E6BEF" w:rsidRDefault="007E6BEF">
          <w:pPr>
            <w:pStyle w:val="TOC1"/>
            <w:rPr>
              <w:rFonts w:asciiTheme="minorHAnsi" w:hAnsiTheme="minorHAnsi" w:cstheme="minorBidi"/>
              <w:b w:val="0"/>
              <w:color w:val="auto"/>
              <w:kern w:val="2"/>
              <w:lang w:val="en-US"/>
              <w14:ligatures w14:val="standardContextual"/>
            </w:rPr>
          </w:pPr>
          <w:r>
            <w:fldChar w:fldCharType="begin"/>
          </w:r>
          <w:r>
            <w:instrText xml:space="preserve"> TOC \o "1-3" \h \z \u </w:instrText>
          </w:r>
          <w:r>
            <w:fldChar w:fldCharType="separate"/>
          </w:r>
          <w:hyperlink w:anchor="_Toc214024535" w:history="1">
            <w:r w:rsidRPr="00283DF1">
              <w:rPr>
                <w:rStyle w:val="Hyperlink"/>
                <w:lang w:val="en-GB"/>
              </w:rPr>
              <w:t>Foreword</w:t>
            </w:r>
            <w:r>
              <w:rPr>
                <w:webHidden/>
              </w:rPr>
              <w:tab/>
            </w:r>
            <w:r>
              <w:rPr>
                <w:webHidden/>
              </w:rPr>
              <w:fldChar w:fldCharType="begin"/>
            </w:r>
            <w:r>
              <w:rPr>
                <w:webHidden/>
              </w:rPr>
              <w:instrText xml:space="preserve"> PAGEREF _Toc214024535 \h </w:instrText>
            </w:r>
            <w:r>
              <w:rPr>
                <w:webHidden/>
              </w:rPr>
            </w:r>
            <w:r>
              <w:rPr>
                <w:webHidden/>
              </w:rPr>
              <w:fldChar w:fldCharType="separate"/>
            </w:r>
            <w:r>
              <w:rPr>
                <w:webHidden/>
              </w:rPr>
              <w:t>5</w:t>
            </w:r>
            <w:r>
              <w:rPr>
                <w:webHidden/>
              </w:rPr>
              <w:fldChar w:fldCharType="end"/>
            </w:r>
          </w:hyperlink>
        </w:p>
        <w:p w14:paraId="25FBD24D" w14:textId="13DC8568" w:rsidR="007E6BEF" w:rsidRDefault="00C8551E">
          <w:pPr>
            <w:pStyle w:val="TOC1"/>
            <w:tabs>
              <w:tab w:val="left" w:pos="992"/>
            </w:tabs>
            <w:rPr>
              <w:rFonts w:asciiTheme="minorHAnsi" w:hAnsiTheme="minorHAnsi" w:cstheme="minorBidi"/>
              <w:b w:val="0"/>
              <w:color w:val="auto"/>
              <w:kern w:val="2"/>
              <w:lang w:val="en-US"/>
              <w14:ligatures w14:val="standardContextual"/>
            </w:rPr>
          </w:pPr>
          <w:hyperlink w:anchor="_Toc214024536" w:history="1">
            <w:r w:rsidR="007E6BEF" w:rsidRPr="00283DF1">
              <w:rPr>
                <w:rStyle w:val="Hyperlink"/>
                <w:lang w:val="en-GB"/>
              </w:rPr>
              <w:t>1.</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Municipal Performance Grant - Introduction</w:t>
            </w:r>
            <w:r w:rsidR="007E6BEF">
              <w:rPr>
                <w:webHidden/>
              </w:rPr>
              <w:tab/>
            </w:r>
            <w:r w:rsidR="007E6BEF">
              <w:rPr>
                <w:webHidden/>
              </w:rPr>
              <w:fldChar w:fldCharType="begin"/>
            </w:r>
            <w:r w:rsidR="007E6BEF">
              <w:rPr>
                <w:webHidden/>
              </w:rPr>
              <w:instrText xml:space="preserve"> PAGEREF _Toc214024536 \h </w:instrText>
            </w:r>
            <w:r w:rsidR="007E6BEF">
              <w:rPr>
                <w:webHidden/>
              </w:rPr>
            </w:r>
            <w:r w:rsidR="007E6BEF">
              <w:rPr>
                <w:webHidden/>
              </w:rPr>
              <w:fldChar w:fldCharType="separate"/>
            </w:r>
            <w:r w:rsidR="007E6BEF">
              <w:rPr>
                <w:webHidden/>
              </w:rPr>
              <w:t>6</w:t>
            </w:r>
            <w:r w:rsidR="007E6BEF">
              <w:rPr>
                <w:webHidden/>
              </w:rPr>
              <w:fldChar w:fldCharType="end"/>
            </w:r>
          </w:hyperlink>
        </w:p>
        <w:p w14:paraId="48BF880C" w14:textId="494C1EDB" w:rsidR="007E6BEF" w:rsidRDefault="00C8551E">
          <w:pPr>
            <w:pStyle w:val="TOC1"/>
            <w:tabs>
              <w:tab w:val="left" w:pos="1200"/>
            </w:tabs>
            <w:rPr>
              <w:rFonts w:asciiTheme="minorHAnsi" w:hAnsiTheme="minorHAnsi" w:cstheme="minorBidi"/>
              <w:b w:val="0"/>
              <w:color w:val="auto"/>
              <w:kern w:val="2"/>
              <w:lang w:val="en-US"/>
              <w14:ligatures w14:val="standardContextual"/>
            </w:rPr>
          </w:pPr>
          <w:hyperlink w:anchor="_Toc214024537" w:history="1">
            <w:r w:rsidR="007E6BEF" w:rsidRPr="00283DF1">
              <w:rPr>
                <w:rStyle w:val="Hyperlink"/>
                <w:lang w:val="en-GB"/>
              </w:rPr>
              <w:t>1.1</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Introduction</w:t>
            </w:r>
            <w:r w:rsidR="007E6BEF">
              <w:rPr>
                <w:webHidden/>
              </w:rPr>
              <w:tab/>
            </w:r>
            <w:r w:rsidR="007E6BEF">
              <w:rPr>
                <w:webHidden/>
              </w:rPr>
              <w:fldChar w:fldCharType="begin"/>
            </w:r>
            <w:r w:rsidR="007E6BEF">
              <w:rPr>
                <w:webHidden/>
              </w:rPr>
              <w:instrText xml:space="preserve"> PAGEREF _Toc214024537 \h </w:instrText>
            </w:r>
            <w:r w:rsidR="007E6BEF">
              <w:rPr>
                <w:webHidden/>
              </w:rPr>
            </w:r>
            <w:r w:rsidR="007E6BEF">
              <w:rPr>
                <w:webHidden/>
              </w:rPr>
              <w:fldChar w:fldCharType="separate"/>
            </w:r>
            <w:r w:rsidR="007E6BEF">
              <w:rPr>
                <w:webHidden/>
              </w:rPr>
              <w:t>6</w:t>
            </w:r>
            <w:r w:rsidR="007E6BEF">
              <w:rPr>
                <w:webHidden/>
              </w:rPr>
              <w:fldChar w:fldCharType="end"/>
            </w:r>
          </w:hyperlink>
        </w:p>
        <w:p w14:paraId="76D31769" w14:textId="612D1CAD" w:rsidR="007E6BEF" w:rsidRDefault="00C8551E">
          <w:pPr>
            <w:pStyle w:val="TOC1"/>
            <w:tabs>
              <w:tab w:val="left" w:pos="1200"/>
            </w:tabs>
            <w:rPr>
              <w:rFonts w:asciiTheme="minorHAnsi" w:hAnsiTheme="minorHAnsi" w:cstheme="minorBidi"/>
              <w:b w:val="0"/>
              <w:color w:val="auto"/>
              <w:kern w:val="2"/>
              <w:lang w:val="en-US"/>
              <w14:ligatures w14:val="standardContextual"/>
            </w:rPr>
          </w:pPr>
          <w:hyperlink w:anchor="_Toc214024538" w:history="1">
            <w:r w:rsidR="007E6BEF" w:rsidRPr="00283DF1">
              <w:rPr>
                <w:rStyle w:val="Hyperlink"/>
                <w:lang w:val="en-GB"/>
              </w:rPr>
              <w:t>1.2</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Legal basis</w:t>
            </w:r>
            <w:r w:rsidR="007E6BEF">
              <w:rPr>
                <w:webHidden/>
              </w:rPr>
              <w:tab/>
            </w:r>
            <w:r w:rsidR="007E6BEF">
              <w:rPr>
                <w:webHidden/>
              </w:rPr>
              <w:fldChar w:fldCharType="begin"/>
            </w:r>
            <w:r w:rsidR="007E6BEF">
              <w:rPr>
                <w:webHidden/>
              </w:rPr>
              <w:instrText xml:space="preserve"> PAGEREF _Toc214024538 \h </w:instrText>
            </w:r>
            <w:r w:rsidR="007E6BEF">
              <w:rPr>
                <w:webHidden/>
              </w:rPr>
            </w:r>
            <w:r w:rsidR="007E6BEF">
              <w:rPr>
                <w:webHidden/>
              </w:rPr>
              <w:fldChar w:fldCharType="separate"/>
            </w:r>
            <w:r w:rsidR="007E6BEF">
              <w:rPr>
                <w:webHidden/>
              </w:rPr>
              <w:t>6</w:t>
            </w:r>
            <w:r w:rsidR="007E6BEF">
              <w:rPr>
                <w:webHidden/>
              </w:rPr>
              <w:fldChar w:fldCharType="end"/>
            </w:r>
          </w:hyperlink>
        </w:p>
        <w:p w14:paraId="1B361C4B" w14:textId="39F701BF" w:rsidR="007E6BEF" w:rsidRDefault="00C8551E">
          <w:pPr>
            <w:pStyle w:val="TOC1"/>
            <w:tabs>
              <w:tab w:val="left" w:pos="1200"/>
            </w:tabs>
            <w:rPr>
              <w:rFonts w:asciiTheme="minorHAnsi" w:hAnsiTheme="minorHAnsi" w:cstheme="minorBidi"/>
              <w:b w:val="0"/>
              <w:color w:val="auto"/>
              <w:kern w:val="2"/>
              <w:lang w:val="en-US"/>
              <w14:ligatures w14:val="standardContextual"/>
            </w:rPr>
          </w:pPr>
          <w:hyperlink w:anchor="_Toc214024539" w:history="1">
            <w:r w:rsidR="007E6BEF" w:rsidRPr="00283DF1">
              <w:rPr>
                <w:rStyle w:val="Hyperlink"/>
                <w:lang w:val="en-GB"/>
              </w:rPr>
              <w:t>1.3</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Purpose</w:t>
            </w:r>
            <w:r w:rsidR="007E6BEF">
              <w:rPr>
                <w:webHidden/>
              </w:rPr>
              <w:tab/>
            </w:r>
            <w:r w:rsidR="007E6BEF">
              <w:rPr>
                <w:webHidden/>
              </w:rPr>
              <w:fldChar w:fldCharType="begin"/>
            </w:r>
            <w:r w:rsidR="007E6BEF">
              <w:rPr>
                <w:webHidden/>
              </w:rPr>
              <w:instrText xml:space="preserve"> PAGEREF _Toc214024539 \h </w:instrText>
            </w:r>
            <w:r w:rsidR="007E6BEF">
              <w:rPr>
                <w:webHidden/>
              </w:rPr>
            </w:r>
            <w:r w:rsidR="007E6BEF">
              <w:rPr>
                <w:webHidden/>
              </w:rPr>
              <w:fldChar w:fldCharType="separate"/>
            </w:r>
            <w:r w:rsidR="007E6BEF">
              <w:rPr>
                <w:webHidden/>
              </w:rPr>
              <w:t>7</w:t>
            </w:r>
            <w:r w:rsidR="007E6BEF">
              <w:rPr>
                <w:webHidden/>
              </w:rPr>
              <w:fldChar w:fldCharType="end"/>
            </w:r>
          </w:hyperlink>
        </w:p>
        <w:p w14:paraId="05E83A8C" w14:textId="3BEF2197" w:rsidR="007E6BEF" w:rsidRDefault="00C8551E">
          <w:pPr>
            <w:pStyle w:val="TOC1"/>
            <w:tabs>
              <w:tab w:val="left" w:pos="1200"/>
            </w:tabs>
            <w:rPr>
              <w:rFonts w:asciiTheme="minorHAnsi" w:hAnsiTheme="minorHAnsi" w:cstheme="minorBidi"/>
              <w:b w:val="0"/>
              <w:color w:val="auto"/>
              <w:kern w:val="2"/>
              <w:lang w:val="en-US"/>
              <w14:ligatures w14:val="standardContextual"/>
            </w:rPr>
          </w:pPr>
          <w:hyperlink w:anchor="_Toc214024540" w:history="1">
            <w:r w:rsidR="007E6BEF" w:rsidRPr="00283DF1">
              <w:rPr>
                <w:rStyle w:val="Hyperlink"/>
                <w:lang w:val="en-GB"/>
              </w:rPr>
              <w:t>1.4</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Key topics</w:t>
            </w:r>
            <w:r w:rsidR="007E6BEF">
              <w:rPr>
                <w:webHidden/>
              </w:rPr>
              <w:tab/>
            </w:r>
            <w:r w:rsidR="007E6BEF">
              <w:rPr>
                <w:webHidden/>
              </w:rPr>
              <w:fldChar w:fldCharType="begin"/>
            </w:r>
            <w:r w:rsidR="007E6BEF">
              <w:rPr>
                <w:webHidden/>
              </w:rPr>
              <w:instrText xml:space="preserve"> PAGEREF _Toc214024540 \h </w:instrText>
            </w:r>
            <w:r w:rsidR="007E6BEF">
              <w:rPr>
                <w:webHidden/>
              </w:rPr>
            </w:r>
            <w:r w:rsidR="007E6BEF">
              <w:rPr>
                <w:webHidden/>
              </w:rPr>
              <w:fldChar w:fldCharType="separate"/>
            </w:r>
            <w:r w:rsidR="007E6BEF">
              <w:rPr>
                <w:webHidden/>
              </w:rPr>
              <w:t>7</w:t>
            </w:r>
            <w:r w:rsidR="007E6BEF">
              <w:rPr>
                <w:webHidden/>
              </w:rPr>
              <w:fldChar w:fldCharType="end"/>
            </w:r>
          </w:hyperlink>
        </w:p>
        <w:p w14:paraId="391AC368" w14:textId="75D7273A" w:rsidR="007E6BEF" w:rsidRDefault="00C8551E">
          <w:pPr>
            <w:pStyle w:val="TOC1"/>
            <w:tabs>
              <w:tab w:val="left" w:pos="1200"/>
            </w:tabs>
            <w:rPr>
              <w:rFonts w:asciiTheme="minorHAnsi" w:hAnsiTheme="minorHAnsi" w:cstheme="minorBidi"/>
              <w:b w:val="0"/>
              <w:color w:val="auto"/>
              <w:kern w:val="2"/>
              <w:lang w:val="en-US"/>
              <w14:ligatures w14:val="standardContextual"/>
            </w:rPr>
          </w:pPr>
          <w:hyperlink w:anchor="_Toc214024541" w:history="1">
            <w:r w:rsidR="007E6BEF" w:rsidRPr="00283DF1">
              <w:rPr>
                <w:rStyle w:val="Hyperlink"/>
                <w:lang w:val="en-GB"/>
              </w:rPr>
              <w:t>1.5</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Geographical coverage</w:t>
            </w:r>
            <w:r w:rsidR="007E6BEF">
              <w:rPr>
                <w:webHidden/>
              </w:rPr>
              <w:tab/>
            </w:r>
            <w:r w:rsidR="007E6BEF">
              <w:rPr>
                <w:webHidden/>
              </w:rPr>
              <w:fldChar w:fldCharType="begin"/>
            </w:r>
            <w:r w:rsidR="007E6BEF">
              <w:rPr>
                <w:webHidden/>
              </w:rPr>
              <w:instrText xml:space="preserve"> PAGEREF _Toc214024541 \h </w:instrText>
            </w:r>
            <w:r w:rsidR="007E6BEF">
              <w:rPr>
                <w:webHidden/>
              </w:rPr>
            </w:r>
            <w:r w:rsidR="007E6BEF">
              <w:rPr>
                <w:webHidden/>
              </w:rPr>
              <w:fldChar w:fldCharType="separate"/>
            </w:r>
            <w:r w:rsidR="007E6BEF">
              <w:rPr>
                <w:webHidden/>
              </w:rPr>
              <w:t>7</w:t>
            </w:r>
            <w:r w:rsidR="007E6BEF">
              <w:rPr>
                <w:webHidden/>
              </w:rPr>
              <w:fldChar w:fldCharType="end"/>
            </w:r>
          </w:hyperlink>
        </w:p>
        <w:p w14:paraId="52C74F9C" w14:textId="20AC7E8B" w:rsidR="007E6BEF" w:rsidRDefault="00C8551E">
          <w:pPr>
            <w:pStyle w:val="TOC1"/>
            <w:tabs>
              <w:tab w:val="left" w:pos="1200"/>
            </w:tabs>
            <w:rPr>
              <w:rFonts w:asciiTheme="minorHAnsi" w:hAnsiTheme="minorHAnsi" w:cstheme="minorBidi"/>
              <w:b w:val="0"/>
              <w:color w:val="auto"/>
              <w:kern w:val="2"/>
              <w:lang w:val="en-US"/>
              <w14:ligatures w14:val="standardContextual"/>
            </w:rPr>
          </w:pPr>
          <w:hyperlink w:anchor="_Toc214024542" w:history="1">
            <w:r w:rsidR="007E6BEF" w:rsidRPr="00283DF1">
              <w:rPr>
                <w:rStyle w:val="Hyperlink"/>
                <w:lang w:val="en-GB"/>
              </w:rPr>
              <w:t>1.6</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Strategic orientation</w:t>
            </w:r>
            <w:r w:rsidR="007E6BEF">
              <w:rPr>
                <w:webHidden/>
              </w:rPr>
              <w:tab/>
            </w:r>
            <w:r w:rsidR="007E6BEF">
              <w:rPr>
                <w:webHidden/>
              </w:rPr>
              <w:fldChar w:fldCharType="begin"/>
            </w:r>
            <w:r w:rsidR="007E6BEF">
              <w:rPr>
                <w:webHidden/>
              </w:rPr>
              <w:instrText xml:space="preserve"> PAGEREF _Toc214024542 \h </w:instrText>
            </w:r>
            <w:r w:rsidR="007E6BEF">
              <w:rPr>
                <w:webHidden/>
              </w:rPr>
            </w:r>
            <w:r w:rsidR="007E6BEF">
              <w:rPr>
                <w:webHidden/>
              </w:rPr>
              <w:fldChar w:fldCharType="separate"/>
            </w:r>
            <w:r w:rsidR="007E6BEF">
              <w:rPr>
                <w:webHidden/>
              </w:rPr>
              <w:t>8</w:t>
            </w:r>
            <w:r w:rsidR="007E6BEF">
              <w:rPr>
                <w:webHidden/>
              </w:rPr>
              <w:fldChar w:fldCharType="end"/>
            </w:r>
          </w:hyperlink>
        </w:p>
        <w:p w14:paraId="434603EA" w14:textId="72A87D95" w:rsidR="007E6BEF" w:rsidRDefault="00C8551E">
          <w:pPr>
            <w:pStyle w:val="TOC1"/>
            <w:tabs>
              <w:tab w:val="left" w:pos="1200"/>
            </w:tabs>
            <w:rPr>
              <w:rFonts w:asciiTheme="minorHAnsi" w:hAnsiTheme="minorHAnsi" w:cstheme="minorBidi"/>
              <w:b w:val="0"/>
              <w:color w:val="auto"/>
              <w:kern w:val="2"/>
              <w:lang w:val="en-US"/>
              <w14:ligatures w14:val="standardContextual"/>
            </w:rPr>
          </w:pPr>
          <w:hyperlink w:anchor="_Toc214024543" w:history="1">
            <w:r w:rsidR="007E6BEF" w:rsidRPr="00283DF1">
              <w:rPr>
                <w:rStyle w:val="Hyperlink"/>
                <w:lang w:val="en-GB"/>
              </w:rPr>
              <w:t>1.7</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Structure of rules and targeted audience</w:t>
            </w:r>
            <w:r w:rsidR="007E6BEF">
              <w:rPr>
                <w:webHidden/>
              </w:rPr>
              <w:tab/>
            </w:r>
            <w:r w:rsidR="007E6BEF">
              <w:rPr>
                <w:webHidden/>
              </w:rPr>
              <w:fldChar w:fldCharType="begin"/>
            </w:r>
            <w:r w:rsidR="007E6BEF">
              <w:rPr>
                <w:webHidden/>
              </w:rPr>
              <w:instrText xml:space="preserve"> PAGEREF _Toc214024543 \h </w:instrText>
            </w:r>
            <w:r w:rsidR="007E6BEF">
              <w:rPr>
                <w:webHidden/>
              </w:rPr>
            </w:r>
            <w:r w:rsidR="007E6BEF">
              <w:rPr>
                <w:webHidden/>
              </w:rPr>
              <w:fldChar w:fldCharType="separate"/>
            </w:r>
            <w:r w:rsidR="007E6BEF">
              <w:rPr>
                <w:webHidden/>
              </w:rPr>
              <w:t>8</w:t>
            </w:r>
            <w:r w:rsidR="007E6BEF">
              <w:rPr>
                <w:webHidden/>
              </w:rPr>
              <w:fldChar w:fldCharType="end"/>
            </w:r>
          </w:hyperlink>
        </w:p>
        <w:p w14:paraId="70110597" w14:textId="632555C2" w:rsidR="007E6BEF" w:rsidRDefault="00C8551E">
          <w:pPr>
            <w:pStyle w:val="TOC1"/>
            <w:tabs>
              <w:tab w:val="left" w:pos="992"/>
            </w:tabs>
            <w:rPr>
              <w:rFonts w:asciiTheme="minorHAnsi" w:hAnsiTheme="minorHAnsi" w:cstheme="minorBidi"/>
              <w:b w:val="0"/>
              <w:color w:val="auto"/>
              <w:kern w:val="2"/>
              <w:lang w:val="en-US"/>
              <w14:ligatures w14:val="standardContextual"/>
            </w:rPr>
          </w:pPr>
          <w:hyperlink w:anchor="_Toc214024544" w:history="1">
            <w:r w:rsidR="007E6BEF" w:rsidRPr="00283DF1">
              <w:rPr>
                <w:rStyle w:val="Hyperlink"/>
                <w:lang w:val="en-GB"/>
              </w:rPr>
              <w:t>2.</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Municipal Performance Grant - Design Parameters</w:t>
            </w:r>
            <w:r w:rsidR="007E6BEF">
              <w:rPr>
                <w:webHidden/>
              </w:rPr>
              <w:tab/>
            </w:r>
            <w:r w:rsidR="007E6BEF">
              <w:rPr>
                <w:webHidden/>
              </w:rPr>
              <w:fldChar w:fldCharType="begin"/>
            </w:r>
            <w:r w:rsidR="007E6BEF">
              <w:rPr>
                <w:webHidden/>
              </w:rPr>
              <w:instrText xml:space="preserve"> PAGEREF _Toc214024544 \h </w:instrText>
            </w:r>
            <w:r w:rsidR="007E6BEF">
              <w:rPr>
                <w:webHidden/>
              </w:rPr>
            </w:r>
            <w:r w:rsidR="007E6BEF">
              <w:rPr>
                <w:webHidden/>
              </w:rPr>
              <w:fldChar w:fldCharType="separate"/>
            </w:r>
            <w:r w:rsidR="007E6BEF">
              <w:rPr>
                <w:webHidden/>
              </w:rPr>
              <w:t>9</w:t>
            </w:r>
            <w:r w:rsidR="007E6BEF">
              <w:rPr>
                <w:webHidden/>
              </w:rPr>
              <w:fldChar w:fldCharType="end"/>
            </w:r>
          </w:hyperlink>
        </w:p>
        <w:p w14:paraId="58106D09" w14:textId="09ADDD16" w:rsidR="007E6BEF" w:rsidRDefault="00C8551E">
          <w:pPr>
            <w:pStyle w:val="TOC1"/>
            <w:tabs>
              <w:tab w:val="left" w:pos="1200"/>
            </w:tabs>
            <w:rPr>
              <w:rFonts w:asciiTheme="minorHAnsi" w:hAnsiTheme="minorHAnsi" w:cstheme="minorBidi"/>
              <w:b w:val="0"/>
              <w:color w:val="auto"/>
              <w:kern w:val="2"/>
              <w:lang w:val="en-US"/>
              <w14:ligatures w14:val="standardContextual"/>
            </w:rPr>
          </w:pPr>
          <w:hyperlink w:anchor="_Toc214024545" w:history="1">
            <w:r w:rsidR="007E6BEF" w:rsidRPr="00283DF1">
              <w:rPr>
                <w:rStyle w:val="Hyperlink"/>
                <w:lang w:val="en-GB"/>
              </w:rPr>
              <w:t>2.1</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Basic principles</w:t>
            </w:r>
            <w:r w:rsidR="007E6BEF">
              <w:rPr>
                <w:webHidden/>
              </w:rPr>
              <w:tab/>
            </w:r>
            <w:r w:rsidR="007E6BEF">
              <w:rPr>
                <w:webHidden/>
              </w:rPr>
              <w:fldChar w:fldCharType="begin"/>
            </w:r>
            <w:r w:rsidR="007E6BEF">
              <w:rPr>
                <w:webHidden/>
              </w:rPr>
              <w:instrText xml:space="preserve"> PAGEREF _Toc214024545 \h </w:instrText>
            </w:r>
            <w:r w:rsidR="007E6BEF">
              <w:rPr>
                <w:webHidden/>
              </w:rPr>
            </w:r>
            <w:r w:rsidR="007E6BEF">
              <w:rPr>
                <w:webHidden/>
              </w:rPr>
              <w:fldChar w:fldCharType="separate"/>
            </w:r>
            <w:r w:rsidR="007E6BEF">
              <w:rPr>
                <w:webHidden/>
              </w:rPr>
              <w:t>9</w:t>
            </w:r>
            <w:r w:rsidR="007E6BEF">
              <w:rPr>
                <w:webHidden/>
              </w:rPr>
              <w:fldChar w:fldCharType="end"/>
            </w:r>
          </w:hyperlink>
        </w:p>
        <w:p w14:paraId="0933E3CA" w14:textId="2A094308" w:rsidR="007E6BEF" w:rsidRDefault="00C8551E">
          <w:pPr>
            <w:pStyle w:val="TOC1"/>
            <w:tabs>
              <w:tab w:val="left" w:pos="1200"/>
            </w:tabs>
            <w:rPr>
              <w:rFonts w:asciiTheme="minorHAnsi" w:hAnsiTheme="minorHAnsi" w:cstheme="minorBidi"/>
              <w:b w:val="0"/>
              <w:color w:val="auto"/>
              <w:kern w:val="2"/>
              <w:lang w:val="en-US"/>
              <w14:ligatures w14:val="standardContextual"/>
            </w:rPr>
          </w:pPr>
          <w:hyperlink w:anchor="_Toc214024546" w:history="1">
            <w:r w:rsidR="007E6BEF" w:rsidRPr="00283DF1">
              <w:rPr>
                <w:rStyle w:val="Hyperlink"/>
                <w:lang w:val="en-GB"/>
              </w:rPr>
              <w:t>2.2</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Minimum conditions</w:t>
            </w:r>
            <w:r w:rsidR="007E6BEF">
              <w:rPr>
                <w:webHidden/>
              </w:rPr>
              <w:tab/>
            </w:r>
            <w:r w:rsidR="007E6BEF">
              <w:rPr>
                <w:webHidden/>
              </w:rPr>
              <w:fldChar w:fldCharType="begin"/>
            </w:r>
            <w:r w:rsidR="007E6BEF">
              <w:rPr>
                <w:webHidden/>
              </w:rPr>
              <w:instrText xml:space="preserve"> PAGEREF _Toc214024546 \h </w:instrText>
            </w:r>
            <w:r w:rsidR="007E6BEF">
              <w:rPr>
                <w:webHidden/>
              </w:rPr>
            </w:r>
            <w:r w:rsidR="007E6BEF">
              <w:rPr>
                <w:webHidden/>
              </w:rPr>
              <w:fldChar w:fldCharType="separate"/>
            </w:r>
            <w:r w:rsidR="007E6BEF">
              <w:rPr>
                <w:webHidden/>
              </w:rPr>
              <w:t>9</w:t>
            </w:r>
            <w:r w:rsidR="007E6BEF">
              <w:rPr>
                <w:webHidden/>
              </w:rPr>
              <w:fldChar w:fldCharType="end"/>
            </w:r>
          </w:hyperlink>
        </w:p>
        <w:p w14:paraId="26B676FB" w14:textId="58E27267" w:rsidR="007E6BEF" w:rsidRDefault="00C8551E">
          <w:pPr>
            <w:pStyle w:val="TOC1"/>
            <w:tabs>
              <w:tab w:val="left" w:pos="1200"/>
            </w:tabs>
            <w:rPr>
              <w:rFonts w:asciiTheme="minorHAnsi" w:hAnsiTheme="minorHAnsi" w:cstheme="minorBidi"/>
              <w:b w:val="0"/>
              <w:color w:val="auto"/>
              <w:kern w:val="2"/>
              <w:lang w:val="en-US"/>
              <w14:ligatures w14:val="standardContextual"/>
            </w:rPr>
          </w:pPr>
          <w:hyperlink w:anchor="_Toc214024547" w:history="1">
            <w:r w:rsidR="007E6BEF" w:rsidRPr="00283DF1">
              <w:rPr>
                <w:rStyle w:val="Hyperlink"/>
                <w:lang w:val="en-GB"/>
              </w:rPr>
              <w:t>2.3</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Municipal performance indicators</w:t>
            </w:r>
            <w:r w:rsidR="007E6BEF">
              <w:rPr>
                <w:webHidden/>
              </w:rPr>
              <w:tab/>
            </w:r>
            <w:r w:rsidR="007E6BEF">
              <w:rPr>
                <w:webHidden/>
              </w:rPr>
              <w:fldChar w:fldCharType="begin"/>
            </w:r>
            <w:r w:rsidR="007E6BEF">
              <w:rPr>
                <w:webHidden/>
              </w:rPr>
              <w:instrText xml:space="preserve"> PAGEREF _Toc214024547 \h </w:instrText>
            </w:r>
            <w:r w:rsidR="007E6BEF">
              <w:rPr>
                <w:webHidden/>
              </w:rPr>
            </w:r>
            <w:r w:rsidR="007E6BEF">
              <w:rPr>
                <w:webHidden/>
              </w:rPr>
              <w:fldChar w:fldCharType="separate"/>
            </w:r>
            <w:r w:rsidR="007E6BEF">
              <w:rPr>
                <w:webHidden/>
              </w:rPr>
              <w:t>10</w:t>
            </w:r>
            <w:r w:rsidR="007E6BEF">
              <w:rPr>
                <w:webHidden/>
              </w:rPr>
              <w:fldChar w:fldCharType="end"/>
            </w:r>
          </w:hyperlink>
        </w:p>
        <w:p w14:paraId="40FF304F" w14:textId="3081561C" w:rsidR="007E6BEF" w:rsidRDefault="00C8551E">
          <w:pPr>
            <w:pStyle w:val="TOC1"/>
            <w:tabs>
              <w:tab w:val="left" w:pos="1200"/>
            </w:tabs>
            <w:rPr>
              <w:rFonts w:asciiTheme="minorHAnsi" w:hAnsiTheme="minorHAnsi" w:cstheme="minorBidi"/>
              <w:b w:val="0"/>
              <w:color w:val="auto"/>
              <w:kern w:val="2"/>
              <w:lang w:val="en-US"/>
              <w14:ligatures w14:val="standardContextual"/>
            </w:rPr>
          </w:pPr>
          <w:hyperlink w:anchor="_Toc214024548" w:history="1">
            <w:r w:rsidR="007E6BEF" w:rsidRPr="00283DF1">
              <w:rPr>
                <w:rStyle w:val="Hyperlink"/>
                <w:lang w:val="en-GB"/>
              </w:rPr>
              <w:t>2.4</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Sources of funding for the municipal performance grant</w:t>
            </w:r>
            <w:r w:rsidR="007E6BEF">
              <w:rPr>
                <w:webHidden/>
              </w:rPr>
              <w:tab/>
            </w:r>
            <w:r w:rsidR="007E6BEF">
              <w:rPr>
                <w:webHidden/>
              </w:rPr>
              <w:fldChar w:fldCharType="begin"/>
            </w:r>
            <w:r w:rsidR="007E6BEF">
              <w:rPr>
                <w:webHidden/>
              </w:rPr>
              <w:instrText xml:space="preserve"> PAGEREF _Toc214024548 \h </w:instrText>
            </w:r>
            <w:r w:rsidR="007E6BEF">
              <w:rPr>
                <w:webHidden/>
              </w:rPr>
            </w:r>
            <w:r w:rsidR="007E6BEF">
              <w:rPr>
                <w:webHidden/>
              </w:rPr>
              <w:fldChar w:fldCharType="separate"/>
            </w:r>
            <w:r w:rsidR="007E6BEF">
              <w:rPr>
                <w:webHidden/>
              </w:rPr>
              <w:t>12</w:t>
            </w:r>
            <w:r w:rsidR="007E6BEF">
              <w:rPr>
                <w:webHidden/>
              </w:rPr>
              <w:fldChar w:fldCharType="end"/>
            </w:r>
          </w:hyperlink>
        </w:p>
        <w:p w14:paraId="18ED1839" w14:textId="33EEBF51" w:rsidR="007E6BEF" w:rsidRDefault="00C8551E">
          <w:pPr>
            <w:pStyle w:val="TOC1"/>
            <w:tabs>
              <w:tab w:val="left" w:pos="1200"/>
            </w:tabs>
            <w:rPr>
              <w:rFonts w:asciiTheme="minorHAnsi" w:hAnsiTheme="minorHAnsi" w:cstheme="minorBidi"/>
              <w:b w:val="0"/>
              <w:color w:val="auto"/>
              <w:kern w:val="2"/>
              <w:lang w:val="en-US"/>
              <w14:ligatures w14:val="standardContextual"/>
            </w:rPr>
          </w:pPr>
          <w:hyperlink w:anchor="_Toc214024549" w:history="1">
            <w:r w:rsidR="007E6BEF" w:rsidRPr="00283DF1">
              <w:rPr>
                <w:rStyle w:val="Hyperlink"/>
                <w:lang w:val="en-GB"/>
              </w:rPr>
              <w:t>2.5</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Calculation of the amount of the municipal performance grant</w:t>
            </w:r>
            <w:r w:rsidR="007E6BEF">
              <w:rPr>
                <w:webHidden/>
              </w:rPr>
              <w:tab/>
            </w:r>
            <w:r w:rsidR="007E6BEF">
              <w:rPr>
                <w:webHidden/>
              </w:rPr>
              <w:fldChar w:fldCharType="begin"/>
            </w:r>
            <w:r w:rsidR="007E6BEF">
              <w:rPr>
                <w:webHidden/>
              </w:rPr>
              <w:instrText xml:space="preserve"> PAGEREF _Toc214024549 \h </w:instrText>
            </w:r>
            <w:r w:rsidR="007E6BEF">
              <w:rPr>
                <w:webHidden/>
              </w:rPr>
            </w:r>
            <w:r w:rsidR="007E6BEF">
              <w:rPr>
                <w:webHidden/>
              </w:rPr>
              <w:fldChar w:fldCharType="separate"/>
            </w:r>
            <w:r w:rsidR="007E6BEF">
              <w:rPr>
                <w:webHidden/>
              </w:rPr>
              <w:t>13</w:t>
            </w:r>
            <w:r w:rsidR="007E6BEF">
              <w:rPr>
                <w:webHidden/>
              </w:rPr>
              <w:fldChar w:fldCharType="end"/>
            </w:r>
          </w:hyperlink>
        </w:p>
        <w:p w14:paraId="5AC70E29" w14:textId="336F1F88" w:rsidR="007E6BEF" w:rsidRDefault="00C8551E">
          <w:pPr>
            <w:pStyle w:val="TOC1"/>
            <w:tabs>
              <w:tab w:val="left" w:pos="1200"/>
            </w:tabs>
            <w:rPr>
              <w:rFonts w:asciiTheme="minorHAnsi" w:hAnsiTheme="minorHAnsi" w:cstheme="minorBidi"/>
              <w:b w:val="0"/>
              <w:color w:val="auto"/>
              <w:kern w:val="2"/>
              <w:lang w:val="en-US"/>
              <w14:ligatures w14:val="standardContextual"/>
            </w:rPr>
          </w:pPr>
          <w:hyperlink w:anchor="_Toc214024550" w:history="1">
            <w:r w:rsidR="007E6BEF" w:rsidRPr="00283DF1">
              <w:rPr>
                <w:rStyle w:val="Hyperlink"/>
                <w:lang w:val="en-GB"/>
              </w:rPr>
              <w:t>2.6</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Criteria for using the municipal performance grant</w:t>
            </w:r>
            <w:r w:rsidR="007E6BEF">
              <w:rPr>
                <w:webHidden/>
              </w:rPr>
              <w:tab/>
            </w:r>
            <w:r w:rsidR="007E6BEF">
              <w:rPr>
                <w:webHidden/>
              </w:rPr>
              <w:fldChar w:fldCharType="begin"/>
            </w:r>
            <w:r w:rsidR="007E6BEF">
              <w:rPr>
                <w:webHidden/>
              </w:rPr>
              <w:instrText xml:space="preserve"> PAGEREF _Toc214024550 \h </w:instrText>
            </w:r>
            <w:r w:rsidR="007E6BEF">
              <w:rPr>
                <w:webHidden/>
              </w:rPr>
            </w:r>
            <w:r w:rsidR="007E6BEF">
              <w:rPr>
                <w:webHidden/>
              </w:rPr>
              <w:fldChar w:fldCharType="separate"/>
            </w:r>
            <w:r w:rsidR="007E6BEF">
              <w:rPr>
                <w:webHidden/>
              </w:rPr>
              <w:t>13</w:t>
            </w:r>
            <w:r w:rsidR="007E6BEF">
              <w:rPr>
                <w:webHidden/>
              </w:rPr>
              <w:fldChar w:fldCharType="end"/>
            </w:r>
          </w:hyperlink>
        </w:p>
        <w:p w14:paraId="2177115D" w14:textId="6FE52163" w:rsidR="007E6BEF" w:rsidRDefault="00C8551E">
          <w:pPr>
            <w:pStyle w:val="TOC1"/>
            <w:tabs>
              <w:tab w:val="left" w:pos="1200"/>
            </w:tabs>
            <w:rPr>
              <w:rFonts w:asciiTheme="minorHAnsi" w:hAnsiTheme="minorHAnsi" w:cstheme="minorBidi"/>
              <w:b w:val="0"/>
              <w:color w:val="auto"/>
              <w:kern w:val="2"/>
              <w:lang w:val="en-US"/>
              <w14:ligatures w14:val="standardContextual"/>
            </w:rPr>
          </w:pPr>
          <w:hyperlink w:anchor="_Toc214024551" w:history="1">
            <w:r w:rsidR="007E6BEF" w:rsidRPr="00283DF1">
              <w:rPr>
                <w:rStyle w:val="Hyperlink"/>
                <w:lang w:val="en-GB"/>
              </w:rPr>
              <w:t>2.7</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Municipal performance grant audit</w:t>
            </w:r>
            <w:r w:rsidR="007E6BEF">
              <w:rPr>
                <w:webHidden/>
              </w:rPr>
              <w:tab/>
            </w:r>
            <w:r w:rsidR="007E6BEF">
              <w:rPr>
                <w:webHidden/>
              </w:rPr>
              <w:fldChar w:fldCharType="begin"/>
            </w:r>
            <w:r w:rsidR="007E6BEF">
              <w:rPr>
                <w:webHidden/>
              </w:rPr>
              <w:instrText xml:space="preserve"> PAGEREF _Toc214024551 \h </w:instrText>
            </w:r>
            <w:r w:rsidR="007E6BEF">
              <w:rPr>
                <w:webHidden/>
              </w:rPr>
            </w:r>
            <w:r w:rsidR="007E6BEF">
              <w:rPr>
                <w:webHidden/>
              </w:rPr>
              <w:fldChar w:fldCharType="separate"/>
            </w:r>
            <w:r w:rsidR="007E6BEF">
              <w:rPr>
                <w:webHidden/>
              </w:rPr>
              <w:t>13</w:t>
            </w:r>
            <w:r w:rsidR="007E6BEF">
              <w:rPr>
                <w:webHidden/>
              </w:rPr>
              <w:fldChar w:fldCharType="end"/>
            </w:r>
          </w:hyperlink>
        </w:p>
        <w:p w14:paraId="6FE1E7C9" w14:textId="36FEC3FA" w:rsidR="007E6BEF" w:rsidRDefault="00C8551E">
          <w:pPr>
            <w:pStyle w:val="TOC1"/>
            <w:tabs>
              <w:tab w:val="left" w:pos="992"/>
            </w:tabs>
            <w:rPr>
              <w:rFonts w:asciiTheme="minorHAnsi" w:hAnsiTheme="minorHAnsi" w:cstheme="minorBidi"/>
              <w:b w:val="0"/>
              <w:color w:val="auto"/>
              <w:kern w:val="2"/>
              <w:lang w:val="en-US"/>
              <w14:ligatures w14:val="standardContextual"/>
            </w:rPr>
          </w:pPr>
          <w:hyperlink w:anchor="_Toc214024552" w:history="1">
            <w:r w:rsidR="007E6BEF" w:rsidRPr="00283DF1">
              <w:rPr>
                <w:rStyle w:val="Hyperlink"/>
                <w:lang w:val="en-GB"/>
              </w:rPr>
              <w:t>3.</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Municipal Performance Grant - Assessment process</w:t>
            </w:r>
            <w:r w:rsidR="007E6BEF">
              <w:rPr>
                <w:webHidden/>
              </w:rPr>
              <w:tab/>
            </w:r>
            <w:r w:rsidR="007E6BEF">
              <w:rPr>
                <w:webHidden/>
              </w:rPr>
              <w:fldChar w:fldCharType="begin"/>
            </w:r>
            <w:r w:rsidR="007E6BEF">
              <w:rPr>
                <w:webHidden/>
              </w:rPr>
              <w:instrText xml:space="preserve"> PAGEREF _Toc214024552 \h </w:instrText>
            </w:r>
            <w:r w:rsidR="007E6BEF">
              <w:rPr>
                <w:webHidden/>
              </w:rPr>
            </w:r>
            <w:r w:rsidR="007E6BEF">
              <w:rPr>
                <w:webHidden/>
              </w:rPr>
              <w:fldChar w:fldCharType="separate"/>
            </w:r>
            <w:r w:rsidR="007E6BEF">
              <w:rPr>
                <w:webHidden/>
              </w:rPr>
              <w:t>14</w:t>
            </w:r>
            <w:r w:rsidR="007E6BEF">
              <w:rPr>
                <w:webHidden/>
              </w:rPr>
              <w:fldChar w:fldCharType="end"/>
            </w:r>
          </w:hyperlink>
        </w:p>
        <w:p w14:paraId="48860367" w14:textId="3212552F" w:rsidR="007E6BEF" w:rsidRDefault="00C8551E">
          <w:pPr>
            <w:pStyle w:val="TOC1"/>
            <w:tabs>
              <w:tab w:val="left" w:pos="1200"/>
            </w:tabs>
            <w:rPr>
              <w:rFonts w:asciiTheme="minorHAnsi" w:hAnsiTheme="minorHAnsi" w:cstheme="minorBidi"/>
              <w:b w:val="0"/>
              <w:color w:val="auto"/>
              <w:kern w:val="2"/>
              <w:lang w:val="en-US"/>
              <w14:ligatures w14:val="standardContextual"/>
            </w:rPr>
          </w:pPr>
          <w:hyperlink w:anchor="_Toc214024553" w:history="1">
            <w:r w:rsidR="007E6BEF" w:rsidRPr="00283DF1">
              <w:rPr>
                <w:rStyle w:val="Hyperlink"/>
                <w:lang w:val="en-GB"/>
              </w:rPr>
              <w:t>3.1</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Institutional arrangements</w:t>
            </w:r>
            <w:r w:rsidR="007E6BEF">
              <w:rPr>
                <w:webHidden/>
              </w:rPr>
              <w:tab/>
            </w:r>
            <w:r w:rsidR="007E6BEF">
              <w:rPr>
                <w:webHidden/>
              </w:rPr>
              <w:fldChar w:fldCharType="begin"/>
            </w:r>
            <w:r w:rsidR="007E6BEF">
              <w:rPr>
                <w:webHidden/>
              </w:rPr>
              <w:instrText xml:space="preserve"> PAGEREF _Toc214024553 \h </w:instrText>
            </w:r>
            <w:r w:rsidR="007E6BEF">
              <w:rPr>
                <w:webHidden/>
              </w:rPr>
            </w:r>
            <w:r w:rsidR="007E6BEF">
              <w:rPr>
                <w:webHidden/>
              </w:rPr>
              <w:fldChar w:fldCharType="separate"/>
            </w:r>
            <w:r w:rsidR="007E6BEF">
              <w:rPr>
                <w:webHidden/>
              </w:rPr>
              <w:t>14</w:t>
            </w:r>
            <w:r w:rsidR="007E6BEF">
              <w:rPr>
                <w:webHidden/>
              </w:rPr>
              <w:fldChar w:fldCharType="end"/>
            </w:r>
          </w:hyperlink>
        </w:p>
        <w:p w14:paraId="583D6A25" w14:textId="285C1FB5" w:rsidR="007E6BEF" w:rsidRDefault="00C8551E">
          <w:pPr>
            <w:pStyle w:val="TOC1"/>
            <w:tabs>
              <w:tab w:val="left" w:pos="1440"/>
            </w:tabs>
            <w:rPr>
              <w:rFonts w:asciiTheme="minorHAnsi" w:hAnsiTheme="minorHAnsi" w:cstheme="minorBidi"/>
              <w:b w:val="0"/>
              <w:color w:val="auto"/>
              <w:kern w:val="2"/>
              <w:lang w:val="en-US"/>
              <w14:ligatures w14:val="standardContextual"/>
            </w:rPr>
          </w:pPr>
          <w:hyperlink w:anchor="_Toc214024554" w:history="1">
            <w:r w:rsidR="007E6BEF" w:rsidRPr="00283DF1">
              <w:rPr>
                <w:rStyle w:val="Hyperlink"/>
                <w:lang w:val="en-GB"/>
              </w:rPr>
              <w:t>3.1.1</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Municipal Performance Grant Commission</w:t>
            </w:r>
            <w:r w:rsidR="007E6BEF">
              <w:rPr>
                <w:webHidden/>
              </w:rPr>
              <w:tab/>
            </w:r>
            <w:r w:rsidR="007E6BEF">
              <w:rPr>
                <w:webHidden/>
              </w:rPr>
              <w:fldChar w:fldCharType="begin"/>
            </w:r>
            <w:r w:rsidR="007E6BEF">
              <w:rPr>
                <w:webHidden/>
              </w:rPr>
              <w:instrText xml:space="preserve"> PAGEREF _Toc214024554 \h </w:instrText>
            </w:r>
            <w:r w:rsidR="007E6BEF">
              <w:rPr>
                <w:webHidden/>
              </w:rPr>
            </w:r>
            <w:r w:rsidR="007E6BEF">
              <w:rPr>
                <w:webHidden/>
              </w:rPr>
              <w:fldChar w:fldCharType="separate"/>
            </w:r>
            <w:r w:rsidR="007E6BEF">
              <w:rPr>
                <w:webHidden/>
              </w:rPr>
              <w:t>14</w:t>
            </w:r>
            <w:r w:rsidR="007E6BEF">
              <w:rPr>
                <w:webHidden/>
              </w:rPr>
              <w:fldChar w:fldCharType="end"/>
            </w:r>
          </w:hyperlink>
        </w:p>
        <w:p w14:paraId="471E0494" w14:textId="3BB6C650" w:rsidR="007E6BEF" w:rsidRDefault="00C8551E">
          <w:pPr>
            <w:pStyle w:val="TOC1"/>
            <w:tabs>
              <w:tab w:val="left" w:pos="1440"/>
            </w:tabs>
            <w:rPr>
              <w:rFonts w:asciiTheme="minorHAnsi" w:hAnsiTheme="minorHAnsi" w:cstheme="minorBidi"/>
              <w:b w:val="0"/>
              <w:color w:val="auto"/>
              <w:kern w:val="2"/>
              <w:lang w:val="en-US"/>
              <w14:ligatures w14:val="standardContextual"/>
            </w:rPr>
          </w:pPr>
          <w:hyperlink w:anchor="_Toc214024555" w:history="1">
            <w:r w:rsidR="007E6BEF" w:rsidRPr="00283DF1">
              <w:rPr>
                <w:rStyle w:val="Hyperlink"/>
                <w:lang w:val="en-GB"/>
              </w:rPr>
              <w:t>3.1.2</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Technical group</w:t>
            </w:r>
            <w:r w:rsidR="007E6BEF">
              <w:rPr>
                <w:webHidden/>
              </w:rPr>
              <w:tab/>
            </w:r>
            <w:r w:rsidR="007E6BEF">
              <w:rPr>
                <w:webHidden/>
              </w:rPr>
              <w:fldChar w:fldCharType="begin"/>
            </w:r>
            <w:r w:rsidR="007E6BEF">
              <w:rPr>
                <w:webHidden/>
              </w:rPr>
              <w:instrText xml:space="preserve"> PAGEREF _Toc214024555 \h </w:instrText>
            </w:r>
            <w:r w:rsidR="007E6BEF">
              <w:rPr>
                <w:webHidden/>
              </w:rPr>
            </w:r>
            <w:r w:rsidR="007E6BEF">
              <w:rPr>
                <w:webHidden/>
              </w:rPr>
              <w:fldChar w:fldCharType="separate"/>
            </w:r>
            <w:r w:rsidR="007E6BEF">
              <w:rPr>
                <w:webHidden/>
              </w:rPr>
              <w:t>14</w:t>
            </w:r>
            <w:r w:rsidR="007E6BEF">
              <w:rPr>
                <w:webHidden/>
              </w:rPr>
              <w:fldChar w:fldCharType="end"/>
            </w:r>
          </w:hyperlink>
        </w:p>
        <w:p w14:paraId="65A27442" w14:textId="30A59836" w:rsidR="007E6BEF" w:rsidRDefault="00C8551E">
          <w:pPr>
            <w:pStyle w:val="TOC1"/>
            <w:tabs>
              <w:tab w:val="left" w:pos="1440"/>
            </w:tabs>
            <w:rPr>
              <w:rFonts w:asciiTheme="minorHAnsi" w:hAnsiTheme="minorHAnsi" w:cstheme="minorBidi"/>
              <w:b w:val="0"/>
              <w:color w:val="auto"/>
              <w:kern w:val="2"/>
              <w:lang w:val="en-US"/>
              <w14:ligatures w14:val="standardContextual"/>
            </w:rPr>
          </w:pPr>
          <w:hyperlink w:anchor="_Toc214024556" w:history="1">
            <w:r w:rsidR="007E6BEF" w:rsidRPr="00283DF1">
              <w:rPr>
                <w:rStyle w:val="Hyperlink"/>
                <w:lang w:val="en-GB"/>
              </w:rPr>
              <w:t>3.1.3</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Appeals Commission</w:t>
            </w:r>
            <w:r w:rsidR="007E6BEF">
              <w:rPr>
                <w:webHidden/>
              </w:rPr>
              <w:tab/>
            </w:r>
            <w:r w:rsidR="007E6BEF">
              <w:rPr>
                <w:webHidden/>
              </w:rPr>
              <w:fldChar w:fldCharType="begin"/>
            </w:r>
            <w:r w:rsidR="007E6BEF">
              <w:rPr>
                <w:webHidden/>
              </w:rPr>
              <w:instrText xml:space="preserve"> PAGEREF _Toc214024556 \h </w:instrText>
            </w:r>
            <w:r w:rsidR="007E6BEF">
              <w:rPr>
                <w:webHidden/>
              </w:rPr>
            </w:r>
            <w:r w:rsidR="007E6BEF">
              <w:rPr>
                <w:webHidden/>
              </w:rPr>
              <w:fldChar w:fldCharType="separate"/>
            </w:r>
            <w:r w:rsidR="007E6BEF">
              <w:rPr>
                <w:webHidden/>
              </w:rPr>
              <w:t>14</w:t>
            </w:r>
            <w:r w:rsidR="007E6BEF">
              <w:rPr>
                <w:webHidden/>
              </w:rPr>
              <w:fldChar w:fldCharType="end"/>
            </w:r>
          </w:hyperlink>
        </w:p>
        <w:p w14:paraId="245307A8" w14:textId="6615DDB2" w:rsidR="007E6BEF" w:rsidRDefault="00C8551E">
          <w:pPr>
            <w:pStyle w:val="TOC1"/>
            <w:tabs>
              <w:tab w:val="left" w:pos="1200"/>
            </w:tabs>
            <w:rPr>
              <w:rFonts w:asciiTheme="minorHAnsi" w:hAnsiTheme="minorHAnsi" w:cstheme="minorBidi"/>
              <w:b w:val="0"/>
              <w:color w:val="auto"/>
              <w:kern w:val="2"/>
              <w:lang w:val="en-US"/>
              <w14:ligatures w14:val="standardContextual"/>
            </w:rPr>
          </w:pPr>
          <w:hyperlink w:anchor="_Toc214024557" w:history="1">
            <w:r w:rsidR="007E6BEF" w:rsidRPr="00283DF1">
              <w:rPr>
                <w:rStyle w:val="Hyperlink"/>
                <w:lang w:val="en-GB"/>
              </w:rPr>
              <w:t>3.2</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Timeline</w:t>
            </w:r>
            <w:r w:rsidR="007E6BEF">
              <w:rPr>
                <w:webHidden/>
              </w:rPr>
              <w:tab/>
            </w:r>
            <w:r w:rsidR="007E6BEF">
              <w:rPr>
                <w:webHidden/>
              </w:rPr>
              <w:fldChar w:fldCharType="begin"/>
            </w:r>
            <w:r w:rsidR="007E6BEF">
              <w:rPr>
                <w:webHidden/>
              </w:rPr>
              <w:instrText xml:space="preserve"> PAGEREF _Toc214024557 \h </w:instrText>
            </w:r>
            <w:r w:rsidR="007E6BEF">
              <w:rPr>
                <w:webHidden/>
              </w:rPr>
            </w:r>
            <w:r w:rsidR="007E6BEF">
              <w:rPr>
                <w:webHidden/>
              </w:rPr>
              <w:fldChar w:fldCharType="separate"/>
            </w:r>
            <w:r w:rsidR="007E6BEF">
              <w:rPr>
                <w:webHidden/>
              </w:rPr>
              <w:t>15</w:t>
            </w:r>
            <w:r w:rsidR="007E6BEF">
              <w:rPr>
                <w:webHidden/>
              </w:rPr>
              <w:fldChar w:fldCharType="end"/>
            </w:r>
          </w:hyperlink>
        </w:p>
        <w:p w14:paraId="20597F4A" w14:textId="06A78309" w:rsidR="007E6BEF" w:rsidRDefault="00C8551E">
          <w:pPr>
            <w:pStyle w:val="TOC1"/>
            <w:tabs>
              <w:tab w:val="left" w:pos="1200"/>
            </w:tabs>
            <w:rPr>
              <w:rFonts w:asciiTheme="minorHAnsi" w:hAnsiTheme="minorHAnsi" w:cstheme="minorBidi"/>
              <w:b w:val="0"/>
              <w:color w:val="auto"/>
              <w:kern w:val="2"/>
              <w:lang w:val="en-US"/>
              <w14:ligatures w14:val="standardContextual"/>
            </w:rPr>
          </w:pPr>
          <w:hyperlink w:anchor="_Toc214024558" w:history="1">
            <w:r w:rsidR="007E6BEF" w:rsidRPr="00283DF1">
              <w:rPr>
                <w:rStyle w:val="Hyperlink"/>
                <w:lang w:val="en-GB"/>
              </w:rPr>
              <w:t>3.3</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Assessment procedures</w:t>
            </w:r>
            <w:r w:rsidR="007E6BEF">
              <w:rPr>
                <w:webHidden/>
              </w:rPr>
              <w:tab/>
            </w:r>
            <w:r w:rsidR="007E6BEF">
              <w:rPr>
                <w:webHidden/>
              </w:rPr>
              <w:fldChar w:fldCharType="begin"/>
            </w:r>
            <w:r w:rsidR="007E6BEF">
              <w:rPr>
                <w:webHidden/>
              </w:rPr>
              <w:instrText xml:space="preserve"> PAGEREF _Toc214024558 \h </w:instrText>
            </w:r>
            <w:r w:rsidR="007E6BEF">
              <w:rPr>
                <w:webHidden/>
              </w:rPr>
            </w:r>
            <w:r w:rsidR="007E6BEF">
              <w:rPr>
                <w:webHidden/>
              </w:rPr>
              <w:fldChar w:fldCharType="separate"/>
            </w:r>
            <w:r w:rsidR="007E6BEF">
              <w:rPr>
                <w:webHidden/>
              </w:rPr>
              <w:t>15</w:t>
            </w:r>
            <w:r w:rsidR="007E6BEF">
              <w:rPr>
                <w:webHidden/>
              </w:rPr>
              <w:fldChar w:fldCharType="end"/>
            </w:r>
          </w:hyperlink>
        </w:p>
        <w:p w14:paraId="247509C2" w14:textId="28FD9467" w:rsidR="007E6BEF" w:rsidRDefault="00C8551E">
          <w:pPr>
            <w:pStyle w:val="TOC1"/>
            <w:rPr>
              <w:rFonts w:asciiTheme="minorHAnsi" w:hAnsiTheme="minorHAnsi" w:cstheme="minorBidi"/>
              <w:b w:val="0"/>
              <w:color w:val="auto"/>
              <w:kern w:val="2"/>
              <w:lang w:val="en-US"/>
              <w14:ligatures w14:val="standardContextual"/>
            </w:rPr>
          </w:pPr>
          <w:hyperlink w:anchor="_Toc214024559" w:history="1">
            <w:r w:rsidR="007E6BEF" w:rsidRPr="00283DF1">
              <w:rPr>
                <w:rStyle w:val="Hyperlink"/>
                <w:lang w:val="en-GB"/>
              </w:rPr>
              <w:t>3.3.1 Assessment Period for Municipal Performance Grant (Grant Management Cycles)</w:t>
            </w:r>
            <w:r w:rsidR="007E6BEF">
              <w:rPr>
                <w:webHidden/>
              </w:rPr>
              <w:tab/>
            </w:r>
            <w:r w:rsidR="007E6BEF">
              <w:rPr>
                <w:webHidden/>
              </w:rPr>
              <w:fldChar w:fldCharType="begin"/>
            </w:r>
            <w:r w:rsidR="007E6BEF">
              <w:rPr>
                <w:webHidden/>
              </w:rPr>
              <w:instrText xml:space="preserve"> PAGEREF _Toc214024559 \h </w:instrText>
            </w:r>
            <w:r w:rsidR="007E6BEF">
              <w:rPr>
                <w:webHidden/>
              </w:rPr>
            </w:r>
            <w:r w:rsidR="007E6BEF">
              <w:rPr>
                <w:webHidden/>
              </w:rPr>
              <w:fldChar w:fldCharType="separate"/>
            </w:r>
            <w:r w:rsidR="007E6BEF">
              <w:rPr>
                <w:webHidden/>
              </w:rPr>
              <w:t>15</w:t>
            </w:r>
            <w:r w:rsidR="007E6BEF">
              <w:rPr>
                <w:webHidden/>
              </w:rPr>
              <w:fldChar w:fldCharType="end"/>
            </w:r>
          </w:hyperlink>
        </w:p>
        <w:p w14:paraId="39042314" w14:textId="769C4526" w:rsidR="007E6BEF" w:rsidRDefault="00C8551E">
          <w:pPr>
            <w:pStyle w:val="TOC1"/>
            <w:tabs>
              <w:tab w:val="left" w:pos="1440"/>
            </w:tabs>
            <w:rPr>
              <w:rFonts w:asciiTheme="minorHAnsi" w:hAnsiTheme="minorHAnsi" w:cstheme="minorBidi"/>
              <w:b w:val="0"/>
              <w:color w:val="auto"/>
              <w:kern w:val="2"/>
              <w:lang w:val="en-US"/>
              <w14:ligatures w14:val="standardContextual"/>
            </w:rPr>
          </w:pPr>
          <w:hyperlink w:anchor="_Toc214024560" w:history="1">
            <w:r w:rsidR="007E6BEF" w:rsidRPr="00283DF1">
              <w:rPr>
                <w:rStyle w:val="Hyperlink"/>
                <w:lang w:val="en-GB"/>
              </w:rPr>
              <w:t>3.3.2.</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Preparations for assessment of MPG</w:t>
            </w:r>
            <w:r w:rsidR="007E6BEF">
              <w:rPr>
                <w:webHidden/>
              </w:rPr>
              <w:tab/>
            </w:r>
            <w:r w:rsidR="007E6BEF">
              <w:rPr>
                <w:webHidden/>
              </w:rPr>
              <w:fldChar w:fldCharType="begin"/>
            </w:r>
            <w:r w:rsidR="007E6BEF">
              <w:rPr>
                <w:webHidden/>
              </w:rPr>
              <w:instrText xml:space="preserve"> PAGEREF _Toc214024560 \h </w:instrText>
            </w:r>
            <w:r w:rsidR="007E6BEF">
              <w:rPr>
                <w:webHidden/>
              </w:rPr>
            </w:r>
            <w:r w:rsidR="007E6BEF">
              <w:rPr>
                <w:webHidden/>
              </w:rPr>
              <w:fldChar w:fldCharType="separate"/>
            </w:r>
            <w:r w:rsidR="007E6BEF">
              <w:rPr>
                <w:webHidden/>
              </w:rPr>
              <w:t>15</w:t>
            </w:r>
            <w:r w:rsidR="007E6BEF">
              <w:rPr>
                <w:webHidden/>
              </w:rPr>
              <w:fldChar w:fldCharType="end"/>
            </w:r>
          </w:hyperlink>
        </w:p>
        <w:p w14:paraId="6EC29AAB" w14:textId="300F8AAF" w:rsidR="007E6BEF" w:rsidRDefault="00C8551E">
          <w:pPr>
            <w:pStyle w:val="TOC1"/>
            <w:tabs>
              <w:tab w:val="left" w:pos="1440"/>
            </w:tabs>
            <w:rPr>
              <w:rFonts w:asciiTheme="minorHAnsi" w:hAnsiTheme="minorHAnsi" w:cstheme="minorBidi"/>
              <w:b w:val="0"/>
              <w:color w:val="auto"/>
              <w:kern w:val="2"/>
              <w:lang w:val="en-US"/>
              <w14:ligatures w14:val="standardContextual"/>
            </w:rPr>
          </w:pPr>
          <w:hyperlink w:anchor="_Toc214024561" w:history="1">
            <w:r w:rsidR="007E6BEF" w:rsidRPr="00283DF1">
              <w:rPr>
                <w:rStyle w:val="Hyperlink"/>
                <w:lang w:val="en-GB"/>
              </w:rPr>
              <w:t>3.3.3.</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Data collection and assessment</w:t>
            </w:r>
            <w:r w:rsidR="007E6BEF">
              <w:rPr>
                <w:webHidden/>
              </w:rPr>
              <w:tab/>
            </w:r>
            <w:r w:rsidR="007E6BEF">
              <w:rPr>
                <w:webHidden/>
              </w:rPr>
              <w:fldChar w:fldCharType="begin"/>
            </w:r>
            <w:r w:rsidR="007E6BEF">
              <w:rPr>
                <w:webHidden/>
              </w:rPr>
              <w:instrText xml:space="preserve"> PAGEREF _Toc214024561 \h </w:instrText>
            </w:r>
            <w:r w:rsidR="007E6BEF">
              <w:rPr>
                <w:webHidden/>
              </w:rPr>
            </w:r>
            <w:r w:rsidR="007E6BEF">
              <w:rPr>
                <w:webHidden/>
              </w:rPr>
              <w:fldChar w:fldCharType="separate"/>
            </w:r>
            <w:r w:rsidR="007E6BEF">
              <w:rPr>
                <w:webHidden/>
              </w:rPr>
              <w:t>16</w:t>
            </w:r>
            <w:r w:rsidR="007E6BEF">
              <w:rPr>
                <w:webHidden/>
              </w:rPr>
              <w:fldChar w:fldCharType="end"/>
            </w:r>
          </w:hyperlink>
        </w:p>
        <w:p w14:paraId="3AB47B3F" w14:textId="6EFCA346" w:rsidR="007E6BEF" w:rsidRDefault="00C8551E">
          <w:pPr>
            <w:pStyle w:val="TOC1"/>
            <w:tabs>
              <w:tab w:val="left" w:pos="1440"/>
            </w:tabs>
            <w:rPr>
              <w:rFonts w:asciiTheme="minorHAnsi" w:hAnsiTheme="minorHAnsi" w:cstheme="minorBidi"/>
              <w:b w:val="0"/>
              <w:color w:val="auto"/>
              <w:kern w:val="2"/>
              <w:lang w:val="en-US"/>
              <w14:ligatures w14:val="standardContextual"/>
            </w:rPr>
          </w:pPr>
          <w:hyperlink w:anchor="_Toc214024562" w:history="1">
            <w:r w:rsidR="007E6BEF" w:rsidRPr="00283DF1">
              <w:rPr>
                <w:rStyle w:val="Hyperlink"/>
                <w:lang w:val="en-GB"/>
              </w:rPr>
              <w:t>3.3.4.</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Communication of results to municipalities and the complaint procedure</w:t>
            </w:r>
            <w:r w:rsidR="007E6BEF">
              <w:rPr>
                <w:webHidden/>
              </w:rPr>
              <w:tab/>
            </w:r>
            <w:r w:rsidR="007E6BEF">
              <w:rPr>
                <w:webHidden/>
              </w:rPr>
              <w:fldChar w:fldCharType="begin"/>
            </w:r>
            <w:r w:rsidR="007E6BEF">
              <w:rPr>
                <w:webHidden/>
              </w:rPr>
              <w:instrText xml:space="preserve"> PAGEREF _Toc214024562 \h </w:instrText>
            </w:r>
            <w:r w:rsidR="007E6BEF">
              <w:rPr>
                <w:webHidden/>
              </w:rPr>
            </w:r>
            <w:r w:rsidR="007E6BEF">
              <w:rPr>
                <w:webHidden/>
              </w:rPr>
              <w:fldChar w:fldCharType="separate"/>
            </w:r>
            <w:r w:rsidR="007E6BEF">
              <w:rPr>
                <w:webHidden/>
              </w:rPr>
              <w:t>16</w:t>
            </w:r>
            <w:r w:rsidR="007E6BEF">
              <w:rPr>
                <w:webHidden/>
              </w:rPr>
              <w:fldChar w:fldCharType="end"/>
            </w:r>
          </w:hyperlink>
        </w:p>
        <w:p w14:paraId="38E8F3BB" w14:textId="3330F092" w:rsidR="007E6BEF" w:rsidRDefault="00C8551E">
          <w:pPr>
            <w:pStyle w:val="TOC1"/>
            <w:tabs>
              <w:tab w:val="left" w:pos="1440"/>
            </w:tabs>
            <w:rPr>
              <w:rFonts w:asciiTheme="minorHAnsi" w:hAnsiTheme="minorHAnsi" w:cstheme="minorBidi"/>
              <w:b w:val="0"/>
              <w:color w:val="auto"/>
              <w:kern w:val="2"/>
              <w:lang w:val="en-US"/>
              <w14:ligatures w14:val="standardContextual"/>
            </w:rPr>
          </w:pPr>
          <w:hyperlink w:anchor="_Toc214024563" w:history="1">
            <w:r w:rsidR="007E6BEF" w:rsidRPr="00283DF1">
              <w:rPr>
                <w:rStyle w:val="Hyperlink"/>
                <w:lang w:val="en-GB"/>
              </w:rPr>
              <w:t>3.3.5.</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Finalising and publishing the assessment results and grant allocation</w:t>
            </w:r>
            <w:r w:rsidR="007E6BEF">
              <w:rPr>
                <w:webHidden/>
              </w:rPr>
              <w:tab/>
            </w:r>
            <w:r w:rsidR="007E6BEF">
              <w:rPr>
                <w:webHidden/>
              </w:rPr>
              <w:fldChar w:fldCharType="begin"/>
            </w:r>
            <w:r w:rsidR="007E6BEF">
              <w:rPr>
                <w:webHidden/>
              </w:rPr>
              <w:instrText xml:space="preserve"> PAGEREF _Toc214024563 \h </w:instrText>
            </w:r>
            <w:r w:rsidR="007E6BEF">
              <w:rPr>
                <w:webHidden/>
              </w:rPr>
            </w:r>
            <w:r w:rsidR="007E6BEF">
              <w:rPr>
                <w:webHidden/>
              </w:rPr>
              <w:fldChar w:fldCharType="separate"/>
            </w:r>
            <w:r w:rsidR="007E6BEF">
              <w:rPr>
                <w:webHidden/>
              </w:rPr>
              <w:t>17</w:t>
            </w:r>
            <w:r w:rsidR="007E6BEF">
              <w:rPr>
                <w:webHidden/>
              </w:rPr>
              <w:fldChar w:fldCharType="end"/>
            </w:r>
          </w:hyperlink>
        </w:p>
        <w:p w14:paraId="5BDB3096" w14:textId="7EF3A334" w:rsidR="007E6BEF" w:rsidRDefault="00C8551E">
          <w:pPr>
            <w:pStyle w:val="TOC1"/>
            <w:tabs>
              <w:tab w:val="left" w:pos="1440"/>
            </w:tabs>
            <w:rPr>
              <w:rFonts w:asciiTheme="minorHAnsi" w:hAnsiTheme="minorHAnsi" w:cstheme="minorBidi"/>
              <w:b w:val="0"/>
              <w:color w:val="auto"/>
              <w:kern w:val="2"/>
              <w:lang w:val="en-US"/>
              <w14:ligatures w14:val="standardContextual"/>
            </w:rPr>
          </w:pPr>
          <w:hyperlink w:anchor="_Toc214024564" w:history="1">
            <w:r w:rsidR="007E6BEF" w:rsidRPr="00283DF1">
              <w:rPr>
                <w:rStyle w:val="Hyperlink"/>
                <w:lang w:val="en-GB"/>
              </w:rPr>
              <w:t>3.3.6.</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Measures to ensure objective assessment</w:t>
            </w:r>
            <w:r w:rsidR="007E6BEF">
              <w:rPr>
                <w:webHidden/>
              </w:rPr>
              <w:tab/>
            </w:r>
            <w:r w:rsidR="007E6BEF">
              <w:rPr>
                <w:webHidden/>
              </w:rPr>
              <w:fldChar w:fldCharType="begin"/>
            </w:r>
            <w:r w:rsidR="007E6BEF">
              <w:rPr>
                <w:webHidden/>
              </w:rPr>
              <w:instrText xml:space="preserve"> PAGEREF _Toc214024564 \h </w:instrText>
            </w:r>
            <w:r w:rsidR="007E6BEF">
              <w:rPr>
                <w:webHidden/>
              </w:rPr>
            </w:r>
            <w:r w:rsidR="007E6BEF">
              <w:rPr>
                <w:webHidden/>
              </w:rPr>
              <w:fldChar w:fldCharType="separate"/>
            </w:r>
            <w:r w:rsidR="007E6BEF">
              <w:rPr>
                <w:webHidden/>
              </w:rPr>
              <w:t>17</w:t>
            </w:r>
            <w:r w:rsidR="007E6BEF">
              <w:rPr>
                <w:webHidden/>
              </w:rPr>
              <w:fldChar w:fldCharType="end"/>
            </w:r>
          </w:hyperlink>
        </w:p>
        <w:p w14:paraId="02E3DAAA" w14:textId="2FFDB481" w:rsidR="007E6BEF" w:rsidRDefault="00C8551E">
          <w:pPr>
            <w:pStyle w:val="TOC1"/>
            <w:tabs>
              <w:tab w:val="left" w:pos="992"/>
            </w:tabs>
            <w:rPr>
              <w:rFonts w:asciiTheme="minorHAnsi" w:hAnsiTheme="minorHAnsi" w:cstheme="minorBidi"/>
              <w:b w:val="0"/>
              <w:color w:val="auto"/>
              <w:kern w:val="2"/>
              <w:lang w:val="en-US"/>
              <w14:ligatures w14:val="standardContextual"/>
            </w:rPr>
          </w:pPr>
          <w:hyperlink w:anchor="_Toc214024565" w:history="1">
            <w:r w:rsidR="007E6BEF" w:rsidRPr="00283DF1">
              <w:rPr>
                <w:rStyle w:val="Hyperlink"/>
                <w:lang w:val="en-GB"/>
              </w:rPr>
              <w:t>4.</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Annexes</w:t>
            </w:r>
            <w:r w:rsidR="007E6BEF">
              <w:rPr>
                <w:webHidden/>
              </w:rPr>
              <w:tab/>
            </w:r>
            <w:r w:rsidR="007E6BEF">
              <w:rPr>
                <w:webHidden/>
              </w:rPr>
              <w:fldChar w:fldCharType="begin"/>
            </w:r>
            <w:r w:rsidR="007E6BEF">
              <w:rPr>
                <w:webHidden/>
              </w:rPr>
              <w:instrText xml:space="preserve"> PAGEREF _Toc214024565 \h </w:instrText>
            </w:r>
            <w:r w:rsidR="007E6BEF">
              <w:rPr>
                <w:webHidden/>
              </w:rPr>
            </w:r>
            <w:r w:rsidR="007E6BEF">
              <w:rPr>
                <w:webHidden/>
              </w:rPr>
              <w:fldChar w:fldCharType="separate"/>
            </w:r>
            <w:r w:rsidR="007E6BEF">
              <w:rPr>
                <w:webHidden/>
              </w:rPr>
              <w:t>18</w:t>
            </w:r>
            <w:r w:rsidR="007E6BEF">
              <w:rPr>
                <w:webHidden/>
              </w:rPr>
              <w:fldChar w:fldCharType="end"/>
            </w:r>
          </w:hyperlink>
        </w:p>
        <w:p w14:paraId="7A485C02" w14:textId="01D496D2" w:rsidR="007E6BEF" w:rsidRDefault="00C8551E">
          <w:pPr>
            <w:pStyle w:val="TOC1"/>
            <w:rPr>
              <w:rFonts w:asciiTheme="minorHAnsi" w:hAnsiTheme="minorHAnsi" w:cstheme="minorBidi"/>
              <w:b w:val="0"/>
              <w:color w:val="auto"/>
              <w:kern w:val="2"/>
              <w:lang w:val="en-US"/>
              <w14:ligatures w14:val="standardContextual"/>
            </w:rPr>
          </w:pPr>
          <w:hyperlink w:anchor="_Toc214024566" w:history="1">
            <w:r w:rsidR="007E6BEF" w:rsidRPr="00283DF1">
              <w:rPr>
                <w:rStyle w:val="Hyperlink"/>
                <w:lang w:val="en-GB"/>
              </w:rPr>
              <w:t>Annex 1: Assessment Guide – Minimum conditions</w:t>
            </w:r>
            <w:r w:rsidR="007E6BEF">
              <w:rPr>
                <w:webHidden/>
              </w:rPr>
              <w:tab/>
            </w:r>
            <w:r w:rsidR="007E6BEF">
              <w:rPr>
                <w:webHidden/>
              </w:rPr>
              <w:fldChar w:fldCharType="begin"/>
            </w:r>
            <w:r w:rsidR="007E6BEF">
              <w:rPr>
                <w:webHidden/>
              </w:rPr>
              <w:instrText xml:space="preserve"> PAGEREF _Toc214024566 \h </w:instrText>
            </w:r>
            <w:r w:rsidR="007E6BEF">
              <w:rPr>
                <w:webHidden/>
              </w:rPr>
            </w:r>
            <w:r w:rsidR="007E6BEF">
              <w:rPr>
                <w:webHidden/>
              </w:rPr>
              <w:fldChar w:fldCharType="separate"/>
            </w:r>
            <w:r w:rsidR="007E6BEF">
              <w:rPr>
                <w:webHidden/>
              </w:rPr>
              <w:t>19</w:t>
            </w:r>
            <w:r w:rsidR="007E6BEF">
              <w:rPr>
                <w:webHidden/>
              </w:rPr>
              <w:fldChar w:fldCharType="end"/>
            </w:r>
          </w:hyperlink>
        </w:p>
        <w:p w14:paraId="44FEB808" w14:textId="5564F432" w:rsidR="007E6BEF" w:rsidRDefault="00C8551E">
          <w:pPr>
            <w:pStyle w:val="TOC1"/>
            <w:rPr>
              <w:rFonts w:asciiTheme="minorHAnsi" w:hAnsiTheme="minorHAnsi" w:cstheme="minorBidi"/>
              <w:b w:val="0"/>
              <w:color w:val="auto"/>
              <w:kern w:val="2"/>
              <w:lang w:val="en-US"/>
              <w14:ligatures w14:val="standardContextual"/>
            </w:rPr>
          </w:pPr>
          <w:hyperlink w:anchor="_Toc214024567" w:history="1">
            <w:r w:rsidR="007E6BEF" w:rsidRPr="00283DF1">
              <w:rPr>
                <w:rStyle w:val="Hyperlink"/>
                <w:lang w:val="en-GB"/>
              </w:rPr>
              <w:t>Annex 2: Assessment Guide for the Performance Indicators</w:t>
            </w:r>
            <w:r w:rsidR="007E6BEF">
              <w:rPr>
                <w:webHidden/>
              </w:rPr>
              <w:tab/>
            </w:r>
            <w:r w:rsidR="007E6BEF">
              <w:rPr>
                <w:webHidden/>
              </w:rPr>
              <w:fldChar w:fldCharType="begin"/>
            </w:r>
            <w:r w:rsidR="007E6BEF">
              <w:rPr>
                <w:webHidden/>
              </w:rPr>
              <w:instrText xml:space="preserve"> PAGEREF _Toc214024567 \h </w:instrText>
            </w:r>
            <w:r w:rsidR="007E6BEF">
              <w:rPr>
                <w:webHidden/>
              </w:rPr>
            </w:r>
            <w:r w:rsidR="007E6BEF">
              <w:rPr>
                <w:webHidden/>
              </w:rPr>
              <w:fldChar w:fldCharType="separate"/>
            </w:r>
            <w:r w:rsidR="007E6BEF">
              <w:rPr>
                <w:webHidden/>
              </w:rPr>
              <w:t>21</w:t>
            </w:r>
            <w:r w:rsidR="007E6BEF">
              <w:rPr>
                <w:webHidden/>
              </w:rPr>
              <w:fldChar w:fldCharType="end"/>
            </w:r>
          </w:hyperlink>
        </w:p>
        <w:p w14:paraId="37A1ACF5" w14:textId="4F1D5DFC" w:rsidR="007E6BEF" w:rsidRDefault="00C8551E">
          <w:pPr>
            <w:pStyle w:val="TOC1"/>
            <w:rPr>
              <w:rFonts w:asciiTheme="minorHAnsi" w:hAnsiTheme="minorHAnsi" w:cstheme="minorBidi"/>
              <w:b w:val="0"/>
              <w:color w:val="auto"/>
              <w:kern w:val="2"/>
              <w:lang w:val="en-US"/>
              <w14:ligatures w14:val="standardContextual"/>
            </w:rPr>
          </w:pPr>
          <w:hyperlink w:anchor="_Toc214024599" w:history="1">
            <w:r w:rsidR="007E6BEF" w:rsidRPr="00283DF1">
              <w:rPr>
                <w:rStyle w:val="Hyperlink"/>
                <w:lang w:val="en-GB"/>
              </w:rPr>
              <w:t>Annex 3: Template for Scorecard and scoring guideline</w:t>
            </w:r>
            <w:r w:rsidR="007E6BEF">
              <w:rPr>
                <w:webHidden/>
              </w:rPr>
              <w:tab/>
            </w:r>
            <w:r w:rsidR="007E6BEF">
              <w:rPr>
                <w:webHidden/>
              </w:rPr>
              <w:fldChar w:fldCharType="begin"/>
            </w:r>
            <w:r w:rsidR="007E6BEF">
              <w:rPr>
                <w:webHidden/>
              </w:rPr>
              <w:instrText xml:space="preserve"> PAGEREF _Toc214024599 \h </w:instrText>
            </w:r>
            <w:r w:rsidR="007E6BEF">
              <w:rPr>
                <w:webHidden/>
              </w:rPr>
            </w:r>
            <w:r w:rsidR="007E6BEF">
              <w:rPr>
                <w:webHidden/>
              </w:rPr>
              <w:fldChar w:fldCharType="separate"/>
            </w:r>
            <w:r w:rsidR="007E6BEF">
              <w:rPr>
                <w:webHidden/>
              </w:rPr>
              <w:t>32</w:t>
            </w:r>
            <w:r w:rsidR="007E6BEF">
              <w:rPr>
                <w:webHidden/>
              </w:rPr>
              <w:fldChar w:fldCharType="end"/>
            </w:r>
          </w:hyperlink>
        </w:p>
        <w:p w14:paraId="5074F337" w14:textId="30863E7D" w:rsidR="007E6BEF" w:rsidRDefault="00C8551E">
          <w:pPr>
            <w:pStyle w:val="TOC1"/>
            <w:rPr>
              <w:rFonts w:asciiTheme="minorHAnsi" w:hAnsiTheme="minorHAnsi" w:cstheme="minorBidi"/>
              <w:b w:val="0"/>
              <w:color w:val="auto"/>
              <w:kern w:val="2"/>
              <w:lang w:val="en-US"/>
              <w14:ligatures w14:val="standardContextual"/>
            </w:rPr>
          </w:pPr>
          <w:hyperlink w:anchor="_Toc214024600" w:history="1">
            <w:r w:rsidR="007E6BEF" w:rsidRPr="00283DF1">
              <w:rPr>
                <w:rStyle w:val="Hyperlink"/>
                <w:lang w:val="en-GB"/>
              </w:rPr>
              <w:t>Annex 4: Template for calculation of allocated grant amounts</w:t>
            </w:r>
            <w:r w:rsidR="007E6BEF">
              <w:rPr>
                <w:webHidden/>
              </w:rPr>
              <w:tab/>
            </w:r>
            <w:r w:rsidR="007E6BEF">
              <w:rPr>
                <w:webHidden/>
              </w:rPr>
              <w:fldChar w:fldCharType="begin"/>
            </w:r>
            <w:r w:rsidR="007E6BEF">
              <w:rPr>
                <w:webHidden/>
              </w:rPr>
              <w:instrText xml:space="preserve"> PAGEREF _Toc214024600 \h </w:instrText>
            </w:r>
            <w:r w:rsidR="007E6BEF">
              <w:rPr>
                <w:webHidden/>
              </w:rPr>
            </w:r>
            <w:r w:rsidR="007E6BEF">
              <w:rPr>
                <w:webHidden/>
              </w:rPr>
              <w:fldChar w:fldCharType="separate"/>
            </w:r>
            <w:r w:rsidR="007E6BEF">
              <w:rPr>
                <w:webHidden/>
              </w:rPr>
              <w:t>42</w:t>
            </w:r>
            <w:r w:rsidR="007E6BEF">
              <w:rPr>
                <w:webHidden/>
              </w:rPr>
              <w:fldChar w:fldCharType="end"/>
            </w:r>
          </w:hyperlink>
        </w:p>
        <w:p w14:paraId="31A3785F" w14:textId="1B78A7D5" w:rsidR="007E6BEF" w:rsidRDefault="00C8551E">
          <w:pPr>
            <w:pStyle w:val="TOC1"/>
            <w:rPr>
              <w:rFonts w:asciiTheme="minorHAnsi" w:hAnsiTheme="minorHAnsi" w:cstheme="minorBidi"/>
              <w:b w:val="0"/>
              <w:color w:val="auto"/>
              <w:kern w:val="2"/>
              <w:lang w:val="en-US"/>
              <w14:ligatures w14:val="standardContextual"/>
            </w:rPr>
          </w:pPr>
          <w:hyperlink w:anchor="_Toc214024601" w:history="1">
            <w:r w:rsidR="007E6BEF" w:rsidRPr="00283DF1">
              <w:rPr>
                <w:rStyle w:val="Hyperlink"/>
                <w:lang w:val="en-GB"/>
              </w:rPr>
              <w:t>Annex 5: Contacts</w:t>
            </w:r>
            <w:r w:rsidR="007E6BEF">
              <w:rPr>
                <w:webHidden/>
              </w:rPr>
              <w:tab/>
            </w:r>
            <w:r w:rsidR="007E6BEF">
              <w:rPr>
                <w:webHidden/>
              </w:rPr>
              <w:fldChar w:fldCharType="begin"/>
            </w:r>
            <w:r w:rsidR="007E6BEF">
              <w:rPr>
                <w:webHidden/>
              </w:rPr>
              <w:instrText xml:space="preserve"> PAGEREF _Toc214024601 \h </w:instrText>
            </w:r>
            <w:r w:rsidR="007E6BEF">
              <w:rPr>
                <w:webHidden/>
              </w:rPr>
            </w:r>
            <w:r w:rsidR="007E6BEF">
              <w:rPr>
                <w:webHidden/>
              </w:rPr>
              <w:fldChar w:fldCharType="separate"/>
            </w:r>
            <w:r w:rsidR="007E6BEF">
              <w:rPr>
                <w:webHidden/>
              </w:rPr>
              <w:t>46</w:t>
            </w:r>
            <w:r w:rsidR="007E6BEF">
              <w:rPr>
                <w:webHidden/>
              </w:rPr>
              <w:fldChar w:fldCharType="end"/>
            </w:r>
          </w:hyperlink>
        </w:p>
        <w:p w14:paraId="6A208FA1" w14:textId="7ECB5192" w:rsidR="007E6BEF" w:rsidRDefault="007E6BEF">
          <w:r>
            <w:rPr>
              <w:b/>
              <w:bCs/>
              <w:noProof/>
            </w:rPr>
            <w:fldChar w:fldCharType="end"/>
          </w:r>
        </w:p>
      </w:sdtContent>
    </w:sdt>
    <w:p w14:paraId="37A1F05F" w14:textId="1EDF07CB" w:rsidR="00B739C3" w:rsidRPr="001E5747" w:rsidRDefault="00B739C3" w:rsidP="00B739C3">
      <w:pPr>
        <w:pStyle w:val="Heading1"/>
        <w:shd w:val="clear" w:color="auto" w:fill="D55635"/>
        <w:tabs>
          <w:tab w:val="left" w:pos="540"/>
        </w:tabs>
        <w:rPr>
          <w:rFonts w:asciiTheme="majorHAnsi" w:hAnsiTheme="majorHAnsi"/>
          <w:color w:val="FFFFFF" w:themeColor="background1"/>
          <w:sz w:val="32"/>
          <w:szCs w:val="32"/>
          <w:lang w:val="en-GB"/>
        </w:rPr>
      </w:pPr>
      <w:bookmarkStart w:id="4" w:name="_Toc214024535"/>
      <w:r w:rsidRPr="001E5747">
        <w:rPr>
          <w:rFonts w:asciiTheme="majorHAnsi" w:hAnsiTheme="majorHAnsi"/>
          <w:color w:val="FFFFFF" w:themeColor="background1"/>
          <w:sz w:val="32"/>
          <w:szCs w:val="32"/>
          <w:lang w:val="en-GB"/>
        </w:rPr>
        <w:lastRenderedPageBreak/>
        <w:t>Foreword</w:t>
      </w:r>
      <w:bookmarkEnd w:id="4"/>
    </w:p>
    <w:p w14:paraId="4F0B4579" w14:textId="77777777" w:rsidR="00561B2C" w:rsidRDefault="00561B2C" w:rsidP="00561B2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ajorHAnsi" w:hAnsiTheme="majorHAnsi"/>
          <w:sz w:val="21"/>
          <w:szCs w:val="21"/>
          <w:lang w:val="en-GB"/>
        </w:rPr>
      </w:pPr>
    </w:p>
    <w:p w14:paraId="5A8F2DA0" w14:textId="631245C3" w:rsidR="00B739C3" w:rsidRDefault="00B739C3" w:rsidP="00BF5499">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sz w:val="21"/>
          <w:szCs w:val="21"/>
          <w:lang w:val="en-GB"/>
        </w:rPr>
      </w:pPr>
      <w:r w:rsidRPr="001E5747">
        <w:rPr>
          <w:rFonts w:asciiTheme="majorHAnsi" w:hAnsiTheme="majorHAnsi"/>
          <w:sz w:val="21"/>
          <w:szCs w:val="21"/>
          <w:lang w:val="en-GB"/>
        </w:rPr>
        <w:t xml:space="preserve">In 2009, Kosovo was the first country in the region to approve a performance-based financial incentive scheme, through the allocation of funds to municipalities as an incentive to improve local governance. At the end of 2017, the Ministry of Local Government </w:t>
      </w:r>
      <w:r w:rsidR="00A75321" w:rsidRPr="001E5747">
        <w:rPr>
          <w:rFonts w:asciiTheme="majorHAnsi" w:hAnsiTheme="majorHAnsi"/>
          <w:sz w:val="21"/>
          <w:szCs w:val="21"/>
          <w:lang w:val="en-GB"/>
        </w:rPr>
        <w:t xml:space="preserve">Administration </w:t>
      </w:r>
      <w:r w:rsidRPr="001E5747">
        <w:rPr>
          <w:rFonts w:asciiTheme="majorHAnsi" w:hAnsiTheme="majorHAnsi"/>
          <w:sz w:val="21"/>
          <w:szCs w:val="21"/>
          <w:lang w:val="en-GB"/>
        </w:rPr>
        <w:t>(MLG</w:t>
      </w:r>
      <w:r w:rsidR="00A75321" w:rsidRPr="001E5747">
        <w:rPr>
          <w:rFonts w:asciiTheme="majorHAnsi" w:hAnsiTheme="majorHAnsi"/>
          <w:sz w:val="21"/>
          <w:szCs w:val="21"/>
          <w:lang w:val="en-GB"/>
        </w:rPr>
        <w:t>A</w:t>
      </w:r>
      <w:r w:rsidRPr="001E5747">
        <w:rPr>
          <w:rFonts w:asciiTheme="majorHAnsi" w:hAnsiTheme="majorHAnsi"/>
          <w:sz w:val="21"/>
          <w:szCs w:val="21"/>
          <w:lang w:val="en-GB"/>
        </w:rPr>
        <w:t>), in partnership with the Swiss Agency for Development and Cooperation (SDC), developed and agreed to co-finance a unique performance grant allocation scheme for municipalities.</w:t>
      </w:r>
      <w:r w:rsidR="005E0672" w:rsidRPr="005E0672">
        <w:t xml:space="preserve"> </w:t>
      </w:r>
      <w:r w:rsidR="005E0672" w:rsidRPr="005E0672">
        <w:rPr>
          <w:rFonts w:asciiTheme="majorHAnsi" w:hAnsiTheme="majorHAnsi"/>
          <w:sz w:val="21"/>
          <w:szCs w:val="21"/>
          <w:lang w:val="en-GB"/>
        </w:rPr>
        <w:t xml:space="preserve">In 2019, Sweden and Norway </w:t>
      </w:r>
      <w:r w:rsidR="00FD4A7E">
        <w:rPr>
          <w:rFonts w:asciiTheme="majorHAnsi" w:hAnsiTheme="majorHAnsi"/>
          <w:sz w:val="21"/>
          <w:szCs w:val="21"/>
          <w:lang w:val="en-GB"/>
        </w:rPr>
        <w:t>decided to co-finance the</w:t>
      </w:r>
      <w:r w:rsidR="005E0672" w:rsidRPr="005E0672">
        <w:rPr>
          <w:rFonts w:asciiTheme="majorHAnsi" w:hAnsiTheme="majorHAnsi"/>
          <w:sz w:val="21"/>
          <w:szCs w:val="21"/>
          <w:lang w:val="en-GB"/>
        </w:rPr>
        <w:t xml:space="preserve"> MPG scheme. In 2022, the EU through Sweden also join</w:t>
      </w:r>
      <w:r w:rsidR="00682BF2">
        <w:rPr>
          <w:rFonts w:asciiTheme="majorHAnsi" w:hAnsiTheme="majorHAnsi"/>
          <w:sz w:val="21"/>
          <w:szCs w:val="21"/>
          <w:lang w:val="en-GB"/>
        </w:rPr>
        <w:t>s</w:t>
      </w:r>
      <w:r w:rsidR="005E0672" w:rsidRPr="005E0672">
        <w:rPr>
          <w:rFonts w:asciiTheme="majorHAnsi" w:hAnsiTheme="majorHAnsi"/>
          <w:sz w:val="21"/>
          <w:szCs w:val="21"/>
          <w:lang w:val="en-GB"/>
        </w:rPr>
        <w:t xml:space="preserve"> the MPG scheme.</w:t>
      </w:r>
    </w:p>
    <w:p w14:paraId="4446670B" w14:textId="77777777" w:rsidR="00BF5499" w:rsidRPr="001E5747" w:rsidRDefault="00BF5499" w:rsidP="00BF5499">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sz w:val="21"/>
          <w:szCs w:val="21"/>
          <w:lang w:val="en-GB"/>
        </w:rPr>
      </w:pPr>
    </w:p>
    <w:p w14:paraId="41D6270B" w14:textId="3ADD2D41" w:rsidR="00B739C3" w:rsidRPr="001E5747" w:rsidRDefault="00B739C3" w:rsidP="00BF5499">
      <w:pPr>
        <w:jc w:val="both"/>
        <w:rPr>
          <w:rFonts w:asciiTheme="majorHAnsi" w:hAnsiTheme="majorHAnsi"/>
          <w:sz w:val="21"/>
          <w:szCs w:val="21"/>
          <w:lang w:val="en-GB"/>
        </w:rPr>
      </w:pPr>
      <w:r w:rsidRPr="001E5747">
        <w:rPr>
          <w:rFonts w:asciiTheme="majorHAnsi" w:hAnsiTheme="majorHAnsi"/>
          <w:sz w:val="21"/>
          <w:szCs w:val="21"/>
          <w:lang w:val="en-GB"/>
        </w:rPr>
        <w:t>Between 2018 and 202</w:t>
      </w:r>
      <w:r w:rsidR="008D2C4F">
        <w:rPr>
          <w:rFonts w:asciiTheme="majorHAnsi" w:hAnsiTheme="majorHAnsi"/>
          <w:sz w:val="21"/>
          <w:szCs w:val="21"/>
          <w:lang w:val="en-GB"/>
        </w:rPr>
        <w:t>5</w:t>
      </w:r>
      <w:r w:rsidR="00332AFD" w:rsidRPr="001E5747">
        <w:rPr>
          <w:rFonts w:asciiTheme="majorHAnsi" w:hAnsiTheme="majorHAnsi"/>
          <w:sz w:val="21"/>
          <w:szCs w:val="21"/>
          <w:lang w:val="en-GB"/>
        </w:rPr>
        <w:t>,</w:t>
      </w:r>
      <w:r w:rsidRPr="001E5747">
        <w:rPr>
          <w:rFonts w:asciiTheme="majorHAnsi" w:hAnsiTheme="majorHAnsi"/>
          <w:sz w:val="21"/>
          <w:szCs w:val="21"/>
          <w:lang w:val="en-GB"/>
        </w:rPr>
        <w:t xml:space="preserve"> </w:t>
      </w:r>
      <w:r w:rsidR="001E5747" w:rsidRPr="001E5747">
        <w:rPr>
          <w:rFonts w:asciiTheme="majorHAnsi" w:hAnsiTheme="majorHAnsi"/>
          <w:sz w:val="21"/>
          <w:szCs w:val="21"/>
          <w:lang w:val="en-GB"/>
        </w:rPr>
        <w:t xml:space="preserve">about EUR </w:t>
      </w:r>
      <w:r w:rsidR="008D2C4F">
        <w:rPr>
          <w:rFonts w:asciiTheme="majorHAnsi" w:hAnsiTheme="majorHAnsi"/>
          <w:sz w:val="21"/>
          <w:szCs w:val="21"/>
          <w:lang w:val="en-GB"/>
        </w:rPr>
        <w:t>46</w:t>
      </w:r>
      <w:r w:rsidR="001E5747" w:rsidRPr="001E5747">
        <w:rPr>
          <w:rFonts w:asciiTheme="majorHAnsi" w:hAnsiTheme="majorHAnsi"/>
          <w:sz w:val="21"/>
          <w:szCs w:val="21"/>
          <w:lang w:val="en-GB"/>
        </w:rPr>
        <w:t xml:space="preserve"> million have been allocated to the beneficiary municipalities, as municipal performance grants. Between 2022-2025. This grant </w:t>
      </w:r>
      <w:r w:rsidRPr="001E5747">
        <w:rPr>
          <w:rFonts w:asciiTheme="majorHAnsi" w:hAnsiTheme="majorHAnsi"/>
          <w:sz w:val="21"/>
          <w:szCs w:val="21"/>
          <w:lang w:val="en-GB"/>
        </w:rPr>
        <w:t xml:space="preserve">aims to improve the performance of municipalities in the areas of 'democratic governance', 'municipal management' and </w:t>
      </w:r>
      <w:r w:rsidR="001E5747">
        <w:rPr>
          <w:rFonts w:asciiTheme="majorHAnsi" w:hAnsiTheme="majorHAnsi"/>
          <w:sz w:val="21"/>
          <w:szCs w:val="21"/>
          <w:lang w:val="en-GB"/>
        </w:rPr>
        <w:t>‘</w:t>
      </w:r>
      <w:r w:rsidRPr="001E5747">
        <w:rPr>
          <w:rFonts w:asciiTheme="majorHAnsi" w:hAnsiTheme="majorHAnsi"/>
          <w:sz w:val="21"/>
          <w:szCs w:val="21"/>
          <w:lang w:val="en-GB"/>
        </w:rPr>
        <w:t>service delivery</w:t>
      </w:r>
      <w:r w:rsidR="001E5747">
        <w:rPr>
          <w:rFonts w:asciiTheme="majorHAnsi" w:hAnsiTheme="majorHAnsi"/>
          <w:sz w:val="21"/>
          <w:szCs w:val="21"/>
          <w:lang w:val="en-GB"/>
        </w:rPr>
        <w:t>’</w:t>
      </w:r>
      <w:r w:rsidRPr="001E5747">
        <w:rPr>
          <w:rFonts w:asciiTheme="majorHAnsi" w:hAnsiTheme="majorHAnsi"/>
          <w:sz w:val="21"/>
          <w:szCs w:val="21"/>
          <w:lang w:val="en-GB"/>
        </w:rPr>
        <w:t>.</w:t>
      </w:r>
    </w:p>
    <w:p w14:paraId="4208B97E" w14:textId="77777777" w:rsidR="00280894" w:rsidRDefault="00280894" w:rsidP="00BF5499">
      <w:pPr>
        <w:jc w:val="both"/>
        <w:rPr>
          <w:rFonts w:asciiTheme="majorHAnsi" w:hAnsiTheme="majorHAnsi"/>
          <w:sz w:val="21"/>
          <w:szCs w:val="21"/>
          <w:lang w:val="en-GB"/>
        </w:rPr>
      </w:pPr>
    </w:p>
    <w:p w14:paraId="4FA4BB9E" w14:textId="69FA9897" w:rsidR="00B739C3" w:rsidRDefault="00B739C3" w:rsidP="00BF5499">
      <w:pPr>
        <w:jc w:val="both"/>
        <w:rPr>
          <w:rFonts w:asciiTheme="majorHAnsi" w:hAnsiTheme="majorHAnsi"/>
          <w:sz w:val="21"/>
          <w:szCs w:val="21"/>
          <w:lang w:val="en-GB"/>
        </w:rPr>
      </w:pPr>
      <w:r w:rsidRPr="00A56C90">
        <w:rPr>
          <w:rFonts w:asciiTheme="majorHAnsi" w:hAnsiTheme="majorHAnsi"/>
          <w:sz w:val="21"/>
          <w:szCs w:val="21"/>
          <w:lang w:val="en-GB"/>
        </w:rPr>
        <w:t xml:space="preserve">The Municipal Performance Grant </w:t>
      </w:r>
      <w:r w:rsidR="002333A4" w:rsidRPr="00AB0B97">
        <w:rPr>
          <w:rFonts w:asciiTheme="majorHAnsi" w:hAnsiTheme="majorHAnsi"/>
          <w:sz w:val="21"/>
          <w:szCs w:val="21"/>
          <w:lang w:val="en-GB"/>
        </w:rPr>
        <w:t>202</w:t>
      </w:r>
      <w:r w:rsidR="00023C23">
        <w:rPr>
          <w:rFonts w:asciiTheme="majorHAnsi" w:hAnsiTheme="majorHAnsi"/>
          <w:sz w:val="21"/>
          <w:szCs w:val="21"/>
          <w:lang w:val="en-GB"/>
        </w:rPr>
        <w:t>6</w:t>
      </w:r>
      <w:r w:rsidR="002333A4" w:rsidRPr="00AB0B97">
        <w:rPr>
          <w:rFonts w:asciiTheme="majorHAnsi" w:hAnsiTheme="majorHAnsi"/>
          <w:sz w:val="21"/>
          <w:szCs w:val="21"/>
          <w:lang w:val="en-GB"/>
        </w:rPr>
        <w:t xml:space="preserve"> </w:t>
      </w:r>
      <w:r w:rsidRPr="00AB0B97">
        <w:rPr>
          <w:rFonts w:asciiTheme="majorHAnsi" w:hAnsiTheme="majorHAnsi"/>
          <w:sz w:val="21"/>
          <w:szCs w:val="21"/>
          <w:lang w:val="en-GB"/>
        </w:rPr>
        <w:t xml:space="preserve">will </w:t>
      </w:r>
      <w:r w:rsidRPr="006033A8">
        <w:rPr>
          <w:rFonts w:asciiTheme="majorHAnsi" w:hAnsiTheme="majorHAnsi"/>
          <w:sz w:val="21"/>
          <w:szCs w:val="21"/>
          <w:lang w:val="en-GB"/>
        </w:rPr>
        <w:t>be awarded</w:t>
      </w:r>
      <w:r w:rsidRPr="00AB0B97">
        <w:rPr>
          <w:rFonts w:asciiTheme="majorHAnsi" w:hAnsiTheme="majorHAnsi"/>
          <w:sz w:val="21"/>
          <w:szCs w:val="21"/>
          <w:lang w:val="en-GB"/>
        </w:rPr>
        <w:t xml:space="preserve"> to municipalities in accordance with the grant calculation criteria and the </w:t>
      </w:r>
      <w:r w:rsidR="00332AFD" w:rsidRPr="00AB0B97">
        <w:rPr>
          <w:rFonts w:asciiTheme="majorHAnsi" w:hAnsiTheme="majorHAnsi"/>
          <w:sz w:val="21"/>
          <w:szCs w:val="21"/>
          <w:lang w:val="en-GB"/>
        </w:rPr>
        <w:t xml:space="preserve">score </w:t>
      </w:r>
      <w:r w:rsidRPr="00AB0B97">
        <w:rPr>
          <w:rFonts w:asciiTheme="majorHAnsi" w:hAnsiTheme="majorHAnsi"/>
          <w:sz w:val="21"/>
          <w:szCs w:val="21"/>
          <w:lang w:val="en-GB"/>
        </w:rPr>
        <w:t>achieved in the municipal performance based on a number of indicators spread over the three main areas mentioned above.</w:t>
      </w:r>
    </w:p>
    <w:p w14:paraId="0B8A174E" w14:textId="77777777" w:rsidR="00BF5499" w:rsidRPr="001E5747" w:rsidRDefault="00BF5499" w:rsidP="00BF5499">
      <w:pPr>
        <w:jc w:val="both"/>
        <w:rPr>
          <w:rFonts w:asciiTheme="majorHAnsi" w:hAnsiTheme="majorHAnsi"/>
          <w:sz w:val="21"/>
          <w:szCs w:val="21"/>
          <w:lang w:val="en-GB"/>
        </w:rPr>
      </w:pPr>
    </w:p>
    <w:p w14:paraId="7DBE8871" w14:textId="3BF9CAB9" w:rsidR="00B739C3" w:rsidRDefault="00B739C3" w:rsidP="00BF5499">
      <w:pPr>
        <w:jc w:val="both"/>
        <w:rPr>
          <w:rFonts w:asciiTheme="majorHAnsi" w:hAnsiTheme="majorHAnsi"/>
          <w:sz w:val="21"/>
          <w:szCs w:val="21"/>
          <w:lang w:val="en-GB"/>
        </w:rPr>
      </w:pPr>
      <w:r w:rsidRPr="001E5747">
        <w:rPr>
          <w:rFonts w:asciiTheme="majorHAnsi" w:hAnsiTheme="majorHAnsi"/>
          <w:sz w:val="21"/>
          <w:szCs w:val="21"/>
          <w:lang w:val="en-GB"/>
        </w:rPr>
        <w:t>Th</w:t>
      </w:r>
      <w:r w:rsidR="00332AFD" w:rsidRPr="001E5747">
        <w:rPr>
          <w:rFonts w:asciiTheme="majorHAnsi" w:hAnsiTheme="majorHAnsi"/>
          <w:sz w:val="21"/>
          <w:szCs w:val="21"/>
          <w:lang w:val="en-GB"/>
        </w:rPr>
        <w:t>e</w:t>
      </w:r>
      <w:r w:rsidRPr="001E5747">
        <w:rPr>
          <w:rFonts w:asciiTheme="majorHAnsi" w:hAnsiTheme="majorHAnsi"/>
          <w:sz w:val="21"/>
          <w:szCs w:val="21"/>
          <w:lang w:val="en-GB"/>
        </w:rPr>
        <w:t xml:space="preserve"> grant</w:t>
      </w:r>
      <w:r w:rsidR="00024763">
        <w:rPr>
          <w:rFonts w:asciiTheme="majorHAnsi" w:hAnsiTheme="majorHAnsi"/>
          <w:sz w:val="21"/>
          <w:szCs w:val="21"/>
          <w:lang w:val="en-GB"/>
        </w:rPr>
        <w:t xml:space="preserve"> amount</w:t>
      </w:r>
      <w:r w:rsidRPr="001E5747">
        <w:rPr>
          <w:rFonts w:asciiTheme="majorHAnsi" w:hAnsiTheme="majorHAnsi"/>
          <w:sz w:val="21"/>
          <w:szCs w:val="21"/>
          <w:lang w:val="en-GB"/>
        </w:rPr>
        <w:t xml:space="preserve"> </w:t>
      </w:r>
      <w:r w:rsidR="001E5747">
        <w:rPr>
          <w:rFonts w:asciiTheme="majorHAnsi" w:hAnsiTheme="majorHAnsi"/>
          <w:sz w:val="21"/>
          <w:szCs w:val="21"/>
          <w:lang w:val="en-GB"/>
        </w:rPr>
        <w:t xml:space="preserve">in </w:t>
      </w:r>
      <w:r w:rsidR="002333A4">
        <w:rPr>
          <w:rFonts w:asciiTheme="majorHAnsi" w:hAnsiTheme="majorHAnsi"/>
          <w:sz w:val="21"/>
          <w:szCs w:val="21"/>
          <w:lang w:val="en-GB"/>
        </w:rPr>
        <w:t>202</w:t>
      </w:r>
      <w:r w:rsidR="00023C23">
        <w:rPr>
          <w:rFonts w:asciiTheme="majorHAnsi" w:hAnsiTheme="majorHAnsi"/>
          <w:sz w:val="21"/>
          <w:szCs w:val="21"/>
          <w:lang w:val="en-GB"/>
        </w:rPr>
        <w:t>6</w:t>
      </w:r>
      <w:r w:rsidR="002333A4" w:rsidRPr="001E5747">
        <w:rPr>
          <w:rFonts w:asciiTheme="majorHAnsi" w:hAnsiTheme="majorHAnsi"/>
          <w:sz w:val="21"/>
          <w:szCs w:val="21"/>
          <w:lang w:val="en-GB"/>
        </w:rPr>
        <w:t xml:space="preserve"> </w:t>
      </w:r>
      <w:proofErr w:type="gramStart"/>
      <w:r w:rsidR="00A2731F">
        <w:rPr>
          <w:rFonts w:asciiTheme="majorHAnsi" w:hAnsiTheme="majorHAnsi"/>
          <w:sz w:val="21"/>
          <w:szCs w:val="21"/>
          <w:lang w:val="en-GB"/>
        </w:rPr>
        <w:t xml:space="preserve">is </w:t>
      </w:r>
      <w:r w:rsidR="00332AFD" w:rsidRPr="00EF13F3">
        <w:rPr>
          <w:rFonts w:asciiTheme="majorHAnsi" w:hAnsiTheme="majorHAnsi"/>
          <w:sz w:val="21"/>
          <w:szCs w:val="21"/>
          <w:lang w:val="en-GB"/>
        </w:rPr>
        <w:t xml:space="preserve"> </w:t>
      </w:r>
      <w:r w:rsidR="00023C23">
        <w:rPr>
          <w:rFonts w:asciiTheme="majorHAnsi" w:hAnsiTheme="majorHAnsi"/>
          <w:sz w:val="21"/>
          <w:szCs w:val="21"/>
          <w:lang w:val="en-GB"/>
        </w:rPr>
        <w:t>5.1</w:t>
      </w:r>
      <w:proofErr w:type="gramEnd"/>
      <w:r w:rsidRPr="00EF13F3">
        <w:rPr>
          <w:rFonts w:asciiTheme="majorHAnsi" w:hAnsiTheme="majorHAnsi"/>
          <w:sz w:val="21"/>
          <w:szCs w:val="21"/>
          <w:lang w:val="en-GB"/>
        </w:rPr>
        <w:t xml:space="preserve"> million</w:t>
      </w:r>
      <w:r w:rsidR="00023C23">
        <w:rPr>
          <w:rFonts w:asciiTheme="majorHAnsi" w:hAnsiTheme="majorHAnsi"/>
          <w:sz w:val="21"/>
          <w:szCs w:val="21"/>
          <w:lang w:val="en-GB"/>
        </w:rPr>
        <w:t xml:space="preserve"> EUR</w:t>
      </w:r>
      <w:r w:rsidRPr="00EF13F3">
        <w:rPr>
          <w:rFonts w:asciiTheme="majorHAnsi" w:hAnsiTheme="majorHAnsi"/>
          <w:sz w:val="21"/>
          <w:szCs w:val="21"/>
          <w:lang w:val="en-GB"/>
        </w:rPr>
        <w:t>. All of Kosovo</w:t>
      </w:r>
      <w:r w:rsidR="00332AFD" w:rsidRPr="00EF13F3">
        <w:rPr>
          <w:rFonts w:asciiTheme="majorHAnsi" w:hAnsiTheme="majorHAnsi"/>
          <w:sz w:val="21"/>
          <w:szCs w:val="21"/>
          <w:lang w:val="en-GB"/>
        </w:rPr>
        <w:t>’s</w:t>
      </w:r>
      <w:r w:rsidRPr="001E5747">
        <w:rPr>
          <w:rFonts w:asciiTheme="majorHAnsi" w:hAnsiTheme="majorHAnsi"/>
          <w:sz w:val="21"/>
          <w:szCs w:val="21"/>
          <w:lang w:val="en-GB"/>
        </w:rPr>
        <w:t xml:space="preserve"> </w:t>
      </w:r>
      <w:r w:rsidR="00332AFD" w:rsidRPr="001E5747">
        <w:rPr>
          <w:rFonts w:asciiTheme="majorHAnsi" w:hAnsiTheme="majorHAnsi"/>
          <w:sz w:val="21"/>
          <w:szCs w:val="21"/>
          <w:lang w:val="en-GB"/>
        </w:rPr>
        <w:t xml:space="preserve">municipalities </w:t>
      </w:r>
      <w:r w:rsidRPr="001E5747">
        <w:rPr>
          <w:rFonts w:asciiTheme="majorHAnsi" w:hAnsiTheme="majorHAnsi"/>
          <w:sz w:val="21"/>
          <w:szCs w:val="21"/>
          <w:lang w:val="en-GB"/>
        </w:rPr>
        <w:t xml:space="preserve">enjoy the right to participate in the municipal performance grant, according to the conditions set out in these rules. </w:t>
      </w:r>
    </w:p>
    <w:p w14:paraId="7E372D8C" w14:textId="77777777" w:rsidR="00280894" w:rsidRPr="001E5747" w:rsidRDefault="00280894" w:rsidP="00BF5499">
      <w:pPr>
        <w:jc w:val="both"/>
        <w:rPr>
          <w:rFonts w:asciiTheme="majorHAnsi" w:hAnsiTheme="majorHAnsi"/>
          <w:sz w:val="21"/>
          <w:szCs w:val="21"/>
          <w:lang w:val="en-GB"/>
        </w:rPr>
      </w:pPr>
    </w:p>
    <w:p w14:paraId="11855469" w14:textId="77777777" w:rsidR="00B739C3" w:rsidRPr="001E5747" w:rsidRDefault="00B739C3" w:rsidP="00BF5499">
      <w:pPr>
        <w:jc w:val="both"/>
        <w:rPr>
          <w:rFonts w:asciiTheme="majorHAnsi" w:hAnsiTheme="majorHAnsi"/>
          <w:sz w:val="21"/>
          <w:szCs w:val="21"/>
          <w:lang w:val="en-GB"/>
        </w:rPr>
      </w:pPr>
      <w:r w:rsidRPr="001E5747">
        <w:rPr>
          <w:rFonts w:asciiTheme="majorHAnsi" w:hAnsiTheme="majorHAnsi"/>
          <w:sz w:val="21"/>
          <w:szCs w:val="21"/>
          <w:lang w:val="en-GB"/>
        </w:rPr>
        <w:t>The Municipal Performance Grant (MPG) aims to foster competition between municipalities, following the principle that better performance is accompanied by greater grant value. Therefore, the MPG aims to support municipalities in two ways: first, by encouraging municipal compliance with minimum legal standards (basic standards); second, by stimulating 'real' performance that goes beyond legal ('mandatory') requirements.</w:t>
      </w:r>
    </w:p>
    <w:p w14:paraId="4303EF46" w14:textId="77777777" w:rsidR="00B739C3" w:rsidRPr="001E5747" w:rsidRDefault="00B739C3" w:rsidP="00BF5499">
      <w:pPr>
        <w:jc w:val="both"/>
        <w:rPr>
          <w:rFonts w:asciiTheme="majorHAnsi" w:hAnsiTheme="majorHAnsi"/>
          <w:sz w:val="21"/>
          <w:szCs w:val="21"/>
          <w:lang w:val="en-GB"/>
        </w:rPr>
      </w:pPr>
      <w:r w:rsidRPr="001E5747">
        <w:rPr>
          <w:rFonts w:asciiTheme="majorHAnsi" w:hAnsiTheme="majorHAnsi"/>
          <w:sz w:val="21"/>
          <w:szCs w:val="21"/>
          <w:lang w:val="en-GB"/>
        </w:rPr>
        <w:t>The MPG is based on the following principles:</w:t>
      </w:r>
    </w:p>
    <w:p w14:paraId="08FF33F0" w14:textId="77777777" w:rsidR="00B739C3" w:rsidRPr="001E5747" w:rsidRDefault="00B739C3" w:rsidP="00BF5499">
      <w:pPr>
        <w:pStyle w:val="ListParagraph"/>
        <w:numPr>
          <w:ilvl w:val="0"/>
          <w:numId w:val="30"/>
        </w:numPr>
        <w:spacing w:after="0" w:line="240" w:lineRule="auto"/>
        <w:jc w:val="both"/>
        <w:rPr>
          <w:rFonts w:asciiTheme="majorHAnsi" w:hAnsiTheme="majorHAnsi"/>
          <w:sz w:val="21"/>
          <w:szCs w:val="21"/>
          <w:lang w:val="en-GB"/>
        </w:rPr>
      </w:pPr>
      <w:r w:rsidRPr="001E5747">
        <w:rPr>
          <w:rFonts w:asciiTheme="majorHAnsi" w:hAnsiTheme="majorHAnsi"/>
          <w:sz w:val="21"/>
          <w:szCs w:val="21"/>
          <w:lang w:val="en-GB"/>
        </w:rPr>
        <w:t xml:space="preserve">Municipalities must meet a number of minimum </w:t>
      </w:r>
      <w:r w:rsidR="009767E2">
        <w:rPr>
          <w:rFonts w:asciiTheme="majorHAnsi" w:hAnsiTheme="majorHAnsi"/>
          <w:sz w:val="21"/>
          <w:szCs w:val="21"/>
          <w:lang w:val="en-GB"/>
        </w:rPr>
        <w:t xml:space="preserve">conditions </w:t>
      </w:r>
      <w:r w:rsidRPr="001E5747">
        <w:rPr>
          <w:rFonts w:asciiTheme="majorHAnsi" w:hAnsiTheme="majorHAnsi"/>
          <w:sz w:val="21"/>
          <w:szCs w:val="21"/>
          <w:lang w:val="en-GB"/>
        </w:rPr>
        <w:t xml:space="preserve">to be eligible for a grant on an annual basis; </w:t>
      </w:r>
    </w:p>
    <w:p w14:paraId="41783A0E" w14:textId="24A595F5" w:rsidR="00B739C3" w:rsidRDefault="00B739C3" w:rsidP="00BF5499">
      <w:pPr>
        <w:pStyle w:val="ListParagraph"/>
        <w:numPr>
          <w:ilvl w:val="0"/>
          <w:numId w:val="30"/>
        </w:numPr>
        <w:spacing w:after="0" w:line="240" w:lineRule="auto"/>
        <w:jc w:val="both"/>
        <w:rPr>
          <w:rFonts w:asciiTheme="majorHAnsi" w:hAnsiTheme="majorHAnsi"/>
          <w:color w:val="000000" w:themeColor="text1"/>
          <w:sz w:val="21"/>
          <w:szCs w:val="21"/>
          <w:lang w:val="en-GB"/>
        </w:rPr>
      </w:pPr>
      <w:r w:rsidRPr="001E5747">
        <w:rPr>
          <w:rFonts w:asciiTheme="majorHAnsi" w:hAnsiTheme="majorHAnsi"/>
          <w:sz w:val="21"/>
          <w:szCs w:val="21"/>
          <w:lang w:val="en-GB"/>
        </w:rPr>
        <w:t xml:space="preserve">For all municipalities that have met the minimum </w:t>
      </w:r>
      <w:r w:rsidR="009767E2">
        <w:rPr>
          <w:rFonts w:asciiTheme="majorHAnsi" w:hAnsiTheme="majorHAnsi"/>
          <w:sz w:val="21"/>
          <w:szCs w:val="21"/>
          <w:lang w:val="en-GB"/>
        </w:rPr>
        <w:t>conditions</w:t>
      </w:r>
      <w:r w:rsidRPr="001E5747">
        <w:rPr>
          <w:rFonts w:asciiTheme="majorHAnsi" w:hAnsiTheme="majorHAnsi"/>
          <w:sz w:val="21"/>
          <w:szCs w:val="21"/>
          <w:lang w:val="en-GB"/>
        </w:rPr>
        <w:t xml:space="preserve">, the amount of grant that each municipality receives is based on the performance achieved in the performance indicators compared to the performance of all </w:t>
      </w:r>
      <w:r w:rsidRPr="001E5747">
        <w:rPr>
          <w:rFonts w:asciiTheme="majorHAnsi" w:hAnsiTheme="majorHAnsi"/>
          <w:color w:val="000000" w:themeColor="text1"/>
          <w:sz w:val="21"/>
          <w:szCs w:val="21"/>
          <w:lang w:val="en-GB"/>
        </w:rPr>
        <w:t xml:space="preserve">other municipalities, as well as other elements of the </w:t>
      </w:r>
      <w:r w:rsidR="009767E2">
        <w:rPr>
          <w:rFonts w:asciiTheme="majorHAnsi" w:hAnsiTheme="majorHAnsi"/>
          <w:color w:val="000000" w:themeColor="text1"/>
          <w:sz w:val="21"/>
          <w:szCs w:val="21"/>
          <w:lang w:val="en-GB"/>
        </w:rPr>
        <w:t>assessment</w:t>
      </w:r>
      <w:r w:rsidRPr="001E5747">
        <w:rPr>
          <w:rFonts w:asciiTheme="majorHAnsi" w:hAnsiTheme="majorHAnsi"/>
          <w:color w:val="000000" w:themeColor="text1"/>
          <w:sz w:val="21"/>
          <w:szCs w:val="21"/>
          <w:lang w:val="en-GB"/>
        </w:rPr>
        <w:t xml:space="preserve"> criteria as defined in these rules.</w:t>
      </w:r>
    </w:p>
    <w:p w14:paraId="7F769F68" w14:textId="77777777" w:rsidR="00265DDF" w:rsidRPr="001E5747" w:rsidRDefault="00265DDF" w:rsidP="00265DDF">
      <w:pPr>
        <w:pStyle w:val="ListParagraph"/>
        <w:spacing w:after="0" w:line="240" w:lineRule="auto"/>
        <w:ind w:left="724"/>
        <w:jc w:val="both"/>
        <w:rPr>
          <w:rFonts w:asciiTheme="majorHAnsi" w:hAnsiTheme="majorHAnsi"/>
          <w:color w:val="000000" w:themeColor="text1"/>
          <w:sz w:val="21"/>
          <w:szCs w:val="21"/>
          <w:lang w:val="en-GB"/>
        </w:rPr>
      </w:pPr>
    </w:p>
    <w:p w14:paraId="3C5809F2" w14:textId="13518E52" w:rsidR="00B739C3" w:rsidRDefault="00B739C3" w:rsidP="00BF5499">
      <w:pPr>
        <w:jc w:val="both"/>
        <w:rPr>
          <w:rFonts w:asciiTheme="majorHAnsi" w:hAnsiTheme="majorHAnsi"/>
          <w:sz w:val="21"/>
          <w:szCs w:val="21"/>
          <w:lang w:val="en-GB"/>
        </w:rPr>
      </w:pPr>
      <w:r w:rsidRPr="001E5747">
        <w:rPr>
          <w:rFonts w:asciiTheme="majorHAnsi" w:hAnsiTheme="majorHAnsi"/>
          <w:sz w:val="21"/>
          <w:szCs w:val="21"/>
          <w:lang w:val="en-GB"/>
        </w:rPr>
        <w:t xml:space="preserve">Once municipalities are eligible, the </w:t>
      </w:r>
      <w:r w:rsidR="001E5747">
        <w:rPr>
          <w:rFonts w:asciiTheme="majorHAnsi" w:hAnsiTheme="majorHAnsi"/>
          <w:sz w:val="21"/>
          <w:szCs w:val="21"/>
          <w:lang w:val="en-GB"/>
        </w:rPr>
        <w:t>amount</w:t>
      </w:r>
      <w:r w:rsidRPr="001E5747">
        <w:rPr>
          <w:rFonts w:asciiTheme="majorHAnsi" w:hAnsiTheme="majorHAnsi"/>
          <w:sz w:val="21"/>
          <w:szCs w:val="21"/>
          <w:lang w:val="en-GB"/>
        </w:rPr>
        <w:t xml:space="preserve"> of the grant will be determined by the relative </w:t>
      </w:r>
      <w:proofErr w:type="gramStart"/>
      <w:r w:rsidRPr="001E5747">
        <w:rPr>
          <w:rFonts w:asciiTheme="majorHAnsi" w:hAnsiTheme="majorHAnsi"/>
          <w:sz w:val="21"/>
          <w:szCs w:val="21"/>
          <w:lang w:val="en-GB"/>
        </w:rPr>
        <w:t xml:space="preserve">points </w:t>
      </w:r>
      <w:r w:rsidR="002333A4">
        <w:rPr>
          <w:rFonts w:asciiTheme="majorHAnsi" w:hAnsiTheme="majorHAnsi"/>
          <w:sz w:val="21"/>
          <w:szCs w:val="21"/>
          <w:lang w:val="en-GB"/>
        </w:rPr>
        <w:t xml:space="preserve"> </w:t>
      </w:r>
      <w:r w:rsidRPr="001E5747">
        <w:rPr>
          <w:rFonts w:asciiTheme="majorHAnsi" w:hAnsiTheme="majorHAnsi"/>
          <w:sz w:val="21"/>
          <w:szCs w:val="21"/>
          <w:lang w:val="en-GB"/>
        </w:rPr>
        <w:t>earned</w:t>
      </w:r>
      <w:proofErr w:type="gramEnd"/>
      <w:r w:rsidRPr="001E5747">
        <w:rPr>
          <w:rFonts w:asciiTheme="majorHAnsi" w:hAnsiTheme="majorHAnsi"/>
          <w:sz w:val="21"/>
          <w:szCs w:val="21"/>
          <w:lang w:val="en-GB"/>
        </w:rPr>
        <w:t xml:space="preserve"> on the performance indicators. The indicators </w:t>
      </w:r>
      <w:proofErr w:type="gramStart"/>
      <w:r w:rsidRPr="001E5747">
        <w:rPr>
          <w:rFonts w:asciiTheme="majorHAnsi" w:hAnsiTheme="majorHAnsi"/>
          <w:sz w:val="21"/>
          <w:szCs w:val="21"/>
          <w:lang w:val="en-GB"/>
        </w:rPr>
        <w:t>are a reflection of</w:t>
      </w:r>
      <w:proofErr w:type="gramEnd"/>
      <w:r w:rsidRPr="001E5747">
        <w:rPr>
          <w:rFonts w:asciiTheme="majorHAnsi" w:hAnsiTheme="majorHAnsi"/>
          <w:sz w:val="21"/>
          <w:szCs w:val="21"/>
          <w:lang w:val="en-GB"/>
        </w:rPr>
        <w:t xml:space="preserve"> government policy objectives, which aim to realize the overall vision of municipalities as </w:t>
      </w:r>
      <w:r w:rsidRPr="001E5747">
        <w:rPr>
          <w:rFonts w:asciiTheme="majorHAnsi" w:hAnsiTheme="majorHAnsi"/>
          <w:i/>
          <w:iCs/>
          <w:sz w:val="21"/>
          <w:szCs w:val="21"/>
          <w:lang w:val="en-GB"/>
        </w:rPr>
        <w:t>'vibrant democratic local government institutions that provide quality services and respond to the needs and priorities of citizens'</w:t>
      </w:r>
      <w:r w:rsidRPr="001E5747">
        <w:rPr>
          <w:rFonts w:asciiTheme="majorHAnsi" w:hAnsiTheme="majorHAnsi"/>
          <w:sz w:val="21"/>
          <w:szCs w:val="21"/>
          <w:lang w:val="en-GB"/>
        </w:rPr>
        <w:t>.</w:t>
      </w:r>
    </w:p>
    <w:p w14:paraId="66ED6152" w14:textId="77777777" w:rsidR="00280894" w:rsidRPr="001E5747" w:rsidRDefault="00280894" w:rsidP="00BF5499">
      <w:pPr>
        <w:jc w:val="both"/>
        <w:rPr>
          <w:rFonts w:asciiTheme="majorHAnsi" w:hAnsiTheme="majorHAnsi"/>
          <w:sz w:val="21"/>
          <w:szCs w:val="21"/>
          <w:lang w:val="en-GB"/>
        </w:rPr>
      </w:pPr>
    </w:p>
    <w:p w14:paraId="5CD41AA1" w14:textId="450D0837" w:rsidR="00B739C3" w:rsidRDefault="00B739C3" w:rsidP="00BF5499">
      <w:pPr>
        <w:jc w:val="both"/>
        <w:rPr>
          <w:rFonts w:asciiTheme="majorHAnsi" w:hAnsiTheme="majorHAnsi"/>
          <w:sz w:val="21"/>
          <w:szCs w:val="21"/>
          <w:lang w:val="en-GB"/>
        </w:rPr>
      </w:pPr>
      <w:r w:rsidRPr="001E5747">
        <w:rPr>
          <w:rFonts w:asciiTheme="majorHAnsi" w:hAnsiTheme="majorHAnsi"/>
          <w:sz w:val="21"/>
          <w:szCs w:val="21"/>
          <w:lang w:val="en-GB"/>
        </w:rPr>
        <w:t xml:space="preserve">This document </w:t>
      </w:r>
      <w:r w:rsidR="00AB0B97" w:rsidRPr="00AB0B97">
        <w:rPr>
          <w:rFonts w:asciiTheme="majorHAnsi" w:hAnsiTheme="majorHAnsi"/>
          <w:sz w:val="21"/>
          <w:szCs w:val="21"/>
          <w:lang w:val="en-GB"/>
        </w:rPr>
        <w:t xml:space="preserve">include the setting of the grant objectives, minimum conditions, the system of indicators that can be applied in the evaluation cycles, the formula for calculating the grant </w:t>
      </w:r>
      <w:proofErr w:type="gramStart"/>
      <w:r w:rsidR="00AB0B97" w:rsidRPr="00AB0B97">
        <w:rPr>
          <w:rFonts w:asciiTheme="majorHAnsi" w:hAnsiTheme="majorHAnsi"/>
          <w:sz w:val="21"/>
          <w:szCs w:val="21"/>
          <w:lang w:val="en-GB"/>
        </w:rPr>
        <w:t xml:space="preserve">values, </w:t>
      </w:r>
      <w:r w:rsidR="00AB0B97">
        <w:rPr>
          <w:rFonts w:asciiTheme="majorHAnsi" w:hAnsiTheme="majorHAnsi"/>
          <w:sz w:val="21"/>
          <w:szCs w:val="21"/>
          <w:lang w:val="en-GB"/>
        </w:rPr>
        <w:t xml:space="preserve"> </w:t>
      </w:r>
      <w:r w:rsidR="00AB0B97" w:rsidRPr="00AB0B97">
        <w:rPr>
          <w:rFonts w:asciiTheme="majorHAnsi" w:hAnsiTheme="majorHAnsi"/>
          <w:sz w:val="21"/>
          <w:szCs w:val="21"/>
          <w:lang w:val="en-GB"/>
        </w:rPr>
        <w:t>the</w:t>
      </w:r>
      <w:proofErr w:type="gramEnd"/>
      <w:r w:rsidR="00AB0B97" w:rsidRPr="00AB0B97">
        <w:rPr>
          <w:rFonts w:asciiTheme="majorHAnsi" w:hAnsiTheme="majorHAnsi"/>
          <w:sz w:val="21"/>
          <w:szCs w:val="21"/>
          <w:lang w:val="en-GB"/>
        </w:rPr>
        <w:t xml:space="preserve"> deadlines, the source of data and aspects of ensuring their quality, as well as other grant procedural issues.</w:t>
      </w:r>
      <w:r w:rsidR="00280894">
        <w:rPr>
          <w:rFonts w:asciiTheme="majorHAnsi" w:hAnsiTheme="majorHAnsi"/>
          <w:sz w:val="21"/>
          <w:szCs w:val="21"/>
          <w:lang w:val="en-GB"/>
        </w:rPr>
        <w:t xml:space="preserve"> </w:t>
      </w:r>
      <w:r w:rsidRPr="001E5747">
        <w:rPr>
          <w:rFonts w:asciiTheme="majorHAnsi" w:hAnsiTheme="majorHAnsi"/>
          <w:sz w:val="21"/>
          <w:szCs w:val="21"/>
          <w:lang w:val="en-GB"/>
        </w:rPr>
        <w:t>This document also informs all stakeholders about the rules and procedures of the performance grant.</w:t>
      </w:r>
    </w:p>
    <w:p w14:paraId="6396539C" w14:textId="77777777" w:rsidR="00280894" w:rsidRPr="001E5747" w:rsidRDefault="00280894" w:rsidP="00BF5499">
      <w:pPr>
        <w:jc w:val="both"/>
        <w:rPr>
          <w:rFonts w:asciiTheme="majorHAnsi" w:hAnsiTheme="majorHAnsi"/>
          <w:sz w:val="21"/>
          <w:szCs w:val="21"/>
          <w:lang w:val="en-GB"/>
        </w:rPr>
      </w:pPr>
    </w:p>
    <w:p w14:paraId="4EA30748" w14:textId="384FA1BF" w:rsidR="00265DDF" w:rsidRPr="00265DDF" w:rsidRDefault="00B739C3" w:rsidP="00265DDF">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sz w:val="21"/>
          <w:szCs w:val="21"/>
          <w:lang w:val="en-GB"/>
        </w:rPr>
      </w:pPr>
      <w:r w:rsidRPr="001E5747">
        <w:rPr>
          <w:rFonts w:asciiTheme="majorHAnsi" w:hAnsiTheme="majorHAnsi"/>
          <w:sz w:val="21"/>
          <w:szCs w:val="21"/>
          <w:lang w:val="en-GB"/>
        </w:rPr>
        <w:t>MLG</w:t>
      </w:r>
      <w:r w:rsidR="001E5747">
        <w:rPr>
          <w:rFonts w:asciiTheme="majorHAnsi" w:hAnsiTheme="majorHAnsi"/>
          <w:sz w:val="21"/>
          <w:szCs w:val="21"/>
          <w:lang w:val="en-GB"/>
        </w:rPr>
        <w:t>A</w:t>
      </w:r>
      <w:r w:rsidRPr="001E5747">
        <w:rPr>
          <w:rFonts w:asciiTheme="majorHAnsi" w:hAnsiTheme="majorHAnsi"/>
          <w:sz w:val="21"/>
          <w:szCs w:val="21"/>
          <w:lang w:val="en-GB"/>
        </w:rPr>
        <w:t xml:space="preserve"> and donors encourage all relevant local actors to consider the municipal performance grant as a good opportunity to better understand municipal performance (including improved areas and those where there is a need for improvement) and to be part of sound competition with other municipalities in an effort to improve municipal capacity and provide efficient and effective public services to citizens.</w:t>
      </w:r>
      <w:bookmarkStart w:id="5" w:name="_Toc236632737"/>
      <w:bookmarkStart w:id="6" w:name="_Toc170432954"/>
      <w:bookmarkStart w:id="7" w:name="_Toc170004012"/>
    </w:p>
    <w:p w14:paraId="097A97B8" w14:textId="5F5B3058" w:rsidR="00BF5499" w:rsidRDefault="00265DDF" w:rsidP="00265DDF">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sz w:val="21"/>
          <w:szCs w:val="21"/>
          <w:lang w:val="en-GB"/>
        </w:rPr>
      </w:pPr>
      <w:r w:rsidRPr="00265DDF">
        <w:rPr>
          <w:rFonts w:asciiTheme="majorHAnsi" w:hAnsiTheme="majorHAnsi"/>
          <w:sz w:val="21"/>
          <w:szCs w:val="21"/>
          <w:lang w:val="en-GB"/>
        </w:rPr>
        <w:t>The results of the municipal performance assessment will be communicated to all municipalities, according to the established deadlines, and will be published by the MLGA.</w:t>
      </w:r>
    </w:p>
    <w:p w14:paraId="4409339E" w14:textId="77777777" w:rsidR="00BF5499" w:rsidRDefault="00BF5499" w:rsidP="00BF5499">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sz w:val="21"/>
          <w:szCs w:val="21"/>
          <w:lang w:val="en-GB"/>
        </w:rPr>
      </w:pPr>
    </w:p>
    <w:p w14:paraId="39AB0796" w14:textId="77777777" w:rsidR="00BF5499" w:rsidRPr="00BB2E33" w:rsidRDefault="00BF5499" w:rsidP="00BF5499">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sz w:val="21"/>
          <w:szCs w:val="21"/>
          <w:lang w:val="en-GB"/>
        </w:rPr>
      </w:pPr>
    </w:p>
    <w:p w14:paraId="0747F9B3" w14:textId="77777777" w:rsidR="00B739C3" w:rsidRPr="001E5747" w:rsidRDefault="00B739C3" w:rsidP="00B739C3">
      <w:pPr>
        <w:pStyle w:val="Heading1"/>
        <w:numPr>
          <w:ilvl w:val="0"/>
          <w:numId w:val="41"/>
        </w:numPr>
        <w:shd w:val="clear" w:color="auto" w:fill="D55635"/>
        <w:tabs>
          <w:tab w:val="left" w:pos="540"/>
        </w:tabs>
        <w:ind w:left="902" w:hanging="902"/>
        <w:rPr>
          <w:rFonts w:asciiTheme="majorHAnsi" w:hAnsiTheme="majorHAnsi"/>
          <w:color w:val="FFFFFF" w:themeColor="background1"/>
          <w:sz w:val="32"/>
          <w:szCs w:val="32"/>
          <w:lang w:val="en-GB"/>
        </w:rPr>
      </w:pPr>
      <w:bookmarkStart w:id="8" w:name="_Toc61062510"/>
      <w:bookmarkStart w:id="9" w:name="_Toc214024536"/>
      <w:r w:rsidRPr="001E5747">
        <w:rPr>
          <w:rFonts w:asciiTheme="majorHAnsi" w:hAnsiTheme="majorHAnsi"/>
          <w:color w:val="FFFFFF" w:themeColor="background1"/>
          <w:sz w:val="32"/>
          <w:szCs w:val="32"/>
          <w:lang w:val="en-GB"/>
        </w:rPr>
        <w:lastRenderedPageBreak/>
        <w:t>Municipal Performance Grant - Introduction</w:t>
      </w:r>
      <w:bookmarkEnd w:id="5"/>
      <w:bookmarkEnd w:id="6"/>
      <w:bookmarkEnd w:id="7"/>
      <w:bookmarkEnd w:id="8"/>
      <w:bookmarkEnd w:id="9"/>
    </w:p>
    <w:p w14:paraId="6F42F9ED" w14:textId="77777777" w:rsidR="00B739C3" w:rsidRPr="001E5747" w:rsidRDefault="00B739C3" w:rsidP="00B739C3">
      <w:pPr>
        <w:rPr>
          <w:rFonts w:asciiTheme="majorHAnsi" w:hAnsiTheme="majorHAnsi"/>
          <w:sz w:val="10"/>
          <w:szCs w:val="10"/>
          <w:lang w:val="en-GB"/>
        </w:rPr>
      </w:pPr>
    </w:p>
    <w:p w14:paraId="777AF83F" w14:textId="77777777" w:rsidR="00B739C3" w:rsidRPr="001E5747" w:rsidRDefault="00B739C3" w:rsidP="00B739C3">
      <w:pPr>
        <w:bidi/>
        <w:rPr>
          <w:lang w:val="en-GB"/>
        </w:rPr>
      </w:pPr>
      <w:bookmarkStart w:id="10" w:name="_Toc236632738"/>
      <w:bookmarkStart w:id="11" w:name="_Toc170432955"/>
      <w:bookmarkStart w:id="12" w:name="_Toc170004013"/>
    </w:p>
    <w:p w14:paraId="43929288" w14:textId="77777777" w:rsidR="00B739C3" w:rsidRPr="001E5747" w:rsidRDefault="00B739C3" w:rsidP="00B739C3">
      <w:pPr>
        <w:pStyle w:val="Heading1"/>
        <w:numPr>
          <w:ilvl w:val="1"/>
          <w:numId w:val="42"/>
        </w:numPr>
        <w:tabs>
          <w:tab w:val="left" w:pos="540"/>
        </w:tabs>
        <w:ind w:left="1134" w:hanging="1134"/>
        <w:rPr>
          <w:rFonts w:asciiTheme="majorHAnsi" w:hAnsiTheme="majorHAnsi"/>
          <w:color w:val="C0504D" w:themeColor="accent2"/>
          <w:szCs w:val="28"/>
          <w:lang w:val="en-GB"/>
        </w:rPr>
      </w:pPr>
      <w:bookmarkStart w:id="13" w:name="_Toc214024537"/>
      <w:bookmarkStart w:id="14" w:name="_Toc346433877"/>
      <w:r w:rsidRPr="001E5747">
        <w:rPr>
          <w:rFonts w:asciiTheme="majorHAnsi" w:hAnsiTheme="majorHAnsi"/>
          <w:color w:val="C0504D" w:themeColor="accent2"/>
          <w:szCs w:val="28"/>
          <w:lang w:val="en-GB"/>
        </w:rPr>
        <w:t>Introduction</w:t>
      </w:r>
      <w:bookmarkEnd w:id="13"/>
    </w:p>
    <w:p w14:paraId="14EC2908" w14:textId="77777777" w:rsidR="00B739C3" w:rsidRPr="001E5747" w:rsidRDefault="00B739C3" w:rsidP="00B739C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lang w:val="en-GB"/>
        </w:rPr>
      </w:pPr>
      <w:r w:rsidRPr="001E5747">
        <w:rPr>
          <w:rFonts w:asciiTheme="majorHAnsi" w:hAnsiTheme="majorHAnsi"/>
          <w:sz w:val="21"/>
          <w:szCs w:val="21"/>
          <w:lang w:val="en-GB"/>
        </w:rPr>
        <w:t>Municipalities in Kosovo, as subjects of decentralized local government, play an important role in organizing the public sector. In addition to being responsible for providing a range of services, municipalities on the one hand serve as the first point of contact between citizens and the state, and on the other hand, enable citizens to participate in decision-making.</w:t>
      </w:r>
    </w:p>
    <w:p w14:paraId="42EEC47D" w14:textId="553318D2" w:rsidR="00B739C3" w:rsidRPr="001E5747" w:rsidRDefault="00B739C3" w:rsidP="00B739C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lang w:val="en-GB"/>
        </w:rPr>
      </w:pPr>
      <w:r w:rsidRPr="001E5747">
        <w:rPr>
          <w:rFonts w:asciiTheme="majorHAnsi" w:hAnsiTheme="majorHAnsi"/>
          <w:sz w:val="21"/>
          <w:szCs w:val="21"/>
          <w:lang w:val="en-GB"/>
        </w:rPr>
        <w:t xml:space="preserve">Local administration is considered one of the main pillars of the state and </w:t>
      </w:r>
      <w:r w:rsidR="00C5405E">
        <w:rPr>
          <w:rFonts w:asciiTheme="majorHAnsi" w:hAnsiTheme="majorHAnsi"/>
          <w:sz w:val="21"/>
          <w:szCs w:val="21"/>
          <w:lang w:val="en-GB"/>
        </w:rPr>
        <w:t xml:space="preserve">a </w:t>
      </w:r>
      <w:r w:rsidRPr="001E5747">
        <w:rPr>
          <w:rFonts w:asciiTheme="majorHAnsi" w:hAnsiTheme="majorHAnsi"/>
          <w:sz w:val="21"/>
          <w:szCs w:val="21"/>
          <w:lang w:val="en-GB"/>
        </w:rPr>
        <w:t xml:space="preserve">promoter of social and economic development. Compared to many other countries, </w:t>
      </w:r>
      <w:r w:rsidR="003D2AC8" w:rsidRPr="001E5747">
        <w:rPr>
          <w:rFonts w:asciiTheme="majorHAnsi" w:hAnsiTheme="majorHAnsi"/>
          <w:sz w:val="21"/>
          <w:szCs w:val="21"/>
          <w:lang w:val="en-GB"/>
        </w:rPr>
        <w:t xml:space="preserve">the </w:t>
      </w:r>
      <w:r w:rsidRPr="001E5747">
        <w:rPr>
          <w:rFonts w:asciiTheme="majorHAnsi" w:hAnsiTheme="majorHAnsi"/>
          <w:sz w:val="21"/>
          <w:szCs w:val="21"/>
          <w:lang w:val="en-GB"/>
        </w:rPr>
        <w:t xml:space="preserve">municipalities in Kosovo stand relatively well </w:t>
      </w:r>
      <w:proofErr w:type="gramStart"/>
      <w:r w:rsidRPr="001E5747">
        <w:rPr>
          <w:rFonts w:asciiTheme="majorHAnsi" w:hAnsiTheme="majorHAnsi"/>
          <w:sz w:val="21"/>
          <w:szCs w:val="21"/>
          <w:lang w:val="en-GB"/>
        </w:rPr>
        <w:t>in service</w:t>
      </w:r>
      <w:proofErr w:type="gramEnd"/>
      <w:r w:rsidR="003D2AC8" w:rsidRPr="001E5747">
        <w:rPr>
          <w:rFonts w:asciiTheme="majorHAnsi" w:hAnsiTheme="majorHAnsi"/>
          <w:sz w:val="21"/>
          <w:szCs w:val="21"/>
          <w:lang w:val="en-GB"/>
        </w:rPr>
        <w:t xml:space="preserve"> delivery</w:t>
      </w:r>
      <w:r w:rsidRPr="001E5747">
        <w:rPr>
          <w:rFonts w:asciiTheme="majorHAnsi" w:hAnsiTheme="majorHAnsi"/>
          <w:sz w:val="21"/>
          <w:szCs w:val="21"/>
          <w:lang w:val="en-GB"/>
        </w:rPr>
        <w:t xml:space="preserve">. However, there is still a need for improvement in the exercise of municipal own competencies </w:t>
      </w:r>
      <w:r w:rsidR="00C5405E">
        <w:rPr>
          <w:rFonts w:asciiTheme="majorHAnsi" w:hAnsiTheme="majorHAnsi"/>
          <w:sz w:val="21"/>
          <w:szCs w:val="21"/>
          <w:lang w:val="en-GB"/>
        </w:rPr>
        <w:t>T</w:t>
      </w:r>
      <w:r w:rsidRPr="001E5747">
        <w:rPr>
          <w:rFonts w:asciiTheme="majorHAnsi" w:hAnsiTheme="majorHAnsi"/>
          <w:sz w:val="21"/>
          <w:szCs w:val="21"/>
          <w:lang w:val="en-GB"/>
        </w:rPr>
        <w:t xml:space="preserve">here is a need to improve </w:t>
      </w:r>
      <w:r w:rsidR="003D2AC8" w:rsidRPr="001E5747">
        <w:rPr>
          <w:rFonts w:asciiTheme="majorHAnsi" w:hAnsiTheme="majorHAnsi"/>
          <w:sz w:val="21"/>
          <w:szCs w:val="21"/>
          <w:lang w:val="en-GB"/>
        </w:rPr>
        <w:t xml:space="preserve">financial </w:t>
      </w:r>
      <w:r w:rsidRPr="001E5747">
        <w:rPr>
          <w:rFonts w:asciiTheme="majorHAnsi" w:hAnsiTheme="majorHAnsi"/>
          <w:sz w:val="21"/>
          <w:szCs w:val="21"/>
          <w:lang w:val="en-GB"/>
        </w:rPr>
        <w:t>control and management, as well as greater investment through strategic projects. Local institutions should encourage public servants to continuously develop their capacities, to create a modern local administration capable of providing efficient services to all citizens without distinction.</w:t>
      </w:r>
    </w:p>
    <w:p w14:paraId="5CF4CC2C" w14:textId="6B5E3A03" w:rsidR="00B739C3" w:rsidRPr="001E5747" w:rsidRDefault="003D2AC8" w:rsidP="00B739C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lang w:val="en-GB"/>
        </w:rPr>
      </w:pPr>
      <w:r w:rsidRPr="001E5747">
        <w:rPr>
          <w:rFonts w:asciiTheme="majorHAnsi" w:hAnsiTheme="majorHAnsi"/>
          <w:sz w:val="21"/>
          <w:szCs w:val="21"/>
          <w:lang w:val="en-GB"/>
        </w:rPr>
        <w:t>The f</w:t>
      </w:r>
      <w:r w:rsidR="00B739C3" w:rsidRPr="001E5747">
        <w:rPr>
          <w:rFonts w:asciiTheme="majorHAnsi" w:hAnsiTheme="majorHAnsi"/>
          <w:sz w:val="21"/>
          <w:szCs w:val="21"/>
          <w:lang w:val="en-GB"/>
        </w:rPr>
        <w:t xml:space="preserve">indings </w:t>
      </w:r>
      <w:r w:rsidR="00C5405E">
        <w:rPr>
          <w:rFonts w:asciiTheme="majorHAnsi" w:hAnsiTheme="majorHAnsi"/>
          <w:sz w:val="21"/>
          <w:szCs w:val="21"/>
          <w:lang w:val="en-GB"/>
        </w:rPr>
        <w:t xml:space="preserve">of reports </w:t>
      </w:r>
      <w:r w:rsidR="00B739C3" w:rsidRPr="001E5747">
        <w:rPr>
          <w:rFonts w:asciiTheme="majorHAnsi" w:hAnsiTheme="majorHAnsi"/>
          <w:sz w:val="21"/>
          <w:szCs w:val="21"/>
          <w:lang w:val="en-GB"/>
        </w:rPr>
        <w:t xml:space="preserve">from local and credible international institutions </w:t>
      </w:r>
      <w:r w:rsidR="00C5405E">
        <w:rPr>
          <w:rFonts w:asciiTheme="majorHAnsi" w:hAnsiTheme="majorHAnsi"/>
          <w:sz w:val="21"/>
          <w:szCs w:val="21"/>
          <w:lang w:val="en-GB"/>
        </w:rPr>
        <w:t xml:space="preserve">continue to </w:t>
      </w:r>
      <w:r w:rsidR="00B739C3" w:rsidRPr="001E5747">
        <w:rPr>
          <w:rFonts w:asciiTheme="majorHAnsi" w:hAnsiTheme="majorHAnsi"/>
          <w:sz w:val="21"/>
          <w:szCs w:val="21"/>
          <w:lang w:val="en-GB"/>
        </w:rPr>
        <w:t xml:space="preserve">highlight </w:t>
      </w:r>
      <w:r w:rsidR="00C5405E">
        <w:rPr>
          <w:rFonts w:asciiTheme="majorHAnsi" w:hAnsiTheme="majorHAnsi"/>
          <w:sz w:val="21"/>
          <w:szCs w:val="21"/>
          <w:lang w:val="en-GB"/>
        </w:rPr>
        <w:t>the need for</w:t>
      </w:r>
      <w:r w:rsidR="00B739C3" w:rsidRPr="001E5747">
        <w:rPr>
          <w:rFonts w:asciiTheme="majorHAnsi" w:hAnsiTheme="majorHAnsi"/>
          <w:sz w:val="21"/>
          <w:szCs w:val="21"/>
          <w:lang w:val="en-GB"/>
        </w:rPr>
        <w:t xml:space="preserve"> public administration reform. Th</w:t>
      </w:r>
      <w:r w:rsidRPr="001E5747">
        <w:rPr>
          <w:rFonts w:asciiTheme="majorHAnsi" w:hAnsiTheme="majorHAnsi"/>
          <w:sz w:val="21"/>
          <w:szCs w:val="21"/>
          <w:lang w:val="en-GB"/>
        </w:rPr>
        <w:t>is</w:t>
      </w:r>
      <w:r w:rsidR="00B739C3" w:rsidRPr="001E5747">
        <w:rPr>
          <w:rFonts w:asciiTheme="majorHAnsi" w:hAnsiTheme="majorHAnsi"/>
          <w:sz w:val="21"/>
          <w:szCs w:val="21"/>
          <w:lang w:val="en-GB"/>
        </w:rPr>
        <w:t xml:space="preserve"> remains one of the </w:t>
      </w:r>
      <w:r w:rsidRPr="001E5747">
        <w:rPr>
          <w:rFonts w:asciiTheme="majorHAnsi" w:hAnsiTheme="majorHAnsi"/>
          <w:sz w:val="21"/>
          <w:szCs w:val="21"/>
          <w:lang w:val="en-GB"/>
        </w:rPr>
        <w:t xml:space="preserve">country’s </w:t>
      </w:r>
      <w:r w:rsidR="00B739C3" w:rsidRPr="001E5747">
        <w:rPr>
          <w:rFonts w:asciiTheme="majorHAnsi" w:hAnsiTheme="majorHAnsi"/>
          <w:sz w:val="21"/>
          <w:szCs w:val="21"/>
          <w:lang w:val="en-GB"/>
        </w:rPr>
        <w:t xml:space="preserve">main strategic priorities, for which special attention is required. Local governments need to increase the intensity of their work and provide a new governance approach that would increase citizens' trust in their local institutions. </w:t>
      </w:r>
      <w:r w:rsidR="005744DF" w:rsidRPr="001E5747">
        <w:rPr>
          <w:rFonts w:asciiTheme="majorHAnsi" w:hAnsiTheme="majorHAnsi"/>
          <w:sz w:val="21"/>
          <w:szCs w:val="21"/>
          <w:lang w:val="en-GB"/>
        </w:rPr>
        <w:t>Naturally</w:t>
      </w:r>
      <w:r w:rsidR="00B739C3" w:rsidRPr="001E5747">
        <w:rPr>
          <w:rFonts w:asciiTheme="majorHAnsi" w:hAnsiTheme="majorHAnsi"/>
          <w:sz w:val="21"/>
          <w:szCs w:val="21"/>
          <w:lang w:val="en-GB"/>
        </w:rPr>
        <w:t xml:space="preserve">, success or failure will depend on </w:t>
      </w:r>
      <w:r w:rsidR="00C5405E">
        <w:rPr>
          <w:rFonts w:asciiTheme="majorHAnsi" w:hAnsiTheme="majorHAnsi"/>
          <w:sz w:val="21"/>
          <w:szCs w:val="21"/>
          <w:lang w:val="en-GB"/>
        </w:rPr>
        <w:t>a</w:t>
      </w:r>
      <w:r w:rsidR="00B739C3" w:rsidRPr="001E5747">
        <w:rPr>
          <w:rFonts w:asciiTheme="majorHAnsi" w:hAnsiTheme="majorHAnsi"/>
          <w:sz w:val="21"/>
          <w:szCs w:val="21"/>
          <w:lang w:val="en-GB"/>
        </w:rPr>
        <w:t xml:space="preserve"> commitment </w:t>
      </w:r>
      <w:r w:rsidR="00C5405E">
        <w:rPr>
          <w:rFonts w:asciiTheme="majorHAnsi" w:hAnsiTheme="majorHAnsi"/>
          <w:sz w:val="21"/>
          <w:szCs w:val="21"/>
          <w:lang w:val="en-GB"/>
        </w:rPr>
        <w:t>to</w:t>
      </w:r>
      <w:r w:rsidR="00C5405E" w:rsidRPr="001E5747">
        <w:rPr>
          <w:rFonts w:asciiTheme="majorHAnsi" w:hAnsiTheme="majorHAnsi"/>
          <w:sz w:val="21"/>
          <w:szCs w:val="21"/>
          <w:lang w:val="en-GB"/>
        </w:rPr>
        <w:t xml:space="preserve"> </w:t>
      </w:r>
      <w:r w:rsidR="00B739C3" w:rsidRPr="001E5747">
        <w:rPr>
          <w:rFonts w:asciiTheme="majorHAnsi" w:hAnsiTheme="majorHAnsi"/>
          <w:sz w:val="21"/>
          <w:szCs w:val="21"/>
          <w:lang w:val="en-GB"/>
        </w:rPr>
        <w:t>building a functioning administration and the commitment of municipal institutions to respond to problems.</w:t>
      </w:r>
    </w:p>
    <w:p w14:paraId="364988E1" w14:textId="77777777" w:rsidR="00B739C3" w:rsidRPr="001E5747" w:rsidRDefault="005744DF" w:rsidP="00B739C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lang w:val="en-GB"/>
        </w:rPr>
      </w:pPr>
      <w:r w:rsidRPr="001E5747">
        <w:rPr>
          <w:rFonts w:asciiTheme="majorHAnsi" w:hAnsiTheme="majorHAnsi"/>
          <w:sz w:val="21"/>
          <w:szCs w:val="21"/>
          <w:lang w:val="en-GB"/>
        </w:rPr>
        <w:t>Having</w:t>
      </w:r>
      <w:r w:rsidR="00B739C3" w:rsidRPr="001E5747">
        <w:rPr>
          <w:rFonts w:asciiTheme="majorHAnsi" w:hAnsiTheme="majorHAnsi"/>
          <w:sz w:val="21"/>
          <w:szCs w:val="21"/>
          <w:lang w:val="en-GB"/>
        </w:rPr>
        <w:t xml:space="preserve"> this in mind, the Municipal Performance Grant sets a number of objectives for local government to increase institutional capacity to exercise its competencies and effectively address issues that affect the lives of citizens. </w:t>
      </w:r>
    </w:p>
    <w:p w14:paraId="3E14F1DC" w14:textId="18E4653A" w:rsidR="00B739C3" w:rsidRPr="001E5747" w:rsidRDefault="00B739C3" w:rsidP="00B739C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0"/>
          <w:szCs w:val="20"/>
          <w:lang w:val="en-GB"/>
        </w:rPr>
      </w:pPr>
      <w:r w:rsidRPr="001E5747">
        <w:rPr>
          <w:rFonts w:asciiTheme="majorHAnsi" w:hAnsiTheme="majorHAnsi"/>
          <w:sz w:val="21"/>
          <w:szCs w:val="21"/>
          <w:lang w:val="en-GB"/>
        </w:rPr>
        <w:t>In this regard, the following topics have been identified as priority objectives for improving municipal performance:</w:t>
      </w:r>
    </w:p>
    <w:p w14:paraId="448F61C2" w14:textId="0D0C1759" w:rsidR="00B739C3" w:rsidRPr="001E5747" w:rsidRDefault="00B739C3" w:rsidP="00B739C3">
      <w:pPr>
        <w:widowControl w:val="0"/>
        <w:numPr>
          <w:ilvl w:val="0"/>
          <w:numId w:val="17"/>
        </w:numPr>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lang w:val="en-GB"/>
        </w:rPr>
      </w:pPr>
      <w:r w:rsidRPr="001E5747">
        <w:rPr>
          <w:rFonts w:asciiTheme="majorHAnsi" w:hAnsiTheme="majorHAnsi"/>
          <w:b/>
          <w:sz w:val="21"/>
          <w:szCs w:val="21"/>
          <w:lang w:val="en-GB"/>
        </w:rPr>
        <w:t xml:space="preserve">Municipalities </w:t>
      </w:r>
      <w:r w:rsidR="005744DF" w:rsidRPr="001E5747">
        <w:rPr>
          <w:rFonts w:asciiTheme="majorHAnsi" w:hAnsiTheme="majorHAnsi"/>
          <w:b/>
          <w:sz w:val="21"/>
          <w:szCs w:val="21"/>
          <w:lang w:val="en-GB"/>
        </w:rPr>
        <w:t>should</w:t>
      </w:r>
      <w:r w:rsidRPr="001E5747">
        <w:rPr>
          <w:rFonts w:asciiTheme="majorHAnsi" w:hAnsiTheme="majorHAnsi"/>
          <w:b/>
          <w:sz w:val="21"/>
          <w:szCs w:val="21"/>
          <w:lang w:val="en-GB"/>
        </w:rPr>
        <w:t xml:space="preserve"> function as local democratic institutions -</w:t>
      </w:r>
      <w:r w:rsidRPr="001E5747">
        <w:rPr>
          <w:rFonts w:asciiTheme="majorHAnsi" w:hAnsiTheme="majorHAnsi"/>
          <w:sz w:val="21"/>
          <w:szCs w:val="21"/>
          <w:lang w:val="en-GB"/>
        </w:rPr>
        <w:t xml:space="preserve"> respect</w:t>
      </w:r>
      <w:r w:rsidR="005744DF" w:rsidRPr="001E5747">
        <w:rPr>
          <w:rFonts w:asciiTheme="majorHAnsi" w:hAnsiTheme="majorHAnsi"/>
          <w:sz w:val="21"/>
          <w:szCs w:val="21"/>
          <w:lang w:val="en-GB"/>
        </w:rPr>
        <w:t>ing</w:t>
      </w:r>
      <w:r w:rsidRPr="001E5747">
        <w:rPr>
          <w:rFonts w:asciiTheme="majorHAnsi" w:hAnsiTheme="majorHAnsi"/>
          <w:sz w:val="21"/>
          <w:szCs w:val="21"/>
          <w:lang w:val="en-GB"/>
        </w:rPr>
        <w:t xml:space="preserve"> the legal standards of transparency, with a strong municipal assembly that represents the citizens and has the power to oversee the executive, while citizens have the opportunity to express their concerns and suggestions;</w:t>
      </w:r>
    </w:p>
    <w:p w14:paraId="4BA62B57" w14:textId="77777777" w:rsidR="00B739C3" w:rsidRPr="001E5747" w:rsidRDefault="00B739C3" w:rsidP="00B739C3">
      <w:pPr>
        <w:widowControl w:val="0"/>
        <w:numPr>
          <w:ilvl w:val="0"/>
          <w:numId w:val="17"/>
        </w:numPr>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lang w:val="en-GB"/>
        </w:rPr>
      </w:pPr>
      <w:r w:rsidRPr="001E5747">
        <w:rPr>
          <w:rFonts w:asciiTheme="majorHAnsi" w:hAnsiTheme="majorHAnsi"/>
          <w:b/>
          <w:sz w:val="21"/>
          <w:szCs w:val="21"/>
          <w:lang w:val="en-GB"/>
        </w:rPr>
        <w:t xml:space="preserve">Municipalities </w:t>
      </w:r>
      <w:r w:rsidR="005744DF" w:rsidRPr="001E5747">
        <w:rPr>
          <w:rFonts w:asciiTheme="majorHAnsi" w:hAnsiTheme="majorHAnsi"/>
          <w:b/>
          <w:sz w:val="21"/>
          <w:szCs w:val="21"/>
          <w:lang w:val="en-GB"/>
        </w:rPr>
        <w:t>should</w:t>
      </w:r>
      <w:r w:rsidRPr="001E5747">
        <w:rPr>
          <w:rFonts w:asciiTheme="majorHAnsi" w:hAnsiTheme="majorHAnsi"/>
          <w:b/>
          <w:sz w:val="21"/>
          <w:szCs w:val="21"/>
          <w:lang w:val="en-GB"/>
        </w:rPr>
        <w:t xml:space="preserve"> have an effective and efficient municipal management </w:t>
      </w:r>
      <w:r w:rsidRPr="001E5747">
        <w:rPr>
          <w:rFonts w:asciiTheme="majorHAnsi" w:hAnsiTheme="majorHAnsi"/>
          <w:sz w:val="21"/>
          <w:szCs w:val="21"/>
          <w:lang w:val="en-GB"/>
        </w:rPr>
        <w:t xml:space="preserve">- </w:t>
      </w:r>
      <w:r w:rsidR="005744DF" w:rsidRPr="001E5747">
        <w:rPr>
          <w:rFonts w:asciiTheme="majorHAnsi" w:hAnsiTheme="majorHAnsi"/>
          <w:sz w:val="21"/>
          <w:szCs w:val="21"/>
          <w:lang w:val="en-GB"/>
        </w:rPr>
        <w:t>which</w:t>
      </w:r>
      <w:r w:rsidRPr="001E5747">
        <w:rPr>
          <w:rFonts w:asciiTheme="majorHAnsi" w:hAnsiTheme="majorHAnsi"/>
          <w:sz w:val="21"/>
          <w:szCs w:val="21"/>
          <w:lang w:val="en-GB"/>
        </w:rPr>
        <w:t xml:space="preserve"> is neutral and impartial; and</w:t>
      </w:r>
    </w:p>
    <w:p w14:paraId="5FD14202" w14:textId="1DD3F544" w:rsidR="006504C9" w:rsidRPr="001C44F9" w:rsidRDefault="00B739C3" w:rsidP="001C44F9">
      <w:pPr>
        <w:widowControl w:val="0"/>
        <w:numPr>
          <w:ilvl w:val="0"/>
          <w:numId w:val="17"/>
        </w:numPr>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lang w:val="en-GB"/>
        </w:rPr>
      </w:pPr>
      <w:bookmarkStart w:id="15" w:name="_Toc236632744"/>
      <w:bookmarkStart w:id="16" w:name="_Toc170432962"/>
      <w:bookmarkStart w:id="17" w:name="_Toc170004021"/>
      <w:bookmarkEnd w:id="10"/>
      <w:bookmarkEnd w:id="11"/>
      <w:bookmarkEnd w:id="12"/>
      <w:bookmarkEnd w:id="14"/>
      <w:r w:rsidRPr="001E5747">
        <w:rPr>
          <w:rFonts w:asciiTheme="majorHAnsi" w:hAnsiTheme="majorHAnsi"/>
          <w:b/>
          <w:sz w:val="21"/>
          <w:szCs w:val="21"/>
          <w:lang w:val="en-GB"/>
        </w:rPr>
        <w:t xml:space="preserve">Municipalities </w:t>
      </w:r>
      <w:r w:rsidR="00E6596D" w:rsidRPr="001E5747">
        <w:rPr>
          <w:rFonts w:asciiTheme="majorHAnsi" w:hAnsiTheme="majorHAnsi"/>
          <w:b/>
          <w:sz w:val="21"/>
          <w:szCs w:val="21"/>
          <w:lang w:val="en-GB"/>
        </w:rPr>
        <w:t>should</w:t>
      </w:r>
      <w:r w:rsidRPr="001E5747">
        <w:rPr>
          <w:rFonts w:asciiTheme="majorHAnsi" w:hAnsiTheme="majorHAnsi"/>
          <w:b/>
          <w:sz w:val="21"/>
          <w:szCs w:val="21"/>
          <w:lang w:val="en-GB"/>
        </w:rPr>
        <w:t xml:space="preserve"> provide </w:t>
      </w:r>
      <w:r w:rsidRPr="001E5747">
        <w:rPr>
          <w:rFonts w:asciiTheme="majorHAnsi" w:hAnsiTheme="majorHAnsi"/>
          <w:b/>
          <w:bCs/>
          <w:sz w:val="21"/>
          <w:szCs w:val="21"/>
          <w:lang w:val="en-GB"/>
        </w:rPr>
        <w:t>qualitative</w:t>
      </w:r>
      <w:r w:rsidRPr="001E5747">
        <w:rPr>
          <w:rFonts w:asciiTheme="majorHAnsi" w:hAnsiTheme="majorHAnsi"/>
          <w:sz w:val="21"/>
          <w:szCs w:val="21"/>
          <w:lang w:val="en-GB"/>
        </w:rPr>
        <w:t xml:space="preserve"> </w:t>
      </w:r>
      <w:r w:rsidRPr="001E5747">
        <w:rPr>
          <w:rFonts w:asciiTheme="majorHAnsi" w:hAnsiTheme="majorHAnsi"/>
          <w:b/>
          <w:sz w:val="21"/>
          <w:szCs w:val="21"/>
          <w:lang w:val="en-GB"/>
        </w:rPr>
        <w:t>services</w:t>
      </w:r>
      <w:r w:rsidRPr="001E5747">
        <w:rPr>
          <w:rFonts w:asciiTheme="majorHAnsi" w:hAnsiTheme="majorHAnsi"/>
          <w:sz w:val="21"/>
          <w:szCs w:val="21"/>
          <w:lang w:val="en-GB"/>
        </w:rPr>
        <w:t xml:space="preserve"> - in response to the priorities and needs of citizens, treating everyone equally.</w:t>
      </w:r>
    </w:p>
    <w:p w14:paraId="5382C7A8" w14:textId="77777777" w:rsidR="00B739C3" w:rsidRPr="001E5747" w:rsidRDefault="00B739C3" w:rsidP="00B739C3">
      <w:pPr>
        <w:pStyle w:val="Heading1"/>
        <w:numPr>
          <w:ilvl w:val="1"/>
          <w:numId w:val="42"/>
        </w:numPr>
        <w:tabs>
          <w:tab w:val="left" w:pos="540"/>
        </w:tabs>
        <w:ind w:left="1134" w:hanging="1134"/>
        <w:rPr>
          <w:rFonts w:asciiTheme="majorHAnsi" w:hAnsiTheme="majorHAnsi"/>
          <w:color w:val="C0504D" w:themeColor="accent2"/>
          <w:szCs w:val="28"/>
          <w:lang w:val="en-GB"/>
        </w:rPr>
      </w:pPr>
      <w:bookmarkStart w:id="18" w:name="_Toc61062512"/>
      <w:bookmarkStart w:id="19" w:name="_Toc214024538"/>
      <w:r w:rsidRPr="001E5747">
        <w:rPr>
          <w:rFonts w:asciiTheme="majorHAnsi" w:hAnsiTheme="majorHAnsi"/>
          <w:color w:val="C0504D" w:themeColor="accent2"/>
          <w:szCs w:val="28"/>
          <w:lang w:val="en-GB"/>
        </w:rPr>
        <w:t>Legal basis</w:t>
      </w:r>
      <w:bookmarkEnd w:id="18"/>
      <w:bookmarkEnd w:id="19"/>
    </w:p>
    <w:p w14:paraId="5B3257DD" w14:textId="77777777" w:rsidR="00B739C3" w:rsidRPr="001E5747" w:rsidRDefault="00B739C3" w:rsidP="00B739C3">
      <w:pPr>
        <w:bidi/>
        <w:rPr>
          <w:lang w:val="en-GB"/>
        </w:rPr>
      </w:pPr>
      <w:bookmarkStart w:id="20" w:name="_Toc61049476"/>
      <w:bookmarkEnd w:id="15"/>
      <w:bookmarkEnd w:id="16"/>
      <w:bookmarkEnd w:id="17"/>
    </w:p>
    <w:p w14:paraId="35619F57" w14:textId="497F52A7" w:rsidR="00B739C3" w:rsidRPr="001E5747" w:rsidRDefault="00B739C3" w:rsidP="00E6596D">
      <w:pPr>
        <w:jc w:val="both"/>
        <w:rPr>
          <w:rFonts w:asciiTheme="majorHAnsi" w:hAnsiTheme="majorHAnsi"/>
          <w:sz w:val="21"/>
          <w:szCs w:val="21"/>
          <w:lang w:val="en-GB"/>
        </w:rPr>
      </w:pPr>
      <w:bookmarkStart w:id="21" w:name="_Toc61062513"/>
      <w:bookmarkStart w:id="22" w:name="_Toc61062340"/>
      <w:r w:rsidRPr="001E5747">
        <w:rPr>
          <w:rFonts w:asciiTheme="majorHAnsi" w:hAnsiTheme="majorHAnsi"/>
          <w:sz w:val="21"/>
          <w:szCs w:val="21"/>
          <w:lang w:val="en-GB"/>
        </w:rPr>
        <w:t>Municipal Performance Grant (MPG) rules are regulated by</w:t>
      </w:r>
      <w:bookmarkEnd w:id="20"/>
      <w:bookmarkEnd w:id="21"/>
      <w:bookmarkEnd w:id="22"/>
      <w:r w:rsidR="002333A4">
        <w:rPr>
          <w:rFonts w:asciiTheme="majorHAnsi" w:hAnsiTheme="majorHAnsi"/>
          <w:sz w:val="21"/>
          <w:szCs w:val="21"/>
          <w:lang w:val="en-GB"/>
        </w:rPr>
        <w:t xml:space="preserve"> Law no. 08/</w:t>
      </w:r>
      <w:r w:rsidR="00DA7895">
        <w:rPr>
          <w:rFonts w:asciiTheme="majorHAnsi" w:hAnsiTheme="majorHAnsi"/>
          <w:sz w:val="21"/>
          <w:szCs w:val="21"/>
          <w:lang w:val="en-GB"/>
        </w:rPr>
        <w:t>L</w:t>
      </w:r>
      <w:r w:rsidR="002333A4">
        <w:rPr>
          <w:rFonts w:asciiTheme="majorHAnsi" w:hAnsiTheme="majorHAnsi"/>
          <w:sz w:val="21"/>
          <w:szCs w:val="21"/>
          <w:lang w:val="en-GB"/>
        </w:rPr>
        <w:t xml:space="preserve">-103 </w:t>
      </w:r>
      <w:r w:rsidR="00C30C71">
        <w:rPr>
          <w:rFonts w:asciiTheme="majorHAnsi" w:hAnsiTheme="majorHAnsi"/>
          <w:sz w:val="21"/>
          <w:szCs w:val="21"/>
          <w:lang w:val="en-GB"/>
        </w:rPr>
        <w:t xml:space="preserve">on the </w:t>
      </w:r>
      <w:r w:rsidR="00DA7895">
        <w:rPr>
          <w:rFonts w:asciiTheme="majorHAnsi" w:hAnsiTheme="majorHAnsi"/>
          <w:sz w:val="21"/>
          <w:szCs w:val="21"/>
          <w:lang w:val="en-GB"/>
        </w:rPr>
        <w:t>M</w:t>
      </w:r>
      <w:r w:rsidR="00C30C71">
        <w:rPr>
          <w:rFonts w:asciiTheme="majorHAnsi" w:hAnsiTheme="majorHAnsi"/>
          <w:sz w:val="21"/>
          <w:szCs w:val="21"/>
          <w:lang w:val="en-GB"/>
        </w:rPr>
        <w:t xml:space="preserve">unicipal </w:t>
      </w:r>
      <w:r w:rsidR="00DA7895">
        <w:rPr>
          <w:rFonts w:asciiTheme="majorHAnsi" w:hAnsiTheme="majorHAnsi"/>
          <w:sz w:val="21"/>
          <w:szCs w:val="21"/>
          <w:lang w:val="en-GB"/>
        </w:rPr>
        <w:t>P</w:t>
      </w:r>
      <w:r w:rsidR="00C30C71">
        <w:rPr>
          <w:rFonts w:asciiTheme="majorHAnsi" w:hAnsiTheme="majorHAnsi"/>
          <w:sz w:val="21"/>
          <w:szCs w:val="21"/>
          <w:lang w:val="en-GB"/>
        </w:rPr>
        <w:t xml:space="preserve">erformance </w:t>
      </w:r>
      <w:r w:rsidR="00DA7895">
        <w:rPr>
          <w:rFonts w:asciiTheme="majorHAnsi" w:hAnsiTheme="majorHAnsi"/>
          <w:sz w:val="21"/>
          <w:szCs w:val="21"/>
          <w:lang w:val="en-GB"/>
        </w:rPr>
        <w:t>M</w:t>
      </w:r>
      <w:r w:rsidR="00C30C71">
        <w:rPr>
          <w:rFonts w:asciiTheme="majorHAnsi" w:hAnsiTheme="majorHAnsi"/>
          <w:sz w:val="21"/>
          <w:szCs w:val="21"/>
          <w:lang w:val="en-GB"/>
        </w:rPr>
        <w:t xml:space="preserve">anagement </w:t>
      </w:r>
      <w:r w:rsidR="00DA7895">
        <w:rPr>
          <w:rFonts w:asciiTheme="majorHAnsi" w:hAnsiTheme="majorHAnsi"/>
          <w:sz w:val="21"/>
          <w:szCs w:val="21"/>
          <w:lang w:val="en-GB"/>
        </w:rPr>
        <w:t>S</w:t>
      </w:r>
      <w:r w:rsidR="00C30C71">
        <w:rPr>
          <w:rFonts w:asciiTheme="majorHAnsi" w:hAnsiTheme="majorHAnsi"/>
          <w:sz w:val="21"/>
          <w:szCs w:val="21"/>
          <w:lang w:val="en-GB"/>
        </w:rPr>
        <w:t xml:space="preserve">ystem and the </w:t>
      </w:r>
      <w:r w:rsidR="00DA7895">
        <w:rPr>
          <w:rFonts w:asciiTheme="majorHAnsi" w:hAnsiTheme="majorHAnsi"/>
          <w:sz w:val="21"/>
          <w:szCs w:val="21"/>
          <w:lang w:val="en-GB"/>
        </w:rPr>
        <w:t>P</w:t>
      </w:r>
      <w:r w:rsidR="00C30C71">
        <w:rPr>
          <w:rFonts w:asciiTheme="majorHAnsi" w:hAnsiTheme="majorHAnsi"/>
          <w:sz w:val="21"/>
          <w:szCs w:val="21"/>
          <w:lang w:val="en-GB"/>
        </w:rPr>
        <w:t>erformance-</w:t>
      </w:r>
      <w:r w:rsidR="00DA7895">
        <w:rPr>
          <w:rFonts w:asciiTheme="majorHAnsi" w:hAnsiTheme="majorHAnsi"/>
          <w:sz w:val="21"/>
          <w:szCs w:val="21"/>
          <w:lang w:val="en-GB"/>
        </w:rPr>
        <w:t>B</w:t>
      </w:r>
      <w:r w:rsidR="00C30C71">
        <w:rPr>
          <w:rFonts w:asciiTheme="majorHAnsi" w:hAnsiTheme="majorHAnsi"/>
          <w:sz w:val="21"/>
          <w:szCs w:val="21"/>
          <w:lang w:val="en-GB"/>
        </w:rPr>
        <w:t xml:space="preserve">ased </w:t>
      </w:r>
      <w:r w:rsidR="00DA7895">
        <w:rPr>
          <w:rFonts w:asciiTheme="majorHAnsi" w:hAnsiTheme="majorHAnsi"/>
          <w:sz w:val="21"/>
          <w:szCs w:val="21"/>
          <w:lang w:val="en-GB"/>
        </w:rPr>
        <w:t>G</w:t>
      </w:r>
      <w:r w:rsidR="00C30C71">
        <w:rPr>
          <w:rFonts w:asciiTheme="majorHAnsi" w:hAnsiTheme="majorHAnsi"/>
          <w:sz w:val="21"/>
          <w:szCs w:val="21"/>
          <w:lang w:val="en-GB"/>
        </w:rPr>
        <w:t xml:space="preserve">rant </w:t>
      </w:r>
      <w:r w:rsidR="00DA7895">
        <w:rPr>
          <w:rFonts w:asciiTheme="majorHAnsi" w:hAnsiTheme="majorHAnsi"/>
          <w:sz w:val="21"/>
          <w:szCs w:val="21"/>
          <w:lang w:val="en-GB"/>
        </w:rPr>
        <w:t>S</w:t>
      </w:r>
      <w:r w:rsidR="00C30C71">
        <w:rPr>
          <w:rFonts w:asciiTheme="majorHAnsi" w:hAnsiTheme="majorHAnsi"/>
          <w:sz w:val="21"/>
          <w:szCs w:val="21"/>
          <w:lang w:val="en-GB"/>
        </w:rPr>
        <w:t xml:space="preserve">cheme and </w:t>
      </w:r>
      <w:r w:rsidR="00DA7895">
        <w:rPr>
          <w:rFonts w:asciiTheme="majorHAnsi" w:hAnsiTheme="majorHAnsi"/>
          <w:sz w:val="21"/>
          <w:szCs w:val="21"/>
          <w:lang w:val="en-GB"/>
        </w:rPr>
        <w:t>A</w:t>
      </w:r>
      <w:r w:rsidR="00C30C71">
        <w:rPr>
          <w:rFonts w:asciiTheme="majorHAnsi" w:hAnsiTheme="majorHAnsi"/>
          <w:sz w:val="21"/>
          <w:szCs w:val="21"/>
          <w:lang w:val="en-GB"/>
        </w:rPr>
        <w:t xml:space="preserve">dministrative </w:t>
      </w:r>
      <w:r w:rsidR="00DA7895">
        <w:rPr>
          <w:rFonts w:asciiTheme="majorHAnsi" w:hAnsiTheme="majorHAnsi"/>
          <w:sz w:val="21"/>
          <w:szCs w:val="21"/>
          <w:lang w:val="en-GB"/>
        </w:rPr>
        <w:t>I</w:t>
      </w:r>
      <w:r w:rsidR="00C30C71">
        <w:rPr>
          <w:rFonts w:asciiTheme="majorHAnsi" w:hAnsiTheme="majorHAnsi"/>
          <w:sz w:val="21"/>
          <w:szCs w:val="21"/>
          <w:lang w:val="en-GB"/>
        </w:rPr>
        <w:t>nstruction (MLGA) no. 01/2023 on the municipal performance management and the municipal performance grant scheme.</w:t>
      </w:r>
    </w:p>
    <w:p w14:paraId="64C51D2D" w14:textId="77777777" w:rsidR="00B739C3" w:rsidRPr="001E5747" w:rsidRDefault="00B739C3" w:rsidP="00E6596D">
      <w:pPr>
        <w:jc w:val="both"/>
        <w:rPr>
          <w:rFonts w:asciiTheme="majorHAnsi" w:hAnsiTheme="majorHAnsi"/>
          <w:b/>
          <w:sz w:val="21"/>
          <w:szCs w:val="21"/>
          <w:lang w:val="en-GB"/>
        </w:rPr>
      </w:pPr>
      <w:r w:rsidRPr="001E5747">
        <w:rPr>
          <w:rFonts w:asciiTheme="majorHAnsi" w:hAnsiTheme="majorHAnsi"/>
          <w:sz w:val="21"/>
          <w:szCs w:val="21"/>
          <w:lang w:val="en-GB"/>
        </w:rPr>
        <w:t>Other material and procedural aspects are subject to treatment in the MPG Rules set out in this document.</w:t>
      </w:r>
    </w:p>
    <w:p w14:paraId="78FD2C46" w14:textId="77777777" w:rsidR="00B739C3" w:rsidRPr="001E5747" w:rsidRDefault="00B739C3" w:rsidP="00B739C3">
      <w:pPr>
        <w:bidi/>
        <w:rPr>
          <w:lang w:val="en-GB"/>
        </w:rPr>
      </w:pPr>
    </w:p>
    <w:p w14:paraId="23986CF9" w14:textId="77777777" w:rsidR="00B739C3" w:rsidRPr="001E5747" w:rsidRDefault="00B739C3" w:rsidP="00B739C3">
      <w:pPr>
        <w:pStyle w:val="Heading1"/>
        <w:numPr>
          <w:ilvl w:val="1"/>
          <w:numId w:val="42"/>
        </w:numPr>
        <w:tabs>
          <w:tab w:val="left" w:pos="540"/>
        </w:tabs>
        <w:ind w:left="1134" w:hanging="1134"/>
        <w:rPr>
          <w:rFonts w:asciiTheme="majorHAnsi" w:hAnsiTheme="majorHAnsi"/>
          <w:color w:val="C0504D" w:themeColor="accent2"/>
          <w:szCs w:val="28"/>
          <w:lang w:val="en-GB"/>
        </w:rPr>
      </w:pPr>
      <w:bookmarkStart w:id="23" w:name="_Toc61062514"/>
      <w:bookmarkStart w:id="24" w:name="_Toc214024539"/>
      <w:r w:rsidRPr="001E5747">
        <w:rPr>
          <w:rFonts w:asciiTheme="majorHAnsi" w:hAnsiTheme="majorHAnsi"/>
          <w:color w:val="C0504D" w:themeColor="accent2"/>
          <w:szCs w:val="28"/>
          <w:lang w:val="en-GB"/>
        </w:rPr>
        <w:lastRenderedPageBreak/>
        <w:t>Purpose</w:t>
      </w:r>
      <w:bookmarkEnd w:id="23"/>
      <w:bookmarkEnd w:id="24"/>
    </w:p>
    <w:p w14:paraId="29994388" w14:textId="77777777" w:rsidR="00B739C3" w:rsidRPr="001E5747" w:rsidRDefault="00B739C3" w:rsidP="00B739C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lang w:val="en-GB"/>
        </w:rPr>
      </w:pPr>
      <w:r w:rsidRPr="001E5747">
        <w:rPr>
          <w:rFonts w:asciiTheme="majorHAnsi" w:hAnsiTheme="majorHAnsi"/>
          <w:sz w:val="21"/>
          <w:szCs w:val="21"/>
          <w:lang w:val="en-GB"/>
        </w:rPr>
        <w:t>The MPG is provided in the form of financial support to municipalities and aims to stimulate them to improve performance in certain areas, namely democratic local governance, good municipal management and service delivery.</w:t>
      </w:r>
    </w:p>
    <w:p w14:paraId="77C07F49" w14:textId="77777777" w:rsidR="00B739C3" w:rsidRPr="001E5747" w:rsidRDefault="00B739C3" w:rsidP="00B739C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lang w:val="en-GB"/>
        </w:rPr>
      </w:pPr>
      <w:bookmarkStart w:id="25" w:name="_Toc170432956"/>
      <w:bookmarkStart w:id="26" w:name="_Toc170004014"/>
      <w:bookmarkStart w:id="27" w:name="_Toc236632739"/>
    </w:p>
    <w:p w14:paraId="2EE00D48" w14:textId="77777777" w:rsidR="00B739C3" w:rsidRPr="001E5747" w:rsidRDefault="00B739C3" w:rsidP="00B739C3">
      <w:pPr>
        <w:pStyle w:val="Heading1"/>
        <w:numPr>
          <w:ilvl w:val="1"/>
          <w:numId w:val="42"/>
        </w:numPr>
        <w:tabs>
          <w:tab w:val="left" w:pos="540"/>
        </w:tabs>
        <w:ind w:left="1134" w:hanging="1134"/>
        <w:rPr>
          <w:rFonts w:asciiTheme="majorHAnsi" w:hAnsiTheme="majorHAnsi"/>
          <w:color w:val="C0504D" w:themeColor="accent2"/>
          <w:szCs w:val="28"/>
          <w:lang w:val="en-GB"/>
        </w:rPr>
      </w:pPr>
      <w:bookmarkStart w:id="28" w:name="_Toc61062515"/>
      <w:bookmarkStart w:id="29" w:name="_Toc214024540"/>
      <w:r w:rsidRPr="001E5747">
        <w:rPr>
          <w:rFonts w:asciiTheme="majorHAnsi" w:hAnsiTheme="majorHAnsi"/>
          <w:color w:val="C0504D" w:themeColor="accent2"/>
          <w:szCs w:val="28"/>
          <w:lang w:val="en-GB"/>
        </w:rPr>
        <w:t>Key topics</w:t>
      </w:r>
      <w:bookmarkEnd w:id="25"/>
      <w:bookmarkEnd w:id="26"/>
      <w:bookmarkEnd w:id="27"/>
      <w:bookmarkEnd w:id="28"/>
      <w:bookmarkEnd w:id="29"/>
    </w:p>
    <w:p w14:paraId="646A3D13" w14:textId="77777777" w:rsidR="00B739C3" w:rsidRPr="001E5747" w:rsidRDefault="00E6596D" w:rsidP="00B739C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lang w:val="en-GB"/>
        </w:rPr>
      </w:pPr>
      <w:proofErr w:type="gramStart"/>
      <w:r w:rsidRPr="001E5747">
        <w:rPr>
          <w:rFonts w:asciiTheme="majorHAnsi" w:hAnsiTheme="majorHAnsi"/>
          <w:sz w:val="21"/>
          <w:szCs w:val="21"/>
          <w:lang w:val="en-GB"/>
        </w:rPr>
        <w:t>Taking into account</w:t>
      </w:r>
      <w:proofErr w:type="gramEnd"/>
      <w:r w:rsidR="00B739C3" w:rsidRPr="001E5747">
        <w:rPr>
          <w:rFonts w:asciiTheme="majorHAnsi" w:hAnsiTheme="majorHAnsi"/>
          <w:sz w:val="21"/>
          <w:szCs w:val="21"/>
          <w:lang w:val="en-GB"/>
        </w:rPr>
        <w:t xml:space="preserve"> the analysis of critical factors that may prevent municipalities from becoming </w:t>
      </w:r>
      <w:r w:rsidR="00B739C3" w:rsidRPr="001E5747">
        <w:rPr>
          <w:rFonts w:asciiTheme="majorHAnsi" w:hAnsiTheme="majorHAnsi"/>
          <w:i/>
          <w:iCs/>
          <w:sz w:val="21"/>
          <w:szCs w:val="21"/>
          <w:lang w:val="en-GB"/>
        </w:rPr>
        <w:t>'vibrant democratic local government institutions that provide quality services'</w:t>
      </w:r>
      <w:r w:rsidR="00B739C3" w:rsidRPr="001E5747">
        <w:rPr>
          <w:rFonts w:asciiTheme="majorHAnsi" w:hAnsiTheme="majorHAnsi"/>
          <w:sz w:val="21"/>
          <w:szCs w:val="21"/>
          <w:lang w:val="en-GB"/>
        </w:rPr>
        <w:t xml:space="preserve">, the MPG will focus on the following three topics: </w:t>
      </w:r>
    </w:p>
    <w:p w14:paraId="5AB5EB66" w14:textId="77777777" w:rsidR="00B739C3" w:rsidRPr="001E5747" w:rsidRDefault="00B739C3" w:rsidP="00B739C3">
      <w:pPr>
        <w:widowControl w:val="0"/>
        <w:numPr>
          <w:ilvl w:val="0"/>
          <w:numId w:val="5"/>
        </w:numPr>
        <w:tabs>
          <w:tab w:val="left" w:pos="560"/>
          <w:tab w:val="left" w:pos="993"/>
          <w:tab w:val="left" w:pos="1134"/>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lang w:val="en-GB"/>
        </w:rPr>
      </w:pPr>
      <w:r w:rsidRPr="001E5747">
        <w:rPr>
          <w:rFonts w:asciiTheme="majorHAnsi" w:hAnsiTheme="majorHAnsi"/>
          <w:sz w:val="21"/>
          <w:szCs w:val="21"/>
          <w:lang w:val="en-GB"/>
        </w:rPr>
        <w:t>Democratic governance;</w:t>
      </w:r>
    </w:p>
    <w:p w14:paraId="10149EAB" w14:textId="77777777" w:rsidR="00B739C3" w:rsidRPr="001E5747" w:rsidRDefault="00B739C3" w:rsidP="00B739C3">
      <w:pPr>
        <w:widowControl w:val="0"/>
        <w:numPr>
          <w:ilvl w:val="0"/>
          <w:numId w:val="5"/>
        </w:numPr>
        <w:tabs>
          <w:tab w:val="left" w:pos="560"/>
          <w:tab w:val="left" w:pos="993"/>
          <w:tab w:val="left" w:pos="1134"/>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lang w:val="en-GB"/>
        </w:rPr>
      </w:pPr>
      <w:r w:rsidRPr="001E5747">
        <w:rPr>
          <w:rFonts w:asciiTheme="majorHAnsi" w:hAnsiTheme="majorHAnsi"/>
          <w:sz w:val="21"/>
          <w:szCs w:val="21"/>
          <w:lang w:val="en-GB"/>
        </w:rPr>
        <w:t>Municipal management;</w:t>
      </w:r>
    </w:p>
    <w:p w14:paraId="0217CE35" w14:textId="77777777" w:rsidR="00B739C3" w:rsidRPr="001E5747" w:rsidRDefault="00B739C3" w:rsidP="00B739C3">
      <w:pPr>
        <w:widowControl w:val="0"/>
        <w:numPr>
          <w:ilvl w:val="0"/>
          <w:numId w:val="5"/>
        </w:numPr>
        <w:tabs>
          <w:tab w:val="left" w:pos="560"/>
          <w:tab w:val="left" w:pos="993"/>
          <w:tab w:val="left" w:pos="1134"/>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lang w:val="en-GB"/>
        </w:rPr>
      </w:pPr>
      <w:r w:rsidRPr="001E5747">
        <w:rPr>
          <w:rFonts w:asciiTheme="majorHAnsi" w:hAnsiTheme="majorHAnsi"/>
          <w:sz w:val="21"/>
          <w:szCs w:val="21"/>
          <w:lang w:val="en-GB"/>
        </w:rPr>
        <w:t>Provision of services.</w:t>
      </w:r>
    </w:p>
    <w:p w14:paraId="664E70B0" w14:textId="2F5F14C9" w:rsidR="00B739C3" w:rsidRPr="001E5747" w:rsidRDefault="00B739C3" w:rsidP="00B739C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lang w:val="en-GB"/>
        </w:rPr>
      </w:pPr>
      <w:r w:rsidRPr="001E5747">
        <w:rPr>
          <w:rFonts w:asciiTheme="majorHAnsi" w:hAnsiTheme="majorHAnsi"/>
          <w:sz w:val="21"/>
          <w:szCs w:val="21"/>
          <w:lang w:val="en-GB"/>
        </w:rPr>
        <w:t>These three topics are further divided into ten sub-topics as presented in Table 1. Within these sub-topics,</w:t>
      </w:r>
      <w:r w:rsidR="00184600">
        <w:rPr>
          <w:rFonts w:asciiTheme="majorHAnsi" w:hAnsiTheme="majorHAnsi"/>
          <w:sz w:val="21"/>
          <w:szCs w:val="21"/>
          <w:lang w:val="en-GB"/>
        </w:rPr>
        <w:t xml:space="preserve"> 30</w:t>
      </w:r>
      <w:r w:rsidRPr="001E5747">
        <w:rPr>
          <w:rFonts w:asciiTheme="majorHAnsi" w:hAnsiTheme="majorHAnsi"/>
          <w:sz w:val="21"/>
          <w:szCs w:val="21"/>
          <w:lang w:val="en-GB"/>
        </w:rPr>
        <w:t xml:space="preserve"> performance indicators have been identified, </w:t>
      </w:r>
      <w:r w:rsidR="00184600">
        <w:rPr>
          <w:rFonts w:asciiTheme="majorHAnsi" w:hAnsiTheme="majorHAnsi"/>
          <w:sz w:val="21"/>
          <w:szCs w:val="21"/>
          <w:lang w:val="en-GB"/>
        </w:rPr>
        <w:t xml:space="preserve">from which </w:t>
      </w:r>
      <w:r w:rsidR="001368BE">
        <w:rPr>
          <w:rFonts w:asciiTheme="majorHAnsi" w:hAnsiTheme="majorHAnsi"/>
          <w:sz w:val="21"/>
          <w:szCs w:val="21"/>
          <w:lang w:val="en-GB"/>
        </w:rPr>
        <w:t>2</w:t>
      </w:r>
      <w:r w:rsidR="000B5863">
        <w:rPr>
          <w:rFonts w:asciiTheme="majorHAnsi" w:hAnsiTheme="majorHAnsi"/>
          <w:sz w:val="21"/>
          <w:szCs w:val="21"/>
          <w:lang w:val="en-GB"/>
        </w:rPr>
        <w:t>9</w:t>
      </w:r>
      <w:r w:rsidR="001368BE">
        <w:rPr>
          <w:rFonts w:asciiTheme="majorHAnsi" w:hAnsiTheme="majorHAnsi"/>
          <w:sz w:val="21"/>
          <w:szCs w:val="21"/>
          <w:lang w:val="en-GB"/>
        </w:rPr>
        <w:t xml:space="preserve"> </w:t>
      </w:r>
      <w:r w:rsidR="00184600">
        <w:rPr>
          <w:rFonts w:asciiTheme="majorHAnsi" w:hAnsiTheme="majorHAnsi"/>
          <w:sz w:val="21"/>
          <w:szCs w:val="21"/>
          <w:lang w:val="en-GB"/>
        </w:rPr>
        <w:t xml:space="preserve">performance indicators will be measured for the performance </w:t>
      </w:r>
      <w:r w:rsidR="001368BE">
        <w:rPr>
          <w:rFonts w:asciiTheme="majorHAnsi" w:hAnsiTheme="majorHAnsi"/>
          <w:sz w:val="21"/>
          <w:szCs w:val="21"/>
          <w:lang w:val="en-GB"/>
        </w:rPr>
        <w:t>202</w:t>
      </w:r>
      <w:r w:rsidR="000B5863">
        <w:rPr>
          <w:rFonts w:asciiTheme="majorHAnsi" w:hAnsiTheme="majorHAnsi"/>
          <w:sz w:val="21"/>
          <w:szCs w:val="21"/>
          <w:lang w:val="en-GB"/>
        </w:rPr>
        <w:t>4</w:t>
      </w:r>
      <w:r w:rsidR="00AF2CD3">
        <w:rPr>
          <w:rStyle w:val="FootnoteReference"/>
          <w:rFonts w:asciiTheme="majorHAnsi" w:hAnsiTheme="majorHAnsi"/>
          <w:sz w:val="21"/>
          <w:szCs w:val="21"/>
          <w:lang w:val="en-GB"/>
        </w:rPr>
        <w:footnoteReference w:id="2"/>
      </w:r>
      <w:r w:rsidR="00184600">
        <w:rPr>
          <w:rFonts w:asciiTheme="majorHAnsi" w:hAnsiTheme="majorHAnsi"/>
          <w:sz w:val="21"/>
          <w:szCs w:val="21"/>
          <w:lang w:val="en-GB"/>
        </w:rPr>
        <w:t xml:space="preserve">. This will </w:t>
      </w:r>
      <w:r w:rsidR="00E6596D" w:rsidRPr="001E5747">
        <w:rPr>
          <w:rFonts w:asciiTheme="majorHAnsi" w:hAnsiTheme="majorHAnsi"/>
          <w:sz w:val="21"/>
          <w:szCs w:val="21"/>
          <w:lang w:val="en-GB"/>
        </w:rPr>
        <w:t>allow</w:t>
      </w:r>
      <w:r w:rsidRPr="001E5747">
        <w:rPr>
          <w:rFonts w:asciiTheme="majorHAnsi" w:hAnsiTheme="majorHAnsi"/>
          <w:sz w:val="21"/>
          <w:szCs w:val="21"/>
          <w:lang w:val="en-GB"/>
        </w:rPr>
        <w:t xml:space="preserve"> municipalities to receive </w:t>
      </w:r>
      <w:r w:rsidR="00E87C77">
        <w:rPr>
          <w:rFonts w:asciiTheme="majorHAnsi" w:hAnsiTheme="majorHAnsi"/>
          <w:sz w:val="21"/>
          <w:szCs w:val="21"/>
          <w:lang w:val="en-GB"/>
        </w:rPr>
        <w:t>9</w:t>
      </w:r>
      <w:r w:rsidR="000B5863">
        <w:rPr>
          <w:rFonts w:asciiTheme="majorHAnsi" w:hAnsiTheme="majorHAnsi"/>
          <w:sz w:val="21"/>
          <w:szCs w:val="21"/>
          <w:lang w:val="en-GB"/>
        </w:rPr>
        <w:t>8</w:t>
      </w:r>
      <w:r w:rsidR="001368BE" w:rsidRPr="001E5747">
        <w:rPr>
          <w:rFonts w:asciiTheme="majorHAnsi" w:hAnsiTheme="majorHAnsi"/>
          <w:sz w:val="21"/>
          <w:szCs w:val="21"/>
          <w:lang w:val="en-GB"/>
        </w:rPr>
        <w:t xml:space="preserve"> </w:t>
      </w:r>
      <w:r w:rsidRPr="001E5747">
        <w:rPr>
          <w:rFonts w:asciiTheme="majorHAnsi" w:hAnsiTheme="majorHAnsi"/>
          <w:sz w:val="21"/>
          <w:szCs w:val="21"/>
          <w:lang w:val="en-GB"/>
        </w:rPr>
        <w:t>points</w:t>
      </w:r>
      <w:r w:rsidR="00184600">
        <w:rPr>
          <w:rFonts w:asciiTheme="majorHAnsi" w:hAnsiTheme="majorHAnsi"/>
          <w:sz w:val="21"/>
          <w:szCs w:val="21"/>
          <w:lang w:val="en-GB"/>
        </w:rPr>
        <w:t xml:space="preserve"> (out of 100</w:t>
      </w:r>
      <w:r w:rsidR="000F7087">
        <w:rPr>
          <w:rFonts w:asciiTheme="majorHAnsi" w:hAnsiTheme="majorHAnsi"/>
          <w:sz w:val="21"/>
          <w:szCs w:val="21"/>
          <w:lang w:val="en-GB"/>
        </w:rPr>
        <w:t xml:space="preserve"> points</w:t>
      </w:r>
      <w:r w:rsidR="00184600">
        <w:rPr>
          <w:rFonts w:asciiTheme="majorHAnsi" w:hAnsiTheme="majorHAnsi"/>
          <w:sz w:val="21"/>
          <w:szCs w:val="21"/>
          <w:lang w:val="en-GB"/>
        </w:rPr>
        <w:t>)</w:t>
      </w:r>
      <w:r w:rsidRPr="001E5747">
        <w:rPr>
          <w:rFonts w:asciiTheme="majorHAnsi" w:hAnsiTheme="majorHAnsi"/>
          <w:sz w:val="21"/>
          <w:szCs w:val="21"/>
          <w:lang w:val="en-GB"/>
        </w:rPr>
        <w:t xml:space="preserve"> in the performance </w:t>
      </w:r>
      <w:r w:rsidR="009767E2">
        <w:rPr>
          <w:rFonts w:asciiTheme="majorHAnsi" w:hAnsiTheme="majorHAnsi"/>
          <w:color w:val="000000" w:themeColor="text1"/>
          <w:sz w:val="21"/>
          <w:szCs w:val="21"/>
          <w:lang w:val="en-GB"/>
        </w:rPr>
        <w:t>assessment</w:t>
      </w:r>
      <w:r w:rsidR="00184600">
        <w:rPr>
          <w:rFonts w:asciiTheme="majorHAnsi" w:hAnsiTheme="majorHAnsi"/>
          <w:color w:val="000000" w:themeColor="text1"/>
          <w:sz w:val="21"/>
          <w:szCs w:val="21"/>
          <w:lang w:val="en-GB"/>
        </w:rPr>
        <w:t xml:space="preserve"> </w:t>
      </w:r>
      <w:r w:rsidR="001368BE">
        <w:rPr>
          <w:rFonts w:asciiTheme="majorHAnsi" w:hAnsiTheme="majorHAnsi"/>
          <w:color w:val="000000" w:themeColor="text1"/>
          <w:sz w:val="21"/>
          <w:szCs w:val="21"/>
          <w:lang w:val="en-GB"/>
        </w:rPr>
        <w:t>202</w:t>
      </w:r>
      <w:r w:rsidR="000B5863">
        <w:rPr>
          <w:rFonts w:asciiTheme="majorHAnsi" w:hAnsiTheme="majorHAnsi"/>
          <w:color w:val="000000" w:themeColor="text1"/>
          <w:sz w:val="21"/>
          <w:szCs w:val="21"/>
          <w:lang w:val="en-GB"/>
        </w:rPr>
        <w:t>4</w:t>
      </w:r>
      <w:r w:rsidRPr="001E5747">
        <w:rPr>
          <w:rFonts w:asciiTheme="majorHAnsi" w:hAnsiTheme="majorHAnsi"/>
          <w:sz w:val="21"/>
          <w:szCs w:val="21"/>
          <w:lang w:val="en-GB"/>
        </w:rPr>
        <w:t xml:space="preserve">. </w:t>
      </w:r>
      <w:r w:rsidR="00FD4A7E">
        <w:rPr>
          <w:rFonts w:asciiTheme="majorHAnsi" w:hAnsiTheme="majorHAnsi"/>
          <w:sz w:val="21"/>
          <w:szCs w:val="21"/>
          <w:lang w:val="en-GB"/>
        </w:rPr>
        <w:t xml:space="preserve">For further explanation please see section 2.3. </w:t>
      </w:r>
      <w:r w:rsidRPr="001E5747">
        <w:rPr>
          <w:rFonts w:asciiTheme="majorHAnsi" w:hAnsiTheme="majorHAnsi"/>
          <w:sz w:val="21"/>
          <w:szCs w:val="21"/>
          <w:lang w:val="en-GB"/>
        </w:rPr>
        <w:t xml:space="preserve">The </w:t>
      </w:r>
      <w:r w:rsidR="00F45AB5">
        <w:rPr>
          <w:rFonts w:asciiTheme="majorHAnsi" w:hAnsiTheme="majorHAnsi"/>
          <w:sz w:val="21"/>
          <w:szCs w:val="21"/>
          <w:lang w:val="en-GB"/>
        </w:rPr>
        <w:t xml:space="preserve">obtained </w:t>
      </w:r>
      <w:r w:rsidRPr="001E5747">
        <w:rPr>
          <w:rFonts w:asciiTheme="majorHAnsi" w:hAnsiTheme="majorHAnsi"/>
          <w:sz w:val="21"/>
          <w:szCs w:val="21"/>
          <w:lang w:val="en-GB"/>
        </w:rPr>
        <w:t>points determine the amount of grant a municipality receives based on its performance.</w:t>
      </w:r>
    </w:p>
    <w:p w14:paraId="6A45FAEF" w14:textId="77777777" w:rsidR="00B739C3" w:rsidRPr="001E5747" w:rsidRDefault="00B739C3" w:rsidP="00B739C3">
      <w:pPr>
        <w:tabs>
          <w:tab w:val="left" w:pos="567"/>
        </w:tabs>
        <w:spacing w:before="180" w:line="288" w:lineRule="auto"/>
        <w:jc w:val="both"/>
        <w:rPr>
          <w:rFonts w:ascii="Arial" w:hAnsi="Arial"/>
          <w:b/>
          <w:sz w:val="20"/>
          <w:szCs w:val="20"/>
          <w:lang w:val="en-GB"/>
        </w:rPr>
      </w:pPr>
      <w:r w:rsidRPr="001E5747">
        <w:rPr>
          <w:rFonts w:ascii="Arial" w:hAnsi="Arial"/>
          <w:b/>
          <w:sz w:val="20"/>
          <w:szCs w:val="20"/>
          <w:lang w:val="en-GB"/>
        </w:rPr>
        <w:t>Table 1: Three main topics and ten sub-topics with maximum points</w:t>
      </w:r>
    </w:p>
    <w:tbl>
      <w:tblPr>
        <w:tblW w:w="918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2"/>
        <w:gridCol w:w="3738"/>
        <w:gridCol w:w="1710"/>
        <w:gridCol w:w="2880"/>
      </w:tblGrid>
      <w:tr w:rsidR="000B5863" w:rsidRPr="006504C9" w14:paraId="3CE7FF5B" w14:textId="563D80E9" w:rsidTr="00E46572">
        <w:trPr>
          <w:trHeight w:val="300"/>
        </w:trPr>
        <w:tc>
          <w:tcPr>
            <w:tcW w:w="4590" w:type="dxa"/>
            <w:gridSpan w:val="2"/>
            <w:tcBorders>
              <w:top w:val="dotted" w:sz="4" w:space="0" w:color="auto"/>
              <w:left w:val="dotted" w:sz="4" w:space="0" w:color="auto"/>
              <w:bottom w:val="dotted" w:sz="4" w:space="0" w:color="auto"/>
              <w:right w:val="dotted" w:sz="4" w:space="0" w:color="auto"/>
            </w:tcBorders>
            <w:shd w:val="clear" w:color="auto" w:fill="C0504D"/>
            <w:noWrap/>
            <w:vAlign w:val="center"/>
            <w:hideMark/>
          </w:tcPr>
          <w:p w14:paraId="19B8A25B" w14:textId="77777777" w:rsidR="000B5863" w:rsidRPr="006504C9" w:rsidRDefault="000B5863" w:rsidP="00B739C3">
            <w:pPr>
              <w:rPr>
                <w:rFonts w:ascii="Calibri Light" w:hAnsi="Calibri Light" w:cs="Calibri Light"/>
                <w:b/>
                <w:bCs/>
                <w:color w:val="FFFFFF" w:themeColor="background1"/>
                <w:sz w:val="21"/>
                <w:szCs w:val="21"/>
                <w:lang w:val="en-GB"/>
              </w:rPr>
            </w:pPr>
            <w:r w:rsidRPr="006504C9">
              <w:rPr>
                <w:rFonts w:ascii="Calibri Light" w:hAnsi="Calibri Light" w:cs="Calibri Light"/>
                <w:b/>
                <w:bCs/>
                <w:color w:val="FFFFFF" w:themeColor="background1"/>
                <w:sz w:val="21"/>
                <w:szCs w:val="21"/>
                <w:lang w:val="en-GB"/>
              </w:rPr>
              <w:t>Topics and sub-topics</w:t>
            </w:r>
          </w:p>
        </w:tc>
        <w:tc>
          <w:tcPr>
            <w:tcW w:w="1710" w:type="dxa"/>
            <w:tcBorders>
              <w:top w:val="dotted" w:sz="4" w:space="0" w:color="auto"/>
              <w:left w:val="dotted" w:sz="4" w:space="0" w:color="auto"/>
              <w:bottom w:val="dotted" w:sz="4" w:space="0" w:color="auto"/>
              <w:right w:val="dotted" w:sz="4" w:space="0" w:color="auto"/>
            </w:tcBorders>
            <w:shd w:val="clear" w:color="auto" w:fill="C0504D"/>
            <w:noWrap/>
            <w:vAlign w:val="bottom"/>
            <w:hideMark/>
          </w:tcPr>
          <w:p w14:paraId="5B393661" w14:textId="77777777" w:rsidR="000B5863" w:rsidRPr="006504C9" w:rsidRDefault="000B5863" w:rsidP="00B739C3">
            <w:pPr>
              <w:jc w:val="center"/>
              <w:rPr>
                <w:rFonts w:ascii="Calibri Light" w:hAnsi="Calibri Light" w:cs="Calibri Light"/>
                <w:bCs/>
                <w:color w:val="FFFFFF" w:themeColor="background1"/>
                <w:sz w:val="21"/>
                <w:szCs w:val="21"/>
                <w:lang w:val="en-GB"/>
              </w:rPr>
            </w:pPr>
            <w:r w:rsidRPr="006504C9">
              <w:rPr>
                <w:rFonts w:ascii="Calibri Light" w:hAnsi="Calibri Light" w:cs="Calibri Light"/>
                <w:bCs/>
                <w:color w:val="FFFFFF" w:themeColor="background1"/>
                <w:sz w:val="21"/>
                <w:szCs w:val="21"/>
                <w:lang w:val="en-GB"/>
              </w:rPr>
              <w:t>Maximum possible points</w:t>
            </w:r>
          </w:p>
        </w:tc>
        <w:tc>
          <w:tcPr>
            <w:tcW w:w="2880" w:type="dxa"/>
            <w:tcBorders>
              <w:top w:val="dotted" w:sz="4" w:space="0" w:color="auto"/>
              <w:left w:val="dotted" w:sz="4" w:space="0" w:color="auto"/>
              <w:bottom w:val="dotted" w:sz="4" w:space="0" w:color="auto"/>
              <w:right w:val="dotted" w:sz="4" w:space="0" w:color="auto"/>
            </w:tcBorders>
            <w:shd w:val="clear" w:color="auto" w:fill="C0504D"/>
          </w:tcPr>
          <w:p w14:paraId="10873F77" w14:textId="3F887220" w:rsidR="000B5863" w:rsidRPr="006504C9" w:rsidRDefault="000B5863" w:rsidP="00B739C3">
            <w:pPr>
              <w:jc w:val="center"/>
              <w:rPr>
                <w:rFonts w:ascii="Calibri Light" w:hAnsi="Calibri Light" w:cs="Calibri Light"/>
                <w:bCs/>
                <w:color w:val="FFFFFF" w:themeColor="background1"/>
                <w:sz w:val="21"/>
                <w:szCs w:val="21"/>
                <w:lang w:val="en-GB"/>
              </w:rPr>
            </w:pPr>
            <w:r w:rsidRPr="000B5863">
              <w:rPr>
                <w:rFonts w:ascii="Calibri Light" w:hAnsi="Calibri Light" w:cs="Calibri Light"/>
                <w:bCs/>
                <w:color w:val="FFFFFF" w:themeColor="background1"/>
                <w:sz w:val="21"/>
                <w:szCs w:val="21"/>
              </w:rPr>
              <w:t xml:space="preserve">The </w:t>
            </w:r>
            <w:proofErr w:type="spellStart"/>
            <w:r w:rsidRPr="000B5863">
              <w:rPr>
                <w:rFonts w:ascii="Calibri Light" w:hAnsi="Calibri Light" w:cs="Calibri Light"/>
                <w:bCs/>
                <w:color w:val="FFFFFF" w:themeColor="background1"/>
                <w:sz w:val="21"/>
                <w:szCs w:val="21"/>
              </w:rPr>
              <w:t>points</w:t>
            </w:r>
            <w:proofErr w:type="spellEnd"/>
            <w:r w:rsidRPr="000B5863">
              <w:rPr>
                <w:rFonts w:ascii="Calibri Light" w:hAnsi="Calibri Light" w:cs="Calibri Light"/>
                <w:bCs/>
                <w:color w:val="FFFFFF" w:themeColor="background1"/>
                <w:sz w:val="21"/>
                <w:szCs w:val="21"/>
              </w:rPr>
              <w:t xml:space="preserve"> </w:t>
            </w:r>
            <w:proofErr w:type="spellStart"/>
            <w:r w:rsidRPr="000B5863">
              <w:rPr>
                <w:rFonts w:ascii="Calibri Light" w:hAnsi="Calibri Light" w:cs="Calibri Light"/>
                <w:bCs/>
                <w:color w:val="FFFFFF" w:themeColor="background1"/>
                <w:sz w:val="21"/>
                <w:szCs w:val="21"/>
              </w:rPr>
              <w:t>that</w:t>
            </w:r>
            <w:proofErr w:type="spellEnd"/>
            <w:r w:rsidRPr="000B5863">
              <w:rPr>
                <w:rFonts w:ascii="Calibri Light" w:hAnsi="Calibri Light" w:cs="Calibri Light"/>
                <w:bCs/>
                <w:color w:val="FFFFFF" w:themeColor="background1"/>
                <w:sz w:val="21"/>
                <w:szCs w:val="21"/>
              </w:rPr>
              <w:t xml:space="preserve"> </w:t>
            </w:r>
            <w:proofErr w:type="spellStart"/>
            <w:r w:rsidRPr="000B5863">
              <w:rPr>
                <w:rFonts w:ascii="Calibri Light" w:hAnsi="Calibri Light" w:cs="Calibri Light"/>
                <w:bCs/>
                <w:color w:val="FFFFFF" w:themeColor="background1"/>
                <w:sz w:val="21"/>
                <w:szCs w:val="21"/>
              </w:rPr>
              <w:t>will</w:t>
            </w:r>
            <w:proofErr w:type="spellEnd"/>
            <w:r w:rsidRPr="000B5863">
              <w:rPr>
                <w:rFonts w:ascii="Calibri Light" w:hAnsi="Calibri Light" w:cs="Calibri Light"/>
                <w:bCs/>
                <w:color w:val="FFFFFF" w:themeColor="background1"/>
                <w:sz w:val="21"/>
                <w:szCs w:val="21"/>
              </w:rPr>
              <w:t xml:space="preserve"> be </w:t>
            </w:r>
            <w:proofErr w:type="spellStart"/>
            <w:r w:rsidRPr="000B5863">
              <w:rPr>
                <w:rFonts w:ascii="Calibri Light" w:hAnsi="Calibri Light" w:cs="Calibri Light"/>
                <w:bCs/>
                <w:color w:val="FFFFFF" w:themeColor="background1"/>
                <w:sz w:val="21"/>
                <w:szCs w:val="21"/>
              </w:rPr>
              <w:t>evaluated</w:t>
            </w:r>
            <w:proofErr w:type="spellEnd"/>
            <w:r w:rsidRPr="000B5863">
              <w:rPr>
                <w:rFonts w:ascii="Calibri Light" w:hAnsi="Calibri Light" w:cs="Calibri Light"/>
                <w:bCs/>
                <w:color w:val="FFFFFF" w:themeColor="background1"/>
                <w:sz w:val="21"/>
                <w:szCs w:val="21"/>
              </w:rPr>
              <w:t xml:space="preserve"> </w:t>
            </w:r>
            <w:proofErr w:type="spellStart"/>
            <w:r w:rsidRPr="000B5863">
              <w:rPr>
                <w:rFonts w:ascii="Calibri Light" w:hAnsi="Calibri Light" w:cs="Calibri Light"/>
                <w:bCs/>
                <w:color w:val="FFFFFF" w:themeColor="background1"/>
                <w:sz w:val="21"/>
                <w:szCs w:val="21"/>
              </w:rPr>
              <w:t>for</w:t>
            </w:r>
            <w:proofErr w:type="spellEnd"/>
            <w:r w:rsidRPr="000B5863">
              <w:rPr>
                <w:rFonts w:ascii="Calibri Light" w:hAnsi="Calibri Light" w:cs="Calibri Light"/>
                <w:bCs/>
                <w:color w:val="FFFFFF" w:themeColor="background1"/>
                <w:sz w:val="21"/>
                <w:szCs w:val="21"/>
              </w:rPr>
              <w:t xml:space="preserve"> the </w:t>
            </w:r>
            <w:proofErr w:type="spellStart"/>
            <w:r w:rsidRPr="000B5863">
              <w:rPr>
                <w:rFonts w:ascii="Calibri Light" w:hAnsi="Calibri Light" w:cs="Calibri Light"/>
                <w:bCs/>
                <w:color w:val="FFFFFF" w:themeColor="background1"/>
                <w:sz w:val="21"/>
                <w:szCs w:val="21"/>
              </w:rPr>
              <w:t>fiscal</w:t>
            </w:r>
            <w:proofErr w:type="spellEnd"/>
            <w:r w:rsidRPr="000B5863">
              <w:rPr>
                <w:rFonts w:ascii="Calibri Light" w:hAnsi="Calibri Light" w:cs="Calibri Light"/>
                <w:bCs/>
                <w:color w:val="FFFFFF" w:themeColor="background1"/>
                <w:sz w:val="21"/>
                <w:szCs w:val="21"/>
              </w:rPr>
              <w:t xml:space="preserve"> </w:t>
            </w:r>
            <w:proofErr w:type="spellStart"/>
            <w:r w:rsidRPr="000B5863">
              <w:rPr>
                <w:rFonts w:ascii="Calibri Light" w:hAnsi="Calibri Light" w:cs="Calibri Light"/>
                <w:bCs/>
                <w:color w:val="FFFFFF" w:themeColor="background1"/>
                <w:sz w:val="21"/>
                <w:szCs w:val="21"/>
              </w:rPr>
              <w:t>year</w:t>
            </w:r>
            <w:proofErr w:type="spellEnd"/>
            <w:r w:rsidRPr="000B5863">
              <w:rPr>
                <w:rFonts w:ascii="Calibri Light" w:hAnsi="Calibri Light" w:cs="Calibri Light"/>
                <w:bCs/>
                <w:color w:val="FFFFFF" w:themeColor="background1"/>
                <w:sz w:val="21"/>
                <w:szCs w:val="21"/>
              </w:rPr>
              <w:t xml:space="preserve"> 2026 </w:t>
            </w:r>
            <w:proofErr w:type="spellStart"/>
            <w:r w:rsidRPr="000B5863">
              <w:rPr>
                <w:rFonts w:ascii="Calibri Light" w:hAnsi="Calibri Light" w:cs="Calibri Light"/>
                <w:bCs/>
                <w:color w:val="FFFFFF" w:themeColor="background1"/>
                <w:sz w:val="21"/>
                <w:szCs w:val="21"/>
              </w:rPr>
              <w:t>grant</w:t>
            </w:r>
            <w:proofErr w:type="spellEnd"/>
          </w:p>
        </w:tc>
      </w:tr>
      <w:tr w:rsidR="000B5863" w:rsidRPr="006504C9" w14:paraId="4F2DAC54" w14:textId="2F9A8363" w:rsidTr="00E46572">
        <w:trPr>
          <w:trHeight w:val="255"/>
        </w:trPr>
        <w:tc>
          <w:tcPr>
            <w:tcW w:w="4590" w:type="dxa"/>
            <w:gridSpan w:val="2"/>
            <w:tcBorders>
              <w:top w:val="dotted" w:sz="4" w:space="0" w:color="auto"/>
              <w:left w:val="dotted" w:sz="4" w:space="0" w:color="auto"/>
              <w:bottom w:val="dotted" w:sz="4" w:space="0" w:color="auto"/>
              <w:right w:val="dotted" w:sz="4" w:space="0" w:color="auto"/>
            </w:tcBorders>
            <w:shd w:val="clear" w:color="auto" w:fill="666699"/>
            <w:noWrap/>
            <w:vAlign w:val="bottom"/>
            <w:hideMark/>
          </w:tcPr>
          <w:p w14:paraId="2B3C10EA" w14:textId="77777777" w:rsidR="000B5863" w:rsidRPr="006504C9" w:rsidRDefault="000B5863" w:rsidP="00B739C3">
            <w:pPr>
              <w:spacing w:before="40" w:after="40"/>
              <w:rPr>
                <w:rFonts w:ascii="Calibri Light" w:hAnsi="Calibri Light" w:cs="Calibri Light"/>
                <w:color w:val="FFFFFF" w:themeColor="background1"/>
                <w:sz w:val="21"/>
                <w:szCs w:val="21"/>
                <w:lang w:val="en-GB"/>
              </w:rPr>
            </w:pPr>
            <w:r w:rsidRPr="006504C9">
              <w:rPr>
                <w:rFonts w:ascii="Calibri Light" w:hAnsi="Calibri Light" w:cs="Calibri Light"/>
                <w:b/>
                <w:bCs/>
                <w:color w:val="FFFFFF" w:themeColor="background1"/>
                <w:sz w:val="21"/>
                <w:szCs w:val="21"/>
                <w:lang w:val="en-GB"/>
              </w:rPr>
              <w:t>1. Democratic governance</w:t>
            </w:r>
          </w:p>
        </w:tc>
        <w:tc>
          <w:tcPr>
            <w:tcW w:w="1710" w:type="dxa"/>
            <w:tcBorders>
              <w:top w:val="dotted" w:sz="4" w:space="0" w:color="auto"/>
              <w:left w:val="dotted" w:sz="4" w:space="0" w:color="auto"/>
              <w:bottom w:val="dotted" w:sz="4" w:space="0" w:color="auto"/>
              <w:right w:val="dotted" w:sz="4" w:space="0" w:color="auto"/>
            </w:tcBorders>
            <w:shd w:val="clear" w:color="auto" w:fill="666699"/>
            <w:noWrap/>
            <w:hideMark/>
          </w:tcPr>
          <w:p w14:paraId="3A61A618" w14:textId="23BC2B36" w:rsidR="000B5863" w:rsidRPr="006504C9" w:rsidRDefault="000B5863" w:rsidP="00B739C3">
            <w:pPr>
              <w:spacing w:before="40" w:after="40"/>
              <w:jc w:val="center"/>
              <w:rPr>
                <w:rFonts w:ascii="Calibri Light" w:hAnsi="Calibri Light" w:cs="Calibri Light"/>
                <w:color w:val="FFFFFF" w:themeColor="background1"/>
                <w:sz w:val="21"/>
                <w:szCs w:val="21"/>
                <w:lang w:val="en-GB"/>
              </w:rPr>
            </w:pPr>
            <w:r w:rsidRPr="006504C9">
              <w:rPr>
                <w:rFonts w:ascii="Calibri Light" w:hAnsi="Calibri Light" w:cs="Calibri Light"/>
                <w:color w:val="FFFFFF" w:themeColor="background1"/>
                <w:sz w:val="21"/>
                <w:szCs w:val="21"/>
                <w:lang w:val="en-GB"/>
              </w:rPr>
              <w:t>40</w:t>
            </w:r>
          </w:p>
        </w:tc>
        <w:tc>
          <w:tcPr>
            <w:tcW w:w="2880" w:type="dxa"/>
            <w:tcBorders>
              <w:top w:val="dotted" w:sz="4" w:space="0" w:color="auto"/>
              <w:left w:val="dotted" w:sz="4" w:space="0" w:color="auto"/>
              <w:bottom w:val="dotted" w:sz="4" w:space="0" w:color="auto"/>
              <w:right w:val="dotted" w:sz="4" w:space="0" w:color="auto"/>
            </w:tcBorders>
            <w:shd w:val="clear" w:color="auto" w:fill="666699"/>
          </w:tcPr>
          <w:p w14:paraId="55AF278F" w14:textId="2B0D2EF0" w:rsidR="000B5863" w:rsidRPr="006504C9" w:rsidRDefault="00E46572" w:rsidP="00B739C3">
            <w:pPr>
              <w:spacing w:before="40" w:after="40"/>
              <w:jc w:val="center"/>
              <w:rPr>
                <w:rFonts w:ascii="Calibri Light" w:hAnsi="Calibri Light" w:cs="Calibri Light"/>
                <w:color w:val="FFFFFF" w:themeColor="background1"/>
                <w:sz w:val="21"/>
                <w:szCs w:val="21"/>
                <w:lang w:val="en-GB"/>
              </w:rPr>
            </w:pPr>
            <w:r>
              <w:rPr>
                <w:rFonts w:ascii="Calibri Light" w:hAnsi="Calibri Light" w:cs="Calibri Light"/>
                <w:color w:val="FFFFFF" w:themeColor="background1"/>
                <w:sz w:val="21"/>
                <w:szCs w:val="21"/>
                <w:lang w:val="en-GB"/>
              </w:rPr>
              <w:t>40</w:t>
            </w:r>
          </w:p>
        </w:tc>
      </w:tr>
      <w:tr w:rsidR="000B5863" w:rsidRPr="006504C9" w14:paraId="70E4E6F6" w14:textId="3B8D7470" w:rsidTr="00E46572">
        <w:trPr>
          <w:trHeight w:val="255"/>
        </w:trPr>
        <w:tc>
          <w:tcPr>
            <w:tcW w:w="852"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2638E28A" w14:textId="77777777" w:rsidR="000B5863" w:rsidRPr="006504C9" w:rsidRDefault="000B5863" w:rsidP="00B739C3">
            <w:pPr>
              <w:jc w:val="right"/>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I</w:t>
            </w:r>
          </w:p>
        </w:tc>
        <w:tc>
          <w:tcPr>
            <w:tcW w:w="3738" w:type="dxa"/>
            <w:tcBorders>
              <w:top w:val="dotted" w:sz="4" w:space="0" w:color="auto"/>
              <w:left w:val="dotted" w:sz="4" w:space="0" w:color="auto"/>
              <w:bottom w:val="dotted" w:sz="4" w:space="0" w:color="auto"/>
              <w:right w:val="dotted" w:sz="4" w:space="0" w:color="auto"/>
            </w:tcBorders>
            <w:shd w:val="clear" w:color="auto" w:fill="E6E6E6"/>
            <w:noWrap/>
            <w:hideMark/>
          </w:tcPr>
          <w:p w14:paraId="6F57A1AB" w14:textId="77777777" w:rsidR="000B5863" w:rsidRPr="006504C9" w:rsidRDefault="000B5863" w:rsidP="00B739C3">
            <w:pP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Role of the municipal assembly as an oversight body</w:t>
            </w:r>
          </w:p>
        </w:tc>
        <w:tc>
          <w:tcPr>
            <w:tcW w:w="1710"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0FE21FA6" w14:textId="66AC7E7C" w:rsidR="000B5863" w:rsidRPr="006504C9" w:rsidRDefault="000B5863" w:rsidP="00B739C3">
            <w:pPr>
              <w:jc w:val="cente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12</w:t>
            </w:r>
          </w:p>
        </w:tc>
        <w:tc>
          <w:tcPr>
            <w:tcW w:w="2880" w:type="dxa"/>
            <w:tcBorders>
              <w:top w:val="dotted" w:sz="4" w:space="0" w:color="auto"/>
              <w:left w:val="dotted" w:sz="4" w:space="0" w:color="auto"/>
              <w:bottom w:val="dotted" w:sz="4" w:space="0" w:color="auto"/>
              <w:right w:val="dotted" w:sz="4" w:space="0" w:color="auto"/>
            </w:tcBorders>
            <w:shd w:val="clear" w:color="auto" w:fill="E6E6E6"/>
          </w:tcPr>
          <w:p w14:paraId="3CB8BE36" w14:textId="134A5E4C" w:rsidR="000B5863" w:rsidRPr="006504C9" w:rsidRDefault="00E46572" w:rsidP="00B739C3">
            <w:pPr>
              <w:jc w:val="center"/>
              <w:rPr>
                <w:rFonts w:ascii="Calibri Light" w:hAnsi="Calibri Light" w:cs="Calibri Light"/>
                <w:color w:val="000000"/>
                <w:sz w:val="21"/>
                <w:szCs w:val="21"/>
                <w:lang w:val="en-GB"/>
              </w:rPr>
            </w:pPr>
            <w:r>
              <w:rPr>
                <w:rFonts w:ascii="Calibri Light" w:hAnsi="Calibri Light" w:cs="Calibri Light"/>
                <w:color w:val="000000"/>
                <w:sz w:val="21"/>
                <w:szCs w:val="21"/>
                <w:lang w:val="en-GB"/>
              </w:rPr>
              <w:t>12</w:t>
            </w:r>
          </w:p>
        </w:tc>
      </w:tr>
      <w:tr w:rsidR="000B5863" w:rsidRPr="006504C9" w14:paraId="4ED4AB76" w14:textId="1665E913" w:rsidTr="00E46572">
        <w:trPr>
          <w:trHeight w:val="255"/>
        </w:trPr>
        <w:tc>
          <w:tcPr>
            <w:tcW w:w="852"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187D6C65" w14:textId="77777777" w:rsidR="000B5863" w:rsidRPr="006504C9" w:rsidRDefault="000B5863" w:rsidP="00B739C3">
            <w:pPr>
              <w:jc w:val="right"/>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II</w:t>
            </w:r>
          </w:p>
        </w:tc>
        <w:tc>
          <w:tcPr>
            <w:tcW w:w="3738" w:type="dxa"/>
            <w:tcBorders>
              <w:top w:val="dotted" w:sz="4" w:space="0" w:color="auto"/>
              <w:left w:val="dotted" w:sz="4" w:space="0" w:color="auto"/>
              <w:bottom w:val="dotted" w:sz="4" w:space="0" w:color="auto"/>
              <w:right w:val="dotted" w:sz="4" w:space="0" w:color="auto"/>
            </w:tcBorders>
            <w:shd w:val="clear" w:color="auto" w:fill="E6E6E6"/>
            <w:noWrap/>
            <w:hideMark/>
          </w:tcPr>
          <w:p w14:paraId="1EB43071" w14:textId="77777777" w:rsidR="000B5863" w:rsidRPr="006504C9" w:rsidRDefault="000B5863" w:rsidP="00B739C3">
            <w:pP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Participation, citizen consultation and inclusion</w:t>
            </w:r>
          </w:p>
        </w:tc>
        <w:tc>
          <w:tcPr>
            <w:tcW w:w="1710"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01B3190D" w14:textId="291B4B41" w:rsidR="000B5863" w:rsidRPr="006504C9" w:rsidRDefault="000B5863" w:rsidP="00B739C3">
            <w:pPr>
              <w:jc w:val="cente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12</w:t>
            </w:r>
          </w:p>
        </w:tc>
        <w:tc>
          <w:tcPr>
            <w:tcW w:w="2880" w:type="dxa"/>
            <w:tcBorders>
              <w:top w:val="dotted" w:sz="4" w:space="0" w:color="auto"/>
              <w:left w:val="dotted" w:sz="4" w:space="0" w:color="auto"/>
              <w:bottom w:val="dotted" w:sz="4" w:space="0" w:color="auto"/>
              <w:right w:val="dotted" w:sz="4" w:space="0" w:color="auto"/>
            </w:tcBorders>
            <w:shd w:val="clear" w:color="auto" w:fill="E6E6E6"/>
          </w:tcPr>
          <w:p w14:paraId="5EAB2E01" w14:textId="37E145B0" w:rsidR="000B5863" w:rsidRPr="006504C9" w:rsidRDefault="00E46572" w:rsidP="00B739C3">
            <w:pPr>
              <w:jc w:val="center"/>
              <w:rPr>
                <w:rFonts w:ascii="Calibri Light" w:hAnsi="Calibri Light" w:cs="Calibri Light"/>
                <w:color w:val="000000"/>
                <w:sz w:val="21"/>
                <w:szCs w:val="21"/>
                <w:lang w:val="en-GB"/>
              </w:rPr>
            </w:pPr>
            <w:r>
              <w:rPr>
                <w:rFonts w:ascii="Calibri Light" w:hAnsi="Calibri Light" w:cs="Calibri Light"/>
                <w:color w:val="000000"/>
                <w:sz w:val="21"/>
                <w:szCs w:val="21"/>
                <w:lang w:val="en-GB"/>
              </w:rPr>
              <w:t>12</w:t>
            </w:r>
          </w:p>
        </w:tc>
      </w:tr>
      <w:tr w:rsidR="000B5863" w:rsidRPr="006504C9" w14:paraId="29B2F95B" w14:textId="6810CDBA" w:rsidTr="00E46572">
        <w:trPr>
          <w:trHeight w:val="255"/>
        </w:trPr>
        <w:tc>
          <w:tcPr>
            <w:tcW w:w="852"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4FC2C05C" w14:textId="77777777" w:rsidR="000B5863" w:rsidRPr="006504C9" w:rsidRDefault="000B5863" w:rsidP="00B739C3">
            <w:pPr>
              <w:jc w:val="right"/>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III</w:t>
            </w:r>
          </w:p>
        </w:tc>
        <w:tc>
          <w:tcPr>
            <w:tcW w:w="3738" w:type="dxa"/>
            <w:tcBorders>
              <w:top w:val="dotted" w:sz="4" w:space="0" w:color="auto"/>
              <w:left w:val="dotted" w:sz="4" w:space="0" w:color="auto"/>
              <w:bottom w:val="dotted" w:sz="4" w:space="0" w:color="auto"/>
              <w:right w:val="dotted" w:sz="4" w:space="0" w:color="auto"/>
            </w:tcBorders>
            <w:shd w:val="clear" w:color="auto" w:fill="E6E6E6"/>
            <w:noWrap/>
            <w:hideMark/>
          </w:tcPr>
          <w:p w14:paraId="7D5A68E1" w14:textId="77777777" w:rsidR="000B5863" w:rsidRPr="006504C9" w:rsidRDefault="000B5863" w:rsidP="00B739C3">
            <w:pP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Transparency, access to information and integrity</w:t>
            </w:r>
          </w:p>
        </w:tc>
        <w:tc>
          <w:tcPr>
            <w:tcW w:w="1710"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10766951" w14:textId="473F9F96" w:rsidR="000B5863" w:rsidRPr="006504C9" w:rsidRDefault="000B5863" w:rsidP="00B739C3">
            <w:pPr>
              <w:jc w:val="cente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16</w:t>
            </w:r>
          </w:p>
        </w:tc>
        <w:tc>
          <w:tcPr>
            <w:tcW w:w="2880" w:type="dxa"/>
            <w:tcBorders>
              <w:top w:val="dotted" w:sz="4" w:space="0" w:color="auto"/>
              <w:left w:val="dotted" w:sz="4" w:space="0" w:color="auto"/>
              <w:bottom w:val="dotted" w:sz="4" w:space="0" w:color="auto"/>
              <w:right w:val="dotted" w:sz="4" w:space="0" w:color="auto"/>
            </w:tcBorders>
            <w:shd w:val="clear" w:color="auto" w:fill="E6E6E6"/>
          </w:tcPr>
          <w:p w14:paraId="67B151F4" w14:textId="735D80BC" w:rsidR="000B5863" w:rsidRPr="006504C9" w:rsidRDefault="00E46572" w:rsidP="00B739C3">
            <w:pPr>
              <w:jc w:val="center"/>
              <w:rPr>
                <w:rFonts w:ascii="Calibri Light" w:hAnsi="Calibri Light" w:cs="Calibri Light"/>
                <w:color w:val="000000"/>
                <w:sz w:val="21"/>
                <w:szCs w:val="21"/>
                <w:lang w:val="en-GB"/>
              </w:rPr>
            </w:pPr>
            <w:r>
              <w:rPr>
                <w:rFonts w:ascii="Calibri Light" w:hAnsi="Calibri Light" w:cs="Calibri Light"/>
                <w:color w:val="000000"/>
                <w:sz w:val="21"/>
                <w:szCs w:val="21"/>
                <w:lang w:val="en-GB"/>
              </w:rPr>
              <w:t>16</w:t>
            </w:r>
          </w:p>
        </w:tc>
      </w:tr>
      <w:tr w:rsidR="000B5863" w:rsidRPr="006504C9" w14:paraId="7EBAF837" w14:textId="18A1E15F" w:rsidTr="00E46572">
        <w:trPr>
          <w:trHeight w:val="300"/>
        </w:trPr>
        <w:tc>
          <w:tcPr>
            <w:tcW w:w="4590" w:type="dxa"/>
            <w:gridSpan w:val="2"/>
            <w:tcBorders>
              <w:top w:val="dotted" w:sz="4" w:space="0" w:color="auto"/>
              <w:left w:val="dotted" w:sz="4" w:space="0" w:color="auto"/>
              <w:bottom w:val="dotted" w:sz="4" w:space="0" w:color="auto"/>
              <w:right w:val="dotted" w:sz="4" w:space="0" w:color="auto"/>
            </w:tcBorders>
            <w:shd w:val="clear" w:color="auto" w:fill="666699"/>
            <w:noWrap/>
            <w:vAlign w:val="bottom"/>
            <w:hideMark/>
          </w:tcPr>
          <w:p w14:paraId="5214E2FC" w14:textId="77777777" w:rsidR="000B5863" w:rsidRPr="006504C9" w:rsidRDefault="000B5863" w:rsidP="00B739C3">
            <w:pPr>
              <w:spacing w:before="40" w:after="40"/>
              <w:rPr>
                <w:rFonts w:ascii="Calibri Light" w:hAnsi="Calibri Light" w:cs="Calibri Light"/>
                <w:b/>
                <w:bCs/>
                <w:color w:val="FFFFFF" w:themeColor="background1"/>
                <w:sz w:val="21"/>
                <w:szCs w:val="21"/>
                <w:lang w:val="en-GB"/>
              </w:rPr>
            </w:pPr>
            <w:r w:rsidRPr="006504C9">
              <w:rPr>
                <w:rFonts w:ascii="Calibri Light" w:hAnsi="Calibri Light" w:cs="Calibri Light"/>
                <w:b/>
                <w:bCs/>
                <w:color w:val="FFFFFF" w:themeColor="background1"/>
                <w:sz w:val="21"/>
                <w:szCs w:val="21"/>
                <w:lang w:val="en-GB"/>
              </w:rPr>
              <w:t xml:space="preserve">2. Municipal management </w:t>
            </w:r>
          </w:p>
        </w:tc>
        <w:tc>
          <w:tcPr>
            <w:tcW w:w="1710" w:type="dxa"/>
            <w:tcBorders>
              <w:top w:val="dotted" w:sz="4" w:space="0" w:color="auto"/>
              <w:left w:val="dotted" w:sz="4" w:space="0" w:color="auto"/>
              <w:bottom w:val="dotted" w:sz="4" w:space="0" w:color="auto"/>
              <w:right w:val="dotted" w:sz="4" w:space="0" w:color="auto"/>
            </w:tcBorders>
            <w:shd w:val="clear" w:color="auto" w:fill="666699"/>
            <w:noWrap/>
            <w:hideMark/>
          </w:tcPr>
          <w:p w14:paraId="0654CFF7" w14:textId="381F0AB0" w:rsidR="000B5863" w:rsidRPr="006504C9" w:rsidRDefault="000B5863" w:rsidP="00B739C3">
            <w:pPr>
              <w:spacing w:before="40" w:after="40"/>
              <w:jc w:val="center"/>
              <w:rPr>
                <w:rFonts w:ascii="Calibri Light" w:hAnsi="Calibri Light" w:cs="Calibri Light"/>
                <w:bCs/>
                <w:color w:val="FFFFFF" w:themeColor="background1"/>
                <w:sz w:val="21"/>
                <w:szCs w:val="21"/>
                <w:lang w:val="en-GB"/>
              </w:rPr>
            </w:pPr>
            <w:r w:rsidRPr="006504C9">
              <w:rPr>
                <w:rFonts w:ascii="Calibri Light" w:hAnsi="Calibri Light" w:cs="Calibri Light"/>
                <w:color w:val="FFFFFF" w:themeColor="background1"/>
                <w:sz w:val="21"/>
                <w:szCs w:val="21"/>
                <w:lang w:val="en-GB"/>
              </w:rPr>
              <w:t>30</w:t>
            </w:r>
          </w:p>
        </w:tc>
        <w:tc>
          <w:tcPr>
            <w:tcW w:w="2880" w:type="dxa"/>
            <w:tcBorders>
              <w:top w:val="dotted" w:sz="4" w:space="0" w:color="auto"/>
              <w:left w:val="dotted" w:sz="4" w:space="0" w:color="auto"/>
              <w:bottom w:val="dotted" w:sz="4" w:space="0" w:color="auto"/>
              <w:right w:val="dotted" w:sz="4" w:space="0" w:color="auto"/>
            </w:tcBorders>
            <w:shd w:val="clear" w:color="auto" w:fill="666699"/>
          </w:tcPr>
          <w:p w14:paraId="154FCA4A" w14:textId="2D114FAA" w:rsidR="000B5863" w:rsidRPr="006504C9" w:rsidRDefault="00E46572" w:rsidP="00B739C3">
            <w:pPr>
              <w:spacing w:before="40" w:after="40"/>
              <w:jc w:val="center"/>
              <w:rPr>
                <w:rFonts w:ascii="Calibri Light" w:hAnsi="Calibri Light" w:cs="Calibri Light"/>
                <w:color w:val="FFFFFF" w:themeColor="background1"/>
                <w:sz w:val="21"/>
                <w:szCs w:val="21"/>
                <w:lang w:val="en-GB"/>
              </w:rPr>
            </w:pPr>
            <w:r>
              <w:rPr>
                <w:rFonts w:ascii="Calibri Light" w:hAnsi="Calibri Light" w:cs="Calibri Light"/>
                <w:color w:val="FFFFFF" w:themeColor="background1"/>
                <w:sz w:val="21"/>
                <w:szCs w:val="21"/>
                <w:lang w:val="en-GB"/>
              </w:rPr>
              <w:t>28</w:t>
            </w:r>
          </w:p>
        </w:tc>
      </w:tr>
      <w:tr w:rsidR="000B5863" w:rsidRPr="006504C9" w14:paraId="6A0C92DC" w14:textId="31102504" w:rsidTr="00E46572">
        <w:trPr>
          <w:trHeight w:val="255"/>
        </w:trPr>
        <w:tc>
          <w:tcPr>
            <w:tcW w:w="852"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65D14CBD" w14:textId="77777777" w:rsidR="000B5863" w:rsidRPr="006504C9" w:rsidRDefault="000B5863" w:rsidP="00B739C3">
            <w:pPr>
              <w:jc w:val="right"/>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IV</w:t>
            </w:r>
          </w:p>
        </w:tc>
        <w:tc>
          <w:tcPr>
            <w:tcW w:w="3738" w:type="dxa"/>
            <w:tcBorders>
              <w:top w:val="dotted" w:sz="4" w:space="0" w:color="auto"/>
              <w:left w:val="dotted" w:sz="4" w:space="0" w:color="auto"/>
              <w:bottom w:val="dotted" w:sz="4" w:space="0" w:color="auto"/>
              <w:right w:val="dotted" w:sz="4" w:space="0" w:color="auto"/>
            </w:tcBorders>
            <w:shd w:val="clear" w:color="auto" w:fill="E6E6E6"/>
            <w:noWrap/>
            <w:hideMark/>
          </w:tcPr>
          <w:p w14:paraId="2979EB1E" w14:textId="77777777" w:rsidR="000B5863" w:rsidRPr="006504C9" w:rsidRDefault="000B5863" w:rsidP="00B739C3">
            <w:pP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 xml:space="preserve"> Financial management </w:t>
            </w:r>
          </w:p>
        </w:tc>
        <w:tc>
          <w:tcPr>
            <w:tcW w:w="1710"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453DAC6C" w14:textId="3851391E" w:rsidR="000B5863" w:rsidRPr="006504C9" w:rsidRDefault="000B5863" w:rsidP="00B739C3">
            <w:pPr>
              <w:jc w:val="cente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13</w:t>
            </w:r>
          </w:p>
        </w:tc>
        <w:tc>
          <w:tcPr>
            <w:tcW w:w="2880" w:type="dxa"/>
            <w:tcBorders>
              <w:top w:val="dotted" w:sz="4" w:space="0" w:color="auto"/>
              <w:left w:val="dotted" w:sz="4" w:space="0" w:color="auto"/>
              <w:bottom w:val="dotted" w:sz="4" w:space="0" w:color="auto"/>
              <w:right w:val="dotted" w:sz="4" w:space="0" w:color="auto"/>
            </w:tcBorders>
            <w:shd w:val="clear" w:color="auto" w:fill="E6E6E6"/>
          </w:tcPr>
          <w:p w14:paraId="5368E3C4" w14:textId="43490D62" w:rsidR="000B5863" w:rsidRPr="006504C9" w:rsidRDefault="00E46572" w:rsidP="00B739C3">
            <w:pPr>
              <w:jc w:val="center"/>
              <w:rPr>
                <w:rFonts w:ascii="Calibri Light" w:hAnsi="Calibri Light" w:cs="Calibri Light"/>
                <w:color w:val="000000"/>
                <w:sz w:val="21"/>
                <w:szCs w:val="21"/>
                <w:lang w:val="en-GB"/>
              </w:rPr>
            </w:pPr>
            <w:r>
              <w:rPr>
                <w:rFonts w:ascii="Calibri Light" w:hAnsi="Calibri Light" w:cs="Calibri Light"/>
                <w:color w:val="000000"/>
                <w:sz w:val="21"/>
                <w:szCs w:val="21"/>
                <w:lang w:val="en-GB"/>
              </w:rPr>
              <w:t>11</w:t>
            </w:r>
          </w:p>
        </w:tc>
      </w:tr>
      <w:tr w:rsidR="000B5863" w:rsidRPr="006504C9" w14:paraId="759543F9" w14:textId="79F6C3D2" w:rsidTr="00E46572">
        <w:trPr>
          <w:trHeight w:val="255"/>
        </w:trPr>
        <w:tc>
          <w:tcPr>
            <w:tcW w:w="852"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7F6AE3C6" w14:textId="77777777" w:rsidR="000B5863" w:rsidRPr="006504C9" w:rsidRDefault="000B5863" w:rsidP="00B739C3">
            <w:pPr>
              <w:jc w:val="right"/>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V</w:t>
            </w:r>
          </w:p>
        </w:tc>
        <w:tc>
          <w:tcPr>
            <w:tcW w:w="3738" w:type="dxa"/>
            <w:tcBorders>
              <w:top w:val="dotted" w:sz="4" w:space="0" w:color="auto"/>
              <w:left w:val="dotted" w:sz="4" w:space="0" w:color="auto"/>
              <w:bottom w:val="dotted" w:sz="4" w:space="0" w:color="auto"/>
              <w:right w:val="dotted" w:sz="4" w:space="0" w:color="auto"/>
            </w:tcBorders>
            <w:shd w:val="clear" w:color="auto" w:fill="E6E6E6"/>
            <w:noWrap/>
            <w:hideMark/>
          </w:tcPr>
          <w:p w14:paraId="42B12BAD" w14:textId="77777777" w:rsidR="000B5863" w:rsidRPr="006504C9" w:rsidRDefault="000B5863" w:rsidP="00B739C3">
            <w:pP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 xml:space="preserve"> Contract management </w:t>
            </w:r>
          </w:p>
        </w:tc>
        <w:tc>
          <w:tcPr>
            <w:tcW w:w="1710"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21E5525B" w14:textId="77777777" w:rsidR="000B5863" w:rsidRPr="006504C9" w:rsidRDefault="000B5863" w:rsidP="00B739C3">
            <w:pPr>
              <w:jc w:val="cente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7</w:t>
            </w:r>
          </w:p>
        </w:tc>
        <w:tc>
          <w:tcPr>
            <w:tcW w:w="2880" w:type="dxa"/>
            <w:tcBorders>
              <w:top w:val="dotted" w:sz="4" w:space="0" w:color="auto"/>
              <w:left w:val="dotted" w:sz="4" w:space="0" w:color="auto"/>
              <w:bottom w:val="dotted" w:sz="4" w:space="0" w:color="auto"/>
              <w:right w:val="dotted" w:sz="4" w:space="0" w:color="auto"/>
            </w:tcBorders>
            <w:shd w:val="clear" w:color="auto" w:fill="E6E6E6"/>
          </w:tcPr>
          <w:p w14:paraId="0AC34588" w14:textId="6493461C" w:rsidR="000B5863" w:rsidRPr="006504C9" w:rsidRDefault="00E46572" w:rsidP="00B739C3">
            <w:pPr>
              <w:jc w:val="center"/>
              <w:rPr>
                <w:rFonts w:ascii="Calibri Light" w:hAnsi="Calibri Light" w:cs="Calibri Light"/>
                <w:color w:val="000000"/>
                <w:sz w:val="21"/>
                <w:szCs w:val="21"/>
                <w:lang w:val="en-GB"/>
              </w:rPr>
            </w:pPr>
            <w:r>
              <w:rPr>
                <w:rFonts w:ascii="Calibri Light" w:hAnsi="Calibri Light" w:cs="Calibri Light"/>
                <w:color w:val="000000"/>
                <w:sz w:val="21"/>
                <w:szCs w:val="21"/>
                <w:lang w:val="en-GB"/>
              </w:rPr>
              <w:t>7</w:t>
            </w:r>
          </w:p>
        </w:tc>
      </w:tr>
      <w:tr w:rsidR="000B5863" w:rsidRPr="006504C9" w14:paraId="7A4234EA" w14:textId="004F17CD" w:rsidTr="00E46572">
        <w:trPr>
          <w:trHeight w:val="255"/>
        </w:trPr>
        <w:tc>
          <w:tcPr>
            <w:tcW w:w="852"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7A5D9C44" w14:textId="77777777" w:rsidR="000B5863" w:rsidRPr="006504C9" w:rsidRDefault="000B5863" w:rsidP="00B739C3">
            <w:pPr>
              <w:jc w:val="right"/>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VI</w:t>
            </w:r>
          </w:p>
        </w:tc>
        <w:tc>
          <w:tcPr>
            <w:tcW w:w="3738" w:type="dxa"/>
            <w:tcBorders>
              <w:top w:val="dotted" w:sz="4" w:space="0" w:color="auto"/>
              <w:left w:val="dotted" w:sz="4" w:space="0" w:color="auto"/>
              <w:bottom w:val="dotted" w:sz="4" w:space="0" w:color="auto"/>
              <w:right w:val="dotted" w:sz="4" w:space="0" w:color="auto"/>
            </w:tcBorders>
            <w:shd w:val="clear" w:color="auto" w:fill="E6E6E6"/>
            <w:noWrap/>
            <w:hideMark/>
          </w:tcPr>
          <w:p w14:paraId="7440E3CC" w14:textId="77777777" w:rsidR="000B5863" w:rsidRPr="006504C9" w:rsidRDefault="000B5863" w:rsidP="00B739C3">
            <w:pP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Human resource management</w:t>
            </w:r>
          </w:p>
        </w:tc>
        <w:tc>
          <w:tcPr>
            <w:tcW w:w="1710"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786FF620" w14:textId="40B59F4F" w:rsidR="000B5863" w:rsidRPr="006504C9" w:rsidRDefault="000B5863" w:rsidP="00B739C3">
            <w:pPr>
              <w:jc w:val="cente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10</w:t>
            </w:r>
          </w:p>
        </w:tc>
        <w:tc>
          <w:tcPr>
            <w:tcW w:w="2880" w:type="dxa"/>
            <w:tcBorders>
              <w:top w:val="dotted" w:sz="4" w:space="0" w:color="auto"/>
              <w:left w:val="dotted" w:sz="4" w:space="0" w:color="auto"/>
              <w:bottom w:val="dotted" w:sz="4" w:space="0" w:color="auto"/>
              <w:right w:val="dotted" w:sz="4" w:space="0" w:color="auto"/>
            </w:tcBorders>
            <w:shd w:val="clear" w:color="auto" w:fill="E6E6E6"/>
          </w:tcPr>
          <w:p w14:paraId="7550B915" w14:textId="684A693D" w:rsidR="000B5863" w:rsidRPr="006504C9" w:rsidRDefault="00E46572" w:rsidP="00B739C3">
            <w:pPr>
              <w:jc w:val="center"/>
              <w:rPr>
                <w:rFonts w:ascii="Calibri Light" w:hAnsi="Calibri Light" w:cs="Calibri Light"/>
                <w:color w:val="000000"/>
                <w:sz w:val="21"/>
                <w:szCs w:val="21"/>
                <w:lang w:val="en-GB"/>
              </w:rPr>
            </w:pPr>
            <w:r>
              <w:rPr>
                <w:rFonts w:ascii="Calibri Light" w:hAnsi="Calibri Light" w:cs="Calibri Light"/>
                <w:color w:val="000000"/>
                <w:sz w:val="21"/>
                <w:szCs w:val="21"/>
                <w:lang w:val="en-GB"/>
              </w:rPr>
              <w:t>10</w:t>
            </w:r>
          </w:p>
        </w:tc>
      </w:tr>
      <w:tr w:rsidR="000B5863" w:rsidRPr="006504C9" w14:paraId="2A495483" w14:textId="34D961E0" w:rsidTr="00E46572">
        <w:trPr>
          <w:trHeight w:val="300"/>
        </w:trPr>
        <w:tc>
          <w:tcPr>
            <w:tcW w:w="4590" w:type="dxa"/>
            <w:gridSpan w:val="2"/>
            <w:tcBorders>
              <w:top w:val="dotted" w:sz="4" w:space="0" w:color="auto"/>
              <w:left w:val="dotted" w:sz="4" w:space="0" w:color="auto"/>
              <w:bottom w:val="dotted" w:sz="4" w:space="0" w:color="auto"/>
              <w:right w:val="dotted" w:sz="4" w:space="0" w:color="auto"/>
            </w:tcBorders>
            <w:shd w:val="clear" w:color="auto" w:fill="666699"/>
            <w:noWrap/>
            <w:vAlign w:val="bottom"/>
            <w:hideMark/>
          </w:tcPr>
          <w:p w14:paraId="58F4E89F" w14:textId="77777777" w:rsidR="000B5863" w:rsidRPr="006504C9" w:rsidRDefault="000B5863" w:rsidP="00B739C3">
            <w:pPr>
              <w:spacing w:before="40" w:after="40"/>
              <w:rPr>
                <w:rFonts w:ascii="Calibri Light" w:hAnsi="Calibri Light" w:cs="Calibri Light"/>
                <w:b/>
                <w:bCs/>
                <w:color w:val="FFFFFF" w:themeColor="background1"/>
                <w:sz w:val="21"/>
                <w:szCs w:val="21"/>
                <w:lang w:val="en-GB"/>
              </w:rPr>
            </w:pPr>
            <w:r w:rsidRPr="006504C9">
              <w:rPr>
                <w:rFonts w:ascii="Calibri Light" w:hAnsi="Calibri Light" w:cs="Calibri Light"/>
                <w:b/>
                <w:bCs/>
                <w:color w:val="FFFFFF" w:themeColor="background1"/>
                <w:sz w:val="21"/>
                <w:szCs w:val="21"/>
                <w:lang w:val="en-GB"/>
              </w:rPr>
              <w:t>3. Provision of services</w:t>
            </w:r>
          </w:p>
        </w:tc>
        <w:tc>
          <w:tcPr>
            <w:tcW w:w="1710" w:type="dxa"/>
            <w:tcBorders>
              <w:top w:val="dotted" w:sz="4" w:space="0" w:color="auto"/>
              <w:left w:val="dotted" w:sz="4" w:space="0" w:color="auto"/>
              <w:bottom w:val="dotted" w:sz="4" w:space="0" w:color="auto"/>
              <w:right w:val="dotted" w:sz="4" w:space="0" w:color="auto"/>
            </w:tcBorders>
            <w:shd w:val="clear" w:color="auto" w:fill="666699"/>
            <w:noWrap/>
            <w:hideMark/>
          </w:tcPr>
          <w:p w14:paraId="468D0017" w14:textId="72508E7D" w:rsidR="000B5863" w:rsidRPr="006504C9" w:rsidRDefault="000B5863" w:rsidP="00B739C3">
            <w:pPr>
              <w:spacing w:before="40" w:after="40"/>
              <w:jc w:val="center"/>
              <w:rPr>
                <w:rFonts w:ascii="Calibri Light" w:hAnsi="Calibri Light" w:cs="Calibri Light"/>
                <w:color w:val="FFFFFF" w:themeColor="background1"/>
                <w:sz w:val="21"/>
                <w:szCs w:val="21"/>
                <w:lang w:val="en-GB"/>
              </w:rPr>
            </w:pPr>
            <w:r w:rsidRPr="006504C9">
              <w:rPr>
                <w:rFonts w:ascii="Calibri Light" w:hAnsi="Calibri Light" w:cs="Calibri Light"/>
                <w:color w:val="FFFFFF" w:themeColor="background1"/>
                <w:sz w:val="21"/>
                <w:szCs w:val="21"/>
                <w:lang w:val="en-GB"/>
              </w:rPr>
              <w:t>30</w:t>
            </w:r>
          </w:p>
        </w:tc>
        <w:tc>
          <w:tcPr>
            <w:tcW w:w="2880" w:type="dxa"/>
            <w:tcBorders>
              <w:top w:val="dotted" w:sz="4" w:space="0" w:color="auto"/>
              <w:left w:val="dotted" w:sz="4" w:space="0" w:color="auto"/>
              <w:bottom w:val="dotted" w:sz="4" w:space="0" w:color="auto"/>
              <w:right w:val="dotted" w:sz="4" w:space="0" w:color="auto"/>
            </w:tcBorders>
            <w:shd w:val="clear" w:color="auto" w:fill="666699"/>
          </w:tcPr>
          <w:p w14:paraId="128CB15C" w14:textId="5FB2487F" w:rsidR="000B5863" w:rsidRPr="006504C9" w:rsidRDefault="00E46572" w:rsidP="00B739C3">
            <w:pPr>
              <w:spacing w:before="40" w:after="40"/>
              <w:jc w:val="center"/>
              <w:rPr>
                <w:rFonts w:ascii="Calibri Light" w:hAnsi="Calibri Light" w:cs="Calibri Light"/>
                <w:color w:val="FFFFFF" w:themeColor="background1"/>
                <w:sz w:val="21"/>
                <w:szCs w:val="21"/>
                <w:lang w:val="en-GB"/>
              </w:rPr>
            </w:pPr>
            <w:r>
              <w:rPr>
                <w:rFonts w:ascii="Calibri Light" w:hAnsi="Calibri Light" w:cs="Calibri Light"/>
                <w:color w:val="FFFFFF" w:themeColor="background1"/>
                <w:sz w:val="21"/>
                <w:szCs w:val="21"/>
                <w:lang w:val="en-GB"/>
              </w:rPr>
              <w:t>30</w:t>
            </w:r>
          </w:p>
        </w:tc>
      </w:tr>
      <w:tr w:rsidR="000B5863" w:rsidRPr="006504C9" w14:paraId="52D1037A" w14:textId="3A7CC7E0" w:rsidTr="00E46572">
        <w:trPr>
          <w:trHeight w:val="255"/>
        </w:trPr>
        <w:tc>
          <w:tcPr>
            <w:tcW w:w="852"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5A3BFD7B" w14:textId="77777777" w:rsidR="000B5863" w:rsidRPr="006504C9" w:rsidRDefault="000B5863" w:rsidP="00B739C3">
            <w:pPr>
              <w:jc w:val="right"/>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VII</w:t>
            </w:r>
          </w:p>
        </w:tc>
        <w:tc>
          <w:tcPr>
            <w:tcW w:w="3738" w:type="dxa"/>
            <w:tcBorders>
              <w:top w:val="dotted" w:sz="4" w:space="0" w:color="auto"/>
              <w:left w:val="dotted" w:sz="4" w:space="0" w:color="auto"/>
              <w:bottom w:val="dotted" w:sz="4" w:space="0" w:color="auto"/>
              <w:right w:val="dotted" w:sz="4" w:space="0" w:color="auto"/>
            </w:tcBorders>
            <w:shd w:val="clear" w:color="auto" w:fill="E6E6E6"/>
            <w:noWrap/>
            <w:hideMark/>
          </w:tcPr>
          <w:p w14:paraId="4A7833FF" w14:textId="77777777" w:rsidR="000B5863" w:rsidRPr="006504C9" w:rsidRDefault="000B5863" w:rsidP="00B739C3">
            <w:pP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 xml:space="preserve"> Administrative services</w:t>
            </w:r>
          </w:p>
        </w:tc>
        <w:tc>
          <w:tcPr>
            <w:tcW w:w="1710"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006F8F17" w14:textId="77777777" w:rsidR="000B5863" w:rsidRPr="006504C9" w:rsidRDefault="000B5863" w:rsidP="00B739C3">
            <w:pPr>
              <w:jc w:val="cente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6</w:t>
            </w:r>
          </w:p>
        </w:tc>
        <w:tc>
          <w:tcPr>
            <w:tcW w:w="2880" w:type="dxa"/>
            <w:tcBorders>
              <w:top w:val="dotted" w:sz="4" w:space="0" w:color="auto"/>
              <w:left w:val="dotted" w:sz="4" w:space="0" w:color="auto"/>
              <w:bottom w:val="dotted" w:sz="4" w:space="0" w:color="auto"/>
              <w:right w:val="dotted" w:sz="4" w:space="0" w:color="auto"/>
            </w:tcBorders>
            <w:shd w:val="clear" w:color="auto" w:fill="E6E6E6"/>
          </w:tcPr>
          <w:p w14:paraId="600CB1B7" w14:textId="55940E3F" w:rsidR="000B5863" w:rsidRPr="006504C9" w:rsidRDefault="00E46572" w:rsidP="00B739C3">
            <w:pPr>
              <w:jc w:val="center"/>
              <w:rPr>
                <w:rFonts w:ascii="Calibri Light" w:hAnsi="Calibri Light" w:cs="Calibri Light"/>
                <w:color w:val="000000"/>
                <w:sz w:val="21"/>
                <w:szCs w:val="21"/>
                <w:lang w:val="en-GB"/>
              </w:rPr>
            </w:pPr>
            <w:r>
              <w:rPr>
                <w:rFonts w:ascii="Calibri Light" w:hAnsi="Calibri Light" w:cs="Calibri Light"/>
                <w:color w:val="000000"/>
                <w:sz w:val="21"/>
                <w:szCs w:val="21"/>
                <w:lang w:val="en-GB"/>
              </w:rPr>
              <w:t>6</w:t>
            </w:r>
          </w:p>
        </w:tc>
      </w:tr>
      <w:tr w:rsidR="000B5863" w:rsidRPr="006504C9" w14:paraId="622CCCB3" w14:textId="620AB569" w:rsidTr="00E46572">
        <w:trPr>
          <w:trHeight w:val="255"/>
        </w:trPr>
        <w:tc>
          <w:tcPr>
            <w:tcW w:w="852"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377F39E9" w14:textId="77777777" w:rsidR="000B5863" w:rsidRPr="006504C9" w:rsidRDefault="000B5863" w:rsidP="00B739C3">
            <w:pPr>
              <w:jc w:val="right"/>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VIII</w:t>
            </w:r>
          </w:p>
        </w:tc>
        <w:tc>
          <w:tcPr>
            <w:tcW w:w="3738" w:type="dxa"/>
            <w:tcBorders>
              <w:top w:val="dotted" w:sz="4" w:space="0" w:color="auto"/>
              <w:left w:val="dotted" w:sz="4" w:space="0" w:color="auto"/>
              <w:bottom w:val="dotted" w:sz="4" w:space="0" w:color="auto"/>
              <w:right w:val="dotted" w:sz="4" w:space="0" w:color="auto"/>
            </w:tcBorders>
            <w:shd w:val="clear" w:color="auto" w:fill="E6E6E6"/>
            <w:noWrap/>
            <w:hideMark/>
          </w:tcPr>
          <w:p w14:paraId="26DD75BD" w14:textId="77777777" w:rsidR="000B5863" w:rsidRPr="006504C9" w:rsidRDefault="000B5863" w:rsidP="00B739C3">
            <w:pP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Spatial planning, public transport and the environment</w:t>
            </w:r>
          </w:p>
        </w:tc>
        <w:tc>
          <w:tcPr>
            <w:tcW w:w="1710"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18FAA230" w14:textId="77777777" w:rsidR="000B5863" w:rsidRPr="006504C9" w:rsidRDefault="000B5863" w:rsidP="00B739C3">
            <w:pPr>
              <w:jc w:val="cente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8</w:t>
            </w:r>
          </w:p>
        </w:tc>
        <w:tc>
          <w:tcPr>
            <w:tcW w:w="2880" w:type="dxa"/>
            <w:tcBorders>
              <w:top w:val="dotted" w:sz="4" w:space="0" w:color="auto"/>
              <w:left w:val="dotted" w:sz="4" w:space="0" w:color="auto"/>
              <w:bottom w:val="dotted" w:sz="4" w:space="0" w:color="auto"/>
              <w:right w:val="dotted" w:sz="4" w:space="0" w:color="auto"/>
            </w:tcBorders>
            <w:shd w:val="clear" w:color="auto" w:fill="E6E6E6"/>
          </w:tcPr>
          <w:p w14:paraId="4FDE679E" w14:textId="2BF3661F" w:rsidR="000B5863" w:rsidRPr="006504C9" w:rsidRDefault="00E46572" w:rsidP="00B739C3">
            <w:pPr>
              <w:jc w:val="center"/>
              <w:rPr>
                <w:rFonts w:ascii="Calibri Light" w:hAnsi="Calibri Light" w:cs="Calibri Light"/>
                <w:color w:val="000000"/>
                <w:sz w:val="21"/>
                <w:szCs w:val="21"/>
                <w:lang w:val="en-GB"/>
              </w:rPr>
            </w:pPr>
            <w:r>
              <w:rPr>
                <w:rFonts w:ascii="Calibri Light" w:hAnsi="Calibri Light" w:cs="Calibri Light"/>
                <w:color w:val="000000"/>
                <w:sz w:val="21"/>
                <w:szCs w:val="21"/>
                <w:lang w:val="en-GB"/>
              </w:rPr>
              <w:t>8</w:t>
            </w:r>
          </w:p>
        </w:tc>
      </w:tr>
      <w:tr w:rsidR="000B5863" w:rsidRPr="006504C9" w14:paraId="4D89FD81" w14:textId="2239F683" w:rsidTr="00E46572">
        <w:trPr>
          <w:trHeight w:val="255"/>
        </w:trPr>
        <w:tc>
          <w:tcPr>
            <w:tcW w:w="852"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6BB5D0E2" w14:textId="77777777" w:rsidR="000B5863" w:rsidRPr="006504C9" w:rsidRDefault="000B5863" w:rsidP="00B739C3">
            <w:pPr>
              <w:jc w:val="right"/>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IX</w:t>
            </w:r>
          </w:p>
        </w:tc>
        <w:tc>
          <w:tcPr>
            <w:tcW w:w="3738" w:type="dxa"/>
            <w:tcBorders>
              <w:top w:val="dotted" w:sz="4" w:space="0" w:color="auto"/>
              <w:left w:val="dotted" w:sz="4" w:space="0" w:color="auto"/>
              <w:bottom w:val="dotted" w:sz="4" w:space="0" w:color="auto"/>
              <w:right w:val="dotted" w:sz="4" w:space="0" w:color="auto"/>
            </w:tcBorders>
            <w:shd w:val="clear" w:color="auto" w:fill="E6E6E6"/>
            <w:noWrap/>
            <w:hideMark/>
          </w:tcPr>
          <w:p w14:paraId="391B507C" w14:textId="77777777" w:rsidR="000B5863" w:rsidRPr="006504C9" w:rsidRDefault="000B5863" w:rsidP="00B739C3">
            <w:pP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Pre-university education</w:t>
            </w:r>
          </w:p>
        </w:tc>
        <w:tc>
          <w:tcPr>
            <w:tcW w:w="1710"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67EB6B8D" w14:textId="17774015" w:rsidR="000B5863" w:rsidRPr="006504C9" w:rsidRDefault="000B5863" w:rsidP="00B739C3">
            <w:pPr>
              <w:jc w:val="cente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8</w:t>
            </w:r>
          </w:p>
        </w:tc>
        <w:tc>
          <w:tcPr>
            <w:tcW w:w="2880" w:type="dxa"/>
            <w:tcBorders>
              <w:top w:val="dotted" w:sz="4" w:space="0" w:color="auto"/>
              <w:left w:val="dotted" w:sz="4" w:space="0" w:color="auto"/>
              <w:bottom w:val="dotted" w:sz="4" w:space="0" w:color="auto"/>
              <w:right w:val="dotted" w:sz="4" w:space="0" w:color="auto"/>
            </w:tcBorders>
            <w:shd w:val="clear" w:color="auto" w:fill="E6E6E6"/>
          </w:tcPr>
          <w:p w14:paraId="24B2B876" w14:textId="33A187EF" w:rsidR="000B5863" w:rsidRPr="006504C9" w:rsidRDefault="00E46572" w:rsidP="00B739C3">
            <w:pPr>
              <w:jc w:val="center"/>
              <w:rPr>
                <w:rFonts w:ascii="Calibri Light" w:hAnsi="Calibri Light" w:cs="Calibri Light"/>
                <w:color w:val="000000"/>
                <w:sz w:val="21"/>
                <w:szCs w:val="21"/>
                <w:lang w:val="en-GB"/>
              </w:rPr>
            </w:pPr>
            <w:r>
              <w:rPr>
                <w:rFonts w:ascii="Calibri Light" w:hAnsi="Calibri Light" w:cs="Calibri Light"/>
                <w:color w:val="000000"/>
                <w:sz w:val="21"/>
                <w:szCs w:val="21"/>
                <w:lang w:val="en-GB"/>
              </w:rPr>
              <w:t>8</w:t>
            </w:r>
          </w:p>
        </w:tc>
      </w:tr>
      <w:tr w:rsidR="000B5863" w:rsidRPr="006504C9" w14:paraId="6DC9B34B" w14:textId="775B5B88" w:rsidTr="00E46572">
        <w:trPr>
          <w:trHeight w:val="255"/>
        </w:trPr>
        <w:tc>
          <w:tcPr>
            <w:tcW w:w="852"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41CF0C50" w14:textId="77777777" w:rsidR="000B5863" w:rsidRPr="006504C9" w:rsidRDefault="000B5863" w:rsidP="00B739C3">
            <w:pPr>
              <w:jc w:val="right"/>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X</w:t>
            </w:r>
          </w:p>
        </w:tc>
        <w:tc>
          <w:tcPr>
            <w:tcW w:w="3738" w:type="dxa"/>
            <w:tcBorders>
              <w:top w:val="dotted" w:sz="4" w:space="0" w:color="auto"/>
              <w:left w:val="dotted" w:sz="4" w:space="0" w:color="auto"/>
              <w:bottom w:val="dotted" w:sz="4" w:space="0" w:color="auto"/>
              <w:right w:val="dotted" w:sz="4" w:space="0" w:color="auto"/>
            </w:tcBorders>
            <w:shd w:val="clear" w:color="auto" w:fill="E6E6E6"/>
            <w:noWrap/>
            <w:hideMark/>
          </w:tcPr>
          <w:p w14:paraId="3F1839B8" w14:textId="77777777" w:rsidR="000B5863" w:rsidRPr="006504C9" w:rsidRDefault="000B5863" w:rsidP="00B739C3">
            <w:pP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Primary health care</w:t>
            </w:r>
          </w:p>
        </w:tc>
        <w:tc>
          <w:tcPr>
            <w:tcW w:w="1710"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1F6B2DD3" w14:textId="77777777" w:rsidR="000B5863" w:rsidRPr="006504C9" w:rsidRDefault="000B5863" w:rsidP="00B739C3">
            <w:pPr>
              <w:jc w:val="cente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8</w:t>
            </w:r>
          </w:p>
        </w:tc>
        <w:tc>
          <w:tcPr>
            <w:tcW w:w="2880" w:type="dxa"/>
            <w:tcBorders>
              <w:top w:val="dotted" w:sz="4" w:space="0" w:color="auto"/>
              <w:left w:val="dotted" w:sz="4" w:space="0" w:color="auto"/>
              <w:bottom w:val="dotted" w:sz="4" w:space="0" w:color="auto"/>
              <w:right w:val="dotted" w:sz="4" w:space="0" w:color="auto"/>
            </w:tcBorders>
            <w:shd w:val="clear" w:color="auto" w:fill="E6E6E6"/>
          </w:tcPr>
          <w:p w14:paraId="06D37A5A" w14:textId="56E8990A" w:rsidR="000B5863" w:rsidRPr="006504C9" w:rsidRDefault="00E46572" w:rsidP="00B739C3">
            <w:pPr>
              <w:jc w:val="center"/>
              <w:rPr>
                <w:rFonts w:ascii="Calibri Light" w:hAnsi="Calibri Light" w:cs="Calibri Light"/>
                <w:color w:val="000000"/>
                <w:sz w:val="21"/>
                <w:szCs w:val="21"/>
                <w:lang w:val="en-GB"/>
              </w:rPr>
            </w:pPr>
            <w:r>
              <w:rPr>
                <w:rFonts w:ascii="Calibri Light" w:hAnsi="Calibri Light" w:cs="Calibri Light"/>
                <w:color w:val="000000"/>
                <w:sz w:val="21"/>
                <w:szCs w:val="21"/>
                <w:lang w:val="en-GB"/>
              </w:rPr>
              <w:t>8</w:t>
            </w:r>
          </w:p>
        </w:tc>
      </w:tr>
      <w:tr w:rsidR="000B5863" w:rsidRPr="006504C9" w14:paraId="0883614C" w14:textId="7A09919A" w:rsidTr="00E46572">
        <w:trPr>
          <w:trHeight w:val="300"/>
        </w:trPr>
        <w:tc>
          <w:tcPr>
            <w:tcW w:w="4590" w:type="dxa"/>
            <w:gridSpan w:val="2"/>
            <w:tcBorders>
              <w:top w:val="dotted" w:sz="4" w:space="0" w:color="auto"/>
              <w:left w:val="dotted" w:sz="4" w:space="0" w:color="auto"/>
              <w:bottom w:val="dotted" w:sz="4" w:space="0" w:color="auto"/>
              <w:right w:val="dotted" w:sz="4" w:space="0" w:color="auto"/>
            </w:tcBorders>
            <w:shd w:val="clear" w:color="auto" w:fill="666699"/>
            <w:noWrap/>
            <w:vAlign w:val="bottom"/>
            <w:hideMark/>
          </w:tcPr>
          <w:p w14:paraId="6DF03490" w14:textId="77777777" w:rsidR="000B5863" w:rsidRPr="006504C9" w:rsidRDefault="000B5863" w:rsidP="00B739C3">
            <w:pPr>
              <w:rPr>
                <w:rFonts w:ascii="Calibri Light" w:hAnsi="Calibri Light" w:cs="Calibri Light"/>
                <w:b/>
                <w:color w:val="FFFFFF" w:themeColor="background1"/>
                <w:sz w:val="21"/>
                <w:szCs w:val="21"/>
                <w:lang w:val="en-GB"/>
              </w:rPr>
            </w:pPr>
            <w:r w:rsidRPr="006504C9">
              <w:rPr>
                <w:rFonts w:ascii="Calibri Light" w:hAnsi="Calibri Light" w:cs="Calibri Light"/>
                <w:b/>
                <w:color w:val="FFFFFF" w:themeColor="background1"/>
                <w:sz w:val="21"/>
                <w:szCs w:val="21"/>
                <w:lang w:val="en-GB"/>
              </w:rPr>
              <w:t xml:space="preserve">Maximum number of points that can be obtained </w:t>
            </w:r>
          </w:p>
        </w:tc>
        <w:tc>
          <w:tcPr>
            <w:tcW w:w="1710" w:type="dxa"/>
            <w:tcBorders>
              <w:top w:val="dotted" w:sz="4" w:space="0" w:color="auto"/>
              <w:left w:val="dotted" w:sz="4" w:space="0" w:color="auto"/>
              <w:bottom w:val="dotted" w:sz="4" w:space="0" w:color="auto"/>
              <w:right w:val="dotted" w:sz="4" w:space="0" w:color="auto"/>
            </w:tcBorders>
            <w:shd w:val="clear" w:color="auto" w:fill="666699"/>
            <w:noWrap/>
            <w:hideMark/>
          </w:tcPr>
          <w:p w14:paraId="331D5CF1" w14:textId="58B281B9" w:rsidR="000B5863" w:rsidRPr="006504C9" w:rsidRDefault="00E46572" w:rsidP="00B739C3">
            <w:pPr>
              <w:jc w:val="center"/>
              <w:rPr>
                <w:rFonts w:ascii="Calibri Light" w:hAnsi="Calibri Light" w:cs="Calibri Light"/>
                <w:b/>
                <w:color w:val="FFFFFF" w:themeColor="background1"/>
                <w:sz w:val="21"/>
                <w:szCs w:val="21"/>
                <w:lang w:val="en-GB"/>
              </w:rPr>
            </w:pPr>
            <w:r>
              <w:rPr>
                <w:rFonts w:ascii="Calibri Light" w:hAnsi="Calibri Light" w:cs="Calibri Light"/>
                <w:color w:val="FFFFFF" w:themeColor="background1"/>
                <w:sz w:val="21"/>
                <w:szCs w:val="21"/>
                <w:lang w:val="en-GB"/>
              </w:rPr>
              <w:t>100</w:t>
            </w:r>
          </w:p>
        </w:tc>
        <w:tc>
          <w:tcPr>
            <w:tcW w:w="2880" w:type="dxa"/>
            <w:tcBorders>
              <w:top w:val="dotted" w:sz="4" w:space="0" w:color="auto"/>
              <w:left w:val="dotted" w:sz="4" w:space="0" w:color="auto"/>
              <w:bottom w:val="dotted" w:sz="4" w:space="0" w:color="auto"/>
              <w:right w:val="dotted" w:sz="4" w:space="0" w:color="auto"/>
            </w:tcBorders>
            <w:shd w:val="clear" w:color="auto" w:fill="666699"/>
          </w:tcPr>
          <w:p w14:paraId="5C23C904" w14:textId="2F6DAF1E" w:rsidR="000B5863" w:rsidRDefault="00E46572" w:rsidP="00B739C3">
            <w:pPr>
              <w:jc w:val="center"/>
              <w:rPr>
                <w:rFonts w:ascii="Calibri Light" w:hAnsi="Calibri Light" w:cs="Calibri Light"/>
                <w:color w:val="FFFFFF" w:themeColor="background1"/>
                <w:sz w:val="21"/>
                <w:szCs w:val="21"/>
                <w:lang w:val="en-GB"/>
              </w:rPr>
            </w:pPr>
            <w:r>
              <w:rPr>
                <w:rFonts w:ascii="Calibri Light" w:hAnsi="Calibri Light" w:cs="Calibri Light"/>
                <w:color w:val="FFFFFF" w:themeColor="background1"/>
                <w:sz w:val="21"/>
                <w:szCs w:val="21"/>
                <w:lang w:val="en-GB"/>
              </w:rPr>
              <w:t>98</w:t>
            </w:r>
          </w:p>
        </w:tc>
      </w:tr>
    </w:tbl>
    <w:p w14:paraId="3338489F" w14:textId="77777777" w:rsidR="00B739C3" w:rsidRPr="001E5747" w:rsidRDefault="00B739C3" w:rsidP="00B739C3">
      <w:pPr>
        <w:pStyle w:val="ListParagraph"/>
        <w:tabs>
          <w:tab w:val="left" w:pos="851"/>
        </w:tabs>
        <w:spacing w:before="120" w:after="0" w:line="264" w:lineRule="auto"/>
        <w:ind w:left="851"/>
        <w:jc w:val="both"/>
        <w:rPr>
          <w:rFonts w:ascii="Arial" w:hAnsi="Arial"/>
          <w:sz w:val="16"/>
          <w:szCs w:val="16"/>
          <w:lang w:val="en-GB"/>
        </w:rPr>
      </w:pPr>
    </w:p>
    <w:p w14:paraId="1146D574" w14:textId="77777777" w:rsidR="00B739C3" w:rsidRPr="001E5747" w:rsidRDefault="00B739C3" w:rsidP="00B739C3">
      <w:pPr>
        <w:pStyle w:val="Heading1"/>
        <w:numPr>
          <w:ilvl w:val="1"/>
          <w:numId w:val="42"/>
        </w:numPr>
        <w:tabs>
          <w:tab w:val="left" w:pos="540"/>
        </w:tabs>
        <w:ind w:left="1134" w:hanging="1134"/>
        <w:rPr>
          <w:rFonts w:asciiTheme="majorHAnsi" w:hAnsiTheme="majorHAnsi"/>
          <w:color w:val="C0504D" w:themeColor="accent2"/>
          <w:szCs w:val="28"/>
          <w:lang w:val="en-GB"/>
        </w:rPr>
      </w:pPr>
      <w:bookmarkStart w:id="31" w:name="_Toc61062516"/>
      <w:bookmarkStart w:id="32" w:name="_Toc170432959"/>
      <w:bookmarkStart w:id="33" w:name="_Toc170004017"/>
      <w:bookmarkStart w:id="34" w:name="_Toc236632741"/>
      <w:bookmarkStart w:id="35" w:name="_Toc214024541"/>
      <w:r w:rsidRPr="001E5747">
        <w:rPr>
          <w:rFonts w:asciiTheme="majorHAnsi" w:hAnsiTheme="majorHAnsi"/>
          <w:color w:val="C0504D" w:themeColor="accent2"/>
          <w:szCs w:val="28"/>
          <w:lang w:val="en-GB"/>
        </w:rPr>
        <w:t>Geographical coverage</w:t>
      </w:r>
      <w:bookmarkEnd w:id="31"/>
      <w:bookmarkEnd w:id="32"/>
      <w:bookmarkEnd w:id="33"/>
      <w:bookmarkEnd w:id="34"/>
      <w:bookmarkEnd w:id="35"/>
    </w:p>
    <w:p w14:paraId="657786E0" w14:textId="77777777" w:rsidR="00B739C3" w:rsidRPr="001E5747" w:rsidRDefault="00B739C3" w:rsidP="00B739C3">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10"/>
          <w:szCs w:val="10"/>
          <w:lang w:val="en-GB"/>
        </w:rPr>
      </w:pPr>
    </w:p>
    <w:p w14:paraId="357E2102" w14:textId="77777777" w:rsidR="00B739C3" w:rsidRPr="001E5747" w:rsidRDefault="00E6596D" w:rsidP="00B739C3">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lang w:val="en-GB"/>
        </w:rPr>
      </w:pPr>
      <w:r w:rsidRPr="001E5747">
        <w:rPr>
          <w:rFonts w:asciiTheme="majorHAnsi" w:hAnsiTheme="majorHAnsi"/>
          <w:sz w:val="21"/>
          <w:szCs w:val="21"/>
          <w:lang w:val="en-GB"/>
        </w:rPr>
        <w:t xml:space="preserve">The </w:t>
      </w:r>
      <w:r w:rsidR="00B739C3" w:rsidRPr="001E5747">
        <w:rPr>
          <w:rFonts w:asciiTheme="majorHAnsi" w:hAnsiTheme="majorHAnsi"/>
          <w:sz w:val="21"/>
          <w:szCs w:val="21"/>
          <w:lang w:val="en-GB"/>
        </w:rPr>
        <w:t xml:space="preserve">MPG is a financial instrument created for all municipalities in Kosovo. Access to the MPG is available to all municipalities that meet the minimum </w:t>
      </w:r>
      <w:r w:rsidR="009767E2">
        <w:rPr>
          <w:rFonts w:asciiTheme="majorHAnsi" w:hAnsiTheme="majorHAnsi"/>
          <w:sz w:val="21"/>
          <w:szCs w:val="21"/>
          <w:lang w:val="en-GB"/>
        </w:rPr>
        <w:t>conditions</w:t>
      </w:r>
      <w:r w:rsidR="00B739C3" w:rsidRPr="001E5747">
        <w:rPr>
          <w:rFonts w:asciiTheme="majorHAnsi" w:hAnsiTheme="majorHAnsi"/>
          <w:sz w:val="21"/>
          <w:szCs w:val="21"/>
          <w:lang w:val="en-GB"/>
        </w:rPr>
        <w:t xml:space="preserve"> set out in this document.</w:t>
      </w:r>
    </w:p>
    <w:p w14:paraId="42C51734" w14:textId="77777777" w:rsidR="00B739C3" w:rsidRDefault="00B739C3" w:rsidP="00B739C3">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ind w:left="561"/>
        <w:jc w:val="both"/>
        <w:rPr>
          <w:rFonts w:asciiTheme="majorHAnsi" w:hAnsiTheme="majorHAnsi"/>
          <w:sz w:val="21"/>
          <w:szCs w:val="21"/>
          <w:lang w:val="en-GB"/>
        </w:rPr>
      </w:pPr>
    </w:p>
    <w:p w14:paraId="2E5ABA01" w14:textId="77777777" w:rsidR="00BF5499" w:rsidRPr="001E5747" w:rsidRDefault="00BF5499" w:rsidP="00B739C3">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ind w:left="561"/>
        <w:jc w:val="both"/>
        <w:rPr>
          <w:rFonts w:asciiTheme="majorHAnsi" w:hAnsiTheme="majorHAnsi"/>
          <w:sz w:val="21"/>
          <w:szCs w:val="21"/>
          <w:lang w:val="en-GB"/>
        </w:rPr>
      </w:pPr>
    </w:p>
    <w:p w14:paraId="1E17F8B0" w14:textId="77777777" w:rsidR="00B739C3" w:rsidRDefault="00B739C3" w:rsidP="00B739C3">
      <w:pPr>
        <w:pStyle w:val="Heading1"/>
        <w:numPr>
          <w:ilvl w:val="1"/>
          <w:numId w:val="42"/>
        </w:numPr>
        <w:tabs>
          <w:tab w:val="left" w:pos="540"/>
        </w:tabs>
        <w:ind w:left="1134" w:hanging="1134"/>
        <w:rPr>
          <w:rFonts w:asciiTheme="majorHAnsi" w:hAnsiTheme="majorHAnsi"/>
          <w:color w:val="C0504D" w:themeColor="accent2"/>
          <w:szCs w:val="28"/>
          <w:lang w:val="en-GB"/>
        </w:rPr>
      </w:pPr>
      <w:bookmarkStart w:id="36" w:name="_Toc61062517"/>
      <w:bookmarkStart w:id="37" w:name="_Toc214024542"/>
      <w:r w:rsidRPr="001E5747">
        <w:rPr>
          <w:rFonts w:asciiTheme="majorHAnsi" w:hAnsiTheme="majorHAnsi"/>
          <w:color w:val="C0504D" w:themeColor="accent2"/>
          <w:szCs w:val="28"/>
          <w:lang w:val="en-GB"/>
        </w:rPr>
        <w:t>Strategic orientation</w:t>
      </w:r>
      <w:bookmarkEnd w:id="36"/>
      <w:bookmarkEnd w:id="37"/>
    </w:p>
    <w:p w14:paraId="73C3B320" w14:textId="77777777" w:rsidR="00BF5499" w:rsidRPr="00BF5499" w:rsidRDefault="00BF5499" w:rsidP="00BF5499">
      <w:pPr>
        <w:rPr>
          <w:lang w:val="en-GB"/>
        </w:rPr>
      </w:pPr>
    </w:p>
    <w:p w14:paraId="18AC46C4" w14:textId="76B6D45A" w:rsidR="00B739C3" w:rsidRDefault="00B739C3" w:rsidP="00B739C3">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lang w:val="en-GB"/>
        </w:rPr>
      </w:pPr>
      <w:bookmarkStart w:id="38" w:name="_Toc170432985"/>
      <w:r w:rsidRPr="001E5747">
        <w:rPr>
          <w:rFonts w:asciiTheme="majorHAnsi" w:hAnsiTheme="majorHAnsi"/>
          <w:sz w:val="21"/>
          <w:szCs w:val="21"/>
          <w:lang w:val="en-GB"/>
        </w:rPr>
        <w:t>The MPG is an additional grant to municipalities provided for in the Annual Law on Budget of Kosovo</w:t>
      </w:r>
      <w:r w:rsidR="001E5747">
        <w:rPr>
          <w:rFonts w:asciiTheme="majorHAnsi" w:hAnsiTheme="majorHAnsi"/>
          <w:sz w:val="21"/>
          <w:szCs w:val="21"/>
          <w:lang w:val="en-GB"/>
        </w:rPr>
        <w:t xml:space="preserve"> </w:t>
      </w:r>
      <w:r w:rsidR="001E5747" w:rsidRPr="001E5747">
        <w:rPr>
          <w:rFonts w:asciiTheme="majorHAnsi" w:hAnsiTheme="majorHAnsi"/>
          <w:sz w:val="21"/>
          <w:szCs w:val="21"/>
          <w:lang w:val="en-GB"/>
        </w:rPr>
        <w:t>- table of budget allocation of the Ministry of Local Government Administration.</w:t>
      </w:r>
      <w:r w:rsidRPr="001E5747">
        <w:rPr>
          <w:rFonts w:asciiTheme="majorHAnsi" w:hAnsiTheme="majorHAnsi"/>
          <w:sz w:val="21"/>
          <w:szCs w:val="21"/>
          <w:lang w:val="en-GB"/>
        </w:rPr>
        <w:t xml:space="preserve"> </w:t>
      </w:r>
      <w:r w:rsidR="000F22C5" w:rsidRPr="001E5747">
        <w:rPr>
          <w:rFonts w:asciiTheme="majorHAnsi" w:hAnsiTheme="majorHAnsi"/>
          <w:sz w:val="21"/>
          <w:szCs w:val="21"/>
          <w:lang w:val="en-GB"/>
        </w:rPr>
        <w:t xml:space="preserve">The </w:t>
      </w:r>
      <w:r w:rsidRPr="001E5747">
        <w:rPr>
          <w:rFonts w:asciiTheme="majorHAnsi" w:hAnsiTheme="majorHAnsi"/>
          <w:sz w:val="21"/>
          <w:szCs w:val="21"/>
          <w:lang w:val="en-GB"/>
        </w:rPr>
        <w:t xml:space="preserve">strategic goal is </w:t>
      </w:r>
      <w:r w:rsidR="000F22C5" w:rsidRPr="001E5747">
        <w:rPr>
          <w:rFonts w:asciiTheme="majorHAnsi" w:hAnsiTheme="majorHAnsi"/>
          <w:sz w:val="21"/>
          <w:szCs w:val="21"/>
          <w:lang w:val="en-GB"/>
        </w:rPr>
        <w:t xml:space="preserve">to </w:t>
      </w:r>
      <w:r w:rsidRPr="001E5747">
        <w:rPr>
          <w:rFonts w:asciiTheme="majorHAnsi" w:hAnsiTheme="majorHAnsi"/>
          <w:sz w:val="21"/>
          <w:szCs w:val="21"/>
          <w:lang w:val="en-GB"/>
        </w:rPr>
        <w:t>integrat</w:t>
      </w:r>
      <w:r w:rsidR="000F22C5" w:rsidRPr="001E5747">
        <w:rPr>
          <w:rFonts w:asciiTheme="majorHAnsi" w:hAnsiTheme="majorHAnsi"/>
          <w:sz w:val="21"/>
          <w:szCs w:val="21"/>
          <w:lang w:val="en-GB"/>
        </w:rPr>
        <w:t>e</w:t>
      </w:r>
      <w:r w:rsidRPr="001E5747">
        <w:rPr>
          <w:rFonts w:asciiTheme="majorHAnsi" w:hAnsiTheme="majorHAnsi"/>
          <w:sz w:val="21"/>
          <w:szCs w:val="21"/>
          <w:lang w:val="en-GB"/>
        </w:rPr>
        <w:t xml:space="preserve"> the municipal performance grant in the </w:t>
      </w:r>
      <w:r w:rsidR="000F22C5" w:rsidRPr="001E5747">
        <w:rPr>
          <w:rFonts w:asciiTheme="majorHAnsi" w:hAnsiTheme="majorHAnsi"/>
          <w:sz w:val="21"/>
          <w:szCs w:val="21"/>
          <w:lang w:val="en-GB"/>
        </w:rPr>
        <w:t xml:space="preserve">Law </w:t>
      </w:r>
      <w:r w:rsidRPr="001E5747">
        <w:rPr>
          <w:rFonts w:asciiTheme="majorHAnsi" w:hAnsiTheme="majorHAnsi"/>
          <w:sz w:val="21"/>
          <w:szCs w:val="21"/>
          <w:lang w:val="en-GB"/>
        </w:rPr>
        <w:t xml:space="preserve">on </w:t>
      </w:r>
      <w:r w:rsidR="000F22C5" w:rsidRPr="001E5747">
        <w:rPr>
          <w:rFonts w:asciiTheme="majorHAnsi" w:hAnsiTheme="majorHAnsi"/>
          <w:sz w:val="21"/>
          <w:szCs w:val="21"/>
          <w:lang w:val="en-GB"/>
        </w:rPr>
        <w:t xml:space="preserve">Local Government Finances </w:t>
      </w:r>
      <w:r w:rsidRPr="001E5747">
        <w:rPr>
          <w:rFonts w:asciiTheme="majorHAnsi" w:hAnsiTheme="majorHAnsi"/>
          <w:sz w:val="21"/>
          <w:szCs w:val="21"/>
          <w:lang w:val="en-GB"/>
        </w:rPr>
        <w:t>of Kosovo</w:t>
      </w:r>
      <w:r w:rsidR="00FD4A7E">
        <w:rPr>
          <w:rFonts w:asciiTheme="majorHAnsi" w:hAnsiTheme="majorHAnsi"/>
          <w:sz w:val="21"/>
          <w:szCs w:val="21"/>
          <w:lang w:val="en-GB"/>
        </w:rPr>
        <w:t xml:space="preserve"> or Law on Public Financial Management and Accountabilit</w:t>
      </w:r>
      <w:r w:rsidR="00BB2E33">
        <w:rPr>
          <w:rFonts w:asciiTheme="majorHAnsi" w:hAnsiTheme="majorHAnsi"/>
          <w:sz w:val="21"/>
          <w:szCs w:val="21"/>
          <w:lang w:val="en-GB"/>
        </w:rPr>
        <w:t>y.</w:t>
      </w:r>
    </w:p>
    <w:p w14:paraId="242383FA" w14:textId="662098D4" w:rsidR="00B739C3" w:rsidRPr="001E5747" w:rsidRDefault="00B739C3" w:rsidP="00B739C3">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lang w:val="en-GB"/>
        </w:rPr>
      </w:pPr>
      <w:r w:rsidRPr="001E5747">
        <w:rPr>
          <w:rFonts w:asciiTheme="majorHAnsi" w:hAnsiTheme="majorHAnsi"/>
          <w:sz w:val="21"/>
          <w:szCs w:val="21"/>
          <w:lang w:val="en-GB"/>
        </w:rPr>
        <w:t xml:space="preserve">The MPG is </w:t>
      </w:r>
      <w:r w:rsidR="001E5747">
        <w:rPr>
          <w:rFonts w:asciiTheme="majorHAnsi" w:hAnsiTheme="majorHAnsi"/>
          <w:sz w:val="21"/>
          <w:szCs w:val="21"/>
          <w:lang w:val="en-GB"/>
        </w:rPr>
        <w:t>provided</w:t>
      </w:r>
      <w:r w:rsidRPr="001E5747">
        <w:rPr>
          <w:rFonts w:asciiTheme="majorHAnsi" w:hAnsiTheme="majorHAnsi"/>
          <w:sz w:val="21"/>
          <w:szCs w:val="21"/>
          <w:lang w:val="en-GB"/>
        </w:rPr>
        <w:t xml:space="preserve"> as </w:t>
      </w:r>
      <w:r w:rsidR="001E5747">
        <w:rPr>
          <w:rFonts w:asciiTheme="majorHAnsi" w:hAnsiTheme="majorHAnsi"/>
          <w:sz w:val="21"/>
          <w:szCs w:val="21"/>
          <w:lang w:val="en-GB"/>
        </w:rPr>
        <w:t>an additional financial support</w:t>
      </w:r>
      <w:r w:rsidRPr="001E5747">
        <w:rPr>
          <w:rFonts w:asciiTheme="majorHAnsi" w:hAnsiTheme="majorHAnsi"/>
          <w:sz w:val="21"/>
          <w:szCs w:val="21"/>
          <w:lang w:val="en-GB"/>
        </w:rPr>
        <w:t xml:space="preserve"> to the capital </w:t>
      </w:r>
      <w:r w:rsidR="001E5747">
        <w:rPr>
          <w:rFonts w:asciiTheme="majorHAnsi" w:hAnsiTheme="majorHAnsi"/>
          <w:sz w:val="21"/>
          <w:szCs w:val="21"/>
          <w:lang w:val="en-GB"/>
        </w:rPr>
        <w:t>projects of municipalities</w:t>
      </w:r>
      <w:r w:rsidR="00A46355">
        <w:rPr>
          <w:rFonts w:asciiTheme="majorHAnsi" w:hAnsiTheme="majorHAnsi"/>
          <w:sz w:val="21"/>
          <w:szCs w:val="21"/>
          <w:lang w:val="en-GB"/>
        </w:rPr>
        <w:t>. T</w:t>
      </w:r>
      <w:r w:rsidRPr="001E5747">
        <w:rPr>
          <w:rFonts w:asciiTheme="majorHAnsi" w:hAnsiTheme="majorHAnsi"/>
          <w:sz w:val="21"/>
          <w:szCs w:val="21"/>
          <w:lang w:val="en-GB"/>
        </w:rPr>
        <w:t xml:space="preserve">he amount of </w:t>
      </w:r>
      <w:r w:rsidR="00A46355">
        <w:rPr>
          <w:rFonts w:asciiTheme="majorHAnsi" w:hAnsiTheme="majorHAnsi"/>
          <w:sz w:val="21"/>
          <w:szCs w:val="21"/>
          <w:lang w:val="en-GB"/>
        </w:rPr>
        <w:t>MPG</w:t>
      </w:r>
      <w:r w:rsidR="00A46355" w:rsidRPr="001E5747">
        <w:rPr>
          <w:rFonts w:asciiTheme="majorHAnsi" w:hAnsiTheme="majorHAnsi"/>
          <w:sz w:val="21"/>
          <w:szCs w:val="21"/>
          <w:lang w:val="en-GB"/>
        </w:rPr>
        <w:t xml:space="preserve"> </w:t>
      </w:r>
      <w:r w:rsidRPr="001E5747">
        <w:rPr>
          <w:rFonts w:asciiTheme="majorHAnsi" w:hAnsiTheme="majorHAnsi"/>
          <w:sz w:val="21"/>
          <w:szCs w:val="21"/>
          <w:lang w:val="en-GB"/>
        </w:rPr>
        <w:t xml:space="preserve">is determined based on the </w:t>
      </w:r>
      <w:r w:rsidR="00580587" w:rsidRPr="001E5747">
        <w:rPr>
          <w:rFonts w:asciiTheme="majorHAnsi" w:hAnsiTheme="majorHAnsi"/>
          <w:sz w:val="21"/>
          <w:szCs w:val="21"/>
          <w:lang w:val="en-GB"/>
        </w:rPr>
        <w:t xml:space="preserve">grant allocation </w:t>
      </w:r>
      <w:r w:rsidRPr="001E5747">
        <w:rPr>
          <w:rFonts w:asciiTheme="majorHAnsi" w:hAnsiTheme="majorHAnsi"/>
          <w:sz w:val="21"/>
          <w:szCs w:val="21"/>
          <w:lang w:val="en-GB"/>
        </w:rPr>
        <w:t xml:space="preserve">formula </w:t>
      </w:r>
      <w:r w:rsidR="00A46355">
        <w:rPr>
          <w:rFonts w:asciiTheme="majorHAnsi" w:hAnsiTheme="majorHAnsi"/>
          <w:sz w:val="21"/>
          <w:szCs w:val="21"/>
          <w:lang w:val="en-GB"/>
        </w:rPr>
        <w:t xml:space="preserve">used to finance municipalities </w:t>
      </w:r>
      <w:r w:rsidRPr="001E5747">
        <w:rPr>
          <w:rFonts w:asciiTheme="majorHAnsi" w:hAnsiTheme="majorHAnsi"/>
          <w:sz w:val="21"/>
          <w:szCs w:val="21"/>
          <w:lang w:val="en-GB"/>
        </w:rPr>
        <w:t xml:space="preserve">with variables such as: population size, geographical size, </w:t>
      </w:r>
      <w:r w:rsidR="00A46355">
        <w:rPr>
          <w:rFonts w:asciiTheme="majorHAnsi" w:hAnsiTheme="majorHAnsi"/>
          <w:sz w:val="21"/>
          <w:szCs w:val="21"/>
          <w:lang w:val="en-GB"/>
        </w:rPr>
        <w:t xml:space="preserve">and </w:t>
      </w:r>
      <w:r w:rsidRPr="001E5747">
        <w:rPr>
          <w:rFonts w:asciiTheme="majorHAnsi" w:hAnsiTheme="majorHAnsi"/>
          <w:sz w:val="21"/>
          <w:szCs w:val="21"/>
          <w:lang w:val="en-GB"/>
        </w:rPr>
        <w:t>ethnic composition</w:t>
      </w:r>
      <w:r w:rsidRPr="007F3414">
        <w:rPr>
          <w:rFonts w:asciiTheme="majorHAnsi" w:hAnsiTheme="majorHAnsi"/>
          <w:sz w:val="20"/>
          <w:vertAlign w:val="superscript"/>
          <w:lang w:val="en-GB"/>
        </w:rPr>
        <w:footnoteReference w:id="3"/>
      </w:r>
      <w:r w:rsidRPr="007F3414">
        <w:rPr>
          <w:rFonts w:asciiTheme="majorHAnsi" w:hAnsiTheme="majorHAnsi"/>
          <w:sz w:val="21"/>
          <w:szCs w:val="21"/>
          <w:lang w:val="en-GB"/>
        </w:rPr>
        <w:t>,</w:t>
      </w:r>
      <w:r w:rsidRPr="001E5747">
        <w:rPr>
          <w:rFonts w:asciiTheme="majorHAnsi" w:hAnsiTheme="majorHAnsi"/>
          <w:sz w:val="21"/>
          <w:szCs w:val="21"/>
          <w:lang w:val="en-GB"/>
        </w:rPr>
        <w:t xml:space="preserve"> as well as performance points</w:t>
      </w:r>
      <w:r w:rsidR="000758FF">
        <w:rPr>
          <w:rFonts w:asciiTheme="majorHAnsi" w:hAnsiTheme="majorHAnsi"/>
          <w:sz w:val="21"/>
          <w:szCs w:val="21"/>
          <w:lang w:val="en-GB"/>
        </w:rPr>
        <w:t xml:space="preserve"> in MPG indicators</w:t>
      </w:r>
      <w:r w:rsidRPr="001E5747">
        <w:rPr>
          <w:rFonts w:asciiTheme="majorHAnsi" w:hAnsiTheme="majorHAnsi"/>
          <w:sz w:val="18"/>
          <w:szCs w:val="21"/>
          <w:lang w:val="en-GB"/>
        </w:rPr>
        <w:t>.</w:t>
      </w:r>
    </w:p>
    <w:p w14:paraId="018ADF32" w14:textId="77777777" w:rsidR="00B739C3" w:rsidRPr="001E5747" w:rsidRDefault="00D279B4" w:rsidP="00B739C3">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lang w:val="en-GB"/>
        </w:rPr>
      </w:pPr>
      <w:r w:rsidRPr="00A56C90">
        <w:rPr>
          <w:rFonts w:asciiTheme="majorHAnsi" w:hAnsiTheme="majorHAnsi"/>
          <w:sz w:val="21"/>
          <w:szCs w:val="21"/>
          <w:lang w:val="en-GB"/>
        </w:rPr>
        <w:t>With regard to spending of the municipal performance grant,</w:t>
      </w:r>
      <w:r w:rsidR="009D3A6D" w:rsidRPr="00A56C90">
        <w:rPr>
          <w:rFonts w:asciiTheme="majorHAnsi" w:hAnsiTheme="majorHAnsi"/>
          <w:sz w:val="21"/>
          <w:szCs w:val="21"/>
          <w:lang w:val="en-GB"/>
        </w:rPr>
        <w:t xml:space="preserve"> </w:t>
      </w:r>
      <w:r w:rsidRPr="00A56C90">
        <w:rPr>
          <w:rFonts w:asciiTheme="majorHAnsi" w:hAnsiTheme="majorHAnsi"/>
          <w:sz w:val="21"/>
          <w:szCs w:val="21"/>
          <w:lang w:val="en-GB"/>
        </w:rPr>
        <w:t>all existing government rules (which apply to capital investments within the general grant)</w:t>
      </w:r>
      <w:r w:rsidR="00B739C3" w:rsidRPr="00A56C90">
        <w:rPr>
          <w:rFonts w:asciiTheme="majorHAnsi" w:hAnsiTheme="majorHAnsi"/>
          <w:sz w:val="21"/>
          <w:szCs w:val="21"/>
          <w:lang w:val="en-GB"/>
        </w:rPr>
        <w:t xml:space="preserve">, </w:t>
      </w:r>
      <w:r w:rsidRPr="00A56C90">
        <w:rPr>
          <w:rFonts w:asciiTheme="majorHAnsi" w:hAnsiTheme="majorHAnsi"/>
          <w:sz w:val="21"/>
          <w:szCs w:val="21"/>
          <w:lang w:val="en-GB"/>
        </w:rPr>
        <w:t xml:space="preserve">shall </w:t>
      </w:r>
      <w:r w:rsidR="00B739C3" w:rsidRPr="00A56C90">
        <w:rPr>
          <w:rFonts w:asciiTheme="majorHAnsi" w:hAnsiTheme="majorHAnsi"/>
          <w:sz w:val="21"/>
          <w:szCs w:val="21"/>
          <w:lang w:val="en-GB"/>
        </w:rPr>
        <w:t xml:space="preserve">apply in terms of grant use, planning, reporting and accountability. This means that municipalities can use </w:t>
      </w:r>
      <w:r w:rsidR="00A55FBC" w:rsidRPr="00A56C90">
        <w:rPr>
          <w:rFonts w:asciiTheme="majorHAnsi" w:hAnsiTheme="majorHAnsi"/>
          <w:sz w:val="21"/>
          <w:szCs w:val="21"/>
          <w:lang w:val="en-GB"/>
        </w:rPr>
        <w:t xml:space="preserve">their </w:t>
      </w:r>
      <w:r w:rsidR="00B739C3" w:rsidRPr="00A56C90">
        <w:rPr>
          <w:rFonts w:asciiTheme="majorHAnsi" w:hAnsiTheme="majorHAnsi"/>
          <w:sz w:val="21"/>
          <w:szCs w:val="21"/>
          <w:lang w:val="en-GB"/>
        </w:rPr>
        <w:t>legal tendering, contracting and technical acceptance procedures. The grant may be included in the regular audit of the National Audit Office.</w:t>
      </w:r>
      <w:r w:rsidR="00B739C3" w:rsidRPr="001E5747">
        <w:rPr>
          <w:rFonts w:asciiTheme="majorHAnsi" w:hAnsiTheme="majorHAnsi"/>
          <w:sz w:val="21"/>
          <w:szCs w:val="21"/>
          <w:lang w:val="en-GB"/>
        </w:rPr>
        <w:t xml:space="preserve"> Thus, the MPG is administered as a government grant to municipalities. The only features added here are the minimum </w:t>
      </w:r>
      <w:r w:rsidR="009767E2">
        <w:rPr>
          <w:rFonts w:asciiTheme="majorHAnsi" w:hAnsiTheme="majorHAnsi"/>
          <w:sz w:val="21"/>
          <w:szCs w:val="21"/>
          <w:lang w:val="en-GB"/>
        </w:rPr>
        <w:t>conditions</w:t>
      </w:r>
      <w:r w:rsidR="00B739C3" w:rsidRPr="001E5747">
        <w:rPr>
          <w:rFonts w:asciiTheme="majorHAnsi" w:hAnsiTheme="majorHAnsi"/>
          <w:sz w:val="21"/>
          <w:szCs w:val="21"/>
          <w:lang w:val="en-GB"/>
        </w:rPr>
        <w:t xml:space="preserve"> and performance indicators.</w:t>
      </w:r>
    </w:p>
    <w:p w14:paraId="47A13EAE" w14:textId="78FB8EBB" w:rsidR="00B739C3" w:rsidRPr="001E5747" w:rsidRDefault="00B739C3" w:rsidP="00B739C3">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lang w:val="en-GB"/>
        </w:rPr>
      </w:pPr>
      <w:r w:rsidRPr="001E5747">
        <w:rPr>
          <w:rFonts w:asciiTheme="majorHAnsi" w:hAnsiTheme="majorHAnsi"/>
          <w:sz w:val="21"/>
          <w:szCs w:val="21"/>
          <w:lang w:val="en-GB"/>
        </w:rPr>
        <w:t xml:space="preserve">Since </w:t>
      </w:r>
      <w:r w:rsidR="003A6308" w:rsidRPr="001E5747">
        <w:rPr>
          <w:rFonts w:asciiTheme="majorHAnsi" w:hAnsiTheme="majorHAnsi"/>
          <w:sz w:val="21"/>
          <w:szCs w:val="21"/>
          <w:lang w:val="en-GB"/>
        </w:rPr>
        <w:t>MPG</w:t>
      </w:r>
      <w:r w:rsidR="003A6308">
        <w:rPr>
          <w:rFonts w:asciiTheme="majorHAnsi" w:hAnsiTheme="majorHAnsi"/>
          <w:sz w:val="21"/>
          <w:szCs w:val="21"/>
          <w:lang w:val="en-GB"/>
        </w:rPr>
        <w:t xml:space="preserve"> is being regulated with </w:t>
      </w:r>
      <w:r w:rsidR="003A6308" w:rsidRPr="001E5747">
        <w:rPr>
          <w:rFonts w:asciiTheme="majorHAnsi" w:hAnsiTheme="majorHAnsi"/>
          <w:sz w:val="21"/>
          <w:szCs w:val="21"/>
          <w:lang w:val="en-GB"/>
        </w:rPr>
        <w:t xml:space="preserve">the law on municipal performance and performance </w:t>
      </w:r>
      <w:proofErr w:type="gramStart"/>
      <w:r w:rsidR="003A6308" w:rsidRPr="001E5747">
        <w:rPr>
          <w:rFonts w:asciiTheme="majorHAnsi" w:hAnsiTheme="majorHAnsi"/>
          <w:sz w:val="21"/>
          <w:szCs w:val="21"/>
          <w:lang w:val="en-GB"/>
        </w:rPr>
        <w:t xml:space="preserve">grant,  </w:t>
      </w:r>
      <w:r w:rsidRPr="001E5747">
        <w:rPr>
          <w:rFonts w:asciiTheme="majorHAnsi" w:hAnsiTheme="majorHAnsi"/>
          <w:sz w:val="21"/>
          <w:szCs w:val="21"/>
          <w:lang w:val="en-GB"/>
        </w:rPr>
        <w:t>the</w:t>
      </w:r>
      <w:proofErr w:type="gramEnd"/>
      <w:r w:rsidRPr="001E5747">
        <w:rPr>
          <w:rFonts w:asciiTheme="majorHAnsi" w:hAnsiTheme="majorHAnsi"/>
          <w:sz w:val="21"/>
          <w:szCs w:val="21"/>
          <w:lang w:val="en-GB"/>
        </w:rPr>
        <w:t xml:space="preserve"> plan is for the MPG to become part of the legal framework for local finances in the coming years as well as it should be harmonized as much as possible with current government systems and administrative procedures of Kosovo.</w:t>
      </w:r>
    </w:p>
    <w:p w14:paraId="0FEE77ED" w14:textId="77777777" w:rsidR="00B739C3" w:rsidRPr="001E5747" w:rsidRDefault="00B739C3" w:rsidP="00B739C3">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lang w:val="en-GB"/>
        </w:rPr>
      </w:pPr>
      <w:r w:rsidRPr="001E5747">
        <w:rPr>
          <w:rFonts w:asciiTheme="majorHAnsi" w:hAnsiTheme="majorHAnsi"/>
          <w:sz w:val="21"/>
          <w:szCs w:val="21"/>
          <w:lang w:val="en-GB"/>
        </w:rPr>
        <w:t xml:space="preserve">Line ministries and donors wishing to delegate related responsibilities and funds to local governments will be encouraged to align their grants with </w:t>
      </w:r>
      <w:r w:rsidR="00254829" w:rsidRPr="001E5747">
        <w:rPr>
          <w:rFonts w:asciiTheme="majorHAnsi" w:hAnsiTheme="majorHAnsi"/>
          <w:sz w:val="21"/>
          <w:szCs w:val="21"/>
          <w:lang w:val="en-GB"/>
        </w:rPr>
        <w:t xml:space="preserve">the </w:t>
      </w:r>
      <w:r w:rsidRPr="001E5747">
        <w:rPr>
          <w:rFonts w:asciiTheme="majorHAnsi" w:hAnsiTheme="majorHAnsi"/>
          <w:sz w:val="21"/>
          <w:szCs w:val="21"/>
          <w:lang w:val="en-GB"/>
        </w:rPr>
        <w:t xml:space="preserve">MPG provisions, which are based on the measure of good governance. This would also create an advantage for their (sectoral) grant and MPG. For example, the same minimum conditions can be used, </w:t>
      </w:r>
      <w:r w:rsidR="00F42241" w:rsidRPr="001E5747">
        <w:rPr>
          <w:rFonts w:asciiTheme="majorHAnsi" w:hAnsiTheme="majorHAnsi"/>
          <w:sz w:val="21"/>
          <w:szCs w:val="21"/>
          <w:lang w:val="en-GB"/>
        </w:rPr>
        <w:t xml:space="preserve">maybe </w:t>
      </w:r>
      <w:r w:rsidRPr="001E5747">
        <w:rPr>
          <w:rFonts w:asciiTheme="majorHAnsi" w:hAnsiTheme="majorHAnsi"/>
          <w:sz w:val="21"/>
          <w:szCs w:val="21"/>
          <w:lang w:val="en-GB"/>
        </w:rPr>
        <w:t>in combination with a minimum percentage of performance points (score). Donors wishing to invest in issues related to good governance will be encouraged to channel their funds directly into the joint MPG fund.</w:t>
      </w:r>
    </w:p>
    <w:p w14:paraId="4A7B6E74" w14:textId="77777777" w:rsidR="00B739C3" w:rsidRPr="001E5747" w:rsidRDefault="00B739C3" w:rsidP="00B739C3">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ind w:left="561"/>
        <w:jc w:val="both"/>
        <w:rPr>
          <w:rFonts w:asciiTheme="majorHAnsi" w:hAnsiTheme="majorHAnsi"/>
          <w:sz w:val="21"/>
          <w:szCs w:val="21"/>
          <w:lang w:val="en-GB"/>
        </w:rPr>
      </w:pPr>
    </w:p>
    <w:p w14:paraId="7C492A2F" w14:textId="77777777" w:rsidR="00B739C3" w:rsidRPr="001E5747" w:rsidRDefault="00F42241" w:rsidP="00B739C3">
      <w:pPr>
        <w:pStyle w:val="Heading1"/>
        <w:numPr>
          <w:ilvl w:val="1"/>
          <w:numId w:val="42"/>
        </w:numPr>
        <w:tabs>
          <w:tab w:val="left" w:pos="540"/>
        </w:tabs>
        <w:ind w:left="1134" w:hanging="1134"/>
        <w:rPr>
          <w:rFonts w:asciiTheme="majorHAnsi" w:hAnsiTheme="majorHAnsi"/>
          <w:color w:val="C0504D" w:themeColor="accent2"/>
          <w:szCs w:val="28"/>
          <w:lang w:val="en-GB"/>
        </w:rPr>
      </w:pPr>
      <w:bookmarkStart w:id="40" w:name="_Toc61062518"/>
      <w:bookmarkStart w:id="41" w:name="_Toc214024543"/>
      <w:r w:rsidRPr="001E5747">
        <w:rPr>
          <w:rFonts w:asciiTheme="majorHAnsi" w:hAnsiTheme="majorHAnsi"/>
          <w:color w:val="C0504D" w:themeColor="accent2"/>
          <w:szCs w:val="28"/>
          <w:lang w:val="en-GB"/>
        </w:rPr>
        <w:t>S</w:t>
      </w:r>
      <w:r w:rsidR="00B739C3" w:rsidRPr="001E5747">
        <w:rPr>
          <w:rFonts w:asciiTheme="majorHAnsi" w:hAnsiTheme="majorHAnsi"/>
          <w:color w:val="C0504D" w:themeColor="accent2"/>
          <w:szCs w:val="28"/>
          <w:lang w:val="en-GB"/>
        </w:rPr>
        <w:t xml:space="preserve">tructure </w:t>
      </w:r>
      <w:r w:rsidR="001E5747">
        <w:rPr>
          <w:rFonts w:asciiTheme="majorHAnsi" w:hAnsiTheme="majorHAnsi"/>
          <w:color w:val="C0504D" w:themeColor="accent2"/>
          <w:szCs w:val="28"/>
          <w:lang w:val="en-GB"/>
        </w:rPr>
        <w:t xml:space="preserve">of rules </w:t>
      </w:r>
      <w:r w:rsidR="00B739C3" w:rsidRPr="001E5747">
        <w:rPr>
          <w:rFonts w:asciiTheme="majorHAnsi" w:hAnsiTheme="majorHAnsi"/>
          <w:color w:val="C0504D" w:themeColor="accent2"/>
          <w:szCs w:val="28"/>
          <w:lang w:val="en-GB"/>
        </w:rPr>
        <w:t xml:space="preserve">and </w:t>
      </w:r>
      <w:r w:rsidRPr="001E5747">
        <w:rPr>
          <w:rFonts w:asciiTheme="majorHAnsi" w:hAnsiTheme="majorHAnsi"/>
          <w:color w:val="C0504D" w:themeColor="accent2"/>
          <w:szCs w:val="28"/>
          <w:lang w:val="en-GB"/>
        </w:rPr>
        <w:t xml:space="preserve">targeted </w:t>
      </w:r>
      <w:r w:rsidR="00B739C3" w:rsidRPr="001E5747">
        <w:rPr>
          <w:rFonts w:asciiTheme="majorHAnsi" w:hAnsiTheme="majorHAnsi"/>
          <w:color w:val="C0504D" w:themeColor="accent2"/>
          <w:szCs w:val="28"/>
          <w:lang w:val="en-GB"/>
        </w:rPr>
        <w:t>audience</w:t>
      </w:r>
      <w:bookmarkEnd w:id="40"/>
      <w:bookmarkEnd w:id="41"/>
    </w:p>
    <w:p w14:paraId="1DE4494F" w14:textId="77777777" w:rsidR="00B739C3" w:rsidRPr="001E5747" w:rsidRDefault="00B739C3" w:rsidP="00B739C3">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64" w:lineRule="auto"/>
        <w:jc w:val="both"/>
        <w:rPr>
          <w:rFonts w:asciiTheme="majorHAnsi" w:hAnsiTheme="majorHAnsi"/>
          <w:sz w:val="14"/>
          <w:szCs w:val="14"/>
          <w:lang w:val="en-GB"/>
        </w:rPr>
      </w:pPr>
    </w:p>
    <w:p w14:paraId="197F2B63" w14:textId="69F9E4C0" w:rsidR="00CF7975" w:rsidRDefault="00B739C3" w:rsidP="00545F99">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300" w:lineRule="atLeast"/>
        <w:jc w:val="both"/>
        <w:rPr>
          <w:rFonts w:asciiTheme="majorHAnsi" w:hAnsiTheme="majorHAnsi"/>
          <w:sz w:val="21"/>
          <w:szCs w:val="21"/>
          <w:lang w:val="en-GB"/>
        </w:rPr>
      </w:pPr>
      <w:r w:rsidRPr="001E5747">
        <w:rPr>
          <w:rFonts w:asciiTheme="majorHAnsi" w:hAnsiTheme="majorHAnsi"/>
          <w:sz w:val="21"/>
          <w:szCs w:val="21"/>
          <w:lang w:val="en-GB"/>
        </w:rPr>
        <w:t xml:space="preserve">This document explains the criteria, rules and procedures for managing a Municipal Performance Grant: </w:t>
      </w:r>
    </w:p>
    <w:tbl>
      <w:tblPr>
        <w:tblW w:w="9411" w:type="dxa"/>
        <w:tblLook w:val="04A0" w:firstRow="1" w:lastRow="0" w:firstColumn="1" w:lastColumn="0" w:noHBand="0" w:noVBand="1"/>
      </w:tblPr>
      <w:tblGrid>
        <w:gridCol w:w="9411"/>
      </w:tblGrid>
      <w:tr w:rsidR="00CF7975" w:rsidRPr="005100C8" w14:paraId="7F681FEA" w14:textId="77777777" w:rsidTr="001C44F9">
        <w:trPr>
          <w:trHeight w:val="160"/>
        </w:trPr>
        <w:tc>
          <w:tcPr>
            <w:tcW w:w="4580" w:type="dxa"/>
            <w:tcBorders>
              <w:top w:val="single" w:sz="8" w:space="0" w:color="4472C4"/>
              <w:left w:val="single" w:sz="8" w:space="0" w:color="4472C4"/>
              <w:bottom w:val="single" w:sz="8" w:space="0" w:color="4472C4"/>
              <w:right w:val="nil"/>
            </w:tcBorders>
            <w:shd w:val="clear" w:color="000000" w:fill="4472C4"/>
            <w:vAlign w:val="center"/>
            <w:hideMark/>
          </w:tcPr>
          <w:p w14:paraId="0AB41847" w14:textId="77777777" w:rsidR="00CF7975" w:rsidRPr="00CF7975" w:rsidRDefault="00CF7975" w:rsidP="00CF7975">
            <w:pPr>
              <w:jc w:val="both"/>
              <w:rPr>
                <w:rFonts w:ascii="Calibri Light" w:eastAsia="Times New Roman" w:hAnsi="Calibri Light" w:cs="Calibri Light"/>
                <w:b/>
                <w:bCs/>
                <w:color w:val="FFFFFF"/>
                <w:sz w:val="22"/>
                <w:szCs w:val="22"/>
              </w:rPr>
            </w:pPr>
            <w:proofErr w:type="spellStart"/>
            <w:r w:rsidRPr="00CF7975">
              <w:rPr>
                <w:rFonts w:ascii="Calibri Light" w:eastAsia="Times New Roman" w:hAnsi="Calibri Light" w:cs="Calibri Light"/>
                <w:b/>
                <w:bCs/>
                <w:color w:val="FFFFFF"/>
                <w:sz w:val="22"/>
                <w:szCs w:val="22"/>
              </w:rPr>
              <w:t>Chapter</w:t>
            </w:r>
            <w:proofErr w:type="spellEnd"/>
            <w:r w:rsidRPr="00CF7975">
              <w:rPr>
                <w:rFonts w:ascii="Calibri Light" w:eastAsia="Times New Roman" w:hAnsi="Calibri Light" w:cs="Calibri Light"/>
                <w:b/>
                <w:bCs/>
                <w:color w:val="FFFFFF"/>
                <w:sz w:val="22"/>
                <w:szCs w:val="22"/>
              </w:rPr>
              <w:t xml:space="preserve"> 1 - </w:t>
            </w:r>
            <w:proofErr w:type="spellStart"/>
            <w:r w:rsidRPr="00CF7975">
              <w:rPr>
                <w:rFonts w:ascii="Calibri Light" w:eastAsia="Times New Roman" w:hAnsi="Calibri Light" w:cs="Calibri Light"/>
                <w:b/>
                <w:bCs/>
                <w:color w:val="FFFFFF"/>
                <w:sz w:val="22"/>
                <w:szCs w:val="22"/>
              </w:rPr>
              <w:t>provides</w:t>
            </w:r>
            <w:proofErr w:type="spellEnd"/>
            <w:r w:rsidRPr="00CF7975">
              <w:rPr>
                <w:rFonts w:ascii="Calibri Light" w:eastAsia="Times New Roman" w:hAnsi="Calibri Light" w:cs="Calibri Light"/>
                <w:b/>
                <w:bCs/>
                <w:color w:val="FFFFFF"/>
                <w:sz w:val="22"/>
                <w:szCs w:val="22"/>
              </w:rPr>
              <w:t xml:space="preserve"> a </w:t>
            </w:r>
            <w:proofErr w:type="spellStart"/>
            <w:r w:rsidRPr="00CF7975">
              <w:rPr>
                <w:rFonts w:ascii="Calibri Light" w:eastAsia="Times New Roman" w:hAnsi="Calibri Light" w:cs="Calibri Light"/>
                <w:b/>
                <w:bCs/>
                <w:color w:val="FFFFFF"/>
                <w:sz w:val="22"/>
                <w:szCs w:val="22"/>
              </w:rPr>
              <w:t>brief</w:t>
            </w:r>
            <w:proofErr w:type="spellEnd"/>
            <w:r w:rsidRPr="00CF7975">
              <w:rPr>
                <w:rFonts w:ascii="Calibri Light" w:eastAsia="Times New Roman" w:hAnsi="Calibri Light" w:cs="Calibri Light"/>
                <w:b/>
                <w:bCs/>
                <w:color w:val="FFFFFF"/>
                <w:sz w:val="22"/>
                <w:szCs w:val="22"/>
              </w:rPr>
              <w:t xml:space="preserve"> </w:t>
            </w:r>
            <w:proofErr w:type="spellStart"/>
            <w:r w:rsidRPr="00CF7975">
              <w:rPr>
                <w:rFonts w:ascii="Calibri Light" w:eastAsia="Times New Roman" w:hAnsi="Calibri Light" w:cs="Calibri Light"/>
                <w:b/>
                <w:bCs/>
                <w:color w:val="FFFFFF"/>
                <w:sz w:val="22"/>
                <w:szCs w:val="22"/>
              </w:rPr>
              <w:t>overview</w:t>
            </w:r>
            <w:proofErr w:type="spellEnd"/>
            <w:r w:rsidRPr="00CF7975">
              <w:rPr>
                <w:rFonts w:ascii="Calibri Light" w:eastAsia="Times New Roman" w:hAnsi="Calibri Light" w:cs="Calibri Light"/>
                <w:b/>
                <w:bCs/>
                <w:color w:val="FFFFFF"/>
                <w:sz w:val="22"/>
                <w:szCs w:val="22"/>
              </w:rPr>
              <w:t xml:space="preserve"> </w:t>
            </w:r>
            <w:proofErr w:type="spellStart"/>
            <w:r w:rsidRPr="00CF7975">
              <w:rPr>
                <w:rFonts w:ascii="Calibri Light" w:eastAsia="Times New Roman" w:hAnsi="Calibri Light" w:cs="Calibri Light"/>
                <w:b/>
                <w:bCs/>
                <w:color w:val="FFFFFF"/>
                <w:sz w:val="22"/>
                <w:szCs w:val="22"/>
              </w:rPr>
              <w:t>of</w:t>
            </w:r>
            <w:proofErr w:type="spellEnd"/>
            <w:r w:rsidRPr="00CF7975">
              <w:rPr>
                <w:rFonts w:ascii="Calibri Light" w:eastAsia="Times New Roman" w:hAnsi="Calibri Light" w:cs="Calibri Light"/>
                <w:b/>
                <w:bCs/>
                <w:color w:val="FFFFFF"/>
                <w:sz w:val="22"/>
                <w:szCs w:val="22"/>
              </w:rPr>
              <w:t xml:space="preserve"> the MPG </w:t>
            </w:r>
            <w:proofErr w:type="spellStart"/>
            <w:r w:rsidRPr="00CF7975">
              <w:rPr>
                <w:rFonts w:ascii="Calibri Light" w:eastAsia="Times New Roman" w:hAnsi="Calibri Light" w:cs="Calibri Light"/>
                <w:b/>
                <w:bCs/>
                <w:color w:val="FFFFFF"/>
                <w:sz w:val="22"/>
                <w:szCs w:val="22"/>
              </w:rPr>
              <w:t>justification</w:t>
            </w:r>
            <w:proofErr w:type="spellEnd"/>
            <w:r w:rsidRPr="00CF7975">
              <w:rPr>
                <w:rFonts w:ascii="Calibri Light" w:eastAsia="Times New Roman" w:hAnsi="Calibri Light" w:cs="Calibri Light"/>
                <w:b/>
                <w:bCs/>
                <w:color w:val="FFFFFF"/>
                <w:sz w:val="22"/>
                <w:szCs w:val="22"/>
              </w:rPr>
              <w:t xml:space="preserve"> </w:t>
            </w:r>
            <w:proofErr w:type="spellStart"/>
            <w:r w:rsidRPr="00CF7975">
              <w:rPr>
                <w:rFonts w:ascii="Calibri Light" w:eastAsia="Times New Roman" w:hAnsi="Calibri Light" w:cs="Calibri Light"/>
                <w:b/>
                <w:bCs/>
                <w:color w:val="FFFFFF"/>
                <w:sz w:val="22"/>
                <w:szCs w:val="22"/>
              </w:rPr>
              <w:t>and</w:t>
            </w:r>
            <w:proofErr w:type="spellEnd"/>
            <w:r w:rsidRPr="00CF7975">
              <w:rPr>
                <w:rFonts w:ascii="Calibri Light" w:eastAsia="Times New Roman" w:hAnsi="Calibri Light" w:cs="Calibri Light"/>
                <w:b/>
                <w:bCs/>
                <w:color w:val="FFFFFF"/>
                <w:sz w:val="22"/>
                <w:szCs w:val="22"/>
              </w:rPr>
              <w:t xml:space="preserve"> </w:t>
            </w:r>
            <w:proofErr w:type="spellStart"/>
            <w:r w:rsidRPr="00CF7975">
              <w:rPr>
                <w:rFonts w:ascii="Calibri Light" w:eastAsia="Times New Roman" w:hAnsi="Calibri Light" w:cs="Calibri Light"/>
                <w:b/>
                <w:bCs/>
                <w:color w:val="FFFFFF"/>
                <w:sz w:val="22"/>
                <w:szCs w:val="22"/>
              </w:rPr>
              <w:t>areas</w:t>
            </w:r>
            <w:proofErr w:type="spellEnd"/>
            <w:r w:rsidRPr="00CF7975">
              <w:rPr>
                <w:rFonts w:ascii="Calibri Light" w:eastAsia="Times New Roman" w:hAnsi="Calibri Light" w:cs="Calibri Light"/>
                <w:b/>
                <w:bCs/>
                <w:color w:val="FFFFFF"/>
                <w:sz w:val="22"/>
                <w:szCs w:val="22"/>
              </w:rPr>
              <w:t xml:space="preserve"> </w:t>
            </w:r>
            <w:proofErr w:type="spellStart"/>
            <w:r w:rsidRPr="00CF7975">
              <w:rPr>
                <w:rFonts w:ascii="Calibri Light" w:eastAsia="Times New Roman" w:hAnsi="Calibri Light" w:cs="Calibri Light"/>
                <w:b/>
                <w:bCs/>
                <w:color w:val="FFFFFF"/>
                <w:sz w:val="22"/>
                <w:szCs w:val="22"/>
              </w:rPr>
              <w:t>where</w:t>
            </w:r>
            <w:proofErr w:type="spellEnd"/>
            <w:r w:rsidRPr="00CF7975">
              <w:rPr>
                <w:rFonts w:ascii="Calibri Light" w:eastAsia="Times New Roman" w:hAnsi="Calibri Light" w:cs="Calibri Light"/>
                <w:b/>
                <w:bCs/>
                <w:color w:val="FFFFFF"/>
                <w:sz w:val="22"/>
                <w:szCs w:val="22"/>
              </w:rPr>
              <w:t xml:space="preserve"> it </w:t>
            </w:r>
            <w:proofErr w:type="spellStart"/>
            <w:r w:rsidRPr="00CF7975">
              <w:rPr>
                <w:rFonts w:ascii="Calibri Light" w:eastAsia="Times New Roman" w:hAnsi="Calibri Light" w:cs="Calibri Light"/>
                <w:b/>
                <w:bCs/>
                <w:color w:val="FFFFFF"/>
                <w:sz w:val="22"/>
                <w:szCs w:val="22"/>
              </w:rPr>
              <w:t>focuses</w:t>
            </w:r>
            <w:proofErr w:type="spellEnd"/>
            <w:r w:rsidRPr="00CF7975">
              <w:rPr>
                <w:rFonts w:ascii="Calibri Light" w:eastAsia="Times New Roman" w:hAnsi="Calibri Light" w:cs="Calibri Light"/>
                <w:b/>
                <w:bCs/>
                <w:color w:val="FFFFFF"/>
                <w:sz w:val="22"/>
                <w:szCs w:val="22"/>
              </w:rPr>
              <w:t>.</w:t>
            </w:r>
          </w:p>
          <w:p w14:paraId="3A1403CE" w14:textId="77777777" w:rsidR="00CF7975" w:rsidRPr="00CF7975" w:rsidRDefault="00CF7975" w:rsidP="00CF7975">
            <w:pPr>
              <w:jc w:val="both"/>
              <w:rPr>
                <w:rFonts w:ascii="Calibri Light" w:eastAsia="Times New Roman" w:hAnsi="Calibri Light" w:cs="Calibri Light"/>
                <w:b/>
                <w:bCs/>
                <w:color w:val="FFFFFF"/>
                <w:sz w:val="22"/>
                <w:szCs w:val="22"/>
              </w:rPr>
            </w:pPr>
            <w:proofErr w:type="spellStart"/>
            <w:r w:rsidRPr="00CF7975">
              <w:rPr>
                <w:rFonts w:ascii="Calibri Light" w:eastAsia="Times New Roman" w:hAnsi="Calibri Light" w:cs="Calibri Light"/>
                <w:b/>
                <w:bCs/>
                <w:color w:val="FFFFFF"/>
                <w:sz w:val="22"/>
                <w:szCs w:val="22"/>
              </w:rPr>
              <w:t>Chapter</w:t>
            </w:r>
            <w:proofErr w:type="spellEnd"/>
            <w:r w:rsidRPr="00CF7975">
              <w:rPr>
                <w:rFonts w:ascii="Calibri Light" w:eastAsia="Times New Roman" w:hAnsi="Calibri Light" w:cs="Calibri Light"/>
                <w:b/>
                <w:bCs/>
                <w:color w:val="FFFFFF"/>
                <w:sz w:val="22"/>
                <w:szCs w:val="22"/>
              </w:rPr>
              <w:t xml:space="preserve"> 2 - </w:t>
            </w:r>
            <w:proofErr w:type="spellStart"/>
            <w:r w:rsidRPr="00CF7975">
              <w:rPr>
                <w:rFonts w:ascii="Calibri Light" w:eastAsia="Times New Roman" w:hAnsi="Calibri Light" w:cs="Calibri Light"/>
                <w:b/>
                <w:bCs/>
                <w:color w:val="FFFFFF"/>
                <w:sz w:val="22"/>
                <w:szCs w:val="22"/>
              </w:rPr>
              <w:t>defines</w:t>
            </w:r>
            <w:proofErr w:type="spellEnd"/>
            <w:r w:rsidRPr="00CF7975">
              <w:rPr>
                <w:rFonts w:ascii="Calibri Light" w:eastAsia="Times New Roman" w:hAnsi="Calibri Light" w:cs="Calibri Light"/>
                <w:b/>
                <w:bCs/>
                <w:color w:val="FFFFFF"/>
                <w:sz w:val="22"/>
                <w:szCs w:val="22"/>
              </w:rPr>
              <w:t xml:space="preserve"> the minimum </w:t>
            </w:r>
            <w:proofErr w:type="spellStart"/>
            <w:r w:rsidRPr="00CF7975">
              <w:rPr>
                <w:rFonts w:ascii="Calibri Light" w:eastAsia="Times New Roman" w:hAnsi="Calibri Light" w:cs="Calibri Light"/>
                <w:b/>
                <w:bCs/>
                <w:color w:val="FFFFFF"/>
                <w:sz w:val="22"/>
                <w:szCs w:val="22"/>
              </w:rPr>
              <w:t>conditions</w:t>
            </w:r>
            <w:proofErr w:type="spellEnd"/>
            <w:r w:rsidRPr="00CF7975">
              <w:rPr>
                <w:rFonts w:ascii="Calibri Light" w:eastAsia="Times New Roman" w:hAnsi="Calibri Light" w:cs="Calibri Light"/>
                <w:b/>
                <w:bCs/>
                <w:color w:val="FFFFFF"/>
                <w:sz w:val="22"/>
                <w:szCs w:val="22"/>
              </w:rPr>
              <w:t xml:space="preserve">, </w:t>
            </w:r>
            <w:proofErr w:type="spellStart"/>
            <w:r w:rsidRPr="00CF7975">
              <w:rPr>
                <w:rFonts w:ascii="Calibri Light" w:eastAsia="Times New Roman" w:hAnsi="Calibri Light" w:cs="Calibri Light"/>
                <w:b/>
                <w:bCs/>
                <w:color w:val="FFFFFF"/>
                <w:sz w:val="22"/>
                <w:szCs w:val="22"/>
              </w:rPr>
              <w:t>performance</w:t>
            </w:r>
            <w:proofErr w:type="spellEnd"/>
            <w:r w:rsidRPr="00CF7975">
              <w:rPr>
                <w:rFonts w:ascii="Calibri Light" w:eastAsia="Times New Roman" w:hAnsi="Calibri Light" w:cs="Calibri Light"/>
                <w:b/>
                <w:bCs/>
                <w:color w:val="FFFFFF"/>
                <w:sz w:val="22"/>
                <w:szCs w:val="22"/>
              </w:rPr>
              <w:t xml:space="preserve"> </w:t>
            </w:r>
            <w:proofErr w:type="spellStart"/>
            <w:r w:rsidRPr="00CF7975">
              <w:rPr>
                <w:rFonts w:ascii="Calibri Light" w:eastAsia="Times New Roman" w:hAnsi="Calibri Light" w:cs="Calibri Light"/>
                <w:b/>
                <w:bCs/>
                <w:color w:val="FFFFFF"/>
                <w:sz w:val="22"/>
                <w:szCs w:val="22"/>
              </w:rPr>
              <w:t>indicators</w:t>
            </w:r>
            <w:proofErr w:type="spellEnd"/>
            <w:r w:rsidRPr="00CF7975">
              <w:rPr>
                <w:rFonts w:ascii="Calibri Light" w:eastAsia="Times New Roman" w:hAnsi="Calibri Light" w:cs="Calibri Light"/>
                <w:b/>
                <w:bCs/>
                <w:color w:val="FFFFFF"/>
                <w:sz w:val="22"/>
                <w:szCs w:val="22"/>
              </w:rPr>
              <w:t xml:space="preserve">, </w:t>
            </w:r>
            <w:proofErr w:type="spellStart"/>
            <w:r w:rsidRPr="00CF7975">
              <w:rPr>
                <w:rFonts w:ascii="Calibri Light" w:eastAsia="Times New Roman" w:hAnsi="Calibri Light" w:cs="Calibri Light"/>
                <w:b/>
                <w:bCs/>
                <w:color w:val="FFFFFF"/>
                <w:sz w:val="22"/>
                <w:szCs w:val="22"/>
              </w:rPr>
              <w:t>and</w:t>
            </w:r>
            <w:proofErr w:type="spellEnd"/>
            <w:r w:rsidRPr="00CF7975">
              <w:rPr>
                <w:rFonts w:ascii="Calibri Light" w:eastAsia="Times New Roman" w:hAnsi="Calibri Light" w:cs="Calibri Light"/>
                <w:b/>
                <w:bCs/>
                <w:color w:val="FFFFFF"/>
                <w:sz w:val="22"/>
                <w:szCs w:val="22"/>
              </w:rPr>
              <w:t xml:space="preserve"> </w:t>
            </w:r>
            <w:proofErr w:type="spellStart"/>
            <w:r w:rsidRPr="00CF7975">
              <w:rPr>
                <w:rFonts w:ascii="Calibri Light" w:eastAsia="Times New Roman" w:hAnsi="Calibri Light" w:cs="Calibri Light"/>
                <w:b/>
                <w:bCs/>
                <w:color w:val="FFFFFF"/>
                <w:sz w:val="22"/>
                <w:szCs w:val="22"/>
              </w:rPr>
              <w:t>principles</w:t>
            </w:r>
            <w:proofErr w:type="spellEnd"/>
            <w:r w:rsidRPr="00CF7975">
              <w:rPr>
                <w:rFonts w:ascii="Calibri Light" w:eastAsia="Times New Roman" w:hAnsi="Calibri Light" w:cs="Calibri Light"/>
                <w:b/>
                <w:bCs/>
                <w:color w:val="FFFFFF"/>
                <w:sz w:val="22"/>
                <w:szCs w:val="22"/>
              </w:rPr>
              <w:t xml:space="preserve"> </w:t>
            </w:r>
            <w:proofErr w:type="spellStart"/>
            <w:r w:rsidRPr="00CF7975">
              <w:rPr>
                <w:rFonts w:ascii="Calibri Light" w:eastAsia="Times New Roman" w:hAnsi="Calibri Light" w:cs="Calibri Light"/>
                <w:b/>
                <w:bCs/>
                <w:color w:val="FFFFFF"/>
                <w:sz w:val="22"/>
                <w:szCs w:val="22"/>
              </w:rPr>
              <w:t>for</w:t>
            </w:r>
            <w:proofErr w:type="spellEnd"/>
            <w:r w:rsidRPr="00CF7975">
              <w:rPr>
                <w:rFonts w:ascii="Calibri Light" w:eastAsia="Times New Roman" w:hAnsi="Calibri Light" w:cs="Calibri Light"/>
                <w:b/>
                <w:bCs/>
                <w:color w:val="FFFFFF"/>
                <w:sz w:val="22"/>
                <w:szCs w:val="22"/>
              </w:rPr>
              <w:t xml:space="preserve"> </w:t>
            </w:r>
            <w:proofErr w:type="spellStart"/>
            <w:r w:rsidRPr="00CF7975">
              <w:rPr>
                <w:rFonts w:ascii="Calibri Light" w:eastAsia="Times New Roman" w:hAnsi="Calibri Light" w:cs="Calibri Light"/>
                <w:b/>
                <w:bCs/>
                <w:color w:val="FFFFFF"/>
                <w:sz w:val="22"/>
                <w:szCs w:val="22"/>
              </w:rPr>
              <w:t>grant</w:t>
            </w:r>
            <w:proofErr w:type="spellEnd"/>
            <w:r w:rsidRPr="00CF7975">
              <w:rPr>
                <w:rFonts w:ascii="Calibri Light" w:eastAsia="Times New Roman" w:hAnsi="Calibri Light" w:cs="Calibri Light"/>
                <w:b/>
                <w:bCs/>
                <w:color w:val="FFFFFF"/>
                <w:sz w:val="22"/>
                <w:szCs w:val="22"/>
              </w:rPr>
              <w:t xml:space="preserve"> </w:t>
            </w:r>
            <w:proofErr w:type="spellStart"/>
            <w:r w:rsidRPr="00CF7975">
              <w:rPr>
                <w:rFonts w:ascii="Calibri Light" w:eastAsia="Times New Roman" w:hAnsi="Calibri Light" w:cs="Calibri Light"/>
                <w:b/>
                <w:bCs/>
                <w:color w:val="FFFFFF"/>
                <w:sz w:val="22"/>
                <w:szCs w:val="22"/>
              </w:rPr>
              <w:t>allocation</w:t>
            </w:r>
            <w:proofErr w:type="spellEnd"/>
            <w:r w:rsidRPr="00CF7975">
              <w:rPr>
                <w:rFonts w:ascii="Calibri Light" w:eastAsia="Times New Roman" w:hAnsi="Calibri Light" w:cs="Calibri Light"/>
                <w:b/>
                <w:bCs/>
                <w:color w:val="FFFFFF"/>
                <w:sz w:val="22"/>
                <w:szCs w:val="22"/>
              </w:rPr>
              <w:t xml:space="preserve"> </w:t>
            </w:r>
            <w:proofErr w:type="spellStart"/>
            <w:r w:rsidRPr="00CF7975">
              <w:rPr>
                <w:rFonts w:ascii="Calibri Light" w:eastAsia="Times New Roman" w:hAnsi="Calibri Light" w:cs="Calibri Light"/>
                <w:b/>
                <w:bCs/>
                <w:color w:val="FFFFFF"/>
                <w:sz w:val="22"/>
                <w:szCs w:val="22"/>
              </w:rPr>
              <w:t>and</w:t>
            </w:r>
            <w:proofErr w:type="spellEnd"/>
            <w:r w:rsidRPr="00CF7975">
              <w:rPr>
                <w:rFonts w:ascii="Calibri Light" w:eastAsia="Times New Roman" w:hAnsi="Calibri Light" w:cs="Calibri Light"/>
                <w:b/>
                <w:bCs/>
                <w:color w:val="FFFFFF"/>
                <w:sz w:val="22"/>
                <w:szCs w:val="22"/>
              </w:rPr>
              <w:t xml:space="preserve"> MPG </w:t>
            </w:r>
            <w:proofErr w:type="spellStart"/>
            <w:r w:rsidRPr="00CF7975">
              <w:rPr>
                <w:rFonts w:ascii="Calibri Light" w:eastAsia="Times New Roman" w:hAnsi="Calibri Light" w:cs="Calibri Light"/>
                <w:b/>
                <w:bCs/>
                <w:color w:val="FFFFFF"/>
                <w:sz w:val="22"/>
                <w:szCs w:val="22"/>
              </w:rPr>
              <w:t>auditing</w:t>
            </w:r>
            <w:proofErr w:type="spellEnd"/>
            <w:r w:rsidRPr="00CF7975">
              <w:rPr>
                <w:rFonts w:ascii="Calibri Light" w:eastAsia="Times New Roman" w:hAnsi="Calibri Light" w:cs="Calibri Light"/>
                <w:b/>
                <w:bCs/>
                <w:color w:val="FFFFFF"/>
                <w:sz w:val="22"/>
                <w:szCs w:val="22"/>
              </w:rPr>
              <w:t>.</w:t>
            </w:r>
          </w:p>
          <w:p w14:paraId="2CE2CF87" w14:textId="77777777" w:rsidR="00CF7975" w:rsidRPr="00CF7975" w:rsidRDefault="00CF7975" w:rsidP="00CF7975">
            <w:pPr>
              <w:jc w:val="both"/>
              <w:rPr>
                <w:rFonts w:ascii="Calibri Light" w:eastAsia="Times New Roman" w:hAnsi="Calibri Light" w:cs="Calibri Light"/>
                <w:b/>
                <w:bCs/>
                <w:color w:val="FFFFFF"/>
                <w:sz w:val="22"/>
                <w:szCs w:val="22"/>
              </w:rPr>
            </w:pPr>
            <w:proofErr w:type="spellStart"/>
            <w:r w:rsidRPr="00CF7975">
              <w:rPr>
                <w:rFonts w:ascii="Calibri Light" w:eastAsia="Times New Roman" w:hAnsi="Calibri Light" w:cs="Calibri Light"/>
                <w:b/>
                <w:bCs/>
                <w:color w:val="FFFFFF"/>
                <w:sz w:val="22"/>
                <w:szCs w:val="22"/>
              </w:rPr>
              <w:t>Chapter</w:t>
            </w:r>
            <w:proofErr w:type="spellEnd"/>
            <w:r w:rsidRPr="00CF7975">
              <w:rPr>
                <w:rFonts w:ascii="Calibri Light" w:eastAsia="Times New Roman" w:hAnsi="Calibri Light" w:cs="Calibri Light"/>
                <w:b/>
                <w:bCs/>
                <w:color w:val="FFFFFF"/>
                <w:sz w:val="22"/>
                <w:szCs w:val="22"/>
              </w:rPr>
              <w:t xml:space="preserve"> 3 - </w:t>
            </w:r>
            <w:proofErr w:type="spellStart"/>
            <w:r w:rsidRPr="00CF7975">
              <w:rPr>
                <w:rFonts w:ascii="Calibri Light" w:eastAsia="Times New Roman" w:hAnsi="Calibri Light" w:cs="Calibri Light"/>
                <w:b/>
                <w:bCs/>
                <w:color w:val="FFFFFF"/>
                <w:sz w:val="22"/>
                <w:szCs w:val="22"/>
              </w:rPr>
              <w:t>introduces</w:t>
            </w:r>
            <w:proofErr w:type="spellEnd"/>
            <w:r w:rsidRPr="00CF7975">
              <w:rPr>
                <w:rFonts w:ascii="Calibri Light" w:eastAsia="Times New Roman" w:hAnsi="Calibri Light" w:cs="Calibri Light"/>
                <w:b/>
                <w:bCs/>
                <w:color w:val="FFFFFF"/>
                <w:sz w:val="22"/>
                <w:szCs w:val="22"/>
              </w:rPr>
              <w:t xml:space="preserve"> the </w:t>
            </w:r>
            <w:proofErr w:type="spellStart"/>
            <w:r w:rsidRPr="00CF7975">
              <w:rPr>
                <w:rFonts w:ascii="Calibri Light" w:eastAsia="Times New Roman" w:hAnsi="Calibri Light" w:cs="Calibri Light"/>
                <w:b/>
                <w:bCs/>
                <w:color w:val="FFFFFF"/>
                <w:sz w:val="22"/>
                <w:szCs w:val="22"/>
              </w:rPr>
              <w:t>process</w:t>
            </w:r>
            <w:proofErr w:type="spellEnd"/>
            <w:r w:rsidRPr="00CF7975">
              <w:rPr>
                <w:rFonts w:ascii="Calibri Light" w:eastAsia="Times New Roman" w:hAnsi="Calibri Light" w:cs="Calibri Light"/>
                <w:b/>
                <w:bCs/>
                <w:color w:val="FFFFFF"/>
                <w:sz w:val="22"/>
                <w:szCs w:val="22"/>
              </w:rPr>
              <w:t xml:space="preserve"> </w:t>
            </w:r>
            <w:proofErr w:type="spellStart"/>
            <w:r w:rsidRPr="00CF7975">
              <w:rPr>
                <w:rFonts w:ascii="Calibri Light" w:eastAsia="Times New Roman" w:hAnsi="Calibri Light" w:cs="Calibri Light"/>
                <w:b/>
                <w:bCs/>
                <w:color w:val="FFFFFF"/>
                <w:sz w:val="22"/>
                <w:szCs w:val="22"/>
              </w:rPr>
              <w:t>of</w:t>
            </w:r>
            <w:proofErr w:type="spellEnd"/>
            <w:r w:rsidRPr="00CF7975">
              <w:rPr>
                <w:rFonts w:ascii="Calibri Light" w:eastAsia="Times New Roman" w:hAnsi="Calibri Light" w:cs="Calibri Light"/>
                <w:b/>
                <w:bCs/>
                <w:color w:val="FFFFFF"/>
                <w:sz w:val="22"/>
                <w:szCs w:val="22"/>
              </w:rPr>
              <w:t xml:space="preserve"> </w:t>
            </w:r>
            <w:proofErr w:type="spellStart"/>
            <w:r w:rsidRPr="00CF7975">
              <w:rPr>
                <w:rFonts w:ascii="Calibri Light" w:eastAsia="Times New Roman" w:hAnsi="Calibri Light" w:cs="Calibri Light"/>
                <w:b/>
                <w:bCs/>
                <w:color w:val="FFFFFF"/>
                <w:sz w:val="22"/>
                <w:szCs w:val="22"/>
              </w:rPr>
              <w:t>assessing</w:t>
            </w:r>
            <w:proofErr w:type="spellEnd"/>
            <w:r w:rsidRPr="00CF7975">
              <w:rPr>
                <w:rFonts w:ascii="Calibri Light" w:eastAsia="Times New Roman" w:hAnsi="Calibri Light" w:cs="Calibri Light"/>
                <w:b/>
                <w:bCs/>
                <w:color w:val="FFFFFF"/>
                <w:sz w:val="22"/>
                <w:szCs w:val="22"/>
              </w:rPr>
              <w:t xml:space="preserve"> </w:t>
            </w:r>
            <w:proofErr w:type="spellStart"/>
            <w:r w:rsidRPr="00CF7975">
              <w:rPr>
                <w:rFonts w:ascii="Calibri Light" w:eastAsia="Times New Roman" w:hAnsi="Calibri Light" w:cs="Calibri Light"/>
                <w:b/>
                <w:bCs/>
                <w:color w:val="FFFFFF"/>
                <w:sz w:val="22"/>
                <w:szCs w:val="22"/>
              </w:rPr>
              <w:t>municipal</w:t>
            </w:r>
            <w:proofErr w:type="spellEnd"/>
            <w:r w:rsidRPr="00CF7975">
              <w:rPr>
                <w:rFonts w:ascii="Calibri Light" w:eastAsia="Times New Roman" w:hAnsi="Calibri Light" w:cs="Calibri Light"/>
                <w:b/>
                <w:bCs/>
                <w:color w:val="FFFFFF"/>
                <w:sz w:val="22"/>
                <w:szCs w:val="22"/>
              </w:rPr>
              <w:t xml:space="preserve"> </w:t>
            </w:r>
            <w:proofErr w:type="spellStart"/>
            <w:r w:rsidRPr="00CF7975">
              <w:rPr>
                <w:rFonts w:ascii="Calibri Light" w:eastAsia="Times New Roman" w:hAnsi="Calibri Light" w:cs="Calibri Light"/>
                <w:b/>
                <w:bCs/>
                <w:color w:val="FFFFFF"/>
                <w:sz w:val="22"/>
                <w:szCs w:val="22"/>
              </w:rPr>
              <w:t>performance</w:t>
            </w:r>
            <w:proofErr w:type="spellEnd"/>
            <w:r w:rsidRPr="00CF7975">
              <w:rPr>
                <w:rFonts w:ascii="Calibri Light" w:eastAsia="Times New Roman" w:hAnsi="Calibri Light" w:cs="Calibri Light"/>
                <w:b/>
                <w:bCs/>
                <w:color w:val="FFFFFF"/>
                <w:sz w:val="22"/>
                <w:szCs w:val="22"/>
              </w:rPr>
              <w:t xml:space="preserve"> </w:t>
            </w:r>
            <w:proofErr w:type="spellStart"/>
            <w:r w:rsidRPr="00CF7975">
              <w:rPr>
                <w:rFonts w:ascii="Calibri Light" w:eastAsia="Times New Roman" w:hAnsi="Calibri Light" w:cs="Calibri Light"/>
                <w:b/>
                <w:bCs/>
                <w:color w:val="FFFFFF"/>
                <w:sz w:val="22"/>
                <w:szCs w:val="22"/>
              </w:rPr>
              <w:t>from</w:t>
            </w:r>
            <w:proofErr w:type="spellEnd"/>
            <w:r w:rsidRPr="00CF7975">
              <w:rPr>
                <w:rFonts w:ascii="Calibri Light" w:eastAsia="Times New Roman" w:hAnsi="Calibri Light" w:cs="Calibri Light"/>
                <w:b/>
                <w:bCs/>
                <w:color w:val="FFFFFF"/>
                <w:sz w:val="22"/>
                <w:szCs w:val="22"/>
              </w:rPr>
              <w:t xml:space="preserve"> data </w:t>
            </w:r>
            <w:proofErr w:type="spellStart"/>
            <w:r w:rsidRPr="00CF7975">
              <w:rPr>
                <w:rFonts w:ascii="Calibri Light" w:eastAsia="Times New Roman" w:hAnsi="Calibri Light" w:cs="Calibri Light"/>
                <w:b/>
                <w:bCs/>
                <w:color w:val="FFFFFF"/>
                <w:sz w:val="22"/>
                <w:szCs w:val="22"/>
              </w:rPr>
              <w:t>collection</w:t>
            </w:r>
            <w:proofErr w:type="spellEnd"/>
            <w:r w:rsidRPr="00CF7975">
              <w:rPr>
                <w:rFonts w:ascii="Calibri Light" w:eastAsia="Times New Roman" w:hAnsi="Calibri Light" w:cs="Calibri Light"/>
                <w:b/>
                <w:bCs/>
                <w:color w:val="FFFFFF"/>
                <w:sz w:val="22"/>
                <w:szCs w:val="22"/>
              </w:rPr>
              <w:t xml:space="preserve"> to </w:t>
            </w:r>
            <w:proofErr w:type="spellStart"/>
            <w:r w:rsidRPr="00CF7975">
              <w:rPr>
                <w:rFonts w:ascii="Calibri Light" w:eastAsia="Times New Roman" w:hAnsi="Calibri Light" w:cs="Calibri Light"/>
                <w:b/>
                <w:bCs/>
                <w:color w:val="FFFFFF"/>
                <w:sz w:val="22"/>
                <w:szCs w:val="22"/>
              </w:rPr>
              <w:t>grant</w:t>
            </w:r>
            <w:proofErr w:type="spellEnd"/>
            <w:r w:rsidRPr="00CF7975">
              <w:rPr>
                <w:rFonts w:ascii="Calibri Light" w:eastAsia="Times New Roman" w:hAnsi="Calibri Light" w:cs="Calibri Light"/>
                <w:b/>
                <w:bCs/>
                <w:color w:val="FFFFFF"/>
                <w:sz w:val="22"/>
                <w:szCs w:val="22"/>
              </w:rPr>
              <w:t xml:space="preserve"> </w:t>
            </w:r>
            <w:proofErr w:type="spellStart"/>
            <w:r w:rsidRPr="00CF7975">
              <w:rPr>
                <w:rFonts w:ascii="Calibri Light" w:eastAsia="Times New Roman" w:hAnsi="Calibri Light" w:cs="Calibri Light"/>
                <w:b/>
                <w:bCs/>
                <w:color w:val="FFFFFF"/>
                <w:sz w:val="22"/>
                <w:szCs w:val="22"/>
              </w:rPr>
              <w:t>allocation</w:t>
            </w:r>
            <w:proofErr w:type="spellEnd"/>
            <w:r w:rsidRPr="00CF7975">
              <w:rPr>
                <w:rFonts w:ascii="Calibri Light" w:eastAsia="Times New Roman" w:hAnsi="Calibri Light" w:cs="Calibri Light"/>
                <w:b/>
                <w:bCs/>
                <w:color w:val="FFFFFF"/>
                <w:sz w:val="22"/>
                <w:szCs w:val="22"/>
              </w:rPr>
              <w:t>.</w:t>
            </w:r>
          </w:p>
          <w:p w14:paraId="4C0FB470" w14:textId="118A0C60" w:rsidR="00487CD6" w:rsidRDefault="00CF7975" w:rsidP="00CF7975">
            <w:pPr>
              <w:pStyle w:val="ListParagraph"/>
              <w:numPr>
                <w:ilvl w:val="0"/>
                <w:numId w:val="47"/>
              </w:numPr>
              <w:spacing w:after="0"/>
              <w:jc w:val="both"/>
              <w:rPr>
                <w:rFonts w:ascii="Calibri Light" w:eastAsia="Times New Roman" w:hAnsi="Calibri Light" w:cs="Calibri Light"/>
                <w:b/>
                <w:bCs/>
                <w:color w:val="FFFFFF"/>
              </w:rPr>
            </w:pPr>
            <w:r w:rsidRPr="00CF7975">
              <w:rPr>
                <w:rFonts w:ascii="Calibri Light" w:eastAsia="Times New Roman" w:hAnsi="Calibri Light" w:cs="Calibri Light"/>
                <w:b/>
                <w:bCs/>
                <w:color w:val="FFFFFF"/>
              </w:rPr>
              <w:t xml:space="preserve">The </w:t>
            </w:r>
            <w:proofErr w:type="spellStart"/>
            <w:r w:rsidRPr="00CF7975">
              <w:rPr>
                <w:rFonts w:ascii="Calibri Light" w:eastAsia="Times New Roman" w:hAnsi="Calibri Light" w:cs="Calibri Light"/>
                <w:b/>
                <w:bCs/>
                <w:color w:val="FFFFFF"/>
              </w:rPr>
              <w:t>annexes</w:t>
            </w:r>
            <w:proofErr w:type="spellEnd"/>
            <w:r w:rsidRPr="00CF7975">
              <w:rPr>
                <w:rFonts w:ascii="Calibri Light" w:eastAsia="Times New Roman" w:hAnsi="Calibri Light" w:cs="Calibri Light"/>
                <w:b/>
                <w:bCs/>
                <w:color w:val="FFFFFF"/>
              </w:rPr>
              <w:t xml:space="preserve"> </w:t>
            </w:r>
            <w:proofErr w:type="spellStart"/>
            <w:r w:rsidRPr="00CF7975">
              <w:rPr>
                <w:rFonts w:ascii="Calibri Light" w:eastAsia="Times New Roman" w:hAnsi="Calibri Light" w:cs="Calibri Light"/>
                <w:b/>
                <w:bCs/>
                <w:color w:val="FFFFFF"/>
              </w:rPr>
              <w:t>provide</w:t>
            </w:r>
            <w:proofErr w:type="spellEnd"/>
            <w:r w:rsidRPr="00CF7975">
              <w:rPr>
                <w:rFonts w:ascii="Calibri Light" w:eastAsia="Times New Roman" w:hAnsi="Calibri Light" w:cs="Calibri Light"/>
                <w:b/>
                <w:bCs/>
                <w:color w:val="FFFFFF"/>
              </w:rPr>
              <w:t xml:space="preserve"> more </w:t>
            </w:r>
            <w:proofErr w:type="spellStart"/>
            <w:r w:rsidRPr="00CF7975">
              <w:rPr>
                <w:rFonts w:ascii="Calibri Light" w:eastAsia="Times New Roman" w:hAnsi="Calibri Light" w:cs="Calibri Light"/>
                <w:b/>
                <w:bCs/>
                <w:color w:val="FFFFFF"/>
              </w:rPr>
              <w:t>detailed</w:t>
            </w:r>
            <w:proofErr w:type="spellEnd"/>
            <w:r w:rsidRPr="00CF7975">
              <w:rPr>
                <w:rFonts w:ascii="Calibri Light" w:eastAsia="Times New Roman" w:hAnsi="Calibri Light" w:cs="Calibri Light"/>
                <w:b/>
                <w:bCs/>
                <w:color w:val="FFFFFF"/>
              </w:rPr>
              <w:t xml:space="preserve"> </w:t>
            </w:r>
            <w:proofErr w:type="spellStart"/>
            <w:r w:rsidRPr="00CF7975">
              <w:rPr>
                <w:rFonts w:ascii="Calibri Light" w:eastAsia="Times New Roman" w:hAnsi="Calibri Light" w:cs="Calibri Light"/>
                <w:b/>
                <w:bCs/>
                <w:color w:val="FFFFFF"/>
              </w:rPr>
              <w:t>assessment</w:t>
            </w:r>
            <w:proofErr w:type="spellEnd"/>
            <w:r w:rsidRPr="00CF7975">
              <w:rPr>
                <w:rFonts w:ascii="Calibri Light" w:eastAsia="Times New Roman" w:hAnsi="Calibri Light" w:cs="Calibri Light"/>
                <w:b/>
                <w:bCs/>
                <w:color w:val="FFFFFF"/>
              </w:rPr>
              <w:t xml:space="preserve"> </w:t>
            </w:r>
            <w:proofErr w:type="spellStart"/>
            <w:r w:rsidRPr="00CF7975">
              <w:rPr>
                <w:rFonts w:ascii="Calibri Light" w:eastAsia="Times New Roman" w:hAnsi="Calibri Light" w:cs="Calibri Light"/>
                <w:b/>
                <w:bCs/>
                <w:color w:val="FFFFFF"/>
              </w:rPr>
              <w:t>guidelines</w:t>
            </w:r>
            <w:proofErr w:type="spellEnd"/>
            <w:r w:rsidRPr="00CF7975">
              <w:rPr>
                <w:rFonts w:ascii="Calibri Light" w:eastAsia="Times New Roman" w:hAnsi="Calibri Light" w:cs="Calibri Light"/>
                <w:b/>
                <w:bCs/>
                <w:color w:val="FFFFFF"/>
              </w:rPr>
              <w:t xml:space="preserve"> </w:t>
            </w:r>
            <w:proofErr w:type="spellStart"/>
            <w:r w:rsidRPr="00CF7975">
              <w:rPr>
                <w:rFonts w:ascii="Calibri Light" w:eastAsia="Times New Roman" w:hAnsi="Calibri Light" w:cs="Calibri Light"/>
                <w:b/>
                <w:bCs/>
                <w:color w:val="FFFFFF"/>
              </w:rPr>
              <w:t>for</w:t>
            </w:r>
            <w:proofErr w:type="spellEnd"/>
            <w:r w:rsidRPr="00CF7975">
              <w:rPr>
                <w:rFonts w:ascii="Calibri Light" w:eastAsia="Times New Roman" w:hAnsi="Calibri Light" w:cs="Calibri Light"/>
                <w:b/>
                <w:bCs/>
                <w:color w:val="FFFFFF"/>
              </w:rPr>
              <w:t xml:space="preserve"> the minimum </w:t>
            </w:r>
            <w:proofErr w:type="spellStart"/>
            <w:r w:rsidRPr="00CF7975">
              <w:rPr>
                <w:rFonts w:ascii="Calibri Light" w:eastAsia="Times New Roman" w:hAnsi="Calibri Light" w:cs="Calibri Light"/>
                <w:b/>
                <w:bCs/>
                <w:color w:val="FFFFFF"/>
              </w:rPr>
              <w:t>conditions</w:t>
            </w:r>
            <w:proofErr w:type="spellEnd"/>
            <w:r w:rsidRPr="00CF7975">
              <w:rPr>
                <w:rFonts w:ascii="Calibri Light" w:eastAsia="Times New Roman" w:hAnsi="Calibri Light" w:cs="Calibri Light"/>
                <w:b/>
                <w:bCs/>
                <w:color w:val="FFFFFF"/>
              </w:rPr>
              <w:t xml:space="preserve"> (</w:t>
            </w:r>
            <w:proofErr w:type="spellStart"/>
            <w:r w:rsidRPr="00CF7975">
              <w:rPr>
                <w:rFonts w:ascii="Calibri Light" w:eastAsia="Times New Roman" w:hAnsi="Calibri Light" w:cs="Calibri Light"/>
                <w:b/>
                <w:bCs/>
                <w:color w:val="FFFFFF"/>
              </w:rPr>
              <w:t>Annex</w:t>
            </w:r>
            <w:proofErr w:type="spellEnd"/>
            <w:r w:rsidRPr="00CF7975">
              <w:rPr>
                <w:rFonts w:ascii="Calibri Light" w:eastAsia="Times New Roman" w:hAnsi="Calibri Light" w:cs="Calibri Light"/>
                <w:b/>
                <w:bCs/>
                <w:color w:val="FFFFFF"/>
              </w:rPr>
              <w:t xml:space="preserve"> 1</w:t>
            </w:r>
            <w:r w:rsidR="00487CD6">
              <w:rPr>
                <w:rFonts w:ascii="Calibri Light" w:eastAsia="Times New Roman" w:hAnsi="Calibri Light" w:cs="Calibri Light"/>
                <w:b/>
                <w:bCs/>
                <w:color w:val="FFFFFF"/>
              </w:rPr>
              <w:t>)</w:t>
            </w:r>
          </w:p>
          <w:p w14:paraId="29D8D193" w14:textId="567DB9D4" w:rsidR="00CF7975" w:rsidRDefault="00487CD6" w:rsidP="00CF7975">
            <w:pPr>
              <w:pStyle w:val="ListParagraph"/>
              <w:numPr>
                <w:ilvl w:val="0"/>
                <w:numId w:val="47"/>
              </w:numPr>
              <w:spacing w:after="0"/>
              <w:jc w:val="both"/>
              <w:rPr>
                <w:rFonts w:ascii="Calibri Light" w:eastAsia="Times New Roman" w:hAnsi="Calibri Light" w:cs="Calibri Light"/>
                <w:b/>
                <w:bCs/>
                <w:color w:val="FFFFFF"/>
              </w:rPr>
            </w:pPr>
            <w:r>
              <w:rPr>
                <w:rFonts w:ascii="Calibri Light" w:eastAsia="Times New Roman" w:hAnsi="Calibri Light" w:cs="Calibri Light"/>
                <w:b/>
                <w:bCs/>
                <w:color w:val="FFFFFF"/>
              </w:rPr>
              <w:t xml:space="preserve">The </w:t>
            </w:r>
            <w:proofErr w:type="spellStart"/>
            <w:r w:rsidR="00CF7975" w:rsidRPr="00CF7975">
              <w:rPr>
                <w:rFonts w:ascii="Calibri Light" w:eastAsia="Times New Roman" w:hAnsi="Calibri Light" w:cs="Calibri Light"/>
                <w:b/>
                <w:bCs/>
                <w:color w:val="FFFFFF"/>
              </w:rPr>
              <w:t>performance</w:t>
            </w:r>
            <w:proofErr w:type="spellEnd"/>
            <w:r w:rsidR="00CF7975" w:rsidRPr="00CF7975">
              <w:rPr>
                <w:rFonts w:ascii="Calibri Light" w:eastAsia="Times New Roman" w:hAnsi="Calibri Light" w:cs="Calibri Light"/>
                <w:b/>
                <w:bCs/>
                <w:color w:val="FFFFFF"/>
              </w:rPr>
              <w:t xml:space="preserve"> </w:t>
            </w:r>
            <w:proofErr w:type="spellStart"/>
            <w:r w:rsidR="00CF7975" w:rsidRPr="00CF7975">
              <w:rPr>
                <w:rFonts w:ascii="Calibri Light" w:eastAsia="Times New Roman" w:hAnsi="Calibri Light" w:cs="Calibri Light"/>
                <w:b/>
                <w:bCs/>
                <w:color w:val="FFFFFF"/>
              </w:rPr>
              <w:t>indicators</w:t>
            </w:r>
            <w:proofErr w:type="spellEnd"/>
            <w:r w:rsidR="00CF7975" w:rsidRPr="00CF7975">
              <w:rPr>
                <w:rFonts w:ascii="Calibri Light" w:eastAsia="Times New Roman" w:hAnsi="Calibri Light" w:cs="Calibri Light"/>
                <w:b/>
                <w:bCs/>
                <w:color w:val="FFFFFF"/>
              </w:rPr>
              <w:t xml:space="preserve"> (</w:t>
            </w:r>
            <w:proofErr w:type="spellStart"/>
            <w:r w:rsidR="00CF7975" w:rsidRPr="00CF7975">
              <w:rPr>
                <w:rFonts w:ascii="Calibri Light" w:eastAsia="Times New Roman" w:hAnsi="Calibri Light" w:cs="Calibri Light"/>
                <w:b/>
                <w:bCs/>
                <w:color w:val="FFFFFF"/>
              </w:rPr>
              <w:t>Annex</w:t>
            </w:r>
            <w:proofErr w:type="spellEnd"/>
            <w:r w:rsidR="00CF7975" w:rsidRPr="00CF7975">
              <w:rPr>
                <w:rFonts w:ascii="Calibri Light" w:eastAsia="Times New Roman" w:hAnsi="Calibri Light" w:cs="Calibri Light"/>
                <w:b/>
                <w:bCs/>
                <w:color w:val="FFFFFF"/>
              </w:rPr>
              <w:t xml:space="preserve"> 2), </w:t>
            </w:r>
            <w:proofErr w:type="spellStart"/>
            <w:r w:rsidR="00CF7975" w:rsidRPr="00CF7975">
              <w:rPr>
                <w:rFonts w:ascii="Calibri Light" w:eastAsia="Times New Roman" w:hAnsi="Calibri Light" w:cs="Calibri Light"/>
                <w:b/>
                <w:bCs/>
                <w:color w:val="FFFFFF"/>
              </w:rPr>
              <w:t>which</w:t>
            </w:r>
            <w:proofErr w:type="spellEnd"/>
            <w:r w:rsidR="00CF7975" w:rsidRPr="00CF7975">
              <w:rPr>
                <w:rFonts w:ascii="Calibri Light" w:eastAsia="Times New Roman" w:hAnsi="Calibri Light" w:cs="Calibri Light"/>
                <w:b/>
                <w:bCs/>
                <w:color w:val="FFFFFF"/>
              </w:rPr>
              <w:t xml:space="preserve"> </w:t>
            </w:r>
            <w:proofErr w:type="spellStart"/>
            <w:r w:rsidR="00CF7975" w:rsidRPr="00CF7975">
              <w:rPr>
                <w:rFonts w:ascii="Calibri Light" w:eastAsia="Times New Roman" w:hAnsi="Calibri Light" w:cs="Calibri Light"/>
                <w:b/>
                <w:bCs/>
                <w:color w:val="FFFFFF"/>
              </w:rPr>
              <w:t>provide</w:t>
            </w:r>
            <w:proofErr w:type="spellEnd"/>
            <w:r w:rsidR="00CF7975" w:rsidRPr="00CF7975">
              <w:rPr>
                <w:rFonts w:ascii="Calibri Light" w:eastAsia="Times New Roman" w:hAnsi="Calibri Light" w:cs="Calibri Light"/>
                <w:b/>
                <w:bCs/>
                <w:color w:val="FFFFFF"/>
              </w:rPr>
              <w:t xml:space="preserve"> </w:t>
            </w:r>
            <w:proofErr w:type="spellStart"/>
            <w:r w:rsidR="00CF7975" w:rsidRPr="00CF7975">
              <w:rPr>
                <w:rFonts w:ascii="Calibri Light" w:eastAsia="Times New Roman" w:hAnsi="Calibri Light" w:cs="Calibri Light"/>
                <w:b/>
                <w:bCs/>
                <w:color w:val="FFFFFF"/>
              </w:rPr>
              <w:t>definitions</w:t>
            </w:r>
            <w:proofErr w:type="spellEnd"/>
            <w:r w:rsidR="00CF7975" w:rsidRPr="00CF7975">
              <w:rPr>
                <w:rFonts w:ascii="Calibri Light" w:eastAsia="Times New Roman" w:hAnsi="Calibri Light" w:cs="Calibri Light"/>
                <w:b/>
                <w:bCs/>
                <w:color w:val="FFFFFF"/>
              </w:rPr>
              <w:t xml:space="preserve"> </w:t>
            </w:r>
            <w:proofErr w:type="spellStart"/>
            <w:r w:rsidR="00CF7975" w:rsidRPr="00CF7975">
              <w:rPr>
                <w:rFonts w:ascii="Calibri Light" w:eastAsia="Times New Roman" w:hAnsi="Calibri Light" w:cs="Calibri Light"/>
                <w:b/>
                <w:bCs/>
                <w:color w:val="FFFFFF"/>
              </w:rPr>
              <w:t>of</w:t>
            </w:r>
            <w:proofErr w:type="spellEnd"/>
            <w:r w:rsidR="00CF7975" w:rsidRPr="00CF7975">
              <w:rPr>
                <w:rFonts w:ascii="Calibri Light" w:eastAsia="Times New Roman" w:hAnsi="Calibri Light" w:cs="Calibri Light"/>
                <w:b/>
                <w:bCs/>
                <w:color w:val="FFFFFF"/>
              </w:rPr>
              <w:t xml:space="preserve"> </w:t>
            </w:r>
            <w:proofErr w:type="spellStart"/>
            <w:r w:rsidR="00CF7975" w:rsidRPr="00CF7975">
              <w:rPr>
                <w:rFonts w:ascii="Calibri Light" w:eastAsia="Times New Roman" w:hAnsi="Calibri Light" w:cs="Calibri Light"/>
                <w:b/>
                <w:bCs/>
                <w:color w:val="FFFFFF"/>
              </w:rPr>
              <w:t>what</w:t>
            </w:r>
            <w:proofErr w:type="spellEnd"/>
            <w:r w:rsidR="00CF7975" w:rsidRPr="00CF7975">
              <w:rPr>
                <w:rFonts w:ascii="Calibri Light" w:eastAsia="Times New Roman" w:hAnsi="Calibri Light" w:cs="Calibri Light"/>
                <w:b/>
                <w:bCs/>
                <w:color w:val="FFFFFF"/>
              </w:rPr>
              <w:t xml:space="preserve"> </w:t>
            </w:r>
            <w:proofErr w:type="spellStart"/>
            <w:r w:rsidR="00CF7975" w:rsidRPr="00CF7975">
              <w:rPr>
                <w:rFonts w:ascii="Calibri Light" w:eastAsia="Times New Roman" w:hAnsi="Calibri Light" w:cs="Calibri Light"/>
                <w:b/>
                <w:bCs/>
                <w:color w:val="FFFFFF"/>
              </w:rPr>
              <w:t>is</w:t>
            </w:r>
            <w:proofErr w:type="spellEnd"/>
            <w:r w:rsidR="00CF7975" w:rsidRPr="00CF7975">
              <w:rPr>
                <w:rFonts w:ascii="Calibri Light" w:eastAsia="Times New Roman" w:hAnsi="Calibri Light" w:cs="Calibri Light"/>
                <w:b/>
                <w:bCs/>
                <w:color w:val="FFFFFF"/>
              </w:rPr>
              <w:t xml:space="preserve"> </w:t>
            </w:r>
            <w:proofErr w:type="spellStart"/>
            <w:r w:rsidR="00CF7975" w:rsidRPr="00CF7975">
              <w:rPr>
                <w:rFonts w:ascii="Calibri Light" w:eastAsia="Times New Roman" w:hAnsi="Calibri Light" w:cs="Calibri Light"/>
                <w:b/>
                <w:bCs/>
                <w:color w:val="FFFFFF"/>
              </w:rPr>
              <w:t>measured</w:t>
            </w:r>
            <w:proofErr w:type="spellEnd"/>
            <w:r w:rsidR="00CF7975" w:rsidRPr="00CF7975">
              <w:rPr>
                <w:rFonts w:ascii="Calibri Light" w:eastAsia="Times New Roman" w:hAnsi="Calibri Light" w:cs="Calibri Light"/>
                <w:b/>
                <w:bCs/>
                <w:color w:val="FFFFFF"/>
              </w:rPr>
              <w:t xml:space="preserve">, </w:t>
            </w:r>
            <w:proofErr w:type="spellStart"/>
            <w:r w:rsidR="00CF7975" w:rsidRPr="00CF7975">
              <w:rPr>
                <w:rFonts w:ascii="Calibri Light" w:eastAsia="Times New Roman" w:hAnsi="Calibri Light" w:cs="Calibri Light"/>
                <w:b/>
                <w:bCs/>
                <w:color w:val="FFFFFF"/>
              </w:rPr>
              <w:t>where</w:t>
            </w:r>
            <w:proofErr w:type="spellEnd"/>
            <w:r w:rsidR="00CF7975" w:rsidRPr="00CF7975">
              <w:rPr>
                <w:rFonts w:ascii="Calibri Light" w:eastAsia="Times New Roman" w:hAnsi="Calibri Light" w:cs="Calibri Light"/>
                <w:b/>
                <w:bCs/>
                <w:color w:val="FFFFFF"/>
              </w:rPr>
              <w:t xml:space="preserve"> the data </w:t>
            </w:r>
            <w:proofErr w:type="spellStart"/>
            <w:r w:rsidR="00CF7975" w:rsidRPr="00CF7975">
              <w:rPr>
                <w:rFonts w:ascii="Calibri Light" w:eastAsia="Times New Roman" w:hAnsi="Calibri Light" w:cs="Calibri Light"/>
                <w:b/>
                <w:bCs/>
                <w:color w:val="FFFFFF"/>
              </w:rPr>
              <w:t>come</w:t>
            </w:r>
            <w:proofErr w:type="spellEnd"/>
            <w:r w:rsidR="00CF7975" w:rsidRPr="00CF7975">
              <w:rPr>
                <w:rFonts w:ascii="Calibri Light" w:eastAsia="Times New Roman" w:hAnsi="Calibri Light" w:cs="Calibri Light"/>
                <w:b/>
                <w:bCs/>
                <w:color w:val="FFFFFF"/>
              </w:rPr>
              <w:t xml:space="preserve"> </w:t>
            </w:r>
            <w:proofErr w:type="spellStart"/>
            <w:r w:rsidR="00CF7975" w:rsidRPr="00CF7975">
              <w:rPr>
                <w:rFonts w:ascii="Calibri Light" w:eastAsia="Times New Roman" w:hAnsi="Calibri Light" w:cs="Calibri Light"/>
                <w:b/>
                <w:bCs/>
                <w:color w:val="FFFFFF"/>
              </w:rPr>
              <w:t>from</w:t>
            </w:r>
            <w:proofErr w:type="spellEnd"/>
            <w:r w:rsidR="00CF7975" w:rsidRPr="00CF7975">
              <w:rPr>
                <w:rFonts w:ascii="Calibri Light" w:eastAsia="Times New Roman" w:hAnsi="Calibri Light" w:cs="Calibri Light"/>
                <w:b/>
                <w:bCs/>
                <w:color w:val="FFFFFF"/>
              </w:rPr>
              <w:t xml:space="preserve"> </w:t>
            </w:r>
            <w:proofErr w:type="spellStart"/>
            <w:r w:rsidR="00CF7975" w:rsidRPr="00CF7975">
              <w:rPr>
                <w:rFonts w:ascii="Calibri Light" w:eastAsia="Times New Roman" w:hAnsi="Calibri Light" w:cs="Calibri Light"/>
                <w:b/>
                <w:bCs/>
                <w:color w:val="FFFFFF"/>
              </w:rPr>
              <w:t>and</w:t>
            </w:r>
            <w:proofErr w:type="spellEnd"/>
            <w:r w:rsidR="00CF7975" w:rsidRPr="00CF7975">
              <w:rPr>
                <w:rFonts w:ascii="Calibri Light" w:eastAsia="Times New Roman" w:hAnsi="Calibri Light" w:cs="Calibri Light"/>
                <w:b/>
                <w:bCs/>
                <w:color w:val="FFFFFF"/>
              </w:rPr>
              <w:t xml:space="preserve"> </w:t>
            </w:r>
            <w:proofErr w:type="spellStart"/>
            <w:r w:rsidR="00CF7975" w:rsidRPr="00CF7975">
              <w:rPr>
                <w:rFonts w:ascii="Calibri Light" w:eastAsia="Times New Roman" w:hAnsi="Calibri Light" w:cs="Calibri Light"/>
                <w:b/>
                <w:bCs/>
                <w:color w:val="FFFFFF"/>
              </w:rPr>
              <w:t>how</w:t>
            </w:r>
            <w:proofErr w:type="spellEnd"/>
            <w:r w:rsidR="00CF7975" w:rsidRPr="00CF7975">
              <w:rPr>
                <w:rFonts w:ascii="Calibri Light" w:eastAsia="Times New Roman" w:hAnsi="Calibri Light" w:cs="Calibri Light"/>
                <w:b/>
                <w:bCs/>
                <w:color w:val="FFFFFF"/>
              </w:rPr>
              <w:t xml:space="preserve"> </w:t>
            </w:r>
            <w:proofErr w:type="spellStart"/>
            <w:r w:rsidR="00CF7975" w:rsidRPr="00CF7975">
              <w:rPr>
                <w:rFonts w:ascii="Calibri Light" w:eastAsia="Times New Roman" w:hAnsi="Calibri Light" w:cs="Calibri Light"/>
                <w:b/>
                <w:bCs/>
                <w:color w:val="FFFFFF"/>
              </w:rPr>
              <w:t>they</w:t>
            </w:r>
            <w:proofErr w:type="spellEnd"/>
            <w:r w:rsidR="00CF7975" w:rsidRPr="00CF7975">
              <w:rPr>
                <w:rFonts w:ascii="Calibri Light" w:eastAsia="Times New Roman" w:hAnsi="Calibri Light" w:cs="Calibri Light"/>
                <w:b/>
                <w:bCs/>
                <w:color w:val="FFFFFF"/>
              </w:rPr>
              <w:t xml:space="preserve"> are </w:t>
            </w:r>
            <w:proofErr w:type="spellStart"/>
            <w:r w:rsidR="00CF7975" w:rsidRPr="00CF7975">
              <w:rPr>
                <w:rFonts w:ascii="Calibri Light" w:eastAsia="Times New Roman" w:hAnsi="Calibri Light" w:cs="Calibri Light"/>
                <w:b/>
                <w:bCs/>
                <w:color w:val="FFFFFF"/>
              </w:rPr>
              <w:t>measured</w:t>
            </w:r>
            <w:proofErr w:type="spellEnd"/>
            <w:r w:rsidR="00CF7975" w:rsidRPr="00CF7975">
              <w:rPr>
                <w:rFonts w:ascii="Calibri Light" w:eastAsia="Times New Roman" w:hAnsi="Calibri Light" w:cs="Calibri Light"/>
                <w:b/>
                <w:bCs/>
                <w:color w:val="FFFFFF"/>
              </w:rPr>
              <w:t>.</w:t>
            </w:r>
          </w:p>
          <w:p w14:paraId="7FA87E17" w14:textId="77777777" w:rsidR="00CF7975" w:rsidRDefault="00CF7975" w:rsidP="00CF7975">
            <w:pPr>
              <w:pStyle w:val="ListParagraph"/>
              <w:numPr>
                <w:ilvl w:val="0"/>
                <w:numId w:val="47"/>
              </w:numPr>
              <w:spacing w:after="0"/>
              <w:jc w:val="both"/>
              <w:rPr>
                <w:rFonts w:ascii="Calibri Light" w:eastAsia="Times New Roman" w:hAnsi="Calibri Light" w:cs="Calibri Light"/>
                <w:b/>
                <w:bCs/>
                <w:color w:val="FFFFFF"/>
              </w:rPr>
            </w:pPr>
            <w:r w:rsidRPr="00CF7975">
              <w:rPr>
                <w:rFonts w:ascii="Calibri Light" w:eastAsia="Times New Roman" w:hAnsi="Calibri Light" w:cs="Calibri Light"/>
                <w:b/>
                <w:bCs/>
                <w:color w:val="FFFFFF"/>
              </w:rPr>
              <w:t xml:space="preserve"> </w:t>
            </w:r>
            <w:proofErr w:type="spellStart"/>
            <w:r w:rsidRPr="00CF7975">
              <w:rPr>
                <w:rFonts w:ascii="Calibri Light" w:eastAsia="Times New Roman" w:hAnsi="Calibri Light" w:cs="Calibri Light"/>
                <w:b/>
                <w:bCs/>
                <w:color w:val="FFFFFF"/>
              </w:rPr>
              <w:t>Annex</w:t>
            </w:r>
            <w:proofErr w:type="spellEnd"/>
            <w:r w:rsidRPr="00CF7975">
              <w:rPr>
                <w:rFonts w:ascii="Calibri Light" w:eastAsia="Times New Roman" w:hAnsi="Calibri Light" w:cs="Calibri Light"/>
                <w:b/>
                <w:bCs/>
                <w:color w:val="FFFFFF"/>
              </w:rPr>
              <w:t xml:space="preserve"> 3 - </w:t>
            </w:r>
            <w:proofErr w:type="spellStart"/>
            <w:r w:rsidRPr="00CF7975">
              <w:rPr>
                <w:rFonts w:ascii="Calibri Light" w:eastAsia="Times New Roman" w:hAnsi="Calibri Light" w:cs="Calibri Light"/>
                <w:b/>
                <w:bCs/>
                <w:color w:val="FFFFFF"/>
              </w:rPr>
              <w:t>provides</w:t>
            </w:r>
            <w:proofErr w:type="spellEnd"/>
            <w:r w:rsidRPr="00CF7975">
              <w:rPr>
                <w:rFonts w:ascii="Calibri Light" w:eastAsia="Times New Roman" w:hAnsi="Calibri Light" w:cs="Calibri Light"/>
                <w:b/>
                <w:bCs/>
                <w:color w:val="FFFFFF"/>
              </w:rPr>
              <w:t xml:space="preserve"> the </w:t>
            </w:r>
            <w:proofErr w:type="spellStart"/>
            <w:r w:rsidRPr="00CF7975">
              <w:rPr>
                <w:rFonts w:ascii="Calibri Light" w:eastAsia="Times New Roman" w:hAnsi="Calibri Light" w:cs="Calibri Light"/>
                <w:b/>
                <w:bCs/>
                <w:color w:val="FFFFFF"/>
              </w:rPr>
              <w:t>template</w:t>
            </w:r>
            <w:proofErr w:type="spellEnd"/>
            <w:r w:rsidRPr="00CF7975">
              <w:rPr>
                <w:rFonts w:ascii="Calibri Light" w:eastAsia="Times New Roman" w:hAnsi="Calibri Light" w:cs="Calibri Light"/>
                <w:b/>
                <w:bCs/>
                <w:color w:val="FFFFFF"/>
              </w:rPr>
              <w:t xml:space="preserve"> </w:t>
            </w:r>
            <w:proofErr w:type="spellStart"/>
            <w:r w:rsidRPr="00CF7975">
              <w:rPr>
                <w:rFonts w:ascii="Calibri Light" w:eastAsia="Times New Roman" w:hAnsi="Calibri Light" w:cs="Calibri Light"/>
                <w:b/>
                <w:bCs/>
                <w:color w:val="FFFFFF"/>
              </w:rPr>
              <w:t>for</w:t>
            </w:r>
            <w:proofErr w:type="spellEnd"/>
            <w:r w:rsidRPr="00CF7975">
              <w:rPr>
                <w:rFonts w:ascii="Calibri Light" w:eastAsia="Times New Roman" w:hAnsi="Calibri Light" w:cs="Calibri Light"/>
                <w:b/>
                <w:bCs/>
                <w:color w:val="FFFFFF"/>
              </w:rPr>
              <w:t xml:space="preserve"> the </w:t>
            </w:r>
            <w:proofErr w:type="spellStart"/>
            <w:r w:rsidRPr="00CF7975">
              <w:rPr>
                <w:rFonts w:ascii="Calibri Light" w:eastAsia="Times New Roman" w:hAnsi="Calibri Light" w:cs="Calibri Light"/>
                <w:b/>
                <w:bCs/>
                <w:color w:val="FFFFFF"/>
              </w:rPr>
              <w:t>scorecard</w:t>
            </w:r>
            <w:proofErr w:type="spellEnd"/>
            <w:r w:rsidRPr="00CF7975">
              <w:rPr>
                <w:rFonts w:ascii="Calibri Light" w:eastAsia="Times New Roman" w:hAnsi="Calibri Light" w:cs="Calibri Light"/>
                <w:b/>
                <w:bCs/>
                <w:color w:val="FFFFFF"/>
              </w:rPr>
              <w:t xml:space="preserve"> </w:t>
            </w:r>
            <w:proofErr w:type="spellStart"/>
            <w:r w:rsidRPr="00CF7975">
              <w:rPr>
                <w:rFonts w:ascii="Calibri Light" w:eastAsia="Times New Roman" w:hAnsi="Calibri Light" w:cs="Calibri Light"/>
                <w:b/>
                <w:bCs/>
                <w:color w:val="FFFFFF"/>
              </w:rPr>
              <w:t>and</w:t>
            </w:r>
            <w:proofErr w:type="spellEnd"/>
            <w:r w:rsidRPr="00CF7975">
              <w:rPr>
                <w:rFonts w:ascii="Calibri Light" w:eastAsia="Times New Roman" w:hAnsi="Calibri Light" w:cs="Calibri Light"/>
                <w:b/>
                <w:bCs/>
                <w:color w:val="FFFFFF"/>
              </w:rPr>
              <w:t xml:space="preserve"> </w:t>
            </w:r>
            <w:proofErr w:type="spellStart"/>
            <w:r w:rsidRPr="00CF7975">
              <w:rPr>
                <w:rFonts w:ascii="Calibri Light" w:eastAsia="Times New Roman" w:hAnsi="Calibri Light" w:cs="Calibri Light"/>
                <w:b/>
                <w:bCs/>
                <w:color w:val="FFFFFF"/>
              </w:rPr>
              <w:t>scoring</w:t>
            </w:r>
            <w:proofErr w:type="spellEnd"/>
            <w:r w:rsidRPr="00CF7975">
              <w:rPr>
                <w:rFonts w:ascii="Calibri Light" w:eastAsia="Times New Roman" w:hAnsi="Calibri Light" w:cs="Calibri Light"/>
                <w:b/>
                <w:bCs/>
                <w:color w:val="FFFFFF"/>
              </w:rPr>
              <w:t xml:space="preserve"> </w:t>
            </w:r>
            <w:proofErr w:type="spellStart"/>
            <w:r w:rsidRPr="00CF7975">
              <w:rPr>
                <w:rFonts w:ascii="Calibri Light" w:eastAsia="Times New Roman" w:hAnsi="Calibri Light" w:cs="Calibri Light"/>
                <w:b/>
                <w:bCs/>
                <w:color w:val="FFFFFF"/>
              </w:rPr>
              <w:t>guideline</w:t>
            </w:r>
            <w:proofErr w:type="spellEnd"/>
            <w:r w:rsidRPr="00CF7975">
              <w:rPr>
                <w:rFonts w:ascii="Calibri Light" w:eastAsia="Times New Roman" w:hAnsi="Calibri Light" w:cs="Calibri Light"/>
                <w:b/>
                <w:bCs/>
                <w:color w:val="FFFFFF"/>
              </w:rPr>
              <w:t xml:space="preserve"> to be </w:t>
            </w:r>
            <w:proofErr w:type="spellStart"/>
            <w:r w:rsidRPr="00CF7975">
              <w:rPr>
                <w:rFonts w:ascii="Calibri Light" w:eastAsia="Times New Roman" w:hAnsi="Calibri Light" w:cs="Calibri Light"/>
                <w:b/>
                <w:bCs/>
                <w:color w:val="FFFFFF"/>
              </w:rPr>
              <w:t>used</w:t>
            </w:r>
            <w:proofErr w:type="spellEnd"/>
            <w:r w:rsidRPr="00CF7975">
              <w:rPr>
                <w:rFonts w:ascii="Calibri Light" w:eastAsia="Times New Roman" w:hAnsi="Calibri Light" w:cs="Calibri Light"/>
                <w:b/>
                <w:bCs/>
                <w:color w:val="FFFFFF"/>
              </w:rPr>
              <w:t xml:space="preserve"> </w:t>
            </w:r>
            <w:proofErr w:type="spellStart"/>
            <w:r w:rsidRPr="00CF7975">
              <w:rPr>
                <w:rFonts w:ascii="Calibri Light" w:eastAsia="Times New Roman" w:hAnsi="Calibri Light" w:cs="Calibri Light"/>
                <w:b/>
                <w:bCs/>
                <w:color w:val="FFFFFF"/>
              </w:rPr>
              <w:t>for</w:t>
            </w:r>
            <w:proofErr w:type="spellEnd"/>
            <w:r w:rsidRPr="00CF7975">
              <w:rPr>
                <w:rFonts w:ascii="Calibri Light" w:eastAsia="Times New Roman" w:hAnsi="Calibri Light" w:cs="Calibri Light"/>
                <w:b/>
                <w:bCs/>
                <w:color w:val="FFFFFF"/>
              </w:rPr>
              <w:t xml:space="preserve"> </w:t>
            </w:r>
            <w:proofErr w:type="spellStart"/>
            <w:r w:rsidRPr="00CF7975">
              <w:rPr>
                <w:rFonts w:ascii="Calibri Light" w:eastAsia="Times New Roman" w:hAnsi="Calibri Light" w:cs="Calibri Light"/>
                <w:b/>
                <w:bCs/>
                <w:color w:val="FFFFFF"/>
              </w:rPr>
              <w:t>communication</w:t>
            </w:r>
            <w:proofErr w:type="spellEnd"/>
            <w:r w:rsidRPr="00CF7975">
              <w:rPr>
                <w:rFonts w:ascii="Calibri Light" w:eastAsia="Times New Roman" w:hAnsi="Calibri Light" w:cs="Calibri Light"/>
                <w:b/>
                <w:bCs/>
                <w:color w:val="FFFFFF"/>
              </w:rPr>
              <w:t xml:space="preserve"> </w:t>
            </w:r>
            <w:proofErr w:type="spellStart"/>
            <w:r w:rsidRPr="00CF7975">
              <w:rPr>
                <w:rFonts w:ascii="Calibri Light" w:eastAsia="Times New Roman" w:hAnsi="Calibri Light" w:cs="Calibri Light"/>
                <w:b/>
                <w:bCs/>
                <w:color w:val="FFFFFF"/>
              </w:rPr>
              <w:t>of</w:t>
            </w:r>
            <w:proofErr w:type="spellEnd"/>
            <w:r w:rsidRPr="00CF7975">
              <w:rPr>
                <w:rFonts w:ascii="Calibri Light" w:eastAsia="Times New Roman" w:hAnsi="Calibri Light" w:cs="Calibri Light"/>
                <w:b/>
                <w:bCs/>
                <w:color w:val="FFFFFF"/>
              </w:rPr>
              <w:t xml:space="preserve"> </w:t>
            </w:r>
            <w:proofErr w:type="spellStart"/>
            <w:r w:rsidRPr="00CF7975">
              <w:rPr>
                <w:rFonts w:ascii="Calibri Light" w:eastAsia="Times New Roman" w:hAnsi="Calibri Light" w:cs="Calibri Light"/>
                <w:b/>
                <w:bCs/>
                <w:color w:val="FFFFFF"/>
              </w:rPr>
              <w:t>performance</w:t>
            </w:r>
            <w:proofErr w:type="spellEnd"/>
            <w:r w:rsidRPr="00CF7975">
              <w:rPr>
                <w:rFonts w:ascii="Calibri Light" w:eastAsia="Times New Roman" w:hAnsi="Calibri Light" w:cs="Calibri Light"/>
                <w:b/>
                <w:bCs/>
                <w:color w:val="FFFFFF"/>
              </w:rPr>
              <w:t xml:space="preserve"> </w:t>
            </w:r>
            <w:proofErr w:type="spellStart"/>
            <w:r w:rsidRPr="00CF7975">
              <w:rPr>
                <w:rFonts w:ascii="Calibri Light" w:eastAsia="Times New Roman" w:hAnsi="Calibri Light" w:cs="Calibri Light"/>
                <w:b/>
                <w:bCs/>
                <w:color w:val="FFFFFF"/>
              </w:rPr>
              <w:t>score</w:t>
            </w:r>
            <w:proofErr w:type="spellEnd"/>
            <w:r w:rsidRPr="00CF7975">
              <w:rPr>
                <w:rFonts w:ascii="Calibri Light" w:eastAsia="Times New Roman" w:hAnsi="Calibri Light" w:cs="Calibri Light"/>
                <w:b/>
                <w:bCs/>
                <w:color w:val="FFFFFF"/>
              </w:rPr>
              <w:t xml:space="preserve"> to </w:t>
            </w:r>
            <w:proofErr w:type="spellStart"/>
            <w:r w:rsidRPr="00CF7975">
              <w:rPr>
                <w:rFonts w:ascii="Calibri Light" w:eastAsia="Times New Roman" w:hAnsi="Calibri Light" w:cs="Calibri Light"/>
                <w:b/>
                <w:bCs/>
                <w:color w:val="FFFFFF"/>
              </w:rPr>
              <w:t>municipalities</w:t>
            </w:r>
            <w:proofErr w:type="spellEnd"/>
            <w:r w:rsidRPr="00CF7975">
              <w:rPr>
                <w:rFonts w:ascii="Calibri Light" w:eastAsia="Times New Roman" w:hAnsi="Calibri Light" w:cs="Calibri Light"/>
                <w:b/>
                <w:bCs/>
                <w:color w:val="FFFFFF"/>
              </w:rPr>
              <w:t xml:space="preserve">. </w:t>
            </w:r>
          </w:p>
          <w:p w14:paraId="12EBE976" w14:textId="304EE89C" w:rsidR="00CF7975" w:rsidRPr="003F5168" w:rsidRDefault="00CF7975" w:rsidP="00CF7975">
            <w:pPr>
              <w:pStyle w:val="ListParagraph"/>
              <w:numPr>
                <w:ilvl w:val="0"/>
                <w:numId w:val="47"/>
              </w:numPr>
              <w:spacing w:after="0"/>
              <w:jc w:val="both"/>
              <w:rPr>
                <w:rFonts w:ascii="Calibri Light" w:eastAsia="Times New Roman" w:hAnsi="Calibri Light" w:cs="Calibri Light"/>
                <w:b/>
                <w:bCs/>
                <w:color w:val="FFFFFF"/>
              </w:rPr>
            </w:pPr>
            <w:proofErr w:type="spellStart"/>
            <w:r w:rsidRPr="00CF7975">
              <w:rPr>
                <w:rFonts w:ascii="Calibri Light" w:eastAsia="Times New Roman" w:hAnsi="Calibri Light" w:cs="Calibri Light"/>
                <w:b/>
                <w:bCs/>
                <w:color w:val="FFFFFF"/>
              </w:rPr>
              <w:t>Annex</w:t>
            </w:r>
            <w:proofErr w:type="spellEnd"/>
            <w:r w:rsidRPr="00CF7975">
              <w:rPr>
                <w:rFonts w:ascii="Calibri Light" w:eastAsia="Times New Roman" w:hAnsi="Calibri Light" w:cs="Calibri Light"/>
                <w:b/>
                <w:bCs/>
                <w:color w:val="FFFFFF"/>
              </w:rPr>
              <w:t xml:space="preserve"> 4 - </w:t>
            </w:r>
            <w:proofErr w:type="spellStart"/>
            <w:r w:rsidRPr="00CF7975">
              <w:rPr>
                <w:rFonts w:ascii="Calibri Light" w:eastAsia="Times New Roman" w:hAnsi="Calibri Light" w:cs="Calibri Light"/>
                <w:b/>
                <w:bCs/>
                <w:color w:val="FFFFFF"/>
              </w:rPr>
              <w:t>describes</w:t>
            </w:r>
            <w:proofErr w:type="spellEnd"/>
            <w:r w:rsidRPr="00CF7975">
              <w:rPr>
                <w:rFonts w:ascii="Calibri Light" w:eastAsia="Times New Roman" w:hAnsi="Calibri Light" w:cs="Calibri Light"/>
                <w:b/>
                <w:bCs/>
                <w:color w:val="FFFFFF"/>
              </w:rPr>
              <w:t xml:space="preserve"> in </w:t>
            </w:r>
            <w:proofErr w:type="spellStart"/>
            <w:r w:rsidRPr="00CF7975">
              <w:rPr>
                <w:rFonts w:ascii="Calibri Light" w:eastAsia="Times New Roman" w:hAnsi="Calibri Light" w:cs="Calibri Light"/>
                <w:b/>
                <w:bCs/>
                <w:color w:val="FFFFFF"/>
              </w:rPr>
              <w:t>detail</w:t>
            </w:r>
            <w:proofErr w:type="spellEnd"/>
            <w:r w:rsidRPr="00CF7975">
              <w:rPr>
                <w:rFonts w:ascii="Calibri Light" w:eastAsia="Times New Roman" w:hAnsi="Calibri Light" w:cs="Calibri Light"/>
                <w:b/>
                <w:bCs/>
                <w:color w:val="FFFFFF"/>
              </w:rPr>
              <w:t xml:space="preserve"> </w:t>
            </w:r>
            <w:proofErr w:type="spellStart"/>
            <w:r w:rsidRPr="00CF7975">
              <w:rPr>
                <w:rFonts w:ascii="Calibri Light" w:eastAsia="Times New Roman" w:hAnsi="Calibri Light" w:cs="Calibri Light"/>
                <w:b/>
                <w:bCs/>
                <w:color w:val="FFFFFF"/>
              </w:rPr>
              <w:t>how</w:t>
            </w:r>
            <w:proofErr w:type="spellEnd"/>
            <w:r w:rsidRPr="00CF7975">
              <w:rPr>
                <w:rFonts w:ascii="Calibri Light" w:eastAsia="Times New Roman" w:hAnsi="Calibri Light" w:cs="Calibri Light"/>
                <w:b/>
                <w:bCs/>
                <w:color w:val="FFFFFF"/>
              </w:rPr>
              <w:t xml:space="preserve"> </w:t>
            </w:r>
            <w:proofErr w:type="spellStart"/>
            <w:r w:rsidRPr="00CF7975">
              <w:rPr>
                <w:rFonts w:ascii="Calibri Light" w:eastAsia="Times New Roman" w:hAnsi="Calibri Light" w:cs="Calibri Light"/>
                <w:b/>
                <w:bCs/>
                <w:color w:val="FFFFFF"/>
              </w:rPr>
              <w:t>grant</w:t>
            </w:r>
            <w:proofErr w:type="spellEnd"/>
            <w:r w:rsidRPr="00CF7975">
              <w:rPr>
                <w:rFonts w:ascii="Calibri Light" w:eastAsia="Times New Roman" w:hAnsi="Calibri Light" w:cs="Calibri Light"/>
                <w:b/>
                <w:bCs/>
                <w:color w:val="FFFFFF"/>
              </w:rPr>
              <w:t xml:space="preserve"> </w:t>
            </w:r>
            <w:proofErr w:type="spellStart"/>
            <w:r w:rsidRPr="00CF7975">
              <w:rPr>
                <w:rFonts w:ascii="Calibri Light" w:eastAsia="Times New Roman" w:hAnsi="Calibri Light" w:cs="Calibri Light"/>
                <w:b/>
                <w:bCs/>
                <w:color w:val="FFFFFF"/>
              </w:rPr>
              <w:t>amounts</w:t>
            </w:r>
            <w:proofErr w:type="spellEnd"/>
            <w:r w:rsidRPr="00CF7975">
              <w:rPr>
                <w:rFonts w:ascii="Calibri Light" w:eastAsia="Times New Roman" w:hAnsi="Calibri Light" w:cs="Calibri Light"/>
                <w:b/>
                <w:bCs/>
                <w:color w:val="FFFFFF"/>
              </w:rPr>
              <w:t xml:space="preserve"> are </w:t>
            </w:r>
            <w:proofErr w:type="spellStart"/>
            <w:r w:rsidRPr="00CF7975">
              <w:rPr>
                <w:rFonts w:ascii="Calibri Light" w:eastAsia="Times New Roman" w:hAnsi="Calibri Light" w:cs="Calibri Light"/>
                <w:b/>
                <w:bCs/>
                <w:color w:val="FFFFFF"/>
              </w:rPr>
              <w:t>calculated</w:t>
            </w:r>
            <w:proofErr w:type="spellEnd"/>
            <w:r w:rsidRPr="00CF7975">
              <w:rPr>
                <w:rFonts w:ascii="Calibri Light" w:eastAsia="Times New Roman" w:hAnsi="Calibri Light" w:cs="Calibri Light"/>
                <w:b/>
                <w:bCs/>
                <w:color w:val="FFFFFF"/>
              </w:rPr>
              <w:t xml:space="preserve"> </w:t>
            </w:r>
            <w:proofErr w:type="spellStart"/>
            <w:r w:rsidRPr="00CF7975">
              <w:rPr>
                <w:rFonts w:ascii="Calibri Light" w:eastAsia="Times New Roman" w:hAnsi="Calibri Light" w:cs="Calibri Light"/>
                <w:b/>
                <w:bCs/>
                <w:color w:val="FFFFFF"/>
              </w:rPr>
              <w:t>for</w:t>
            </w:r>
            <w:proofErr w:type="spellEnd"/>
            <w:r w:rsidRPr="00CF7975">
              <w:rPr>
                <w:rFonts w:ascii="Calibri Light" w:eastAsia="Times New Roman" w:hAnsi="Calibri Light" w:cs="Calibri Light"/>
                <w:b/>
                <w:bCs/>
                <w:color w:val="FFFFFF"/>
              </w:rPr>
              <w:t xml:space="preserve"> </w:t>
            </w:r>
            <w:proofErr w:type="spellStart"/>
            <w:r w:rsidRPr="00CF7975">
              <w:rPr>
                <w:rFonts w:ascii="Calibri Light" w:eastAsia="Times New Roman" w:hAnsi="Calibri Light" w:cs="Calibri Light"/>
                <w:b/>
                <w:bCs/>
                <w:color w:val="FFFFFF"/>
              </w:rPr>
              <w:t>each</w:t>
            </w:r>
            <w:proofErr w:type="spellEnd"/>
            <w:r w:rsidRPr="00CF7975">
              <w:rPr>
                <w:rFonts w:ascii="Calibri Light" w:eastAsia="Times New Roman" w:hAnsi="Calibri Light" w:cs="Calibri Light"/>
                <w:b/>
                <w:bCs/>
                <w:color w:val="FFFFFF"/>
              </w:rPr>
              <w:t xml:space="preserve"> </w:t>
            </w:r>
            <w:proofErr w:type="spellStart"/>
            <w:r w:rsidRPr="00CF7975">
              <w:rPr>
                <w:rFonts w:ascii="Calibri Light" w:eastAsia="Times New Roman" w:hAnsi="Calibri Light" w:cs="Calibri Light"/>
                <w:b/>
                <w:bCs/>
                <w:color w:val="FFFFFF"/>
              </w:rPr>
              <w:t>municipality</w:t>
            </w:r>
            <w:proofErr w:type="spellEnd"/>
            <w:r w:rsidRPr="00CF7975">
              <w:rPr>
                <w:rFonts w:ascii="Calibri Light" w:eastAsia="Times New Roman" w:hAnsi="Calibri Light" w:cs="Calibri Light"/>
                <w:b/>
                <w:bCs/>
                <w:color w:val="FFFFFF"/>
              </w:rPr>
              <w:t xml:space="preserve"> </w:t>
            </w:r>
            <w:proofErr w:type="spellStart"/>
            <w:r w:rsidRPr="00CF7975">
              <w:rPr>
                <w:rFonts w:ascii="Calibri Light" w:eastAsia="Times New Roman" w:hAnsi="Calibri Light" w:cs="Calibri Light"/>
                <w:b/>
                <w:bCs/>
                <w:color w:val="FFFFFF"/>
              </w:rPr>
              <w:t>once</w:t>
            </w:r>
            <w:proofErr w:type="spellEnd"/>
            <w:r w:rsidRPr="00CF7975">
              <w:rPr>
                <w:rFonts w:ascii="Calibri Light" w:eastAsia="Times New Roman" w:hAnsi="Calibri Light" w:cs="Calibri Light"/>
                <w:b/>
                <w:bCs/>
                <w:color w:val="FFFFFF"/>
              </w:rPr>
              <w:t xml:space="preserve"> the </w:t>
            </w:r>
            <w:proofErr w:type="spellStart"/>
            <w:r w:rsidRPr="00CF7975">
              <w:rPr>
                <w:rFonts w:ascii="Calibri Light" w:eastAsia="Times New Roman" w:hAnsi="Calibri Light" w:cs="Calibri Light"/>
                <w:b/>
                <w:bCs/>
                <w:color w:val="FFFFFF"/>
              </w:rPr>
              <w:t>performance</w:t>
            </w:r>
            <w:proofErr w:type="spellEnd"/>
            <w:r w:rsidRPr="00CF7975">
              <w:rPr>
                <w:rFonts w:ascii="Calibri Light" w:eastAsia="Times New Roman" w:hAnsi="Calibri Light" w:cs="Calibri Light"/>
                <w:b/>
                <w:bCs/>
                <w:color w:val="FFFFFF"/>
              </w:rPr>
              <w:t xml:space="preserve"> </w:t>
            </w:r>
            <w:proofErr w:type="spellStart"/>
            <w:r w:rsidRPr="00CF7975">
              <w:rPr>
                <w:rFonts w:ascii="Calibri Light" w:eastAsia="Times New Roman" w:hAnsi="Calibri Light" w:cs="Calibri Light"/>
                <w:b/>
                <w:bCs/>
                <w:color w:val="FFFFFF"/>
              </w:rPr>
              <w:t>scores</w:t>
            </w:r>
            <w:proofErr w:type="spellEnd"/>
            <w:r w:rsidRPr="00CF7975">
              <w:rPr>
                <w:rFonts w:ascii="Calibri Light" w:eastAsia="Times New Roman" w:hAnsi="Calibri Light" w:cs="Calibri Light"/>
                <w:b/>
                <w:bCs/>
                <w:color w:val="FFFFFF"/>
              </w:rPr>
              <w:t xml:space="preserve"> are </w:t>
            </w:r>
            <w:proofErr w:type="spellStart"/>
            <w:r w:rsidRPr="00CF7975">
              <w:rPr>
                <w:rFonts w:ascii="Calibri Light" w:eastAsia="Times New Roman" w:hAnsi="Calibri Light" w:cs="Calibri Light"/>
                <w:b/>
                <w:bCs/>
                <w:color w:val="FFFFFF"/>
              </w:rPr>
              <w:t>known</w:t>
            </w:r>
            <w:proofErr w:type="spellEnd"/>
            <w:r w:rsidRPr="00CF7975">
              <w:rPr>
                <w:rFonts w:ascii="Calibri Light" w:eastAsia="Times New Roman" w:hAnsi="Calibri Light" w:cs="Calibri Light"/>
                <w:b/>
                <w:bCs/>
                <w:color w:val="FFFFFF"/>
              </w:rPr>
              <w:t xml:space="preserve">. </w:t>
            </w:r>
            <w:proofErr w:type="spellStart"/>
            <w:r w:rsidRPr="00CF7975">
              <w:rPr>
                <w:rFonts w:ascii="Calibri Light" w:eastAsia="Times New Roman" w:hAnsi="Calibri Light" w:cs="Calibri Light"/>
                <w:b/>
                <w:bCs/>
                <w:color w:val="FFFFFF"/>
              </w:rPr>
              <w:t>Annex</w:t>
            </w:r>
            <w:proofErr w:type="spellEnd"/>
            <w:r w:rsidRPr="00CF7975">
              <w:rPr>
                <w:rFonts w:ascii="Calibri Light" w:eastAsia="Times New Roman" w:hAnsi="Calibri Light" w:cs="Calibri Light"/>
                <w:b/>
                <w:bCs/>
                <w:color w:val="FFFFFF"/>
              </w:rPr>
              <w:t xml:space="preserve"> 5 </w:t>
            </w:r>
            <w:proofErr w:type="spellStart"/>
            <w:r w:rsidRPr="00CF7975">
              <w:rPr>
                <w:rFonts w:ascii="Calibri Light" w:eastAsia="Times New Roman" w:hAnsi="Calibri Light" w:cs="Calibri Light"/>
                <w:b/>
                <w:bCs/>
                <w:color w:val="FFFFFF"/>
              </w:rPr>
              <w:t>provides</w:t>
            </w:r>
            <w:proofErr w:type="spellEnd"/>
            <w:r w:rsidRPr="00CF7975">
              <w:rPr>
                <w:rFonts w:ascii="Calibri Light" w:eastAsia="Times New Roman" w:hAnsi="Calibri Light" w:cs="Calibri Light"/>
                <w:b/>
                <w:bCs/>
                <w:color w:val="FFFFFF"/>
              </w:rPr>
              <w:t xml:space="preserve"> </w:t>
            </w:r>
            <w:proofErr w:type="spellStart"/>
            <w:r w:rsidRPr="00CF7975">
              <w:rPr>
                <w:rFonts w:ascii="Calibri Light" w:eastAsia="Times New Roman" w:hAnsi="Calibri Light" w:cs="Calibri Light"/>
                <w:b/>
                <w:bCs/>
                <w:color w:val="FFFFFF"/>
              </w:rPr>
              <w:t>contact</w:t>
            </w:r>
            <w:proofErr w:type="spellEnd"/>
            <w:r w:rsidRPr="00CF7975">
              <w:rPr>
                <w:rFonts w:ascii="Calibri Light" w:eastAsia="Times New Roman" w:hAnsi="Calibri Light" w:cs="Calibri Light"/>
                <w:b/>
                <w:bCs/>
                <w:color w:val="FFFFFF"/>
              </w:rPr>
              <w:t xml:space="preserve"> </w:t>
            </w:r>
            <w:proofErr w:type="spellStart"/>
            <w:r w:rsidRPr="00CF7975">
              <w:rPr>
                <w:rFonts w:ascii="Calibri Light" w:eastAsia="Times New Roman" w:hAnsi="Calibri Light" w:cs="Calibri Light"/>
                <w:b/>
                <w:bCs/>
                <w:color w:val="FFFFFF"/>
              </w:rPr>
              <w:t>information</w:t>
            </w:r>
            <w:proofErr w:type="spellEnd"/>
            <w:r w:rsidRPr="00CF7975">
              <w:rPr>
                <w:rFonts w:ascii="Calibri Light" w:eastAsia="Times New Roman" w:hAnsi="Calibri Light" w:cs="Calibri Light"/>
                <w:b/>
                <w:bCs/>
                <w:color w:val="FFFFFF"/>
              </w:rPr>
              <w:t>.</w:t>
            </w:r>
          </w:p>
        </w:tc>
      </w:tr>
    </w:tbl>
    <w:p w14:paraId="654C01E1" w14:textId="77777777" w:rsidR="00B739C3" w:rsidRPr="001E5747" w:rsidRDefault="00B739C3" w:rsidP="00545F99">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300" w:lineRule="atLeast"/>
        <w:jc w:val="both"/>
        <w:rPr>
          <w:rFonts w:asciiTheme="majorHAnsi" w:hAnsiTheme="majorHAnsi"/>
          <w:sz w:val="16"/>
          <w:szCs w:val="16"/>
          <w:lang w:val="en-GB"/>
        </w:rPr>
      </w:pPr>
    </w:p>
    <w:p w14:paraId="324BFEF2" w14:textId="02A09FFA" w:rsidR="00B739C3" w:rsidRPr="001E5747" w:rsidRDefault="00B739C3" w:rsidP="00545F99">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300" w:lineRule="atLeast"/>
        <w:jc w:val="both"/>
        <w:rPr>
          <w:rFonts w:asciiTheme="majorHAnsi" w:hAnsiTheme="majorHAnsi"/>
          <w:sz w:val="21"/>
          <w:szCs w:val="21"/>
          <w:lang w:val="en-GB"/>
        </w:rPr>
      </w:pPr>
      <w:bookmarkStart w:id="42" w:name="_Toc170432961"/>
      <w:bookmarkStart w:id="43" w:name="_Toc170004020"/>
      <w:bookmarkStart w:id="44" w:name="_Toc236632743"/>
      <w:bookmarkEnd w:id="38"/>
    </w:p>
    <w:p w14:paraId="288064F4" w14:textId="77777777" w:rsidR="00B739C3" w:rsidRPr="001E5747" w:rsidRDefault="00B739C3" w:rsidP="00B739C3">
      <w:pPr>
        <w:pStyle w:val="Heading1"/>
        <w:numPr>
          <w:ilvl w:val="0"/>
          <w:numId w:val="41"/>
        </w:numPr>
        <w:shd w:val="clear" w:color="auto" w:fill="D55635"/>
        <w:tabs>
          <w:tab w:val="left" w:pos="540"/>
        </w:tabs>
        <w:ind w:left="902" w:hanging="902"/>
        <w:rPr>
          <w:rFonts w:asciiTheme="majorHAnsi" w:hAnsiTheme="majorHAnsi"/>
          <w:color w:val="FFFFFF" w:themeColor="background1"/>
          <w:sz w:val="32"/>
          <w:szCs w:val="32"/>
          <w:lang w:val="en-GB"/>
        </w:rPr>
      </w:pPr>
      <w:bookmarkStart w:id="45" w:name="_Toc61062519"/>
      <w:bookmarkStart w:id="46" w:name="_Toc214024544"/>
      <w:r w:rsidRPr="001E5747">
        <w:rPr>
          <w:rFonts w:asciiTheme="majorHAnsi" w:hAnsiTheme="majorHAnsi"/>
          <w:color w:val="FFFFFF" w:themeColor="background1"/>
          <w:sz w:val="32"/>
          <w:szCs w:val="32"/>
          <w:lang w:val="en-GB"/>
        </w:rPr>
        <w:t>Municipal Performance Grant - Design Parameters</w:t>
      </w:r>
      <w:bookmarkEnd w:id="42"/>
      <w:bookmarkEnd w:id="43"/>
      <w:bookmarkEnd w:id="44"/>
      <w:bookmarkEnd w:id="45"/>
      <w:bookmarkEnd w:id="46"/>
    </w:p>
    <w:p w14:paraId="60ADB2B7" w14:textId="77777777" w:rsidR="00B739C3" w:rsidRPr="001E5747" w:rsidRDefault="00B739C3" w:rsidP="00B739C3">
      <w:pPr>
        <w:bidi/>
        <w:rPr>
          <w:lang w:val="en-GB"/>
        </w:rPr>
      </w:pPr>
    </w:p>
    <w:p w14:paraId="02ADFAAA" w14:textId="77777777" w:rsidR="00B739C3" w:rsidRPr="001E5747" w:rsidRDefault="00B739C3" w:rsidP="00B739C3">
      <w:pPr>
        <w:pStyle w:val="Heading1"/>
        <w:numPr>
          <w:ilvl w:val="1"/>
          <w:numId w:val="43"/>
        </w:numPr>
        <w:tabs>
          <w:tab w:val="left" w:pos="540"/>
        </w:tabs>
        <w:ind w:hanging="1800"/>
        <w:rPr>
          <w:rFonts w:asciiTheme="majorHAnsi" w:hAnsiTheme="majorHAnsi"/>
          <w:color w:val="C0504D"/>
          <w:szCs w:val="28"/>
          <w:lang w:val="en-GB"/>
        </w:rPr>
      </w:pPr>
      <w:bookmarkStart w:id="47" w:name="_Toc61062520"/>
      <w:bookmarkStart w:id="48" w:name="_Toc214024545"/>
      <w:r w:rsidRPr="001E5747">
        <w:rPr>
          <w:rFonts w:asciiTheme="majorHAnsi" w:hAnsiTheme="majorHAnsi"/>
          <w:color w:val="C0504D"/>
          <w:szCs w:val="28"/>
          <w:lang w:val="en-GB"/>
        </w:rPr>
        <w:t>Basic principles</w:t>
      </w:r>
      <w:bookmarkEnd w:id="47"/>
      <w:bookmarkEnd w:id="48"/>
    </w:p>
    <w:p w14:paraId="6775F99D" w14:textId="7777777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The MPG is based on the following principles:</w:t>
      </w:r>
    </w:p>
    <w:p w14:paraId="33F5DC2C" w14:textId="66702482" w:rsidR="00B739C3" w:rsidRPr="001E5747" w:rsidRDefault="00B739C3" w:rsidP="00B739C3">
      <w:pPr>
        <w:pStyle w:val="ListParagraph"/>
        <w:numPr>
          <w:ilvl w:val="0"/>
          <w:numId w:val="15"/>
        </w:numPr>
        <w:spacing w:before="20" w:after="0" w:line="264" w:lineRule="auto"/>
        <w:ind w:hanging="357"/>
        <w:jc w:val="both"/>
        <w:rPr>
          <w:rFonts w:asciiTheme="majorHAnsi" w:hAnsiTheme="majorHAnsi"/>
          <w:sz w:val="21"/>
          <w:szCs w:val="21"/>
          <w:lang w:val="en-GB"/>
        </w:rPr>
      </w:pPr>
      <w:r w:rsidRPr="001E5747">
        <w:rPr>
          <w:rFonts w:asciiTheme="majorHAnsi" w:hAnsiTheme="majorHAnsi"/>
          <w:sz w:val="21"/>
          <w:szCs w:val="21"/>
          <w:lang w:val="en-GB"/>
        </w:rPr>
        <w:t xml:space="preserve">Municipalities must meet a number of minimum </w:t>
      </w:r>
      <w:r w:rsidR="009767E2">
        <w:rPr>
          <w:rFonts w:asciiTheme="majorHAnsi" w:hAnsiTheme="majorHAnsi"/>
          <w:sz w:val="21"/>
          <w:szCs w:val="21"/>
          <w:lang w:val="en-GB"/>
        </w:rPr>
        <w:t xml:space="preserve">conditions </w:t>
      </w:r>
      <w:r w:rsidRPr="001E5747">
        <w:rPr>
          <w:rFonts w:asciiTheme="majorHAnsi" w:hAnsiTheme="majorHAnsi"/>
          <w:sz w:val="21"/>
          <w:szCs w:val="21"/>
          <w:lang w:val="en-GB"/>
        </w:rPr>
        <w:t>each year to be eligible for a grant on an annual basis (pursuant to Section 30.</w:t>
      </w:r>
      <w:r w:rsidR="00CA0408">
        <w:rPr>
          <w:rFonts w:asciiTheme="majorHAnsi" w:hAnsiTheme="majorHAnsi"/>
          <w:sz w:val="21"/>
          <w:szCs w:val="21"/>
          <w:lang w:val="en-GB"/>
        </w:rPr>
        <w:t>1</w:t>
      </w:r>
      <w:r w:rsidRPr="001E5747">
        <w:rPr>
          <w:rFonts w:asciiTheme="majorHAnsi" w:hAnsiTheme="majorHAnsi"/>
          <w:sz w:val="21"/>
          <w:szCs w:val="21"/>
          <w:lang w:val="en-GB"/>
        </w:rPr>
        <w:t xml:space="preserve"> of the </w:t>
      </w:r>
      <w:r w:rsidR="00CA0408">
        <w:rPr>
          <w:rFonts w:asciiTheme="majorHAnsi" w:hAnsiTheme="majorHAnsi"/>
          <w:sz w:val="21"/>
          <w:szCs w:val="21"/>
          <w:lang w:val="en-GB"/>
        </w:rPr>
        <w:t>Law</w:t>
      </w:r>
      <w:r w:rsidR="00CA0408" w:rsidRPr="001E5747">
        <w:rPr>
          <w:rFonts w:asciiTheme="majorHAnsi" w:hAnsiTheme="majorHAnsi"/>
          <w:sz w:val="21"/>
          <w:szCs w:val="21"/>
          <w:lang w:val="en-GB"/>
        </w:rPr>
        <w:t xml:space="preserve"> </w:t>
      </w:r>
      <w:r w:rsidRPr="001E5747">
        <w:rPr>
          <w:rFonts w:asciiTheme="majorHAnsi" w:hAnsiTheme="majorHAnsi"/>
          <w:sz w:val="21"/>
          <w:szCs w:val="21"/>
          <w:lang w:val="en-GB"/>
        </w:rPr>
        <w:t xml:space="preserve">on </w:t>
      </w:r>
      <w:r w:rsidR="00DA7895">
        <w:rPr>
          <w:rFonts w:asciiTheme="majorHAnsi" w:hAnsiTheme="majorHAnsi"/>
          <w:sz w:val="21"/>
          <w:szCs w:val="21"/>
          <w:lang w:val="en-GB"/>
        </w:rPr>
        <w:t>M</w:t>
      </w:r>
      <w:r w:rsidR="00CA0408">
        <w:rPr>
          <w:rFonts w:asciiTheme="majorHAnsi" w:hAnsiTheme="majorHAnsi"/>
          <w:sz w:val="21"/>
          <w:szCs w:val="21"/>
          <w:lang w:val="en-GB"/>
        </w:rPr>
        <w:t xml:space="preserve">unicipal </w:t>
      </w:r>
      <w:r w:rsidR="00DA7895">
        <w:rPr>
          <w:rFonts w:asciiTheme="majorHAnsi" w:hAnsiTheme="majorHAnsi"/>
          <w:sz w:val="21"/>
          <w:szCs w:val="21"/>
          <w:lang w:val="en-GB"/>
        </w:rPr>
        <w:t>P</w:t>
      </w:r>
      <w:r w:rsidR="00CA0408">
        <w:rPr>
          <w:rFonts w:asciiTheme="majorHAnsi" w:hAnsiTheme="majorHAnsi"/>
          <w:sz w:val="21"/>
          <w:szCs w:val="21"/>
          <w:lang w:val="en-GB"/>
        </w:rPr>
        <w:t xml:space="preserve">erformance </w:t>
      </w:r>
      <w:r w:rsidR="00DA7895">
        <w:rPr>
          <w:rFonts w:asciiTheme="majorHAnsi" w:hAnsiTheme="majorHAnsi"/>
          <w:sz w:val="21"/>
          <w:szCs w:val="21"/>
          <w:lang w:val="en-GB"/>
        </w:rPr>
        <w:t>M</w:t>
      </w:r>
      <w:r w:rsidR="00CA0408">
        <w:rPr>
          <w:rFonts w:asciiTheme="majorHAnsi" w:hAnsiTheme="majorHAnsi"/>
          <w:sz w:val="21"/>
          <w:szCs w:val="21"/>
          <w:lang w:val="en-GB"/>
        </w:rPr>
        <w:t xml:space="preserve">anagement </w:t>
      </w:r>
      <w:r w:rsidR="00DA7895">
        <w:rPr>
          <w:rFonts w:asciiTheme="majorHAnsi" w:hAnsiTheme="majorHAnsi"/>
          <w:sz w:val="21"/>
          <w:szCs w:val="21"/>
          <w:lang w:val="en-GB"/>
        </w:rPr>
        <w:t>S</w:t>
      </w:r>
      <w:r w:rsidR="00CA0408">
        <w:rPr>
          <w:rFonts w:asciiTheme="majorHAnsi" w:hAnsiTheme="majorHAnsi"/>
          <w:sz w:val="21"/>
          <w:szCs w:val="21"/>
          <w:lang w:val="en-GB"/>
        </w:rPr>
        <w:t xml:space="preserve">ystem and the </w:t>
      </w:r>
      <w:r w:rsidR="00DA7895">
        <w:rPr>
          <w:rFonts w:asciiTheme="majorHAnsi" w:hAnsiTheme="majorHAnsi"/>
          <w:sz w:val="21"/>
          <w:szCs w:val="21"/>
          <w:lang w:val="en-GB"/>
        </w:rPr>
        <w:t>P</w:t>
      </w:r>
      <w:r w:rsidR="00CA0408">
        <w:rPr>
          <w:rFonts w:asciiTheme="majorHAnsi" w:hAnsiTheme="majorHAnsi"/>
          <w:sz w:val="21"/>
          <w:szCs w:val="21"/>
          <w:lang w:val="en-GB"/>
        </w:rPr>
        <w:t>erformance-</w:t>
      </w:r>
      <w:r w:rsidR="00DA7895">
        <w:rPr>
          <w:rFonts w:asciiTheme="majorHAnsi" w:hAnsiTheme="majorHAnsi"/>
          <w:sz w:val="21"/>
          <w:szCs w:val="21"/>
          <w:lang w:val="en-GB"/>
        </w:rPr>
        <w:t>B</w:t>
      </w:r>
      <w:r w:rsidR="00CA0408">
        <w:rPr>
          <w:rFonts w:asciiTheme="majorHAnsi" w:hAnsiTheme="majorHAnsi"/>
          <w:sz w:val="21"/>
          <w:szCs w:val="21"/>
          <w:lang w:val="en-GB"/>
        </w:rPr>
        <w:t xml:space="preserve">ased </w:t>
      </w:r>
      <w:r w:rsidR="00DA7895">
        <w:rPr>
          <w:rFonts w:asciiTheme="majorHAnsi" w:hAnsiTheme="majorHAnsi"/>
          <w:sz w:val="21"/>
          <w:szCs w:val="21"/>
          <w:lang w:val="en-GB"/>
        </w:rPr>
        <w:t>G</w:t>
      </w:r>
      <w:r w:rsidR="00CA0408">
        <w:rPr>
          <w:rFonts w:asciiTheme="majorHAnsi" w:hAnsiTheme="majorHAnsi"/>
          <w:sz w:val="21"/>
          <w:szCs w:val="21"/>
          <w:lang w:val="en-GB"/>
        </w:rPr>
        <w:t xml:space="preserve">rant </w:t>
      </w:r>
      <w:r w:rsidR="00DA7895">
        <w:rPr>
          <w:rFonts w:asciiTheme="majorHAnsi" w:hAnsiTheme="majorHAnsi"/>
          <w:sz w:val="21"/>
          <w:szCs w:val="21"/>
          <w:lang w:val="en-GB"/>
        </w:rPr>
        <w:t>S</w:t>
      </w:r>
      <w:r w:rsidR="00CA0408">
        <w:rPr>
          <w:rFonts w:asciiTheme="majorHAnsi" w:hAnsiTheme="majorHAnsi"/>
          <w:sz w:val="21"/>
          <w:szCs w:val="21"/>
          <w:lang w:val="en-GB"/>
        </w:rPr>
        <w:t>cheme</w:t>
      </w:r>
      <w:r w:rsidRPr="001E5747">
        <w:rPr>
          <w:rFonts w:asciiTheme="majorHAnsi" w:hAnsiTheme="majorHAnsi"/>
          <w:sz w:val="21"/>
          <w:szCs w:val="21"/>
          <w:lang w:val="en-GB"/>
        </w:rPr>
        <w:t>);</w:t>
      </w:r>
    </w:p>
    <w:p w14:paraId="456D10DD" w14:textId="0519B732" w:rsidR="00B739C3" w:rsidRPr="00A56C90" w:rsidRDefault="00B739C3" w:rsidP="006033A8">
      <w:pPr>
        <w:spacing w:before="60" w:line="264" w:lineRule="auto"/>
        <w:jc w:val="both"/>
        <w:rPr>
          <w:rFonts w:asciiTheme="majorHAnsi" w:hAnsiTheme="majorHAnsi"/>
          <w:sz w:val="21"/>
          <w:szCs w:val="21"/>
          <w:lang w:val="en-GB"/>
        </w:rPr>
      </w:pPr>
      <w:r w:rsidRPr="00CA0408">
        <w:rPr>
          <w:rFonts w:asciiTheme="majorHAnsi" w:hAnsiTheme="majorHAnsi"/>
          <w:sz w:val="21"/>
          <w:szCs w:val="21"/>
          <w:lang w:val="en-GB"/>
        </w:rPr>
        <w:t xml:space="preserve">For all municipalities that have met the minimum </w:t>
      </w:r>
      <w:r w:rsidR="009767E2" w:rsidRPr="00CA0408">
        <w:rPr>
          <w:rFonts w:asciiTheme="majorHAnsi" w:hAnsiTheme="majorHAnsi"/>
          <w:sz w:val="21"/>
          <w:szCs w:val="21"/>
          <w:lang w:val="en-GB"/>
        </w:rPr>
        <w:t>conditions</w:t>
      </w:r>
      <w:r w:rsidRPr="00CA0408">
        <w:rPr>
          <w:rFonts w:asciiTheme="majorHAnsi" w:hAnsiTheme="majorHAnsi"/>
          <w:sz w:val="21"/>
          <w:szCs w:val="21"/>
          <w:lang w:val="en-GB"/>
        </w:rPr>
        <w:t xml:space="preserve">, the additional grant received by each municipality is based on its relative </w:t>
      </w:r>
      <w:r w:rsidR="00B60653" w:rsidRPr="00CA0408">
        <w:rPr>
          <w:rFonts w:asciiTheme="majorHAnsi" w:hAnsiTheme="majorHAnsi"/>
          <w:sz w:val="21"/>
          <w:szCs w:val="21"/>
          <w:lang w:val="en-GB"/>
        </w:rPr>
        <w:t>score</w:t>
      </w:r>
      <w:r w:rsidRPr="00CA0408">
        <w:rPr>
          <w:rFonts w:asciiTheme="majorHAnsi" w:hAnsiTheme="majorHAnsi"/>
          <w:sz w:val="21"/>
          <w:szCs w:val="21"/>
          <w:lang w:val="en-GB"/>
        </w:rPr>
        <w:t xml:space="preserve"> achieved in the municipal performance</w:t>
      </w:r>
      <w:r w:rsidR="00A55FBC" w:rsidRPr="00CA0408">
        <w:rPr>
          <w:rFonts w:asciiTheme="majorHAnsi" w:hAnsiTheme="majorHAnsi"/>
          <w:sz w:val="21"/>
          <w:szCs w:val="21"/>
          <w:lang w:val="en-GB"/>
        </w:rPr>
        <w:t xml:space="preserve"> grant</w:t>
      </w:r>
      <w:r w:rsidRPr="00CA0408">
        <w:rPr>
          <w:rFonts w:asciiTheme="majorHAnsi" w:hAnsiTheme="majorHAnsi"/>
          <w:sz w:val="21"/>
          <w:szCs w:val="21"/>
          <w:lang w:val="en-GB"/>
        </w:rPr>
        <w:t xml:space="preserve"> indicators (its points compared to those of all other municipaliti</w:t>
      </w:r>
      <w:r w:rsidR="00B60653" w:rsidRPr="00CA0408">
        <w:rPr>
          <w:rFonts w:asciiTheme="majorHAnsi" w:hAnsiTheme="majorHAnsi"/>
          <w:sz w:val="21"/>
          <w:szCs w:val="21"/>
          <w:lang w:val="en-GB"/>
        </w:rPr>
        <w:t>es) as well as other criteria</w:t>
      </w:r>
      <w:r w:rsidR="005E0672" w:rsidRPr="00CA0408">
        <w:rPr>
          <w:rFonts w:asciiTheme="majorHAnsi" w:hAnsiTheme="majorHAnsi"/>
          <w:sz w:val="21"/>
          <w:szCs w:val="21"/>
          <w:lang w:val="en-GB"/>
        </w:rPr>
        <w:t xml:space="preserve"> of t</w:t>
      </w:r>
      <w:r w:rsidRPr="00CA0408">
        <w:rPr>
          <w:rFonts w:asciiTheme="majorHAnsi" w:hAnsiTheme="majorHAnsi"/>
          <w:sz w:val="21"/>
          <w:szCs w:val="21"/>
          <w:lang w:val="en-GB"/>
        </w:rPr>
        <w:t>he allocation formula, in accordance with Section 30.</w:t>
      </w:r>
      <w:r w:rsidR="00CA0408">
        <w:rPr>
          <w:rFonts w:asciiTheme="majorHAnsi" w:hAnsiTheme="majorHAnsi"/>
          <w:sz w:val="21"/>
          <w:szCs w:val="21"/>
          <w:lang w:val="en-GB"/>
        </w:rPr>
        <w:t>2</w:t>
      </w:r>
      <w:r w:rsidRPr="00CA0408">
        <w:rPr>
          <w:rFonts w:asciiTheme="majorHAnsi" w:hAnsiTheme="majorHAnsi"/>
          <w:sz w:val="21"/>
          <w:szCs w:val="21"/>
          <w:lang w:val="en-GB"/>
        </w:rPr>
        <w:t xml:space="preserve"> of the </w:t>
      </w:r>
      <w:r w:rsidR="00CA0408" w:rsidRPr="00CA0408">
        <w:rPr>
          <w:rFonts w:asciiTheme="majorHAnsi" w:hAnsiTheme="majorHAnsi"/>
          <w:sz w:val="21"/>
          <w:szCs w:val="21"/>
          <w:lang w:val="en-GB"/>
        </w:rPr>
        <w:t xml:space="preserve">Law </w:t>
      </w:r>
      <w:r w:rsidRPr="00CA0408">
        <w:rPr>
          <w:rFonts w:asciiTheme="majorHAnsi" w:hAnsiTheme="majorHAnsi"/>
          <w:sz w:val="21"/>
          <w:szCs w:val="21"/>
          <w:lang w:val="en-GB"/>
        </w:rPr>
        <w:t xml:space="preserve">on </w:t>
      </w:r>
      <w:r w:rsidR="00DA7895">
        <w:rPr>
          <w:rFonts w:asciiTheme="majorHAnsi" w:hAnsiTheme="majorHAnsi"/>
          <w:sz w:val="21"/>
          <w:szCs w:val="21"/>
          <w:lang w:val="en-GB"/>
        </w:rPr>
        <w:t>M</w:t>
      </w:r>
      <w:r w:rsidR="00CA0408">
        <w:rPr>
          <w:rFonts w:asciiTheme="majorHAnsi" w:hAnsiTheme="majorHAnsi"/>
          <w:sz w:val="21"/>
          <w:szCs w:val="21"/>
          <w:lang w:val="en-GB"/>
        </w:rPr>
        <w:t xml:space="preserve">unicipal </w:t>
      </w:r>
      <w:r w:rsidR="00DA7895">
        <w:rPr>
          <w:rFonts w:asciiTheme="majorHAnsi" w:hAnsiTheme="majorHAnsi"/>
          <w:sz w:val="21"/>
          <w:szCs w:val="21"/>
          <w:lang w:val="en-GB"/>
        </w:rPr>
        <w:t>P</w:t>
      </w:r>
      <w:r w:rsidR="00CA0408">
        <w:rPr>
          <w:rFonts w:asciiTheme="majorHAnsi" w:hAnsiTheme="majorHAnsi"/>
          <w:sz w:val="21"/>
          <w:szCs w:val="21"/>
          <w:lang w:val="en-GB"/>
        </w:rPr>
        <w:t xml:space="preserve">erformance </w:t>
      </w:r>
      <w:r w:rsidR="00DA7895">
        <w:rPr>
          <w:rFonts w:asciiTheme="majorHAnsi" w:hAnsiTheme="majorHAnsi"/>
          <w:sz w:val="21"/>
          <w:szCs w:val="21"/>
          <w:lang w:val="en-GB"/>
        </w:rPr>
        <w:t>M</w:t>
      </w:r>
      <w:r w:rsidR="00CA0408">
        <w:rPr>
          <w:rFonts w:asciiTheme="majorHAnsi" w:hAnsiTheme="majorHAnsi"/>
          <w:sz w:val="21"/>
          <w:szCs w:val="21"/>
          <w:lang w:val="en-GB"/>
        </w:rPr>
        <w:t xml:space="preserve">anagement </w:t>
      </w:r>
      <w:r w:rsidR="00DA7895">
        <w:rPr>
          <w:rFonts w:asciiTheme="majorHAnsi" w:hAnsiTheme="majorHAnsi"/>
          <w:sz w:val="21"/>
          <w:szCs w:val="21"/>
          <w:lang w:val="en-GB"/>
        </w:rPr>
        <w:t>S</w:t>
      </w:r>
      <w:r w:rsidR="00CA0408">
        <w:rPr>
          <w:rFonts w:asciiTheme="majorHAnsi" w:hAnsiTheme="majorHAnsi"/>
          <w:sz w:val="21"/>
          <w:szCs w:val="21"/>
          <w:lang w:val="en-GB"/>
        </w:rPr>
        <w:t xml:space="preserve">ystem and the </w:t>
      </w:r>
      <w:r w:rsidR="00DA7895">
        <w:rPr>
          <w:rFonts w:asciiTheme="majorHAnsi" w:hAnsiTheme="majorHAnsi"/>
          <w:sz w:val="21"/>
          <w:szCs w:val="21"/>
          <w:lang w:val="en-GB"/>
        </w:rPr>
        <w:t>P</w:t>
      </w:r>
      <w:r w:rsidR="00CA0408">
        <w:rPr>
          <w:rFonts w:asciiTheme="majorHAnsi" w:hAnsiTheme="majorHAnsi"/>
          <w:sz w:val="21"/>
          <w:szCs w:val="21"/>
          <w:lang w:val="en-GB"/>
        </w:rPr>
        <w:t>erformance-</w:t>
      </w:r>
      <w:r w:rsidR="00DA7895">
        <w:rPr>
          <w:rFonts w:asciiTheme="majorHAnsi" w:hAnsiTheme="majorHAnsi"/>
          <w:sz w:val="21"/>
          <w:szCs w:val="21"/>
          <w:lang w:val="en-GB"/>
        </w:rPr>
        <w:t>B</w:t>
      </w:r>
      <w:r w:rsidR="00CA0408">
        <w:rPr>
          <w:rFonts w:asciiTheme="majorHAnsi" w:hAnsiTheme="majorHAnsi"/>
          <w:sz w:val="21"/>
          <w:szCs w:val="21"/>
          <w:lang w:val="en-GB"/>
        </w:rPr>
        <w:t xml:space="preserve">ased </w:t>
      </w:r>
      <w:r w:rsidR="00DA7895">
        <w:rPr>
          <w:rFonts w:asciiTheme="majorHAnsi" w:hAnsiTheme="majorHAnsi"/>
          <w:sz w:val="21"/>
          <w:szCs w:val="21"/>
          <w:lang w:val="en-GB"/>
        </w:rPr>
        <w:t>G</w:t>
      </w:r>
      <w:r w:rsidR="00CA0408">
        <w:rPr>
          <w:rFonts w:asciiTheme="majorHAnsi" w:hAnsiTheme="majorHAnsi"/>
          <w:sz w:val="21"/>
          <w:szCs w:val="21"/>
          <w:lang w:val="en-GB"/>
        </w:rPr>
        <w:t xml:space="preserve">rant </w:t>
      </w:r>
      <w:r w:rsidR="00DA7895">
        <w:rPr>
          <w:rFonts w:asciiTheme="majorHAnsi" w:hAnsiTheme="majorHAnsi"/>
          <w:sz w:val="21"/>
          <w:szCs w:val="21"/>
          <w:lang w:val="en-GB"/>
        </w:rPr>
        <w:t>S</w:t>
      </w:r>
      <w:r w:rsidR="00CA0408">
        <w:rPr>
          <w:rFonts w:asciiTheme="majorHAnsi" w:hAnsiTheme="majorHAnsi"/>
          <w:sz w:val="21"/>
          <w:szCs w:val="21"/>
          <w:lang w:val="en-GB"/>
        </w:rPr>
        <w:t>cheme</w:t>
      </w:r>
      <w:r w:rsidR="008364A5">
        <w:rPr>
          <w:rFonts w:asciiTheme="majorHAnsi" w:hAnsiTheme="majorHAnsi"/>
          <w:sz w:val="21"/>
          <w:szCs w:val="21"/>
          <w:lang w:val="en-GB"/>
        </w:rPr>
        <w:t xml:space="preserve">. </w:t>
      </w:r>
      <w:r w:rsidRPr="00A56C90">
        <w:rPr>
          <w:rFonts w:asciiTheme="majorHAnsi" w:hAnsiTheme="majorHAnsi"/>
          <w:sz w:val="21"/>
          <w:szCs w:val="21"/>
          <w:lang w:val="en-GB"/>
        </w:rPr>
        <w:t xml:space="preserve">The minimum conditions are intended to ensure that the amount available </w:t>
      </w:r>
      <w:r w:rsidR="00B60653" w:rsidRPr="00A56C90">
        <w:rPr>
          <w:rFonts w:asciiTheme="majorHAnsi" w:hAnsiTheme="majorHAnsi"/>
          <w:sz w:val="21"/>
          <w:szCs w:val="21"/>
          <w:lang w:val="en-GB"/>
        </w:rPr>
        <w:t xml:space="preserve">is </w:t>
      </w:r>
      <w:r w:rsidRPr="00A56C90">
        <w:rPr>
          <w:rFonts w:asciiTheme="majorHAnsi" w:hAnsiTheme="majorHAnsi"/>
          <w:sz w:val="21"/>
          <w:szCs w:val="21"/>
          <w:lang w:val="en-GB"/>
        </w:rPr>
        <w:t xml:space="preserve">allocated only to municipalities that are able to use the funds efficiently, effectively and economically; are </w:t>
      </w:r>
      <w:r w:rsidR="00B60653" w:rsidRPr="00A56C90">
        <w:rPr>
          <w:rFonts w:asciiTheme="majorHAnsi" w:hAnsiTheme="majorHAnsi"/>
          <w:sz w:val="21"/>
          <w:szCs w:val="21"/>
          <w:lang w:val="en-GB"/>
        </w:rPr>
        <w:t>cap</w:t>
      </w:r>
      <w:r w:rsidRPr="00A56C90">
        <w:rPr>
          <w:rFonts w:asciiTheme="majorHAnsi" w:hAnsiTheme="majorHAnsi"/>
          <w:sz w:val="21"/>
          <w:szCs w:val="21"/>
          <w:lang w:val="en-GB"/>
        </w:rPr>
        <w:t>able to absorb funds and spend them responsibly; have reviewed municipal acts deemed illegal by the supervisory authority</w:t>
      </w:r>
      <w:r w:rsidR="005B4540" w:rsidRPr="00A56C90">
        <w:rPr>
          <w:rFonts w:asciiTheme="majorHAnsi" w:hAnsiTheme="majorHAnsi"/>
          <w:sz w:val="21"/>
          <w:szCs w:val="21"/>
          <w:lang w:val="en-GB"/>
        </w:rPr>
        <w:t xml:space="preserve"> and</w:t>
      </w:r>
      <w:r w:rsidRPr="00A56C90">
        <w:rPr>
          <w:rFonts w:asciiTheme="majorHAnsi" w:hAnsiTheme="majorHAnsi"/>
          <w:sz w:val="21"/>
          <w:szCs w:val="21"/>
          <w:lang w:val="en-GB"/>
        </w:rPr>
        <w:t xml:space="preserve"> reported in a timely manner to the MPMS.</w:t>
      </w:r>
    </w:p>
    <w:p w14:paraId="042CB672" w14:textId="77777777" w:rsidR="00B739C3" w:rsidRPr="001E5747" w:rsidRDefault="00B739C3" w:rsidP="003A6308">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Municipal performance </w:t>
      </w:r>
      <w:r w:rsidR="00A55FBC">
        <w:rPr>
          <w:rFonts w:asciiTheme="majorHAnsi" w:hAnsiTheme="majorHAnsi"/>
          <w:sz w:val="21"/>
          <w:szCs w:val="21"/>
          <w:lang w:val="en-GB"/>
        </w:rPr>
        <w:t xml:space="preserve">grant </w:t>
      </w:r>
      <w:r w:rsidRPr="001E5747">
        <w:rPr>
          <w:rFonts w:asciiTheme="majorHAnsi" w:hAnsiTheme="majorHAnsi"/>
          <w:sz w:val="21"/>
          <w:szCs w:val="21"/>
          <w:lang w:val="en-GB"/>
        </w:rPr>
        <w:t xml:space="preserve">indicators (and relative scores) aim to </w:t>
      </w:r>
      <w:r w:rsidR="00B60653" w:rsidRPr="001E5747">
        <w:rPr>
          <w:rFonts w:asciiTheme="majorHAnsi" w:hAnsiTheme="majorHAnsi"/>
          <w:sz w:val="21"/>
          <w:szCs w:val="21"/>
          <w:lang w:val="en-GB"/>
        </w:rPr>
        <w:t>incentiv</w:t>
      </w:r>
      <w:r w:rsidR="00A55FBC">
        <w:rPr>
          <w:rFonts w:asciiTheme="majorHAnsi" w:hAnsiTheme="majorHAnsi"/>
          <w:sz w:val="21"/>
          <w:szCs w:val="21"/>
          <w:lang w:val="en-GB"/>
        </w:rPr>
        <w:t>ise</w:t>
      </w:r>
      <w:r w:rsidRPr="001E5747">
        <w:rPr>
          <w:rFonts w:asciiTheme="majorHAnsi" w:hAnsiTheme="majorHAnsi"/>
          <w:sz w:val="21"/>
          <w:szCs w:val="21"/>
          <w:lang w:val="en-GB"/>
        </w:rPr>
        <w:t xml:space="preserve"> competition between municipalities to </w:t>
      </w:r>
      <w:r w:rsidR="00B60653" w:rsidRPr="001E5747">
        <w:rPr>
          <w:rFonts w:asciiTheme="majorHAnsi" w:hAnsiTheme="majorHAnsi"/>
          <w:sz w:val="21"/>
          <w:szCs w:val="21"/>
          <w:lang w:val="en-GB"/>
        </w:rPr>
        <w:t>ensure</w:t>
      </w:r>
      <w:r w:rsidRPr="001E5747">
        <w:rPr>
          <w:rFonts w:asciiTheme="majorHAnsi" w:hAnsiTheme="majorHAnsi"/>
          <w:sz w:val="21"/>
          <w:szCs w:val="21"/>
          <w:lang w:val="en-GB"/>
        </w:rPr>
        <w:t xml:space="preserve"> additional financial resources, but also the goal of being among the municipalities with the highest scores in key performance areas. Publication of </w:t>
      </w:r>
      <w:r w:rsidR="009767E2">
        <w:rPr>
          <w:rFonts w:asciiTheme="majorHAnsi" w:hAnsiTheme="majorHAnsi"/>
          <w:sz w:val="21"/>
          <w:szCs w:val="21"/>
          <w:lang w:val="en-GB"/>
        </w:rPr>
        <w:t>assessment</w:t>
      </w:r>
      <w:r w:rsidRPr="001E5747">
        <w:rPr>
          <w:rFonts w:asciiTheme="majorHAnsi" w:hAnsiTheme="majorHAnsi"/>
          <w:sz w:val="21"/>
          <w:szCs w:val="21"/>
          <w:lang w:val="en-GB"/>
        </w:rPr>
        <w:t xml:space="preserve"> results (and public discussion regarding the analysis of </w:t>
      </w:r>
      <w:r w:rsidR="009767E2">
        <w:rPr>
          <w:rFonts w:asciiTheme="majorHAnsi" w:hAnsiTheme="majorHAnsi"/>
          <w:sz w:val="21"/>
          <w:szCs w:val="21"/>
          <w:lang w:val="en-GB"/>
        </w:rPr>
        <w:t>assessment</w:t>
      </w:r>
      <w:r w:rsidRPr="001E5747">
        <w:rPr>
          <w:rFonts w:asciiTheme="majorHAnsi" w:hAnsiTheme="majorHAnsi"/>
          <w:sz w:val="21"/>
          <w:szCs w:val="21"/>
          <w:lang w:val="en-GB"/>
        </w:rPr>
        <w:t xml:space="preserve"> results) is an important aspect of the MPG.</w:t>
      </w:r>
    </w:p>
    <w:p w14:paraId="425FE3D1" w14:textId="77777777" w:rsidR="00B739C3" w:rsidRPr="001E5747" w:rsidRDefault="00B739C3" w:rsidP="006033A8">
      <w:pPr>
        <w:bidi/>
        <w:jc w:val="both"/>
        <w:rPr>
          <w:lang w:val="en-GB"/>
        </w:rPr>
      </w:pPr>
    </w:p>
    <w:p w14:paraId="73B3AFCD" w14:textId="77777777" w:rsidR="00B739C3" w:rsidRPr="001E5747" w:rsidRDefault="00B739C3" w:rsidP="00B739C3">
      <w:pPr>
        <w:pStyle w:val="Heading1"/>
        <w:numPr>
          <w:ilvl w:val="1"/>
          <w:numId w:val="43"/>
        </w:numPr>
        <w:tabs>
          <w:tab w:val="left" w:pos="540"/>
        </w:tabs>
        <w:ind w:hanging="1800"/>
        <w:rPr>
          <w:rFonts w:asciiTheme="majorHAnsi" w:hAnsiTheme="majorHAnsi"/>
          <w:color w:val="C0504D"/>
          <w:szCs w:val="28"/>
          <w:lang w:val="en-GB"/>
        </w:rPr>
      </w:pPr>
      <w:bookmarkStart w:id="49" w:name="_Toc61062521"/>
      <w:bookmarkStart w:id="50" w:name="_Toc214024546"/>
      <w:r w:rsidRPr="001E5747">
        <w:rPr>
          <w:rFonts w:asciiTheme="majorHAnsi" w:hAnsiTheme="majorHAnsi"/>
          <w:color w:val="C0504D"/>
          <w:szCs w:val="28"/>
          <w:lang w:val="en-GB"/>
        </w:rPr>
        <w:t>Minimum conditions</w:t>
      </w:r>
      <w:bookmarkEnd w:id="49"/>
      <w:bookmarkEnd w:id="50"/>
    </w:p>
    <w:p w14:paraId="4F6C345F" w14:textId="77777777" w:rsidR="00B739C3" w:rsidRPr="001E5747" w:rsidRDefault="00B739C3" w:rsidP="00B739C3">
      <w:pPr>
        <w:spacing w:before="60" w:line="264" w:lineRule="auto"/>
        <w:jc w:val="both"/>
        <w:rPr>
          <w:rFonts w:asciiTheme="majorHAnsi" w:hAnsiTheme="majorHAnsi"/>
          <w:sz w:val="6"/>
          <w:szCs w:val="6"/>
          <w:lang w:val="en-GB"/>
        </w:rPr>
      </w:pPr>
    </w:p>
    <w:p w14:paraId="052205BE" w14:textId="487DFED2"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The MPG </w:t>
      </w:r>
      <w:r w:rsidR="005B4540">
        <w:rPr>
          <w:rFonts w:asciiTheme="majorHAnsi" w:hAnsiTheme="majorHAnsi"/>
          <w:sz w:val="21"/>
          <w:szCs w:val="21"/>
          <w:lang w:val="en-GB"/>
        </w:rPr>
        <w:t xml:space="preserve">for </w:t>
      </w:r>
      <w:r w:rsidR="00C2637B">
        <w:rPr>
          <w:rFonts w:asciiTheme="majorHAnsi" w:hAnsiTheme="majorHAnsi"/>
          <w:sz w:val="21"/>
          <w:szCs w:val="21"/>
          <w:lang w:val="en-GB"/>
        </w:rPr>
        <w:t>202</w:t>
      </w:r>
      <w:r w:rsidR="00265DDF">
        <w:rPr>
          <w:rFonts w:asciiTheme="majorHAnsi" w:hAnsiTheme="majorHAnsi"/>
          <w:sz w:val="21"/>
          <w:szCs w:val="21"/>
          <w:lang w:val="en-GB"/>
        </w:rPr>
        <w:t>6</w:t>
      </w:r>
      <w:r w:rsidR="00C2637B">
        <w:rPr>
          <w:rFonts w:asciiTheme="majorHAnsi" w:hAnsiTheme="majorHAnsi"/>
          <w:sz w:val="21"/>
          <w:szCs w:val="21"/>
          <w:lang w:val="en-GB"/>
        </w:rPr>
        <w:t xml:space="preserve"> </w:t>
      </w:r>
      <w:r w:rsidRPr="001E5747">
        <w:rPr>
          <w:rFonts w:asciiTheme="majorHAnsi" w:hAnsiTheme="majorHAnsi"/>
          <w:sz w:val="21"/>
          <w:szCs w:val="21"/>
          <w:lang w:val="en-GB"/>
        </w:rPr>
        <w:t xml:space="preserve">sets </w:t>
      </w:r>
      <w:r w:rsidR="006E2A74">
        <w:rPr>
          <w:rFonts w:asciiTheme="majorHAnsi" w:hAnsiTheme="majorHAnsi"/>
          <w:sz w:val="21"/>
          <w:szCs w:val="21"/>
          <w:lang w:val="en-GB"/>
        </w:rPr>
        <w:t>four</w:t>
      </w:r>
      <w:r w:rsidRPr="001E5747">
        <w:rPr>
          <w:rFonts w:asciiTheme="majorHAnsi" w:hAnsiTheme="majorHAnsi"/>
          <w:sz w:val="21"/>
          <w:szCs w:val="21"/>
          <w:lang w:val="en-GB"/>
        </w:rPr>
        <w:t xml:space="preserve"> minimum conditions as follows:</w:t>
      </w:r>
    </w:p>
    <w:p w14:paraId="05430CB7" w14:textId="4F901CE2" w:rsidR="00B739C3" w:rsidRPr="001E5747" w:rsidRDefault="00B739C3" w:rsidP="00B739C3">
      <w:pPr>
        <w:pStyle w:val="ListParagraph"/>
        <w:numPr>
          <w:ilvl w:val="1"/>
          <w:numId w:val="44"/>
        </w:numPr>
        <w:spacing w:after="0"/>
        <w:rPr>
          <w:rFonts w:asciiTheme="majorHAnsi" w:hAnsiTheme="majorHAnsi"/>
          <w:sz w:val="21"/>
          <w:szCs w:val="21"/>
          <w:lang w:val="en-GB" w:eastAsia="en-US"/>
        </w:rPr>
      </w:pPr>
      <w:r w:rsidRPr="001E5747">
        <w:rPr>
          <w:rFonts w:asciiTheme="majorHAnsi" w:hAnsiTheme="majorHAnsi"/>
          <w:sz w:val="21"/>
          <w:szCs w:val="21"/>
          <w:lang w:val="en-GB" w:eastAsia="en-US"/>
        </w:rPr>
        <w:t>Municipalities must have reported the data to the MPMS by the deadline</w:t>
      </w:r>
      <w:r w:rsidR="005E0672">
        <w:rPr>
          <w:rFonts w:asciiTheme="majorHAnsi" w:hAnsiTheme="majorHAnsi"/>
          <w:sz w:val="21"/>
          <w:szCs w:val="21"/>
          <w:lang w:val="en-GB" w:eastAsia="en-US"/>
        </w:rPr>
        <w:t xml:space="preserve">, according to the article </w:t>
      </w:r>
      <w:r w:rsidR="00CA0408">
        <w:rPr>
          <w:rFonts w:asciiTheme="majorHAnsi" w:hAnsiTheme="majorHAnsi"/>
          <w:sz w:val="21"/>
          <w:szCs w:val="21"/>
          <w:lang w:val="en-GB" w:eastAsia="en-US"/>
        </w:rPr>
        <w:t xml:space="preserve">19.2 </w:t>
      </w:r>
      <w:r w:rsidR="005E0672">
        <w:rPr>
          <w:rFonts w:asciiTheme="majorHAnsi" w:hAnsiTheme="majorHAnsi"/>
          <w:sz w:val="21"/>
          <w:szCs w:val="21"/>
          <w:lang w:val="en-GB" w:eastAsia="en-US"/>
        </w:rPr>
        <w:t xml:space="preserve">of the </w:t>
      </w:r>
      <w:r w:rsidR="00DA7895">
        <w:rPr>
          <w:rFonts w:asciiTheme="majorHAnsi" w:hAnsiTheme="majorHAnsi"/>
          <w:sz w:val="21"/>
          <w:szCs w:val="21"/>
          <w:lang w:val="en-GB" w:eastAsia="en-US"/>
        </w:rPr>
        <w:t xml:space="preserve">Law on </w:t>
      </w:r>
      <w:r w:rsidR="005E0672">
        <w:rPr>
          <w:rFonts w:asciiTheme="majorHAnsi" w:hAnsiTheme="majorHAnsi"/>
          <w:sz w:val="21"/>
          <w:szCs w:val="21"/>
          <w:lang w:val="en-GB" w:eastAsia="en-US"/>
        </w:rPr>
        <w:t>PMS/MPG</w:t>
      </w:r>
      <w:r w:rsidR="00311CD5">
        <w:rPr>
          <w:rStyle w:val="FootnoteReference"/>
          <w:rFonts w:asciiTheme="majorHAnsi" w:hAnsiTheme="majorHAnsi"/>
          <w:sz w:val="21"/>
          <w:szCs w:val="21"/>
          <w:lang w:val="en-GB" w:eastAsia="en-US"/>
        </w:rPr>
        <w:footnoteReference w:id="4"/>
      </w:r>
      <w:r w:rsidRPr="001E5747">
        <w:rPr>
          <w:rFonts w:asciiTheme="majorHAnsi" w:hAnsiTheme="majorHAnsi"/>
          <w:sz w:val="21"/>
          <w:szCs w:val="21"/>
          <w:lang w:val="en-GB" w:eastAsia="en-US"/>
        </w:rPr>
        <w:t>;</w:t>
      </w:r>
    </w:p>
    <w:p w14:paraId="784B6EEA" w14:textId="77777777" w:rsidR="00603525" w:rsidRPr="00C96E3F" w:rsidRDefault="00603525" w:rsidP="00C96E3F">
      <w:pPr>
        <w:pStyle w:val="ListParagraph"/>
        <w:numPr>
          <w:ilvl w:val="1"/>
          <w:numId w:val="44"/>
        </w:numPr>
        <w:spacing w:after="0"/>
        <w:rPr>
          <w:rFonts w:asciiTheme="majorHAnsi" w:hAnsiTheme="majorHAnsi"/>
          <w:sz w:val="21"/>
          <w:szCs w:val="21"/>
          <w:lang w:val="en-GB" w:eastAsia="en-US"/>
        </w:rPr>
      </w:pPr>
      <w:r w:rsidRPr="00A0644E">
        <w:rPr>
          <w:rFonts w:asciiTheme="majorHAnsi" w:hAnsiTheme="majorHAnsi"/>
          <w:sz w:val="21"/>
          <w:szCs w:val="21"/>
          <w:lang w:val="en-GB"/>
        </w:rPr>
        <w:t>Municipalities must have complied with the legal obligation to review municipal acts deemed illegal by the supervisory authority</w:t>
      </w:r>
      <w:r w:rsidRPr="00A0644E">
        <w:rPr>
          <w:rStyle w:val="FootnoteReference"/>
          <w:rFonts w:asciiTheme="majorHAnsi" w:hAnsiTheme="majorHAnsi"/>
          <w:sz w:val="21"/>
          <w:szCs w:val="21"/>
          <w:lang w:val="en-GB"/>
        </w:rPr>
        <w:footnoteReference w:id="5"/>
      </w:r>
      <w:r w:rsidRPr="00A0644E">
        <w:rPr>
          <w:rFonts w:asciiTheme="majorHAnsi" w:hAnsiTheme="majorHAnsi"/>
          <w:sz w:val="21"/>
          <w:szCs w:val="21"/>
          <w:lang w:val="en-GB"/>
        </w:rPr>
        <w:t>;</w:t>
      </w:r>
    </w:p>
    <w:p w14:paraId="00EB0E2F" w14:textId="66B0F579" w:rsidR="00B739C3" w:rsidRPr="001E5747" w:rsidRDefault="00B739C3" w:rsidP="00B739C3">
      <w:pPr>
        <w:numPr>
          <w:ilvl w:val="1"/>
          <w:numId w:val="44"/>
        </w:numPr>
        <w:spacing w:line="264" w:lineRule="auto"/>
        <w:jc w:val="both"/>
        <w:rPr>
          <w:rFonts w:asciiTheme="majorHAnsi" w:hAnsiTheme="majorHAnsi"/>
          <w:sz w:val="21"/>
          <w:szCs w:val="21"/>
          <w:lang w:val="en-GB"/>
        </w:rPr>
      </w:pPr>
      <w:r w:rsidRPr="001E5747">
        <w:rPr>
          <w:rFonts w:asciiTheme="majorHAnsi" w:hAnsiTheme="majorHAnsi"/>
          <w:sz w:val="21"/>
          <w:szCs w:val="21"/>
          <w:lang w:val="en-GB"/>
        </w:rPr>
        <w:t>The audit opinion should be at least unmo</w:t>
      </w:r>
      <w:r w:rsidR="00307244" w:rsidRPr="001E5747">
        <w:rPr>
          <w:rFonts w:asciiTheme="majorHAnsi" w:hAnsiTheme="majorHAnsi"/>
          <w:sz w:val="21"/>
          <w:szCs w:val="21"/>
          <w:lang w:val="en-GB"/>
        </w:rPr>
        <w:t>dified with an emphasis on matter</w:t>
      </w:r>
      <w:r w:rsidRPr="001E5747">
        <w:rPr>
          <w:rFonts w:asciiTheme="majorHAnsi" w:hAnsiTheme="majorHAnsi"/>
          <w:sz w:val="21"/>
          <w:szCs w:val="21"/>
          <w:lang w:val="en-GB"/>
        </w:rPr>
        <w:t>;</w:t>
      </w:r>
      <w:r w:rsidR="00A837E7">
        <w:rPr>
          <w:rFonts w:asciiTheme="majorHAnsi" w:hAnsiTheme="majorHAnsi"/>
          <w:sz w:val="21"/>
          <w:szCs w:val="21"/>
          <w:lang w:val="en-GB"/>
        </w:rPr>
        <w:t xml:space="preserve"> and</w:t>
      </w:r>
    </w:p>
    <w:p w14:paraId="548BC843" w14:textId="212C3C84" w:rsidR="00B739C3" w:rsidRPr="001E5747" w:rsidRDefault="00B739C3" w:rsidP="00B739C3">
      <w:pPr>
        <w:numPr>
          <w:ilvl w:val="1"/>
          <w:numId w:val="44"/>
        </w:numPr>
        <w:spacing w:line="264" w:lineRule="auto"/>
        <w:jc w:val="both"/>
        <w:rPr>
          <w:rFonts w:asciiTheme="majorHAnsi" w:hAnsiTheme="majorHAnsi"/>
          <w:sz w:val="21"/>
          <w:szCs w:val="21"/>
          <w:lang w:val="en-GB"/>
        </w:rPr>
      </w:pPr>
      <w:r w:rsidRPr="001E5747">
        <w:rPr>
          <w:rFonts w:asciiTheme="majorHAnsi" w:hAnsiTheme="majorHAnsi"/>
          <w:sz w:val="21"/>
          <w:szCs w:val="21"/>
          <w:lang w:val="en-GB"/>
        </w:rPr>
        <w:t>Municipalities must have spent 75% or more of the</w:t>
      </w:r>
      <w:r w:rsidR="00103534">
        <w:rPr>
          <w:rFonts w:asciiTheme="majorHAnsi" w:hAnsiTheme="majorHAnsi"/>
          <w:sz w:val="21"/>
          <w:szCs w:val="21"/>
          <w:lang w:val="en-GB"/>
        </w:rPr>
        <w:t>ir</w:t>
      </w:r>
      <w:r w:rsidRPr="001E5747">
        <w:rPr>
          <w:rFonts w:asciiTheme="majorHAnsi" w:hAnsiTheme="majorHAnsi"/>
          <w:sz w:val="21"/>
          <w:szCs w:val="21"/>
          <w:lang w:val="en-GB"/>
        </w:rPr>
        <w:t xml:space="preserve"> final budget </w:t>
      </w:r>
      <w:r w:rsidR="00103534">
        <w:rPr>
          <w:rFonts w:asciiTheme="majorHAnsi" w:hAnsiTheme="majorHAnsi"/>
          <w:sz w:val="21"/>
          <w:szCs w:val="21"/>
          <w:lang w:val="en-GB"/>
        </w:rPr>
        <w:t>for</w:t>
      </w:r>
      <w:r w:rsidRPr="001E5747">
        <w:rPr>
          <w:rFonts w:asciiTheme="majorHAnsi" w:hAnsiTheme="majorHAnsi"/>
          <w:sz w:val="21"/>
          <w:szCs w:val="21"/>
          <w:lang w:val="en-GB"/>
        </w:rPr>
        <w:t xml:space="preserve"> capital investment; </w:t>
      </w:r>
    </w:p>
    <w:p w14:paraId="118E8C1C" w14:textId="401939CC" w:rsidR="00B739C3" w:rsidRPr="001E5747" w:rsidRDefault="00603525" w:rsidP="00B739C3">
      <w:pPr>
        <w:spacing w:before="60" w:line="264" w:lineRule="auto"/>
        <w:jc w:val="both"/>
        <w:rPr>
          <w:rFonts w:asciiTheme="majorHAnsi" w:hAnsiTheme="majorHAnsi"/>
          <w:sz w:val="21"/>
          <w:szCs w:val="21"/>
          <w:lang w:val="en-GB"/>
        </w:rPr>
      </w:pPr>
      <w:r>
        <w:rPr>
          <w:rFonts w:asciiTheme="majorHAnsi" w:hAnsiTheme="majorHAnsi"/>
          <w:sz w:val="21"/>
          <w:szCs w:val="21"/>
          <w:lang w:val="en-GB"/>
        </w:rPr>
        <w:t>M</w:t>
      </w:r>
      <w:r w:rsidR="00B739C3" w:rsidRPr="001E5747">
        <w:rPr>
          <w:rFonts w:asciiTheme="majorHAnsi" w:hAnsiTheme="majorHAnsi"/>
          <w:sz w:val="21"/>
          <w:szCs w:val="21"/>
          <w:lang w:val="en-GB"/>
        </w:rPr>
        <w:t xml:space="preserve">unicipalities that fail to meet </w:t>
      </w:r>
      <w:r w:rsidR="00B95782">
        <w:rPr>
          <w:rFonts w:asciiTheme="majorHAnsi" w:hAnsiTheme="majorHAnsi"/>
          <w:sz w:val="21"/>
          <w:szCs w:val="21"/>
          <w:lang w:val="en-GB"/>
        </w:rPr>
        <w:t>any of the</w:t>
      </w:r>
      <w:r w:rsidR="00B95782" w:rsidRPr="001E5747">
        <w:rPr>
          <w:rFonts w:asciiTheme="majorHAnsi" w:hAnsiTheme="majorHAnsi"/>
          <w:sz w:val="21"/>
          <w:szCs w:val="21"/>
          <w:lang w:val="en-GB"/>
        </w:rPr>
        <w:t xml:space="preserve"> </w:t>
      </w:r>
      <w:r w:rsidR="006E2A74">
        <w:rPr>
          <w:rFonts w:asciiTheme="majorHAnsi" w:hAnsiTheme="majorHAnsi"/>
          <w:sz w:val="21"/>
          <w:szCs w:val="21"/>
          <w:lang w:val="en-GB"/>
        </w:rPr>
        <w:t>4</w:t>
      </w:r>
      <w:r w:rsidR="00B739C3" w:rsidRPr="001E5747">
        <w:rPr>
          <w:rFonts w:asciiTheme="majorHAnsi" w:hAnsiTheme="majorHAnsi"/>
          <w:sz w:val="21"/>
          <w:szCs w:val="21"/>
          <w:lang w:val="en-GB"/>
        </w:rPr>
        <w:t xml:space="preserve"> above</w:t>
      </w:r>
      <w:r w:rsidR="00B95782">
        <w:rPr>
          <w:rFonts w:asciiTheme="majorHAnsi" w:hAnsiTheme="majorHAnsi"/>
          <w:sz w:val="21"/>
          <w:szCs w:val="21"/>
          <w:lang w:val="en-GB"/>
        </w:rPr>
        <w:t>-mentioned</w:t>
      </w:r>
      <w:r w:rsidR="00B739C3" w:rsidRPr="001E5747">
        <w:rPr>
          <w:rFonts w:asciiTheme="majorHAnsi" w:hAnsiTheme="majorHAnsi"/>
          <w:sz w:val="21"/>
          <w:szCs w:val="21"/>
          <w:lang w:val="en-GB"/>
        </w:rPr>
        <w:t xml:space="preserve"> </w:t>
      </w:r>
      <w:r w:rsidR="00B95782">
        <w:rPr>
          <w:rFonts w:asciiTheme="majorHAnsi" w:hAnsiTheme="majorHAnsi"/>
          <w:sz w:val="21"/>
          <w:szCs w:val="21"/>
          <w:lang w:val="en-GB"/>
        </w:rPr>
        <w:t>conditions</w:t>
      </w:r>
      <w:r w:rsidR="00B95782" w:rsidRPr="001E5747">
        <w:rPr>
          <w:rFonts w:asciiTheme="majorHAnsi" w:hAnsiTheme="majorHAnsi"/>
          <w:sz w:val="21"/>
          <w:szCs w:val="21"/>
          <w:lang w:val="en-GB"/>
        </w:rPr>
        <w:t xml:space="preserve"> </w:t>
      </w:r>
      <w:r w:rsidR="00B739C3" w:rsidRPr="001E5747">
        <w:rPr>
          <w:rFonts w:asciiTheme="majorHAnsi" w:hAnsiTheme="majorHAnsi"/>
          <w:sz w:val="21"/>
          <w:szCs w:val="21"/>
          <w:lang w:val="en-GB"/>
        </w:rPr>
        <w:t>cannot receive a municipal performance grant.</w:t>
      </w:r>
    </w:p>
    <w:p w14:paraId="24A1BDFA" w14:textId="7777777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The rationale for the minimum </w:t>
      </w:r>
      <w:r w:rsidR="002B5337">
        <w:rPr>
          <w:rFonts w:asciiTheme="majorHAnsi" w:hAnsiTheme="majorHAnsi"/>
          <w:sz w:val="21"/>
          <w:szCs w:val="21"/>
          <w:lang w:val="en-GB"/>
        </w:rPr>
        <w:t>conditions</w:t>
      </w:r>
      <w:r w:rsidRPr="001E5747">
        <w:rPr>
          <w:rFonts w:asciiTheme="majorHAnsi" w:hAnsiTheme="majorHAnsi"/>
          <w:sz w:val="21"/>
          <w:szCs w:val="21"/>
          <w:lang w:val="en-GB"/>
        </w:rPr>
        <w:t xml:space="preserve"> is that:</w:t>
      </w:r>
    </w:p>
    <w:p w14:paraId="6C01F550" w14:textId="5098BB6C" w:rsidR="00B739C3" w:rsidRDefault="00B739C3" w:rsidP="00B739C3">
      <w:pPr>
        <w:pStyle w:val="ListParagraph"/>
        <w:numPr>
          <w:ilvl w:val="0"/>
          <w:numId w:val="16"/>
        </w:numPr>
        <w:spacing w:after="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Municipalities must have reported data to the MPMS on the performance of </w:t>
      </w:r>
      <w:r w:rsidR="00CA0408" w:rsidRPr="001E5747">
        <w:rPr>
          <w:rFonts w:asciiTheme="majorHAnsi" w:hAnsiTheme="majorHAnsi"/>
          <w:sz w:val="21"/>
          <w:szCs w:val="21"/>
          <w:lang w:val="en-GB"/>
        </w:rPr>
        <w:t>20</w:t>
      </w:r>
      <w:r w:rsidR="00CA0408">
        <w:rPr>
          <w:rFonts w:asciiTheme="majorHAnsi" w:hAnsiTheme="majorHAnsi"/>
          <w:sz w:val="21"/>
          <w:szCs w:val="21"/>
          <w:lang w:val="en-GB"/>
        </w:rPr>
        <w:t>2</w:t>
      </w:r>
      <w:r w:rsidR="002D5AB7">
        <w:rPr>
          <w:rFonts w:asciiTheme="majorHAnsi" w:hAnsiTheme="majorHAnsi"/>
          <w:sz w:val="21"/>
          <w:szCs w:val="21"/>
          <w:lang w:val="en-GB"/>
        </w:rPr>
        <w:t>4</w:t>
      </w:r>
      <w:r w:rsidRPr="001E5747">
        <w:rPr>
          <w:rFonts w:asciiTheme="majorHAnsi" w:hAnsiTheme="majorHAnsi"/>
          <w:sz w:val="21"/>
          <w:szCs w:val="21"/>
          <w:lang w:val="en-GB"/>
        </w:rPr>
        <w:t>, according to the deadline.</w:t>
      </w:r>
    </w:p>
    <w:p w14:paraId="222CE192" w14:textId="53CED85B" w:rsidR="00603525" w:rsidRPr="001E5747" w:rsidRDefault="00603525" w:rsidP="00B739C3">
      <w:pPr>
        <w:pStyle w:val="ListParagraph"/>
        <w:numPr>
          <w:ilvl w:val="0"/>
          <w:numId w:val="16"/>
        </w:numPr>
        <w:spacing w:after="0" w:line="264" w:lineRule="auto"/>
        <w:jc w:val="both"/>
        <w:rPr>
          <w:rFonts w:asciiTheme="majorHAnsi" w:hAnsiTheme="majorHAnsi"/>
          <w:sz w:val="21"/>
          <w:szCs w:val="21"/>
          <w:lang w:val="en-GB"/>
        </w:rPr>
      </w:pPr>
      <w:r w:rsidRPr="00A0644E">
        <w:rPr>
          <w:rFonts w:asciiTheme="majorHAnsi" w:hAnsiTheme="majorHAnsi"/>
          <w:sz w:val="21"/>
          <w:szCs w:val="21"/>
          <w:lang w:val="en-GB"/>
        </w:rPr>
        <w:t xml:space="preserve">The grant will be awarded to those municipalities that have complied with the legal obligation to review municipal acts deemed illegal in </w:t>
      </w:r>
      <w:r w:rsidR="00CA0408" w:rsidRPr="00A0644E">
        <w:rPr>
          <w:rFonts w:asciiTheme="majorHAnsi" w:hAnsiTheme="majorHAnsi"/>
          <w:sz w:val="21"/>
          <w:szCs w:val="21"/>
          <w:lang w:val="en-GB"/>
        </w:rPr>
        <w:t>20</w:t>
      </w:r>
      <w:r w:rsidR="00CA0408">
        <w:rPr>
          <w:rFonts w:asciiTheme="majorHAnsi" w:hAnsiTheme="majorHAnsi"/>
          <w:sz w:val="21"/>
          <w:szCs w:val="21"/>
          <w:lang w:val="en-GB"/>
        </w:rPr>
        <w:t>2</w:t>
      </w:r>
      <w:r w:rsidR="002D5AB7">
        <w:rPr>
          <w:rFonts w:asciiTheme="majorHAnsi" w:hAnsiTheme="majorHAnsi"/>
          <w:sz w:val="21"/>
          <w:szCs w:val="21"/>
          <w:lang w:val="en-GB"/>
        </w:rPr>
        <w:t>4</w:t>
      </w:r>
      <w:r w:rsidR="00CA0408" w:rsidRPr="00A0644E">
        <w:rPr>
          <w:rFonts w:asciiTheme="majorHAnsi" w:hAnsiTheme="majorHAnsi"/>
          <w:sz w:val="21"/>
          <w:szCs w:val="21"/>
          <w:lang w:val="en-GB"/>
        </w:rPr>
        <w:t xml:space="preserve"> </w:t>
      </w:r>
      <w:r w:rsidRPr="00A0644E">
        <w:rPr>
          <w:rFonts w:asciiTheme="majorHAnsi" w:hAnsiTheme="majorHAnsi"/>
          <w:sz w:val="21"/>
          <w:szCs w:val="21"/>
          <w:lang w:val="en-GB"/>
        </w:rPr>
        <w:t>by the supervisory authority</w:t>
      </w:r>
      <w:r w:rsidRPr="00A0644E">
        <w:rPr>
          <w:rStyle w:val="FootnoteReference"/>
          <w:rFonts w:asciiTheme="majorHAnsi" w:hAnsiTheme="majorHAnsi"/>
          <w:sz w:val="21"/>
          <w:szCs w:val="21"/>
          <w:lang w:val="en-GB"/>
        </w:rPr>
        <w:footnoteReference w:id="6"/>
      </w:r>
      <w:r w:rsidRPr="00A0644E">
        <w:rPr>
          <w:rFonts w:asciiTheme="majorHAnsi" w:hAnsiTheme="majorHAnsi"/>
          <w:sz w:val="21"/>
          <w:szCs w:val="21"/>
          <w:lang w:val="en-GB"/>
        </w:rPr>
        <w:t>.</w:t>
      </w:r>
    </w:p>
    <w:p w14:paraId="2ED659E8" w14:textId="0FF8ABFE" w:rsidR="00B739C3" w:rsidRPr="001E5747" w:rsidRDefault="00B739C3" w:rsidP="00B739C3">
      <w:pPr>
        <w:pStyle w:val="ListParagraph"/>
        <w:numPr>
          <w:ilvl w:val="0"/>
          <w:numId w:val="16"/>
        </w:numPr>
        <w:spacing w:after="0" w:line="264" w:lineRule="auto"/>
        <w:ind w:left="1077" w:hanging="357"/>
        <w:jc w:val="both"/>
        <w:rPr>
          <w:rFonts w:asciiTheme="majorHAnsi" w:hAnsiTheme="majorHAnsi"/>
          <w:sz w:val="21"/>
          <w:szCs w:val="21"/>
          <w:lang w:val="en-GB"/>
        </w:rPr>
      </w:pPr>
      <w:r w:rsidRPr="001E5747">
        <w:rPr>
          <w:rFonts w:asciiTheme="majorHAnsi" w:hAnsiTheme="majorHAnsi"/>
          <w:sz w:val="21"/>
          <w:szCs w:val="21"/>
          <w:lang w:val="en-GB"/>
        </w:rPr>
        <w:lastRenderedPageBreak/>
        <w:t>To receive the grant, municipalities must have a sufficiently sound financial management system, as evidenced by the individual regularity</w:t>
      </w:r>
      <w:r w:rsidR="003A6308">
        <w:rPr>
          <w:rFonts w:asciiTheme="majorHAnsi" w:hAnsiTheme="majorHAnsi"/>
          <w:sz w:val="21"/>
          <w:szCs w:val="21"/>
          <w:lang w:val="en-GB"/>
        </w:rPr>
        <w:t xml:space="preserve"> (</w:t>
      </w:r>
      <w:r w:rsidR="003A6308">
        <w:rPr>
          <w:lang w:val="en-GB"/>
        </w:rPr>
        <w:t>f</w:t>
      </w:r>
      <w:proofErr w:type="spellStart"/>
      <w:r w:rsidR="003A6308">
        <w:t>inancial</w:t>
      </w:r>
      <w:proofErr w:type="spellEnd"/>
      <w:r w:rsidR="003A6308">
        <w:t xml:space="preserve"> </w:t>
      </w:r>
      <w:proofErr w:type="spellStart"/>
      <w:r w:rsidR="003A6308">
        <w:t>and</w:t>
      </w:r>
      <w:proofErr w:type="spellEnd"/>
      <w:r w:rsidR="003A6308">
        <w:t xml:space="preserve"> </w:t>
      </w:r>
      <w:proofErr w:type="spellStart"/>
      <w:r w:rsidR="003A6308">
        <w:t>compliance</w:t>
      </w:r>
      <w:proofErr w:type="spellEnd"/>
      <w:r w:rsidR="003A6308">
        <w:t>)</w:t>
      </w:r>
      <w:r w:rsidRPr="001E5747">
        <w:rPr>
          <w:rFonts w:asciiTheme="majorHAnsi" w:hAnsiTheme="majorHAnsi"/>
          <w:sz w:val="21"/>
          <w:szCs w:val="21"/>
          <w:lang w:val="en-GB"/>
        </w:rPr>
        <w:t xml:space="preserve"> audit reports for </w:t>
      </w:r>
      <w:r w:rsidR="00CA0408" w:rsidRPr="001E5747">
        <w:rPr>
          <w:rFonts w:asciiTheme="majorHAnsi" w:hAnsiTheme="majorHAnsi"/>
          <w:sz w:val="21"/>
          <w:szCs w:val="21"/>
          <w:lang w:val="en-GB"/>
        </w:rPr>
        <w:t>20</w:t>
      </w:r>
      <w:r w:rsidR="00CA0408">
        <w:rPr>
          <w:rFonts w:asciiTheme="majorHAnsi" w:hAnsiTheme="majorHAnsi"/>
          <w:sz w:val="21"/>
          <w:szCs w:val="21"/>
          <w:lang w:val="en-GB"/>
        </w:rPr>
        <w:t>2</w:t>
      </w:r>
      <w:r w:rsidR="002D5AB7">
        <w:rPr>
          <w:rFonts w:asciiTheme="majorHAnsi" w:hAnsiTheme="majorHAnsi"/>
          <w:sz w:val="21"/>
          <w:szCs w:val="21"/>
          <w:lang w:val="en-GB"/>
        </w:rPr>
        <w:t>4</w:t>
      </w:r>
      <w:r w:rsidRPr="001E5747">
        <w:rPr>
          <w:rFonts w:asciiTheme="majorHAnsi" w:hAnsiTheme="majorHAnsi"/>
          <w:sz w:val="21"/>
          <w:szCs w:val="21"/>
          <w:lang w:val="en-GB"/>
        </w:rPr>
        <w:t>, published by the NAO;</w:t>
      </w:r>
      <w:r w:rsidR="00A837E7">
        <w:rPr>
          <w:rFonts w:asciiTheme="majorHAnsi" w:hAnsiTheme="majorHAnsi"/>
          <w:sz w:val="21"/>
          <w:szCs w:val="21"/>
          <w:lang w:val="en-GB"/>
        </w:rPr>
        <w:t xml:space="preserve"> and</w:t>
      </w:r>
    </w:p>
    <w:p w14:paraId="7043F823" w14:textId="3D3A3834" w:rsidR="00B739C3" w:rsidRPr="00A56C90" w:rsidRDefault="00B739C3" w:rsidP="002B5337">
      <w:pPr>
        <w:pStyle w:val="ListParagraph"/>
        <w:numPr>
          <w:ilvl w:val="0"/>
          <w:numId w:val="16"/>
        </w:numPr>
        <w:spacing w:before="20" w:after="0" w:line="264" w:lineRule="auto"/>
        <w:jc w:val="both"/>
        <w:rPr>
          <w:rFonts w:asciiTheme="majorHAnsi" w:hAnsiTheme="majorHAnsi"/>
          <w:sz w:val="21"/>
          <w:szCs w:val="21"/>
          <w:lang w:val="en-GB"/>
        </w:rPr>
      </w:pPr>
      <w:r w:rsidRPr="00A56C90">
        <w:rPr>
          <w:rFonts w:asciiTheme="majorHAnsi" w:hAnsiTheme="majorHAnsi"/>
          <w:sz w:val="21"/>
          <w:szCs w:val="21"/>
          <w:lang w:val="en-GB"/>
        </w:rPr>
        <w:t>The grant will be awarded only to those municipalities that have demonstrated that they have sufficient capacity to absorb the additional funds, as indicated by the rate of expenditure of the final budget for capital investment in the individual regularity</w:t>
      </w:r>
      <w:r w:rsidR="002C3A72">
        <w:rPr>
          <w:rFonts w:asciiTheme="majorHAnsi" w:hAnsiTheme="majorHAnsi"/>
          <w:sz w:val="21"/>
          <w:szCs w:val="21"/>
          <w:lang w:val="en-GB"/>
        </w:rPr>
        <w:t xml:space="preserve"> (</w:t>
      </w:r>
      <w:r w:rsidR="002C3A72">
        <w:rPr>
          <w:lang w:val="en-GB"/>
        </w:rPr>
        <w:t>f</w:t>
      </w:r>
      <w:proofErr w:type="spellStart"/>
      <w:r w:rsidR="002C3A72">
        <w:t>inancial</w:t>
      </w:r>
      <w:proofErr w:type="spellEnd"/>
      <w:r w:rsidR="002C3A72">
        <w:t xml:space="preserve"> </w:t>
      </w:r>
      <w:proofErr w:type="spellStart"/>
      <w:r w:rsidR="002C3A72">
        <w:t>and</w:t>
      </w:r>
      <w:proofErr w:type="spellEnd"/>
      <w:r w:rsidR="002C3A72">
        <w:t xml:space="preserve"> </w:t>
      </w:r>
      <w:proofErr w:type="spellStart"/>
      <w:r w:rsidR="002C3A72">
        <w:t>compliance</w:t>
      </w:r>
      <w:proofErr w:type="spellEnd"/>
      <w:r w:rsidR="002C3A72">
        <w:t>)</w:t>
      </w:r>
      <w:r w:rsidRPr="00A56C90">
        <w:rPr>
          <w:rFonts w:asciiTheme="majorHAnsi" w:hAnsiTheme="majorHAnsi"/>
          <w:sz w:val="21"/>
          <w:szCs w:val="21"/>
          <w:lang w:val="en-GB"/>
        </w:rPr>
        <w:t xml:space="preserve"> audit reports for </w:t>
      </w:r>
      <w:r w:rsidR="00CA0408" w:rsidRPr="00A56C90">
        <w:rPr>
          <w:rFonts w:asciiTheme="majorHAnsi" w:hAnsiTheme="majorHAnsi"/>
          <w:sz w:val="21"/>
          <w:szCs w:val="21"/>
          <w:lang w:val="en-GB"/>
        </w:rPr>
        <w:t>202</w:t>
      </w:r>
      <w:r w:rsidR="002D5AB7">
        <w:rPr>
          <w:rFonts w:asciiTheme="majorHAnsi" w:hAnsiTheme="majorHAnsi"/>
          <w:sz w:val="21"/>
          <w:szCs w:val="21"/>
          <w:lang w:val="en-GB"/>
        </w:rPr>
        <w:t>4</w:t>
      </w:r>
      <w:r w:rsidRPr="00A56C90">
        <w:rPr>
          <w:rFonts w:asciiTheme="majorHAnsi" w:hAnsiTheme="majorHAnsi"/>
          <w:sz w:val="21"/>
          <w:szCs w:val="21"/>
          <w:lang w:val="en-GB"/>
        </w:rPr>
        <w:t>, published by NAO</w:t>
      </w:r>
      <w:r w:rsidR="002B5337" w:rsidRPr="00A56C90">
        <w:rPr>
          <w:rFonts w:asciiTheme="majorHAnsi" w:hAnsiTheme="majorHAnsi"/>
          <w:sz w:val="21"/>
          <w:szCs w:val="21"/>
          <w:lang w:val="en-GB"/>
        </w:rPr>
        <w:t>.</w:t>
      </w:r>
    </w:p>
    <w:p w14:paraId="7A935544" w14:textId="77777777" w:rsidR="00B739C3" w:rsidRPr="001E5747" w:rsidRDefault="00B739C3" w:rsidP="00B739C3">
      <w:pPr>
        <w:pStyle w:val="ListParagraph"/>
        <w:spacing w:before="20" w:after="0" w:line="264" w:lineRule="auto"/>
        <w:ind w:left="1077"/>
        <w:jc w:val="both"/>
        <w:rPr>
          <w:rFonts w:asciiTheme="majorHAnsi" w:hAnsiTheme="majorHAnsi"/>
          <w:sz w:val="21"/>
          <w:szCs w:val="21"/>
          <w:lang w:val="en-GB"/>
        </w:rPr>
      </w:pPr>
    </w:p>
    <w:p w14:paraId="013B09F8" w14:textId="31E5785D" w:rsidR="00B739C3"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All </w:t>
      </w:r>
      <w:r w:rsidR="00603525">
        <w:rPr>
          <w:rFonts w:asciiTheme="majorHAnsi" w:hAnsiTheme="majorHAnsi"/>
          <w:sz w:val="21"/>
          <w:szCs w:val="21"/>
          <w:lang w:val="en-GB"/>
        </w:rPr>
        <w:t>four</w:t>
      </w:r>
      <w:r w:rsidRPr="001E5747">
        <w:rPr>
          <w:rFonts w:asciiTheme="majorHAnsi" w:hAnsiTheme="majorHAnsi"/>
          <w:sz w:val="21"/>
          <w:szCs w:val="21"/>
          <w:lang w:val="en-GB"/>
        </w:rPr>
        <w:t xml:space="preserve"> minimum </w:t>
      </w:r>
      <w:r w:rsidR="002B5337">
        <w:rPr>
          <w:rFonts w:asciiTheme="majorHAnsi" w:hAnsiTheme="majorHAnsi"/>
          <w:sz w:val="21"/>
          <w:szCs w:val="21"/>
          <w:lang w:val="en-GB"/>
        </w:rPr>
        <w:t>conditions</w:t>
      </w:r>
      <w:r w:rsidRPr="001E5747">
        <w:rPr>
          <w:rFonts w:asciiTheme="majorHAnsi" w:hAnsiTheme="majorHAnsi"/>
          <w:sz w:val="21"/>
          <w:szCs w:val="21"/>
          <w:lang w:val="en-GB"/>
        </w:rPr>
        <w:t xml:space="preserve"> must be met </w:t>
      </w:r>
      <w:r w:rsidR="00CA0408">
        <w:rPr>
          <w:rFonts w:asciiTheme="majorHAnsi" w:hAnsiTheme="majorHAnsi"/>
          <w:sz w:val="21"/>
          <w:szCs w:val="21"/>
          <w:lang w:val="en-GB"/>
        </w:rPr>
        <w:t>for</w:t>
      </w:r>
      <w:r w:rsidR="00CA0408" w:rsidRPr="001E5747">
        <w:rPr>
          <w:rFonts w:asciiTheme="majorHAnsi" w:hAnsiTheme="majorHAnsi"/>
          <w:sz w:val="21"/>
          <w:szCs w:val="21"/>
          <w:lang w:val="en-GB"/>
        </w:rPr>
        <w:t xml:space="preserve"> </w:t>
      </w:r>
      <w:r w:rsidRPr="001E5747">
        <w:rPr>
          <w:rFonts w:asciiTheme="majorHAnsi" w:hAnsiTheme="majorHAnsi"/>
          <w:sz w:val="21"/>
          <w:szCs w:val="21"/>
          <w:lang w:val="en-GB"/>
        </w:rPr>
        <w:t>the municipality</w:t>
      </w:r>
      <w:r w:rsidR="00CA0408">
        <w:rPr>
          <w:rFonts w:asciiTheme="majorHAnsi" w:hAnsiTheme="majorHAnsi"/>
          <w:sz w:val="21"/>
          <w:szCs w:val="21"/>
          <w:lang w:val="en-GB"/>
        </w:rPr>
        <w:t xml:space="preserve"> to</w:t>
      </w:r>
      <w:r w:rsidRPr="001E5747">
        <w:rPr>
          <w:rFonts w:asciiTheme="majorHAnsi" w:hAnsiTheme="majorHAnsi"/>
          <w:sz w:val="21"/>
          <w:szCs w:val="21"/>
          <w:lang w:val="en-GB"/>
        </w:rPr>
        <w:t xml:space="preserve"> </w:t>
      </w:r>
      <w:r w:rsidR="00CA0408" w:rsidRPr="001E5747">
        <w:rPr>
          <w:rFonts w:asciiTheme="majorHAnsi" w:hAnsiTheme="majorHAnsi"/>
          <w:sz w:val="21"/>
          <w:szCs w:val="21"/>
          <w:lang w:val="en-GB"/>
        </w:rPr>
        <w:t>qualif</w:t>
      </w:r>
      <w:r w:rsidR="00CA0408">
        <w:rPr>
          <w:rFonts w:asciiTheme="majorHAnsi" w:hAnsiTheme="majorHAnsi"/>
          <w:sz w:val="21"/>
          <w:szCs w:val="21"/>
          <w:lang w:val="en-GB"/>
        </w:rPr>
        <w:t xml:space="preserve">y </w:t>
      </w:r>
      <w:r w:rsidRPr="001E5747">
        <w:rPr>
          <w:rFonts w:asciiTheme="majorHAnsi" w:hAnsiTheme="majorHAnsi"/>
          <w:sz w:val="21"/>
          <w:szCs w:val="21"/>
          <w:lang w:val="en-GB"/>
        </w:rPr>
        <w:t>for the Municipal Performance Grant. Annex 3 provides the template to communicate to each municipality the results of the minimum condition assessment.</w:t>
      </w:r>
    </w:p>
    <w:p w14:paraId="50FA10BC" w14:textId="58E0F9B5" w:rsidR="006E2A74" w:rsidRPr="001E5747" w:rsidRDefault="006E2A74" w:rsidP="00B739C3">
      <w:pPr>
        <w:spacing w:before="60" w:line="264" w:lineRule="auto"/>
        <w:jc w:val="both"/>
        <w:rPr>
          <w:rFonts w:asciiTheme="majorHAnsi" w:hAnsiTheme="majorHAnsi"/>
          <w:sz w:val="21"/>
          <w:szCs w:val="21"/>
          <w:lang w:val="en-GB"/>
        </w:rPr>
      </w:pPr>
      <w:r>
        <w:rPr>
          <w:rFonts w:asciiTheme="majorHAnsi" w:hAnsiTheme="majorHAnsi"/>
          <w:sz w:val="21"/>
          <w:szCs w:val="21"/>
          <w:lang w:val="en-GB"/>
        </w:rPr>
        <w:t>The source</w:t>
      </w:r>
      <w:r w:rsidR="00B95782">
        <w:rPr>
          <w:rFonts w:asciiTheme="majorHAnsi" w:hAnsiTheme="majorHAnsi"/>
          <w:sz w:val="21"/>
          <w:szCs w:val="21"/>
          <w:lang w:val="en-GB"/>
        </w:rPr>
        <w:t>s</w:t>
      </w:r>
      <w:r>
        <w:rPr>
          <w:rFonts w:asciiTheme="majorHAnsi" w:hAnsiTheme="majorHAnsi"/>
          <w:sz w:val="21"/>
          <w:szCs w:val="21"/>
          <w:lang w:val="en-GB"/>
        </w:rPr>
        <w:t xml:space="preserve"> of data for all four minimum conditions are set in annex 1 of these rules.</w:t>
      </w:r>
    </w:p>
    <w:p w14:paraId="2460EB7E" w14:textId="77777777" w:rsidR="00B739C3" w:rsidRPr="001E5747" w:rsidRDefault="00B739C3" w:rsidP="00B739C3">
      <w:pPr>
        <w:spacing w:before="60" w:line="264" w:lineRule="auto"/>
        <w:jc w:val="both"/>
        <w:rPr>
          <w:rFonts w:asciiTheme="majorHAnsi" w:hAnsiTheme="majorHAnsi"/>
          <w:sz w:val="21"/>
          <w:szCs w:val="21"/>
          <w:lang w:val="en-GB"/>
        </w:rPr>
      </w:pPr>
    </w:p>
    <w:p w14:paraId="353714FE" w14:textId="77777777" w:rsidR="00B739C3" w:rsidRPr="001E5747" w:rsidRDefault="00B739C3" w:rsidP="00B739C3">
      <w:pPr>
        <w:pStyle w:val="Heading1"/>
        <w:numPr>
          <w:ilvl w:val="1"/>
          <w:numId w:val="43"/>
        </w:numPr>
        <w:tabs>
          <w:tab w:val="left" w:pos="540"/>
        </w:tabs>
        <w:ind w:hanging="1800"/>
        <w:rPr>
          <w:rFonts w:asciiTheme="majorHAnsi" w:hAnsiTheme="majorHAnsi"/>
          <w:color w:val="C0504D"/>
          <w:szCs w:val="28"/>
          <w:lang w:val="en-GB"/>
        </w:rPr>
      </w:pPr>
      <w:bookmarkStart w:id="51" w:name="_Toc214024547"/>
      <w:bookmarkStart w:id="52" w:name="_Toc61062522"/>
      <w:r w:rsidRPr="001E5747">
        <w:rPr>
          <w:rFonts w:asciiTheme="majorHAnsi" w:hAnsiTheme="majorHAnsi"/>
          <w:color w:val="C0504D"/>
          <w:szCs w:val="28"/>
          <w:lang w:val="en-GB"/>
        </w:rPr>
        <w:t>Municipal performance indicators</w:t>
      </w:r>
      <w:bookmarkEnd w:id="51"/>
      <w:r w:rsidRPr="001E5747">
        <w:rPr>
          <w:rFonts w:asciiTheme="majorHAnsi" w:hAnsiTheme="majorHAnsi"/>
          <w:color w:val="C0504D"/>
          <w:szCs w:val="28"/>
          <w:lang w:val="en-GB"/>
        </w:rPr>
        <w:t xml:space="preserve"> </w:t>
      </w:r>
      <w:bookmarkEnd w:id="52"/>
    </w:p>
    <w:p w14:paraId="1D2D3469" w14:textId="4D5777D5"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The main source of data for the MPG</w:t>
      </w:r>
      <w:r w:rsidR="006E2A74">
        <w:rPr>
          <w:rFonts w:asciiTheme="majorHAnsi" w:hAnsiTheme="majorHAnsi"/>
          <w:sz w:val="21"/>
          <w:szCs w:val="21"/>
          <w:lang w:val="en-GB"/>
        </w:rPr>
        <w:t xml:space="preserve"> indicators</w:t>
      </w:r>
      <w:r w:rsidRPr="001E5747">
        <w:rPr>
          <w:rFonts w:asciiTheme="majorHAnsi" w:hAnsiTheme="majorHAnsi"/>
          <w:sz w:val="21"/>
          <w:szCs w:val="21"/>
          <w:lang w:val="en-GB"/>
        </w:rPr>
        <w:t xml:space="preserve"> is the MLG</w:t>
      </w:r>
      <w:r w:rsidR="002B5337">
        <w:rPr>
          <w:rFonts w:asciiTheme="majorHAnsi" w:hAnsiTheme="majorHAnsi"/>
          <w:sz w:val="21"/>
          <w:szCs w:val="21"/>
          <w:lang w:val="en-GB"/>
        </w:rPr>
        <w:t>A</w:t>
      </w:r>
      <w:r w:rsidRPr="001E5747">
        <w:rPr>
          <w:rFonts w:asciiTheme="majorHAnsi" w:hAnsiTheme="majorHAnsi"/>
          <w:sz w:val="21"/>
          <w:szCs w:val="21"/>
          <w:lang w:val="en-GB"/>
        </w:rPr>
        <w:t xml:space="preserve"> Municipal Performance Management System (M</w:t>
      </w:r>
      <w:r w:rsidR="002B5337">
        <w:rPr>
          <w:rFonts w:asciiTheme="majorHAnsi" w:hAnsiTheme="majorHAnsi"/>
          <w:sz w:val="21"/>
          <w:szCs w:val="21"/>
          <w:lang w:val="en-GB"/>
        </w:rPr>
        <w:t>PMS</w:t>
      </w:r>
      <w:r w:rsidRPr="001E5747">
        <w:rPr>
          <w:rFonts w:asciiTheme="majorHAnsi" w:hAnsiTheme="majorHAnsi"/>
          <w:sz w:val="21"/>
          <w:szCs w:val="21"/>
          <w:lang w:val="en-GB"/>
        </w:rPr>
        <w:t>).</w:t>
      </w:r>
      <w:r w:rsidR="009A4059" w:rsidRPr="001E5747" w:rsidDel="009A4059">
        <w:rPr>
          <w:rFonts w:asciiTheme="majorHAnsi" w:hAnsiTheme="majorHAnsi"/>
          <w:sz w:val="21"/>
          <w:szCs w:val="21"/>
          <w:lang w:val="en-GB"/>
        </w:rPr>
        <w:t xml:space="preserve"> </w:t>
      </w:r>
    </w:p>
    <w:p w14:paraId="6A405557" w14:textId="7F414AC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As seen in Table 2 below, a total of </w:t>
      </w:r>
      <w:r w:rsidR="00E46572">
        <w:rPr>
          <w:rFonts w:asciiTheme="majorHAnsi" w:hAnsiTheme="majorHAnsi"/>
          <w:sz w:val="21"/>
          <w:szCs w:val="21"/>
          <w:lang w:val="en-GB"/>
        </w:rPr>
        <w:t xml:space="preserve">29 </w:t>
      </w:r>
      <w:r w:rsidRPr="001E5747">
        <w:rPr>
          <w:rFonts w:asciiTheme="majorHAnsi" w:hAnsiTheme="majorHAnsi"/>
          <w:sz w:val="21"/>
          <w:szCs w:val="21"/>
          <w:lang w:val="en-GB"/>
        </w:rPr>
        <w:t>municipal performance indicators were identified (</w:t>
      </w:r>
      <w:r w:rsidR="007A3400">
        <w:rPr>
          <w:rFonts w:asciiTheme="majorHAnsi" w:hAnsiTheme="majorHAnsi"/>
          <w:sz w:val="21"/>
          <w:szCs w:val="21"/>
          <w:lang w:val="en-GB"/>
        </w:rPr>
        <w:t>1 partly frozen</w:t>
      </w:r>
      <w:r w:rsidRPr="001E5747">
        <w:rPr>
          <w:rFonts w:asciiTheme="majorHAnsi" w:hAnsiTheme="majorHAnsi"/>
          <w:sz w:val="21"/>
          <w:szCs w:val="21"/>
          <w:lang w:val="en-GB"/>
        </w:rPr>
        <w:t xml:space="preserve">) within the three main topics and ten sub-topics (see Table 1 above). </w:t>
      </w:r>
      <w:r w:rsidR="005C2523" w:rsidRPr="000C3EC3">
        <w:rPr>
          <w:rFonts w:asciiTheme="majorHAnsi" w:hAnsiTheme="majorHAnsi"/>
          <w:b/>
          <w:bCs/>
          <w:sz w:val="21"/>
          <w:szCs w:val="21"/>
          <w:lang w:val="en-GB"/>
        </w:rPr>
        <w:t xml:space="preserve">It is important to mention that </w:t>
      </w:r>
      <w:r w:rsidR="002C3A72" w:rsidRPr="000C3EC3">
        <w:rPr>
          <w:rFonts w:asciiTheme="majorHAnsi" w:hAnsiTheme="majorHAnsi"/>
          <w:b/>
          <w:bCs/>
          <w:sz w:val="21"/>
          <w:szCs w:val="21"/>
          <w:lang w:val="en-GB"/>
        </w:rPr>
        <w:t>2</w:t>
      </w:r>
      <w:r w:rsidR="00E46572">
        <w:rPr>
          <w:rFonts w:asciiTheme="majorHAnsi" w:hAnsiTheme="majorHAnsi"/>
          <w:b/>
          <w:bCs/>
          <w:sz w:val="21"/>
          <w:szCs w:val="21"/>
          <w:lang w:val="en-GB"/>
        </w:rPr>
        <w:t>9</w:t>
      </w:r>
      <w:r w:rsidR="002C3A72" w:rsidRPr="000C3EC3">
        <w:rPr>
          <w:rFonts w:asciiTheme="majorHAnsi" w:hAnsiTheme="majorHAnsi"/>
          <w:b/>
          <w:bCs/>
          <w:sz w:val="21"/>
          <w:szCs w:val="21"/>
          <w:lang w:val="en-GB"/>
        </w:rPr>
        <w:t xml:space="preserve"> </w:t>
      </w:r>
      <w:r w:rsidR="005C2523" w:rsidRPr="000C3EC3">
        <w:rPr>
          <w:rFonts w:asciiTheme="majorHAnsi" w:hAnsiTheme="majorHAnsi"/>
          <w:b/>
          <w:bCs/>
          <w:sz w:val="21"/>
          <w:szCs w:val="21"/>
          <w:lang w:val="en-GB"/>
        </w:rPr>
        <w:t xml:space="preserve">indicators will be evaluated to determine the grant awarded in the FY </w:t>
      </w:r>
      <w:r w:rsidR="00B95782" w:rsidRPr="000C3EC3">
        <w:rPr>
          <w:rFonts w:asciiTheme="majorHAnsi" w:hAnsiTheme="majorHAnsi"/>
          <w:b/>
          <w:bCs/>
          <w:sz w:val="21"/>
          <w:szCs w:val="21"/>
          <w:lang w:val="en-GB"/>
        </w:rPr>
        <w:t>202</w:t>
      </w:r>
      <w:r w:rsidR="00E46572">
        <w:rPr>
          <w:rFonts w:asciiTheme="majorHAnsi" w:hAnsiTheme="majorHAnsi"/>
          <w:b/>
          <w:bCs/>
          <w:sz w:val="21"/>
          <w:szCs w:val="21"/>
          <w:lang w:val="en-GB"/>
        </w:rPr>
        <w:t>6</w:t>
      </w:r>
      <w:r w:rsidR="005C2523" w:rsidRPr="000C3EC3">
        <w:rPr>
          <w:rFonts w:asciiTheme="majorHAnsi" w:hAnsiTheme="majorHAnsi"/>
          <w:b/>
          <w:bCs/>
          <w:sz w:val="21"/>
          <w:szCs w:val="21"/>
          <w:lang w:val="en-GB"/>
        </w:rPr>
        <w:t xml:space="preserve">, for which the assessment is based on the performance of </w:t>
      </w:r>
      <w:r w:rsidR="00361E4C" w:rsidRPr="000C3EC3">
        <w:rPr>
          <w:rFonts w:asciiTheme="majorHAnsi" w:hAnsiTheme="majorHAnsi"/>
          <w:b/>
          <w:bCs/>
          <w:sz w:val="21"/>
          <w:szCs w:val="21"/>
          <w:lang w:val="en-GB"/>
        </w:rPr>
        <w:t>202</w:t>
      </w:r>
      <w:r w:rsidR="00E46572">
        <w:rPr>
          <w:rFonts w:asciiTheme="majorHAnsi" w:hAnsiTheme="majorHAnsi"/>
          <w:b/>
          <w:bCs/>
          <w:sz w:val="21"/>
          <w:szCs w:val="21"/>
          <w:lang w:val="en-GB"/>
        </w:rPr>
        <w:t>4</w:t>
      </w:r>
      <w:r w:rsidR="005C2523" w:rsidRPr="000C3EC3">
        <w:rPr>
          <w:rFonts w:asciiTheme="majorHAnsi" w:hAnsiTheme="majorHAnsi"/>
          <w:b/>
          <w:bCs/>
          <w:sz w:val="21"/>
          <w:szCs w:val="21"/>
          <w:lang w:val="en-GB"/>
        </w:rPr>
        <w:t xml:space="preserve">. The maximum number of points for the </w:t>
      </w:r>
      <w:r w:rsidR="007F63B1">
        <w:rPr>
          <w:rFonts w:asciiTheme="majorHAnsi" w:hAnsiTheme="majorHAnsi"/>
          <w:b/>
          <w:bCs/>
          <w:sz w:val="21"/>
          <w:szCs w:val="21"/>
          <w:lang w:val="en-GB"/>
        </w:rPr>
        <w:t>2</w:t>
      </w:r>
      <w:r w:rsidR="00E46572">
        <w:rPr>
          <w:rFonts w:asciiTheme="majorHAnsi" w:hAnsiTheme="majorHAnsi"/>
          <w:b/>
          <w:bCs/>
          <w:sz w:val="21"/>
          <w:szCs w:val="21"/>
          <w:lang w:val="en-GB"/>
        </w:rPr>
        <w:t>9</w:t>
      </w:r>
      <w:r w:rsidR="005C2523" w:rsidRPr="000C3EC3">
        <w:rPr>
          <w:rFonts w:asciiTheme="majorHAnsi" w:hAnsiTheme="majorHAnsi"/>
          <w:b/>
          <w:bCs/>
          <w:sz w:val="21"/>
          <w:szCs w:val="21"/>
          <w:lang w:val="en-GB"/>
        </w:rPr>
        <w:t xml:space="preserve"> indicators to be evaluated is </w:t>
      </w:r>
      <w:r w:rsidR="001538C6">
        <w:rPr>
          <w:rFonts w:asciiTheme="majorHAnsi" w:hAnsiTheme="majorHAnsi"/>
          <w:b/>
          <w:bCs/>
          <w:sz w:val="21"/>
          <w:szCs w:val="21"/>
          <w:lang w:val="en-GB"/>
        </w:rPr>
        <w:t>9</w:t>
      </w:r>
      <w:r w:rsidR="00E46572">
        <w:rPr>
          <w:rFonts w:asciiTheme="majorHAnsi" w:hAnsiTheme="majorHAnsi"/>
          <w:b/>
          <w:bCs/>
          <w:sz w:val="21"/>
          <w:szCs w:val="21"/>
          <w:lang w:val="en-GB"/>
        </w:rPr>
        <w:t>8</w:t>
      </w:r>
      <w:r w:rsidR="00F03EE3" w:rsidRPr="000C3EC3">
        <w:rPr>
          <w:rFonts w:asciiTheme="majorHAnsi" w:hAnsiTheme="majorHAnsi"/>
          <w:b/>
          <w:bCs/>
          <w:sz w:val="21"/>
          <w:szCs w:val="21"/>
          <w:lang w:val="en-GB"/>
        </w:rPr>
        <w:t xml:space="preserve"> </w:t>
      </w:r>
      <w:r w:rsidR="005C2523" w:rsidRPr="000C3EC3">
        <w:rPr>
          <w:rFonts w:asciiTheme="majorHAnsi" w:hAnsiTheme="majorHAnsi"/>
          <w:b/>
          <w:bCs/>
          <w:sz w:val="21"/>
          <w:szCs w:val="21"/>
          <w:lang w:val="en-GB"/>
        </w:rPr>
        <w:t>points.</w:t>
      </w:r>
    </w:p>
    <w:p w14:paraId="4116E976" w14:textId="297175DE" w:rsidR="00B739C3" w:rsidRPr="001E5747" w:rsidRDefault="00B739C3" w:rsidP="00B739C3">
      <w:pPr>
        <w:spacing w:before="60" w:line="264" w:lineRule="auto"/>
        <w:ind w:left="709"/>
        <w:jc w:val="both"/>
        <w:rPr>
          <w:rFonts w:ascii="Arial" w:hAnsi="Arial"/>
          <w:b/>
          <w:sz w:val="20"/>
          <w:szCs w:val="20"/>
          <w:lang w:val="en-GB"/>
        </w:rPr>
      </w:pPr>
      <w:r w:rsidRPr="001E5747">
        <w:rPr>
          <w:rFonts w:asciiTheme="majorHAnsi" w:hAnsiTheme="majorHAnsi"/>
          <w:sz w:val="21"/>
          <w:szCs w:val="21"/>
          <w:lang w:val="en-GB"/>
        </w:rPr>
        <w:t xml:space="preserve"> </w:t>
      </w:r>
      <w:r w:rsidRPr="001E5747">
        <w:rPr>
          <w:rFonts w:ascii="Arial" w:hAnsi="Arial"/>
          <w:b/>
          <w:sz w:val="20"/>
          <w:szCs w:val="20"/>
          <w:lang w:val="en-GB"/>
        </w:rPr>
        <w:t>Table 2: Summary of municipal performance grant topics</w:t>
      </w:r>
      <w:r w:rsidR="00CE5562">
        <w:rPr>
          <w:rFonts w:ascii="Arial" w:hAnsi="Arial"/>
          <w:b/>
          <w:sz w:val="20"/>
          <w:szCs w:val="20"/>
          <w:lang w:val="en-GB"/>
        </w:rPr>
        <w:t xml:space="preserve"> for the performance assessment </w:t>
      </w:r>
      <w:r w:rsidR="00103534">
        <w:rPr>
          <w:rFonts w:ascii="Arial" w:hAnsi="Arial"/>
          <w:b/>
          <w:sz w:val="20"/>
          <w:szCs w:val="20"/>
          <w:lang w:val="en-GB"/>
        </w:rPr>
        <w:t>202</w:t>
      </w:r>
      <w:r w:rsidR="00E46572">
        <w:rPr>
          <w:rFonts w:ascii="Arial" w:hAnsi="Arial"/>
          <w:b/>
          <w:sz w:val="20"/>
          <w:szCs w:val="20"/>
          <w:lang w:val="en-GB"/>
        </w:rPr>
        <w:t>4</w:t>
      </w:r>
      <w:r w:rsidR="005E0672">
        <w:rPr>
          <w:rStyle w:val="FootnoteReference"/>
          <w:rFonts w:ascii="Arial" w:hAnsi="Arial"/>
          <w:b/>
          <w:sz w:val="20"/>
          <w:szCs w:val="20"/>
          <w:lang w:val="en-GB"/>
        </w:rPr>
        <w:footnoteReference w:id="7"/>
      </w:r>
    </w:p>
    <w:tbl>
      <w:tblPr>
        <w:tblW w:w="9697" w:type="dxa"/>
        <w:tblLook w:val="04A0" w:firstRow="1" w:lastRow="0" w:firstColumn="1" w:lastColumn="0" w:noHBand="0" w:noVBand="1"/>
      </w:tblPr>
      <w:tblGrid>
        <w:gridCol w:w="542"/>
        <w:gridCol w:w="5388"/>
        <w:gridCol w:w="1440"/>
        <w:gridCol w:w="2327"/>
      </w:tblGrid>
      <w:tr w:rsidR="00E46572" w:rsidRPr="001C44F9" w14:paraId="2ACCE0CB" w14:textId="0FCBCC2C" w:rsidTr="00E46572">
        <w:trPr>
          <w:trHeight w:val="440"/>
        </w:trPr>
        <w:tc>
          <w:tcPr>
            <w:tcW w:w="542" w:type="dxa"/>
            <w:tcBorders>
              <w:top w:val="single" w:sz="4" w:space="0" w:color="auto"/>
              <w:left w:val="single" w:sz="8" w:space="0" w:color="auto"/>
              <w:bottom w:val="single" w:sz="4" w:space="0" w:color="auto"/>
              <w:right w:val="single" w:sz="4" w:space="0" w:color="auto"/>
            </w:tcBorders>
            <w:shd w:val="clear" w:color="auto" w:fill="3071C3" w:themeFill="text2" w:themeFillTint="BF"/>
            <w:vAlign w:val="center"/>
            <w:hideMark/>
          </w:tcPr>
          <w:p w14:paraId="38893E57"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w:t>
            </w:r>
          </w:p>
        </w:tc>
        <w:tc>
          <w:tcPr>
            <w:tcW w:w="5388" w:type="dxa"/>
            <w:tcBorders>
              <w:top w:val="single" w:sz="4" w:space="0" w:color="auto"/>
              <w:left w:val="nil"/>
              <w:bottom w:val="single" w:sz="4" w:space="0" w:color="auto"/>
              <w:right w:val="single" w:sz="4" w:space="0" w:color="auto"/>
            </w:tcBorders>
            <w:shd w:val="clear" w:color="auto" w:fill="3071C3" w:themeFill="text2" w:themeFillTint="BF"/>
            <w:vAlign w:val="center"/>
            <w:hideMark/>
          </w:tcPr>
          <w:p w14:paraId="04296C98" w14:textId="77777777" w:rsidR="00E46572" w:rsidRPr="001C44F9" w:rsidRDefault="00E46572" w:rsidP="00023C23">
            <w:pPr>
              <w:rPr>
                <w:rFonts w:asciiTheme="majorHAnsi" w:eastAsia="Times New Roman" w:hAnsiTheme="majorHAnsi" w:cstheme="majorHAnsi"/>
                <w:b/>
                <w:bCs/>
                <w:color w:val="FFFFFF"/>
                <w:sz w:val="21"/>
                <w:szCs w:val="21"/>
              </w:rPr>
            </w:pPr>
            <w:proofErr w:type="spellStart"/>
            <w:r w:rsidRPr="001C44F9">
              <w:rPr>
                <w:rFonts w:asciiTheme="majorHAnsi" w:eastAsia="Times New Roman" w:hAnsiTheme="majorHAnsi" w:cstheme="majorHAnsi"/>
                <w:b/>
                <w:bCs/>
                <w:color w:val="FFFFFF"/>
                <w:sz w:val="21"/>
                <w:szCs w:val="21"/>
              </w:rPr>
              <w:t>Indicator</w:t>
            </w:r>
            <w:proofErr w:type="spellEnd"/>
          </w:p>
        </w:tc>
        <w:tc>
          <w:tcPr>
            <w:tcW w:w="1440" w:type="dxa"/>
            <w:tcBorders>
              <w:top w:val="single" w:sz="4" w:space="0" w:color="auto"/>
              <w:left w:val="nil"/>
              <w:bottom w:val="single" w:sz="4" w:space="0" w:color="auto"/>
              <w:right w:val="single" w:sz="4" w:space="0" w:color="auto"/>
            </w:tcBorders>
            <w:shd w:val="clear" w:color="auto" w:fill="3071C3" w:themeFill="text2" w:themeFillTint="BF"/>
            <w:vAlign w:val="center"/>
            <w:hideMark/>
          </w:tcPr>
          <w:p w14:paraId="4437C6A7" w14:textId="77777777" w:rsidR="00E46572" w:rsidRPr="001C44F9" w:rsidRDefault="00E46572" w:rsidP="00023C23">
            <w:pPr>
              <w:rPr>
                <w:rFonts w:asciiTheme="majorHAnsi" w:eastAsia="Times New Roman" w:hAnsiTheme="majorHAnsi" w:cstheme="majorHAnsi"/>
                <w:b/>
                <w:bCs/>
                <w:color w:val="FFFFFF"/>
                <w:sz w:val="21"/>
                <w:szCs w:val="21"/>
              </w:rPr>
            </w:pPr>
            <w:proofErr w:type="spellStart"/>
            <w:r w:rsidRPr="001C44F9">
              <w:rPr>
                <w:rFonts w:asciiTheme="majorHAnsi" w:eastAsia="Times New Roman" w:hAnsiTheme="majorHAnsi" w:cstheme="majorHAnsi"/>
                <w:b/>
                <w:bCs/>
                <w:color w:val="FFFFFF"/>
                <w:sz w:val="21"/>
                <w:szCs w:val="21"/>
              </w:rPr>
              <w:t>Max</w:t>
            </w:r>
            <w:proofErr w:type="spellEnd"/>
            <w:r w:rsidRPr="001C44F9">
              <w:rPr>
                <w:rFonts w:asciiTheme="majorHAnsi" w:eastAsia="Times New Roman" w:hAnsiTheme="majorHAnsi" w:cstheme="majorHAnsi"/>
                <w:b/>
                <w:bCs/>
                <w:color w:val="FFFFFF"/>
                <w:sz w:val="21"/>
                <w:szCs w:val="21"/>
              </w:rPr>
              <w:t>.</w:t>
            </w:r>
            <w:r w:rsidRPr="001C44F9">
              <w:rPr>
                <w:rFonts w:asciiTheme="majorHAnsi" w:eastAsia="Times New Roman" w:hAnsiTheme="majorHAnsi" w:cstheme="majorHAnsi"/>
                <w:b/>
                <w:bCs/>
                <w:color w:val="FFFFFF"/>
                <w:sz w:val="21"/>
                <w:szCs w:val="21"/>
              </w:rPr>
              <w:br/>
            </w:r>
            <w:proofErr w:type="spellStart"/>
            <w:r w:rsidRPr="001C44F9">
              <w:rPr>
                <w:rFonts w:asciiTheme="majorHAnsi" w:eastAsia="Times New Roman" w:hAnsiTheme="majorHAnsi" w:cstheme="majorHAnsi"/>
                <w:b/>
                <w:bCs/>
                <w:color w:val="FFFFFF"/>
                <w:sz w:val="21"/>
                <w:szCs w:val="21"/>
              </w:rPr>
              <w:t>score</w:t>
            </w:r>
            <w:proofErr w:type="spellEnd"/>
          </w:p>
        </w:tc>
        <w:tc>
          <w:tcPr>
            <w:tcW w:w="2327" w:type="dxa"/>
            <w:tcBorders>
              <w:top w:val="single" w:sz="4" w:space="0" w:color="auto"/>
              <w:left w:val="nil"/>
              <w:bottom w:val="single" w:sz="4" w:space="0" w:color="auto"/>
              <w:right w:val="single" w:sz="4" w:space="0" w:color="auto"/>
            </w:tcBorders>
            <w:shd w:val="clear" w:color="auto" w:fill="3071C3" w:themeFill="text2" w:themeFillTint="BF"/>
          </w:tcPr>
          <w:p w14:paraId="1DFB2552" w14:textId="2F5C8E8B" w:rsidR="00E46572" w:rsidRPr="00E46572" w:rsidRDefault="00E46572" w:rsidP="00E46572">
            <w:pPr>
              <w:rPr>
                <w:rFonts w:asciiTheme="majorHAnsi" w:eastAsia="Times New Roman" w:hAnsiTheme="majorHAnsi" w:cstheme="majorHAnsi"/>
                <w:b/>
                <w:bCs/>
                <w:color w:val="FFFFFF"/>
                <w:sz w:val="21"/>
                <w:szCs w:val="21"/>
                <w:lang w:val="en-US"/>
              </w:rPr>
            </w:pPr>
            <w:r w:rsidRPr="005F27D3">
              <w:rPr>
                <w:rFonts w:eastAsia="Times New Roman" w:cs="Calibri"/>
                <w:color w:val="FFFFFF"/>
                <w:sz w:val="20"/>
                <w:szCs w:val="20"/>
              </w:rPr>
              <w:t>#</w:t>
            </w:r>
            <w:r w:rsidRPr="00E46572">
              <w:rPr>
                <w:rFonts w:asciiTheme="majorHAnsi" w:eastAsia="Times New Roman" w:hAnsiTheme="majorHAnsi" w:cstheme="majorHAnsi"/>
                <w:b/>
                <w:bCs/>
                <w:color w:val="FFFFFF"/>
                <w:sz w:val="21"/>
                <w:szCs w:val="21"/>
                <w:lang w:val="en-US"/>
              </w:rPr>
              <w:t>The number of points that will be evaluated in the GPK 2026.</w:t>
            </w:r>
          </w:p>
          <w:p w14:paraId="186463F1" w14:textId="77777777" w:rsidR="00E46572" w:rsidRPr="001C44F9" w:rsidRDefault="00E46572" w:rsidP="00023C23">
            <w:pPr>
              <w:rPr>
                <w:rFonts w:asciiTheme="majorHAnsi" w:eastAsia="Times New Roman" w:hAnsiTheme="majorHAnsi" w:cstheme="majorHAnsi"/>
                <w:b/>
                <w:bCs/>
                <w:color w:val="FFFFFF"/>
                <w:sz w:val="21"/>
                <w:szCs w:val="21"/>
              </w:rPr>
            </w:pPr>
          </w:p>
        </w:tc>
      </w:tr>
      <w:tr w:rsidR="00E46572" w:rsidRPr="001C44F9" w14:paraId="0B2C7ADE" w14:textId="5E5AD19E" w:rsidTr="00E46572">
        <w:trPr>
          <w:trHeight w:val="144"/>
        </w:trPr>
        <w:tc>
          <w:tcPr>
            <w:tcW w:w="542" w:type="dxa"/>
            <w:tcBorders>
              <w:top w:val="nil"/>
              <w:left w:val="single" w:sz="8" w:space="0" w:color="auto"/>
              <w:bottom w:val="single" w:sz="4" w:space="0" w:color="auto"/>
              <w:right w:val="single" w:sz="4" w:space="0" w:color="auto"/>
            </w:tcBorders>
            <w:shd w:val="clear" w:color="auto" w:fill="3071C3" w:themeFill="text2" w:themeFillTint="BF"/>
            <w:vAlign w:val="center"/>
            <w:hideMark/>
          </w:tcPr>
          <w:p w14:paraId="10D88359"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1</w:t>
            </w:r>
          </w:p>
        </w:tc>
        <w:tc>
          <w:tcPr>
            <w:tcW w:w="5388" w:type="dxa"/>
            <w:tcBorders>
              <w:top w:val="single" w:sz="4" w:space="0" w:color="auto"/>
              <w:left w:val="nil"/>
              <w:bottom w:val="single" w:sz="4" w:space="0" w:color="auto"/>
              <w:right w:val="single" w:sz="4" w:space="0" w:color="auto"/>
            </w:tcBorders>
            <w:shd w:val="clear" w:color="auto" w:fill="3071C3" w:themeFill="text2" w:themeFillTint="BF"/>
            <w:vAlign w:val="center"/>
            <w:hideMark/>
          </w:tcPr>
          <w:p w14:paraId="5D339844" w14:textId="77777777" w:rsidR="00E46572" w:rsidRPr="001C44F9" w:rsidRDefault="00E46572" w:rsidP="00023C23">
            <w:pPr>
              <w:rPr>
                <w:rFonts w:asciiTheme="majorHAnsi" w:eastAsia="Times New Roman" w:hAnsiTheme="majorHAnsi" w:cstheme="majorHAnsi"/>
                <w:b/>
                <w:bCs/>
                <w:color w:val="FFFFFF"/>
                <w:sz w:val="21"/>
                <w:szCs w:val="21"/>
              </w:rPr>
            </w:pPr>
            <w:proofErr w:type="spellStart"/>
            <w:r w:rsidRPr="001C44F9">
              <w:rPr>
                <w:rFonts w:asciiTheme="majorHAnsi" w:eastAsia="Times New Roman" w:hAnsiTheme="majorHAnsi" w:cstheme="majorHAnsi"/>
                <w:b/>
                <w:bCs/>
                <w:color w:val="FFFFFF"/>
                <w:sz w:val="21"/>
                <w:szCs w:val="21"/>
              </w:rPr>
              <w:t>Democratic</w:t>
            </w:r>
            <w:proofErr w:type="spellEnd"/>
            <w:r w:rsidRPr="001C44F9">
              <w:rPr>
                <w:rFonts w:asciiTheme="majorHAnsi" w:eastAsia="Times New Roman" w:hAnsiTheme="majorHAnsi" w:cstheme="majorHAnsi"/>
                <w:b/>
                <w:bCs/>
                <w:color w:val="FFFFFF"/>
                <w:sz w:val="21"/>
                <w:szCs w:val="21"/>
              </w:rPr>
              <w:t xml:space="preserve"> </w:t>
            </w:r>
            <w:proofErr w:type="spellStart"/>
            <w:r w:rsidRPr="001C44F9">
              <w:rPr>
                <w:rFonts w:asciiTheme="majorHAnsi" w:eastAsia="Times New Roman" w:hAnsiTheme="majorHAnsi" w:cstheme="majorHAnsi"/>
                <w:b/>
                <w:bCs/>
                <w:color w:val="FFFFFF"/>
                <w:sz w:val="21"/>
                <w:szCs w:val="21"/>
              </w:rPr>
              <w:t>Governance</w:t>
            </w:r>
            <w:proofErr w:type="spellEnd"/>
          </w:p>
        </w:tc>
        <w:tc>
          <w:tcPr>
            <w:tcW w:w="1440" w:type="dxa"/>
            <w:tcBorders>
              <w:top w:val="nil"/>
              <w:left w:val="nil"/>
              <w:bottom w:val="single" w:sz="4" w:space="0" w:color="auto"/>
              <w:right w:val="single" w:sz="4" w:space="0" w:color="auto"/>
            </w:tcBorders>
            <w:shd w:val="clear" w:color="auto" w:fill="3071C3" w:themeFill="text2" w:themeFillTint="BF"/>
            <w:vAlign w:val="center"/>
            <w:hideMark/>
          </w:tcPr>
          <w:p w14:paraId="1F65459E"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40</w:t>
            </w:r>
          </w:p>
        </w:tc>
        <w:tc>
          <w:tcPr>
            <w:tcW w:w="2327" w:type="dxa"/>
            <w:tcBorders>
              <w:top w:val="nil"/>
              <w:left w:val="nil"/>
              <w:bottom w:val="single" w:sz="4" w:space="0" w:color="auto"/>
              <w:right w:val="single" w:sz="4" w:space="0" w:color="auto"/>
            </w:tcBorders>
            <w:shd w:val="clear" w:color="auto" w:fill="3071C3" w:themeFill="text2" w:themeFillTint="BF"/>
          </w:tcPr>
          <w:p w14:paraId="5D2875A9" w14:textId="6A3E84D9" w:rsidR="00E46572" w:rsidRPr="001C44F9" w:rsidRDefault="00E46572" w:rsidP="00023C23">
            <w:pPr>
              <w:rPr>
                <w:rFonts w:asciiTheme="majorHAnsi" w:eastAsia="Times New Roman" w:hAnsiTheme="majorHAnsi" w:cstheme="majorHAnsi"/>
                <w:b/>
                <w:bCs/>
                <w:color w:val="FFFFFF"/>
                <w:sz w:val="21"/>
                <w:szCs w:val="21"/>
              </w:rPr>
            </w:pPr>
            <w:r>
              <w:rPr>
                <w:rFonts w:asciiTheme="majorHAnsi" w:eastAsia="Times New Roman" w:hAnsiTheme="majorHAnsi" w:cstheme="majorHAnsi"/>
                <w:b/>
                <w:bCs/>
                <w:color w:val="FFFFFF"/>
                <w:sz w:val="21"/>
                <w:szCs w:val="21"/>
              </w:rPr>
              <w:t>40</w:t>
            </w:r>
          </w:p>
        </w:tc>
      </w:tr>
      <w:tr w:rsidR="00E46572" w:rsidRPr="001C44F9" w14:paraId="68D35ADA" w14:textId="7436B75F" w:rsidTr="00E46572">
        <w:trPr>
          <w:trHeight w:val="144"/>
        </w:trPr>
        <w:tc>
          <w:tcPr>
            <w:tcW w:w="542" w:type="dxa"/>
            <w:tcBorders>
              <w:top w:val="nil"/>
              <w:left w:val="single" w:sz="8" w:space="0" w:color="auto"/>
              <w:bottom w:val="single" w:sz="4" w:space="0" w:color="auto"/>
              <w:right w:val="single" w:sz="4" w:space="0" w:color="auto"/>
            </w:tcBorders>
            <w:shd w:val="clear" w:color="auto" w:fill="709FDB" w:themeFill="text2" w:themeFillTint="80"/>
            <w:vAlign w:val="center"/>
            <w:hideMark/>
          </w:tcPr>
          <w:p w14:paraId="44726087"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I</w:t>
            </w:r>
          </w:p>
        </w:tc>
        <w:tc>
          <w:tcPr>
            <w:tcW w:w="5388" w:type="dxa"/>
            <w:tcBorders>
              <w:top w:val="single" w:sz="4" w:space="0" w:color="auto"/>
              <w:left w:val="nil"/>
              <w:bottom w:val="single" w:sz="4" w:space="0" w:color="auto"/>
              <w:right w:val="single" w:sz="4" w:space="0" w:color="auto"/>
            </w:tcBorders>
            <w:shd w:val="clear" w:color="auto" w:fill="709FDB" w:themeFill="text2" w:themeFillTint="80"/>
            <w:vAlign w:val="center"/>
          </w:tcPr>
          <w:p w14:paraId="72EDF8A0"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 xml:space="preserve">Role </w:t>
            </w:r>
            <w:proofErr w:type="spellStart"/>
            <w:r w:rsidRPr="001C44F9">
              <w:rPr>
                <w:rFonts w:asciiTheme="majorHAnsi" w:eastAsia="Times New Roman" w:hAnsiTheme="majorHAnsi" w:cstheme="majorHAnsi"/>
                <w:b/>
                <w:bCs/>
                <w:color w:val="FFFFFF"/>
                <w:sz w:val="21"/>
                <w:szCs w:val="21"/>
              </w:rPr>
              <w:t>of</w:t>
            </w:r>
            <w:proofErr w:type="spellEnd"/>
            <w:r w:rsidRPr="001C44F9">
              <w:rPr>
                <w:rFonts w:asciiTheme="majorHAnsi" w:eastAsia="Times New Roman" w:hAnsiTheme="majorHAnsi" w:cstheme="majorHAnsi"/>
                <w:b/>
                <w:bCs/>
                <w:color w:val="FFFFFF"/>
                <w:sz w:val="21"/>
                <w:szCs w:val="21"/>
              </w:rPr>
              <w:t xml:space="preserve"> the </w:t>
            </w:r>
            <w:proofErr w:type="spellStart"/>
            <w:r w:rsidRPr="001C44F9">
              <w:rPr>
                <w:rFonts w:asciiTheme="majorHAnsi" w:eastAsia="Times New Roman" w:hAnsiTheme="majorHAnsi" w:cstheme="majorHAnsi"/>
                <w:b/>
                <w:bCs/>
                <w:color w:val="FFFFFF"/>
                <w:sz w:val="21"/>
                <w:szCs w:val="21"/>
              </w:rPr>
              <w:t>Municipal</w:t>
            </w:r>
            <w:proofErr w:type="spellEnd"/>
            <w:r w:rsidRPr="001C44F9">
              <w:rPr>
                <w:rFonts w:asciiTheme="majorHAnsi" w:eastAsia="Times New Roman" w:hAnsiTheme="majorHAnsi" w:cstheme="majorHAnsi"/>
                <w:b/>
                <w:bCs/>
                <w:color w:val="FFFFFF"/>
                <w:sz w:val="21"/>
                <w:szCs w:val="21"/>
              </w:rPr>
              <w:t xml:space="preserve"> </w:t>
            </w:r>
            <w:proofErr w:type="spellStart"/>
            <w:r w:rsidRPr="001C44F9">
              <w:rPr>
                <w:rFonts w:asciiTheme="majorHAnsi" w:eastAsia="Times New Roman" w:hAnsiTheme="majorHAnsi" w:cstheme="majorHAnsi"/>
                <w:b/>
                <w:bCs/>
                <w:color w:val="FFFFFF"/>
                <w:sz w:val="21"/>
                <w:szCs w:val="21"/>
              </w:rPr>
              <w:t>Assembly</w:t>
            </w:r>
            <w:proofErr w:type="spellEnd"/>
            <w:r w:rsidRPr="001C44F9">
              <w:rPr>
                <w:rFonts w:asciiTheme="majorHAnsi" w:eastAsia="Times New Roman" w:hAnsiTheme="majorHAnsi" w:cstheme="majorHAnsi"/>
                <w:b/>
                <w:bCs/>
                <w:color w:val="FFFFFF"/>
                <w:sz w:val="21"/>
                <w:szCs w:val="21"/>
              </w:rPr>
              <w:t xml:space="preserve"> as an </w:t>
            </w:r>
            <w:proofErr w:type="spellStart"/>
            <w:r w:rsidRPr="001C44F9">
              <w:rPr>
                <w:rFonts w:asciiTheme="majorHAnsi" w:eastAsia="Times New Roman" w:hAnsiTheme="majorHAnsi" w:cstheme="majorHAnsi"/>
                <w:b/>
                <w:bCs/>
                <w:color w:val="FFFFFF"/>
                <w:sz w:val="21"/>
                <w:szCs w:val="21"/>
              </w:rPr>
              <w:t>oversight</w:t>
            </w:r>
            <w:proofErr w:type="spellEnd"/>
            <w:r w:rsidRPr="001C44F9">
              <w:rPr>
                <w:rFonts w:asciiTheme="majorHAnsi" w:eastAsia="Times New Roman" w:hAnsiTheme="majorHAnsi" w:cstheme="majorHAnsi"/>
                <w:b/>
                <w:bCs/>
                <w:color w:val="FFFFFF"/>
                <w:sz w:val="21"/>
                <w:szCs w:val="21"/>
              </w:rPr>
              <w:t xml:space="preserve"> </w:t>
            </w:r>
            <w:proofErr w:type="spellStart"/>
            <w:r w:rsidRPr="001C44F9">
              <w:rPr>
                <w:rFonts w:asciiTheme="majorHAnsi" w:eastAsia="Times New Roman" w:hAnsiTheme="majorHAnsi" w:cstheme="majorHAnsi"/>
                <w:b/>
                <w:bCs/>
                <w:color w:val="FFFFFF"/>
                <w:sz w:val="21"/>
                <w:szCs w:val="21"/>
              </w:rPr>
              <w:t>body</w:t>
            </w:r>
            <w:proofErr w:type="spellEnd"/>
          </w:p>
        </w:tc>
        <w:tc>
          <w:tcPr>
            <w:tcW w:w="1440" w:type="dxa"/>
            <w:tcBorders>
              <w:top w:val="nil"/>
              <w:left w:val="nil"/>
              <w:bottom w:val="single" w:sz="4" w:space="0" w:color="auto"/>
              <w:right w:val="single" w:sz="4" w:space="0" w:color="auto"/>
            </w:tcBorders>
            <w:shd w:val="clear" w:color="auto" w:fill="709FDB" w:themeFill="text2" w:themeFillTint="80"/>
            <w:vAlign w:val="center"/>
            <w:hideMark/>
          </w:tcPr>
          <w:p w14:paraId="2E680D4F"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12</w:t>
            </w:r>
          </w:p>
        </w:tc>
        <w:tc>
          <w:tcPr>
            <w:tcW w:w="2327" w:type="dxa"/>
            <w:tcBorders>
              <w:top w:val="nil"/>
              <w:left w:val="nil"/>
              <w:bottom w:val="single" w:sz="4" w:space="0" w:color="auto"/>
              <w:right w:val="single" w:sz="4" w:space="0" w:color="auto"/>
            </w:tcBorders>
            <w:shd w:val="clear" w:color="auto" w:fill="709FDB" w:themeFill="text2" w:themeFillTint="80"/>
          </w:tcPr>
          <w:p w14:paraId="7225B5B0" w14:textId="4639157B" w:rsidR="00E46572" w:rsidRPr="001C44F9" w:rsidRDefault="00E46572" w:rsidP="00023C23">
            <w:pPr>
              <w:rPr>
                <w:rFonts w:asciiTheme="majorHAnsi" w:eastAsia="Times New Roman" w:hAnsiTheme="majorHAnsi" w:cstheme="majorHAnsi"/>
                <w:b/>
                <w:bCs/>
                <w:color w:val="FFFFFF"/>
                <w:sz w:val="21"/>
                <w:szCs w:val="21"/>
              </w:rPr>
            </w:pPr>
            <w:r>
              <w:rPr>
                <w:rFonts w:asciiTheme="majorHAnsi" w:eastAsia="Times New Roman" w:hAnsiTheme="majorHAnsi" w:cstheme="majorHAnsi"/>
                <w:b/>
                <w:bCs/>
                <w:color w:val="FFFFFF"/>
                <w:sz w:val="21"/>
                <w:szCs w:val="21"/>
              </w:rPr>
              <w:t>12</w:t>
            </w:r>
          </w:p>
        </w:tc>
      </w:tr>
      <w:tr w:rsidR="00E46572" w:rsidRPr="001C44F9" w14:paraId="177F1A0B" w14:textId="2BB81CA5" w:rsidTr="00E46572">
        <w:trPr>
          <w:trHeight w:val="305"/>
        </w:trPr>
        <w:tc>
          <w:tcPr>
            <w:tcW w:w="542" w:type="dxa"/>
            <w:tcBorders>
              <w:top w:val="nil"/>
              <w:left w:val="single" w:sz="8" w:space="0" w:color="auto"/>
              <w:bottom w:val="single" w:sz="4" w:space="0" w:color="auto"/>
              <w:right w:val="single" w:sz="4" w:space="0" w:color="auto"/>
            </w:tcBorders>
            <w:vAlign w:val="center"/>
            <w:hideMark/>
          </w:tcPr>
          <w:p w14:paraId="0F513E28"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1</w:t>
            </w:r>
          </w:p>
        </w:tc>
        <w:tc>
          <w:tcPr>
            <w:tcW w:w="5388" w:type="dxa"/>
            <w:tcBorders>
              <w:top w:val="nil"/>
              <w:left w:val="nil"/>
              <w:bottom w:val="single" w:sz="4" w:space="0" w:color="auto"/>
              <w:right w:val="single" w:sz="4" w:space="0" w:color="auto"/>
            </w:tcBorders>
            <w:vAlign w:val="center"/>
            <w:hideMark/>
          </w:tcPr>
          <w:p w14:paraId="3ACA39A8" w14:textId="77777777" w:rsidR="00E46572" w:rsidRPr="001C44F9" w:rsidRDefault="00E46572" w:rsidP="00023C23">
            <w:pPr>
              <w:rPr>
                <w:rFonts w:asciiTheme="majorHAnsi" w:eastAsia="Times New Roman" w:hAnsiTheme="majorHAnsi" w:cstheme="majorHAnsi"/>
                <w:color w:val="000000"/>
                <w:sz w:val="21"/>
                <w:szCs w:val="21"/>
              </w:rPr>
            </w:pPr>
            <w:proofErr w:type="spellStart"/>
            <w:r w:rsidRPr="001C44F9">
              <w:rPr>
                <w:rFonts w:asciiTheme="majorHAnsi" w:eastAsia="Times New Roman" w:hAnsiTheme="majorHAnsi" w:cstheme="majorHAnsi"/>
                <w:color w:val="000000"/>
                <w:sz w:val="21"/>
                <w:szCs w:val="21"/>
              </w:rPr>
              <w:t>Timely</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approval</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of</w:t>
            </w:r>
            <w:proofErr w:type="spellEnd"/>
            <w:r w:rsidRPr="001C44F9">
              <w:rPr>
                <w:rFonts w:asciiTheme="majorHAnsi" w:eastAsia="Times New Roman" w:hAnsiTheme="majorHAnsi" w:cstheme="majorHAnsi"/>
                <w:color w:val="000000"/>
                <w:sz w:val="21"/>
                <w:szCs w:val="21"/>
              </w:rPr>
              <w:t xml:space="preserve"> the </w:t>
            </w:r>
            <w:proofErr w:type="spellStart"/>
            <w:r w:rsidRPr="001C44F9">
              <w:rPr>
                <w:rFonts w:asciiTheme="majorHAnsi" w:eastAsia="Times New Roman" w:hAnsiTheme="majorHAnsi" w:cstheme="majorHAnsi"/>
                <w:color w:val="000000"/>
                <w:sz w:val="21"/>
                <w:szCs w:val="21"/>
              </w:rPr>
              <w:t>annual</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municipal</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budget</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proposal</w:t>
            </w:r>
            <w:proofErr w:type="spellEnd"/>
          </w:p>
        </w:tc>
        <w:tc>
          <w:tcPr>
            <w:tcW w:w="1440" w:type="dxa"/>
            <w:tcBorders>
              <w:top w:val="nil"/>
              <w:left w:val="nil"/>
              <w:bottom w:val="single" w:sz="4" w:space="0" w:color="auto"/>
              <w:right w:val="single" w:sz="4" w:space="0" w:color="auto"/>
            </w:tcBorders>
            <w:noWrap/>
            <w:vAlign w:val="center"/>
            <w:hideMark/>
          </w:tcPr>
          <w:p w14:paraId="7B12B38D"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w:t>
            </w:r>
          </w:p>
        </w:tc>
        <w:tc>
          <w:tcPr>
            <w:tcW w:w="2327" w:type="dxa"/>
            <w:tcBorders>
              <w:top w:val="nil"/>
              <w:left w:val="nil"/>
              <w:bottom w:val="single" w:sz="4" w:space="0" w:color="auto"/>
              <w:right w:val="single" w:sz="4" w:space="0" w:color="auto"/>
            </w:tcBorders>
          </w:tcPr>
          <w:p w14:paraId="512FBB95" w14:textId="16F9FB35"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2</w:t>
            </w:r>
          </w:p>
        </w:tc>
      </w:tr>
      <w:tr w:rsidR="00E46572" w:rsidRPr="001C44F9" w14:paraId="7F330B0B" w14:textId="2F3C3492" w:rsidTr="00E46572">
        <w:trPr>
          <w:trHeight w:val="260"/>
        </w:trPr>
        <w:tc>
          <w:tcPr>
            <w:tcW w:w="542" w:type="dxa"/>
            <w:tcBorders>
              <w:top w:val="nil"/>
              <w:left w:val="single" w:sz="8" w:space="0" w:color="auto"/>
              <w:bottom w:val="single" w:sz="4" w:space="0" w:color="auto"/>
              <w:right w:val="single" w:sz="4" w:space="0" w:color="auto"/>
            </w:tcBorders>
            <w:vAlign w:val="center"/>
            <w:hideMark/>
          </w:tcPr>
          <w:p w14:paraId="0216C82E" w14:textId="77777777" w:rsidR="00E46572" w:rsidRPr="00E03152" w:rsidRDefault="00E46572" w:rsidP="00023C23">
            <w:pPr>
              <w:rPr>
                <w:rFonts w:asciiTheme="majorHAnsi" w:eastAsia="Times New Roman" w:hAnsiTheme="majorHAnsi" w:cstheme="majorHAnsi"/>
                <w:b/>
                <w:bCs/>
                <w:color w:val="000000"/>
                <w:sz w:val="21"/>
                <w:szCs w:val="21"/>
              </w:rPr>
            </w:pPr>
            <w:r w:rsidRPr="00E03152">
              <w:rPr>
                <w:rFonts w:asciiTheme="majorHAnsi" w:eastAsia="Times New Roman" w:hAnsiTheme="majorHAnsi" w:cstheme="majorHAnsi"/>
                <w:b/>
                <w:bCs/>
                <w:color w:val="000000"/>
                <w:sz w:val="21"/>
                <w:szCs w:val="21"/>
              </w:rPr>
              <w:t>2</w:t>
            </w:r>
          </w:p>
        </w:tc>
        <w:tc>
          <w:tcPr>
            <w:tcW w:w="5388" w:type="dxa"/>
            <w:tcBorders>
              <w:top w:val="nil"/>
              <w:left w:val="nil"/>
              <w:bottom w:val="single" w:sz="4" w:space="0" w:color="auto"/>
              <w:right w:val="single" w:sz="4" w:space="0" w:color="auto"/>
            </w:tcBorders>
            <w:vAlign w:val="center"/>
            <w:hideMark/>
          </w:tcPr>
          <w:p w14:paraId="3F0A3852" w14:textId="77777777" w:rsidR="00E46572" w:rsidRPr="00E03152" w:rsidRDefault="00E46572" w:rsidP="00023C23">
            <w:pPr>
              <w:rPr>
                <w:rFonts w:asciiTheme="majorHAnsi" w:eastAsia="Times New Roman" w:hAnsiTheme="majorHAnsi" w:cstheme="majorHAnsi"/>
                <w:color w:val="000000"/>
                <w:sz w:val="21"/>
                <w:szCs w:val="21"/>
              </w:rPr>
            </w:pPr>
            <w:proofErr w:type="spellStart"/>
            <w:r w:rsidRPr="00E03152">
              <w:rPr>
                <w:rFonts w:asciiTheme="majorHAnsi" w:eastAsia="Times New Roman" w:hAnsiTheme="majorHAnsi" w:cstheme="majorHAnsi"/>
                <w:color w:val="000000"/>
                <w:sz w:val="21"/>
                <w:szCs w:val="21"/>
              </w:rPr>
              <w:t>Discussion</w:t>
            </w:r>
            <w:proofErr w:type="spellEnd"/>
            <w:r w:rsidRPr="00E03152">
              <w:rPr>
                <w:rFonts w:asciiTheme="majorHAnsi" w:eastAsia="Times New Roman" w:hAnsiTheme="majorHAnsi" w:cstheme="majorHAnsi"/>
                <w:color w:val="000000"/>
                <w:sz w:val="21"/>
                <w:szCs w:val="21"/>
              </w:rPr>
              <w:t xml:space="preserve"> </w:t>
            </w:r>
            <w:proofErr w:type="spellStart"/>
            <w:r w:rsidRPr="00E03152">
              <w:rPr>
                <w:rFonts w:asciiTheme="majorHAnsi" w:eastAsia="Times New Roman" w:hAnsiTheme="majorHAnsi" w:cstheme="majorHAnsi"/>
                <w:color w:val="000000"/>
                <w:sz w:val="21"/>
                <w:szCs w:val="21"/>
              </w:rPr>
              <w:t>of</w:t>
            </w:r>
            <w:proofErr w:type="spellEnd"/>
            <w:r w:rsidRPr="00E03152">
              <w:rPr>
                <w:rFonts w:asciiTheme="majorHAnsi" w:eastAsia="Times New Roman" w:hAnsiTheme="majorHAnsi" w:cstheme="majorHAnsi"/>
                <w:color w:val="000000"/>
                <w:sz w:val="21"/>
                <w:szCs w:val="21"/>
              </w:rPr>
              <w:t xml:space="preserve"> </w:t>
            </w:r>
            <w:proofErr w:type="spellStart"/>
            <w:r w:rsidRPr="00E03152">
              <w:rPr>
                <w:rFonts w:asciiTheme="majorHAnsi" w:eastAsia="Times New Roman" w:hAnsiTheme="majorHAnsi" w:cstheme="majorHAnsi"/>
                <w:color w:val="000000"/>
                <w:sz w:val="21"/>
                <w:szCs w:val="21"/>
              </w:rPr>
              <w:t>quarterly</w:t>
            </w:r>
            <w:proofErr w:type="spellEnd"/>
            <w:r w:rsidRPr="00E03152">
              <w:rPr>
                <w:rFonts w:asciiTheme="majorHAnsi" w:eastAsia="Times New Roman" w:hAnsiTheme="majorHAnsi" w:cstheme="majorHAnsi"/>
                <w:color w:val="000000"/>
                <w:sz w:val="21"/>
                <w:szCs w:val="21"/>
              </w:rPr>
              <w:t xml:space="preserve"> </w:t>
            </w:r>
            <w:proofErr w:type="spellStart"/>
            <w:r w:rsidRPr="00E03152">
              <w:rPr>
                <w:rFonts w:asciiTheme="majorHAnsi" w:eastAsia="Times New Roman" w:hAnsiTheme="majorHAnsi" w:cstheme="majorHAnsi"/>
                <w:color w:val="000000"/>
                <w:sz w:val="21"/>
                <w:szCs w:val="21"/>
              </w:rPr>
              <w:t>budget</w:t>
            </w:r>
            <w:proofErr w:type="spellEnd"/>
            <w:r w:rsidRPr="00E03152">
              <w:rPr>
                <w:rFonts w:asciiTheme="majorHAnsi" w:eastAsia="Times New Roman" w:hAnsiTheme="majorHAnsi" w:cstheme="majorHAnsi"/>
                <w:color w:val="000000"/>
                <w:sz w:val="21"/>
                <w:szCs w:val="21"/>
              </w:rPr>
              <w:t xml:space="preserve"> </w:t>
            </w:r>
            <w:proofErr w:type="spellStart"/>
            <w:r w:rsidRPr="00E03152">
              <w:rPr>
                <w:rFonts w:asciiTheme="majorHAnsi" w:eastAsia="Times New Roman" w:hAnsiTheme="majorHAnsi" w:cstheme="majorHAnsi"/>
                <w:color w:val="000000"/>
                <w:sz w:val="21"/>
                <w:szCs w:val="21"/>
              </w:rPr>
              <w:t>reports</w:t>
            </w:r>
            <w:proofErr w:type="spellEnd"/>
            <w:r w:rsidRPr="00E03152">
              <w:rPr>
                <w:rFonts w:asciiTheme="majorHAnsi" w:eastAsia="Times New Roman" w:hAnsiTheme="majorHAnsi" w:cstheme="majorHAnsi"/>
                <w:color w:val="000000"/>
                <w:sz w:val="21"/>
                <w:szCs w:val="21"/>
              </w:rPr>
              <w:t xml:space="preserve"> by the </w:t>
            </w:r>
            <w:proofErr w:type="spellStart"/>
            <w:r w:rsidRPr="00E03152">
              <w:rPr>
                <w:rFonts w:asciiTheme="majorHAnsi" w:eastAsia="Times New Roman" w:hAnsiTheme="majorHAnsi" w:cstheme="majorHAnsi"/>
                <w:color w:val="000000"/>
                <w:sz w:val="21"/>
                <w:szCs w:val="21"/>
              </w:rPr>
              <w:t>Municipal</w:t>
            </w:r>
            <w:proofErr w:type="spellEnd"/>
            <w:r w:rsidRPr="00E03152">
              <w:rPr>
                <w:rFonts w:asciiTheme="majorHAnsi" w:eastAsia="Times New Roman" w:hAnsiTheme="majorHAnsi" w:cstheme="majorHAnsi"/>
                <w:color w:val="000000"/>
                <w:sz w:val="21"/>
                <w:szCs w:val="21"/>
              </w:rPr>
              <w:t xml:space="preserve"> </w:t>
            </w:r>
            <w:proofErr w:type="spellStart"/>
            <w:r w:rsidRPr="00E03152">
              <w:rPr>
                <w:rFonts w:asciiTheme="majorHAnsi" w:eastAsia="Times New Roman" w:hAnsiTheme="majorHAnsi" w:cstheme="majorHAnsi"/>
                <w:color w:val="000000"/>
                <w:sz w:val="21"/>
                <w:szCs w:val="21"/>
              </w:rPr>
              <w:t>Assembly</w:t>
            </w:r>
            <w:proofErr w:type="spellEnd"/>
          </w:p>
        </w:tc>
        <w:tc>
          <w:tcPr>
            <w:tcW w:w="1440" w:type="dxa"/>
            <w:tcBorders>
              <w:top w:val="nil"/>
              <w:left w:val="nil"/>
              <w:bottom w:val="single" w:sz="4" w:space="0" w:color="auto"/>
              <w:right w:val="single" w:sz="4" w:space="0" w:color="auto"/>
            </w:tcBorders>
            <w:vAlign w:val="center"/>
            <w:hideMark/>
          </w:tcPr>
          <w:p w14:paraId="061F70B2" w14:textId="77777777" w:rsidR="00E46572" w:rsidRPr="00E03152" w:rsidRDefault="00E46572" w:rsidP="00023C23">
            <w:pPr>
              <w:rPr>
                <w:rFonts w:asciiTheme="majorHAnsi" w:eastAsia="Times New Roman" w:hAnsiTheme="majorHAnsi" w:cstheme="majorHAnsi"/>
                <w:b/>
                <w:bCs/>
                <w:color w:val="000000"/>
                <w:sz w:val="21"/>
                <w:szCs w:val="21"/>
              </w:rPr>
            </w:pPr>
            <w:r w:rsidRPr="00E03152">
              <w:rPr>
                <w:rFonts w:asciiTheme="majorHAnsi" w:eastAsia="Times New Roman" w:hAnsiTheme="majorHAnsi" w:cstheme="majorHAnsi"/>
                <w:b/>
                <w:bCs/>
                <w:color w:val="000000"/>
                <w:sz w:val="21"/>
                <w:szCs w:val="21"/>
              </w:rPr>
              <w:t>4</w:t>
            </w:r>
          </w:p>
        </w:tc>
        <w:tc>
          <w:tcPr>
            <w:tcW w:w="2327" w:type="dxa"/>
            <w:tcBorders>
              <w:top w:val="nil"/>
              <w:left w:val="nil"/>
              <w:bottom w:val="single" w:sz="4" w:space="0" w:color="auto"/>
              <w:right w:val="single" w:sz="4" w:space="0" w:color="auto"/>
            </w:tcBorders>
          </w:tcPr>
          <w:p w14:paraId="33B99F07" w14:textId="0F26ECD5" w:rsidR="00E46572" w:rsidRPr="00E03152" w:rsidRDefault="00E46572" w:rsidP="00023C23">
            <w:pPr>
              <w:rPr>
                <w:rFonts w:asciiTheme="majorHAnsi" w:eastAsia="Times New Roman" w:hAnsiTheme="majorHAnsi" w:cstheme="majorHAnsi"/>
                <w:b/>
                <w:bCs/>
                <w:color w:val="000000"/>
                <w:sz w:val="21"/>
                <w:szCs w:val="21"/>
              </w:rPr>
            </w:pPr>
            <w:r w:rsidRPr="00E03152">
              <w:rPr>
                <w:rFonts w:asciiTheme="majorHAnsi" w:eastAsia="Times New Roman" w:hAnsiTheme="majorHAnsi" w:cstheme="majorHAnsi"/>
                <w:b/>
                <w:bCs/>
                <w:color w:val="000000"/>
                <w:sz w:val="21"/>
                <w:szCs w:val="21"/>
              </w:rPr>
              <w:t>4</w:t>
            </w:r>
          </w:p>
        </w:tc>
      </w:tr>
      <w:tr w:rsidR="00E46572" w:rsidRPr="001C44F9" w14:paraId="14D696C8" w14:textId="7316AF26" w:rsidTr="00E03152">
        <w:trPr>
          <w:trHeight w:val="275"/>
        </w:trPr>
        <w:tc>
          <w:tcPr>
            <w:tcW w:w="542" w:type="dxa"/>
            <w:tcBorders>
              <w:top w:val="nil"/>
              <w:left w:val="single" w:sz="8" w:space="0" w:color="auto"/>
              <w:bottom w:val="single" w:sz="4" w:space="0" w:color="auto"/>
              <w:right w:val="single" w:sz="4" w:space="0" w:color="auto"/>
            </w:tcBorders>
            <w:vAlign w:val="center"/>
            <w:hideMark/>
          </w:tcPr>
          <w:p w14:paraId="643B8F8B" w14:textId="77777777" w:rsidR="00E46572" w:rsidRPr="00E03152" w:rsidRDefault="00E46572" w:rsidP="00023C23">
            <w:pPr>
              <w:rPr>
                <w:rFonts w:asciiTheme="majorHAnsi" w:eastAsia="Times New Roman" w:hAnsiTheme="majorHAnsi" w:cstheme="majorHAnsi"/>
                <w:b/>
                <w:bCs/>
                <w:color w:val="000000"/>
                <w:sz w:val="21"/>
                <w:szCs w:val="21"/>
              </w:rPr>
            </w:pPr>
            <w:r w:rsidRPr="00E03152">
              <w:rPr>
                <w:rFonts w:asciiTheme="majorHAnsi" w:eastAsia="Times New Roman" w:hAnsiTheme="majorHAnsi" w:cstheme="majorHAnsi"/>
                <w:b/>
                <w:bCs/>
                <w:color w:val="000000"/>
                <w:sz w:val="21"/>
                <w:szCs w:val="21"/>
              </w:rPr>
              <w:t>3</w:t>
            </w:r>
          </w:p>
        </w:tc>
        <w:tc>
          <w:tcPr>
            <w:tcW w:w="5388" w:type="dxa"/>
            <w:tcBorders>
              <w:top w:val="nil"/>
              <w:left w:val="nil"/>
              <w:bottom w:val="single" w:sz="4" w:space="0" w:color="auto"/>
              <w:right w:val="single" w:sz="4" w:space="0" w:color="auto"/>
            </w:tcBorders>
            <w:vAlign w:val="center"/>
            <w:hideMark/>
          </w:tcPr>
          <w:p w14:paraId="5BFEACB9" w14:textId="77777777" w:rsidR="00E46572" w:rsidRPr="00E03152" w:rsidRDefault="00E46572" w:rsidP="00023C23">
            <w:pPr>
              <w:rPr>
                <w:rFonts w:asciiTheme="majorHAnsi" w:eastAsia="Times New Roman" w:hAnsiTheme="majorHAnsi" w:cstheme="majorHAnsi"/>
                <w:b/>
                <w:bCs/>
                <w:color w:val="000000"/>
                <w:sz w:val="21"/>
                <w:szCs w:val="21"/>
              </w:rPr>
            </w:pPr>
            <w:proofErr w:type="spellStart"/>
            <w:r w:rsidRPr="00E03152">
              <w:rPr>
                <w:rFonts w:asciiTheme="majorHAnsi" w:eastAsia="Times New Roman" w:hAnsiTheme="majorHAnsi" w:cstheme="majorHAnsi"/>
                <w:b/>
                <w:bCs/>
                <w:color w:val="000000"/>
                <w:sz w:val="21"/>
                <w:szCs w:val="21"/>
              </w:rPr>
              <w:t>Discussion</w:t>
            </w:r>
            <w:proofErr w:type="spellEnd"/>
            <w:r w:rsidRPr="00E03152">
              <w:rPr>
                <w:rFonts w:asciiTheme="majorHAnsi" w:eastAsia="Times New Roman" w:hAnsiTheme="majorHAnsi" w:cstheme="majorHAnsi"/>
                <w:b/>
                <w:bCs/>
                <w:color w:val="000000"/>
                <w:sz w:val="21"/>
                <w:szCs w:val="21"/>
              </w:rPr>
              <w:t xml:space="preserve"> </w:t>
            </w:r>
            <w:proofErr w:type="spellStart"/>
            <w:r w:rsidRPr="00E03152">
              <w:rPr>
                <w:rFonts w:asciiTheme="majorHAnsi" w:eastAsia="Times New Roman" w:hAnsiTheme="majorHAnsi" w:cstheme="majorHAnsi"/>
                <w:b/>
                <w:bCs/>
                <w:color w:val="000000"/>
                <w:sz w:val="21"/>
                <w:szCs w:val="21"/>
              </w:rPr>
              <w:t>on</w:t>
            </w:r>
            <w:proofErr w:type="spellEnd"/>
            <w:r w:rsidRPr="00E03152">
              <w:rPr>
                <w:rFonts w:asciiTheme="majorHAnsi" w:eastAsia="Times New Roman" w:hAnsiTheme="majorHAnsi" w:cstheme="majorHAnsi"/>
                <w:b/>
                <w:bCs/>
                <w:color w:val="000000"/>
                <w:sz w:val="21"/>
                <w:szCs w:val="21"/>
              </w:rPr>
              <w:t xml:space="preserve"> the </w:t>
            </w:r>
            <w:proofErr w:type="spellStart"/>
            <w:r w:rsidRPr="00E03152">
              <w:rPr>
                <w:rFonts w:asciiTheme="majorHAnsi" w:eastAsia="Times New Roman" w:hAnsiTheme="majorHAnsi" w:cstheme="majorHAnsi"/>
                <w:b/>
                <w:bCs/>
                <w:color w:val="000000"/>
                <w:sz w:val="21"/>
                <w:szCs w:val="21"/>
              </w:rPr>
              <w:t>previous</w:t>
            </w:r>
            <w:proofErr w:type="spellEnd"/>
            <w:r w:rsidRPr="00E03152">
              <w:rPr>
                <w:rFonts w:asciiTheme="majorHAnsi" w:eastAsia="Times New Roman" w:hAnsiTheme="majorHAnsi" w:cstheme="majorHAnsi"/>
                <w:b/>
                <w:bCs/>
                <w:color w:val="000000"/>
                <w:sz w:val="21"/>
                <w:szCs w:val="21"/>
              </w:rPr>
              <w:t xml:space="preserve"> </w:t>
            </w:r>
            <w:proofErr w:type="spellStart"/>
            <w:r w:rsidRPr="00E03152">
              <w:rPr>
                <w:rFonts w:asciiTheme="majorHAnsi" w:eastAsia="Times New Roman" w:hAnsiTheme="majorHAnsi" w:cstheme="majorHAnsi"/>
                <w:b/>
                <w:bCs/>
                <w:color w:val="000000"/>
                <w:sz w:val="21"/>
                <w:szCs w:val="21"/>
              </w:rPr>
              <w:t>year</w:t>
            </w:r>
            <w:proofErr w:type="spellEnd"/>
            <w:r w:rsidRPr="00E03152">
              <w:rPr>
                <w:rFonts w:asciiTheme="majorHAnsi" w:eastAsia="Times New Roman" w:hAnsiTheme="majorHAnsi" w:cstheme="majorHAnsi"/>
                <w:b/>
                <w:bCs/>
                <w:color w:val="000000"/>
                <w:sz w:val="21"/>
                <w:szCs w:val="21"/>
              </w:rPr>
              <w:t xml:space="preserve"> </w:t>
            </w:r>
            <w:proofErr w:type="spellStart"/>
            <w:r w:rsidRPr="00E03152">
              <w:rPr>
                <w:rFonts w:asciiTheme="majorHAnsi" w:eastAsia="Times New Roman" w:hAnsiTheme="majorHAnsi" w:cstheme="majorHAnsi"/>
                <w:b/>
                <w:bCs/>
                <w:color w:val="000000"/>
                <w:sz w:val="21"/>
                <w:szCs w:val="21"/>
              </w:rPr>
              <w:t>municipal</w:t>
            </w:r>
            <w:proofErr w:type="spellEnd"/>
            <w:r w:rsidRPr="00E03152">
              <w:rPr>
                <w:rFonts w:asciiTheme="majorHAnsi" w:eastAsia="Times New Roman" w:hAnsiTheme="majorHAnsi" w:cstheme="majorHAnsi"/>
                <w:b/>
                <w:bCs/>
                <w:color w:val="000000"/>
                <w:sz w:val="21"/>
                <w:szCs w:val="21"/>
              </w:rPr>
              <w:t xml:space="preserve"> </w:t>
            </w:r>
            <w:proofErr w:type="spellStart"/>
            <w:r w:rsidRPr="00E03152">
              <w:rPr>
                <w:rFonts w:asciiTheme="majorHAnsi" w:eastAsia="Times New Roman" w:hAnsiTheme="majorHAnsi" w:cstheme="majorHAnsi"/>
                <w:b/>
                <w:bCs/>
                <w:color w:val="000000"/>
                <w:sz w:val="21"/>
                <w:szCs w:val="21"/>
              </w:rPr>
              <w:t>performance</w:t>
            </w:r>
            <w:proofErr w:type="spellEnd"/>
            <w:r w:rsidRPr="00E03152">
              <w:rPr>
                <w:rFonts w:asciiTheme="majorHAnsi" w:eastAsia="Times New Roman" w:hAnsiTheme="majorHAnsi" w:cstheme="majorHAnsi"/>
                <w:b/>
                <w:bCs/>
                <w:color w:val="000000"/>
                <w:sz w:val="21"/>
                <w:szCs w:val="21"/>
              </w:rPr>
              <w:t xml:space="preserve"> </w:t>
            </w:r>
            <w:proofErr w:type="spellStart"/>
            <w:r w:rsidRPr="00E03152">
              <w:rPr>
                <w:rFonts w:asciiTheme="majorHAnsi" w:eastAsia="Times New Roman" w:hAnsiTheme="majorHAnsi" w:cstheme="majorHAnsi"/>
                <w:b/>
                <w:bCs/>
                <w:color w:val="000000"/>
                <w:sz w:val="21"/>
                <w:szCs w:val="21"/>
              </w:rPr>
              <w:t>report</w:t>
            </w:r>
            <w:proofErr w:type="spellEnd"/>
            <w:r w:rsidRPr="00E03152">
              <w:rPr>
                <w:rFonts w:asciiTheme="majorHAnsi" w:eastAsia="Times New Roman" w:hAnsiTheme="majorHAnsi" w:cstheme="majorHAnsi"/>
                <w:b/>
                <w:bCs/>
                <w:color w:val="000000"/>
                <w:sz w:val="21"/>
                <w:szCs w:val="21"/>
              </w:rPr>
              <w:t xml:space="preserve"> by the </w:t>
            </w:r>
            <w:proofErr w:type="spellStart"/>
            <w:r w:rsidRPr="00E03152">
              <w:rPr>
                <w:rFonts w:asciiTheme="majorHAnsi" w:eastAsia="Times New Roman" w:hAnsiTheme="majorHAnsi" w:cstheme="majorHAnsi"/>
                <w:b/>
                <w:bCs/>
                <w:color w:val="000000"/>
                <w:sz w:val="21"/>
                <w:szCs w:val="21"/>
              </w:rPr>
              <w:t>Municipal</w:t>
            </w:r>
            <w:proofErr w:type="spellEnd"/>
            <w:r w:rsidRPr="00E03152">
              <w:rPr>
                <w:rFonts w:asciiTheme="majorHAnsi" w:eastAsia="Times New Roman" w:hAnsiTheme="majorHAnsi" w:cstheme="majorHAnsi"/>
                <w:b/>
                <w:bCs/>
                <w:color w:val="000000"/>
                <w:sz w:val="21"/>
                <w:szCs w:val="21"/>
              </w:rPr>
              <w:t xml:space="preserve"> </w:t>
            </w:r>
            <w:proofErr w:type="spellStart"/>
            <w:r w:rsidRPr="00E03152">
              <w:rPr>
                <w:rFonts w:asciiTheme="majorHAnsi" w:eastAsia="Times New Roman" w:hAnsiTheme="majorHAnsi" w:cstheme="majorHAnsi"/>
                <w:b/>
                <w:bCs/>
                <w:color w:val="000000"/>
                <w:sz w:val="21"/>
                <w:szCs w:val="21"/>
              </w:rPr>
              <w:t>Assembly</w:t>
            </w:r>
            <w:proofErr w:type="spellEnd"/>
            <w:r w:rsidRPr="00E03152">
              <w:rPr>
                <w:rStyle w:val="FootnoteReference"/>
                <w:rFonts w:asciiTheme="majorHAnsi" w:hAnsiTheme="majorHAnsi" w:cstheme="majorHAnsi"/>
                <w:sz w:val="21"/>
                <w:szCs w:val="21"/>
                <w:lang w:val="en-GB"/>
              </w:rPr>
              <w:footnoteReference w:id="8"/>
            </w:r>
          </w:p>
        </w:tc>
        <w:tc>
          <w:tcPr>
            <w:tcW w:w="1440" w:type="dxa"/>
            <w:tcBorders>
              <w:top w:val="nil"/>
              <w:left w:val="nil"/>
              <w:bottom w:val="single" w:sz="4" w:space="0" w:color="auto"/>
              <w:right w:val="single" w:sz="4" w:space="0" w:color="auto"/>
            </w:tcBorders>
            <w:noWrap/>
            <w:vAlign w:val="center"/>
            <w:hideMark/>
          </w:tcPr>
          <w:p w14:paraId="54351E41" w14:textId="77777777" w:rsidR="00E46572" w:rsidRPr="00E03152" w:rsidRDefault="00E46572" w:rsidP="00023C23">
            <w:pPr>
              <w:rPr>
                <w:rFonts w:asciiTheme="majorHAnsi" w:eastAsia="Times New Roman" w:hAnsiTheme="majorHAnsi" w:cstheme="majorHAnsi"/>
                <w:b/>
                <w:bCs/>
                <w:color w:val="000000"/>
                <w:sz w:val="21"/>
                <w:szCs w:val="21"/>
              </w:rPr>
            </w:pPr>
            <w:r w:rsidRPr="00E03152">
              <w:rPr>
                <w:rFonts w:asciiTheme="majorHAnsi" w:eastAsia="Times New Roman" w:hAnsiTheme="majorHAnsi" w:cstheme="majorHAnsi"/>
                <w:b/>
                <w:bCs/>
                <w:color w:val="000000"/>
                <w:sz w:val="21"/>
                <w:szCs w:val="21"/>
              </w:rPr>
              <w:t>2</w:t>
            </w:r>
          </w:p>
        </w:tc>
        <w:tc>
          <w:tcPr>
            <w:tcW w:w="2327" w:type="dxa"/>
            <w:tcBorders>
              <w:top w:val="nil"/>
              <w:left w:val="nil"/>
              <w:bottom w:val="single" w:sz="4" w:space="0" w:color="auto"/>
              <w:right w:val="single" w:sz="4" w:space="0" w:color="auto"/>
            </w:tcBorders>
          </w:tcPr>
          <w:p w14:paraId="484A3C51" w14:textId="63587348" w:rsidR="00E46572" w:rsidRPr="00E03152" w:rsidRDefault="00E46572" w:rsidP="00023C23">
            <w:pPr>
              <w:rPr>
                <w:rFonts w:asciiTheme="majorHAnsi" w:eastAsia="Times New Roman" w:hAnsiTheme="majorHAnsi" w:cstheme="majorHAnsi"/>
                <w:b/>
                <w:bCs/>
                <w:color w:val="000000"/>
                <w:sz w:val="21"/>
                <w:szCs w:val="21"/>
              </w:rPr>
            </w:pPr>
            <w:r w:rsidRPr="00E03152">
              <w:rPr>
                <w:rFonts w:asciiTheme="majorHAnsi" w:eastAsia="Times New Roman" w:hAnsiTheme="majorHAnsi" w:cstheme="majorHAnsi"/>
                <w:b/>
                <w:bCs/>
                <w:color w:val="000000"/>
                <w:sz w:val="21"/>
                <w:szCs w:val="21"/>
              </w:rPr>
              <w:t>2</w:t>
            </w:r>
          </w:p>
        </w:tc>
      </w:tr>
      <w:tr w:rsidR="00E46572" w:rsidRPr="001C44F9" w14:paraId="78C6C11E" w14:textId="62F8BE79" w:rsidTr="00E46572">
        <w:trPr>
          <w:trHeight w:val="323"/>
        </w:trPr>
        <w:tc>
          <w:tcPr>
            <w:tcW w:w="542" w:type="dxa"/>
            <w:tcBorders>
              <w:top w:val="nil"/>
              <w:left w:val="single" w:sz="8" w:space="0" w:color="auto"/>
              <w:bottom w:val="single" w:sz="4" w:space="0" w:color="auto"/>
              <w:right w:val="single" w:sz="4" w:space="0" w:color="auto"/>
            </w:tcBorders>
            <w:vAlign w:val="center"/>
            <w:hideMark/>
          </w:tcPr>
          <w:p w14:paraId="0763311B" w14:textId="77777777" w:rsidR="00E46572" w:rsidRPr="00E03152" w:rsidRDefault="00E46572" w:rsidP="00023C23">
            <w:pPr>
              <w:rPr>
                <w:rFonts w:asciiTheme="majorHAnsi" w:eastAsia="Times New Roman" w:hAnsiTheme="majorHAnsi" w:cstheme="majorHAnsi"/>
                <w:b/>
                <w:bCs/>
                <w:color w:val="000000"/>
                <w:sz w:val="21"/>
                <w:szCs w:val="21"/>
              </w:rPr>
            </w:pPr>
            <w:r w:rsidRPr="00E03152">
              <w:rPr>
                <w:rFonts w:asciiTheme="majorHAnsi" w:eastAsia="Times New Roman" w:hAnsiTheme="majorHAnsi" w:cstheme="majorHAnsi"/>
                <w:b/>
                <w:bCs/>
                <w:color w:val="000000"/>
                <w:sz w:val="21"/>
                <w:szCs w:val="21"/>
              </w:rPr>
              <w:t>4</w:t>
            </w:r>
          </w:p>
        </w:tc>
        <w:tc>
          <w:tcPr>
            <w:tcW w:w="5388" w:type="dxa"/>
            <w:tcBorders>
              <w:top w:val="nil"/>
              <w:left w:val="nil"/>
              <w:bottom w:val="single" w:sz="4" w:space="0" w:color="auto"/>
              <w:right w:val="single" w:sz="4" w:space="0" w:color="auto"/>
            </w:tcBorders>
            <w:vAlign w:val="center"/>
            <w:hideMark/>
          </w:tcPr>
          <w:p w14:paraId="035F8000" w14:textId="77777777" w:rsidR="00E46572" w:rsidRPr="00E03152" w:rsidRDefault="00E46572" w:rsidP="00023C23">
            <w:pPr>
              <w:rPr>
                <w:rFonts w:asciiTheme="majorHAnsi" w:eastAsia="Times New Roman" w:hAnsiTheme="majorHAnsi" w:cstheme="majorHAnsi"/>
                <w:b/>
                <w:bCs/>
                <w:color w:val="000000"/>
                <w:sz w:val="21"/>
                <w:szCs w:val="21"/>
              </w:rPr>
            </w:pPr>
            <w:proofErr w:type="spellStart"/>
            <w:r w:rsidRPr="00E03152">
              <w:rPr>
                <w:rFonts w:asciiTheme="majorHAnsi" w:eastAsia="Times New Roman" w:hAnsiTheme="majorHAnsi" w:cstheme="majorHAnsi"/>
                <w:b/>
                <w:bCs/>
                <w:color w:val="000000"/>
                <w:sz w:val="21"/>
                <w:szCs w:val="21"/>
              </w:rPr>
              <w:t>Discussion</w:t>
            </w:r>
            <w:proofErr w:type="spellEnd"/>
            <w:r w:rsidRPr="00E03152">
              <w:rPr>
                <w:rFonts w:asciiTheme="majorHAnsi" w:eastAsia="Times New Roman" w:hAnsiTheme="majorHAnsi" w:cstheme="majorHAnsi"/>
                <w:b/>
                <w:bCs/>
                <w:color w:val="000000"/>
                <w:sz w:val="21"/>
                <w:szCs w:val="21"/>
              </w:rPr>
              <w:t xml:space="preserve"> </w:t>
            </w:r>
            <w:proofErr w:type="spellStart"/>
            <w:r w:rsidRPr="00E03152">
              <w:rPr>
                <w:rFonts w:asciiTheme="majorHAnsi" w:eastAsia="Times New Roman" w:hAnsiTheme="majorHAnsi" w:cstheme="majorHAnsi"/>
                <w:b/>
                <w:bCs/>
                <w:color w:val="000000"/>
                <w:sz w:val="21"/>
                <w:szCs w:val="21"/>
              </w:rPr>
              <w:t>of</w:t>
            </w:r>
            <w:proofErr w:type="spellEnd"/>
            <w:r w:rsidRPr="00E03152">
              <w:rPr>
                <w:rFonts w:asciiTheme="majorHAnsi" w:eastAsia="Times New Roman" w:hAnsiTheme="majorHAnsi" w:cstheme="majorHAnsi"/>
                <w:b/>
                <w:bCs/>
                <w:color w:val="000000"/>
                <w:sz w:val="21"/>
                <w:szCs w:val="21"/>
              </w:rPr>
              <w:t xml:space="preserve"> the </w:t>
            </w:r>
            <w:proofErr w:type="spellStart"/>
            <w:r w:rsidRPr="00E03152">
              <w:rPr>
                <w:rFonts w:asciiTheme="majorHAnsi" w:eastAsia="Times New Roman" w:hAnsiTheme="majorHAnsi" w:cstheme="majorHAnsi"/>
                <w:b/>
                <w:bCs/>
                <w:color w:val="000000"/>
                <w:sz w:val="21"/>
                <w:szCs w:val="21"/>
              </w:rPr>
              <w:t>external</w:t>
            </w:r>
            <w:proofErr w:type="spellEnd"/>
            <w:r w:rsidRPr="00E03152">
              <w:rPr>
                <w:rFonts w:asciiTheme="majorHAnsi" w:eastAsia="Times New Roman" w:hAnsiTheme="majorHAnsi" w:cstheme="majorHAnsi"/>
                <w:b/>
                <w:bCs/>
                <w:color w:val="000000"/>
                <w:sz w:val="21"/>
                <w:szCs w:val="21"/>
              </w:rPr>
              <w:t xml:space="preserve"> </w:t>
            </w:r>
            <w:proofErr w:type="spellStart"/>
            <w:r w:rsidRPr="00E03152">
              <w:rPr>
                <w:rFonts w:asciiTheme="majorHAnsi" w:eastAsia="Times New Roman" w:hAnsiTheme="majorHAnsi" w:cstheme="majorHAnsi"/>
                <w:b/>
                <w:bCs/>
                <w:color w:val="000000"/>
                <w:sz w:val="21"/>
                <w:szCs w:val="21"/>
              </w:rPr>
              <w:t>auditor's</w:t>
            </w:r>
            <w:proofErr w:type="spellEnd"/>
            <w:r w:rsidRPr="00E03152">
              <w:rPr>
                <w:rFonts w:asciiTheme="majorHAnsi" w:eastAsia="Times New Roman" w:hAnsiTheme="majorHAnsi" w:cstheme="majorHAnsi"/>
                <w:b/>
                <w:bCs/>
                <w:color w:val="000000"/>
                <w:sz w:val="21"/>
                <w:szCs w:val="21"/>
              </w:rPr>
              <w:t xml:space="preserve"> </w:t>
            </w:r>
            <w:proofErr w:type="spellStart"/>
            <w:r w:rsidRPr="00E03152">
              <w:rPr>
                <w:rFonts w:asciiTheme="majorHAnsi" w:eastAsia="Times New Roman" w:hAnsiTheme="majorHAnsi" w:cstheme="majorHAnsi"/>
                <w:b/>
                <w:bCs/>
                <w:color w:val="000000"/>
                <w:sz w:val="21"/>
                <w:szCs w:val="21"/>
              </w:rPr>
              <w:t>report</w:t>
            </w:r>
            <w:proofErr w:type="spellEnd"/>
            <w:r w:rsidRPr="00E03152">
              <w:rPr>
                <w:rFonts w:asciiTheme="majorHAnsi" w:eastAsia="Times New Roman" w:hAnsiTheme="majorHAnsi" w:cstheme="majorHAnsi"/>
                <w:b/>
                <w:bCs/>
                <w:color w:val="000000"/>
                <w:sz w:val="21"/>
                <w:szCs w:val="21"/>
              </w:rPr>
              <w:t xml:space="preserve"> </w:t>
            </w:r>
            <w:proofErr w:type="spellStart"/>
            <w:r w:rsidRPr="00E03152">
              <w:rPr>
                <w:rFonts w:asciiTheme="majorHAnsi" w:eastAsia="Times New Roman" w:hAnsiTheme="majorHAnsi" w:cstheme="majorHAnsi"/>
                <w:b/>
                <w:bCs/>
                <w:color w:val="000000"/>
                <w:sz w:val="21"/>
                <w:szCs w:val="21"/>
              </w:rPr>
              <w:t>and</w:t>
            </w:r>
            <w:proofErr w:type="spellEnd"/>
            <w:r w:rsidRPr="00E03152">
              <w:rPr>
                <w:rFonts w:asciiTheme="majorHAnsi" w:eastAsia="Times New Roman" w:hAnsiTheme="majorHAnsi" w:cstheme="majorHAnsi"/>
                <w:b/>
                <w:bCs/>
                <w:color w:val="000000"/>
                <w:sz w:val="21"/>
                <w:szCs w:val="21"/>
              </w:rPr>
              <w:t xml:space="preserve"> </w:t>
            </w:r>
            <w:proofErr w:type="spellStart"/>
            <w:r w:rsidRPr="00E03152">
              <w:rPr>
                <w:rFonts w:asciiTheme="majorHAnsi" w:eastAsia="Times New Roman" w:hAnsiTheme="majorHAnsi" w:cstheme="majorHAnsi"/>
                <w:b/>
                <w:bCs/>
                <w:color w:val="000000"/>
                <w:sz w:val="21"/>
                <w:szCs w:val="21"/>
              </w:rPr>
              <w:t>action</w:t>
            </w:r>
            <w:proofErr w:type="spellEnd"/>
            <w:r w:rsidRPr="00E03152">
              <w:rPr>
                <w:rFonts w:asciiTheme="majorHAnsi" w:eastAsia="Times New Roman" w:hAnsiTheme="majorHAnsi" w:cstheme="majorHAnsi"/>
                <w:b/>
                <w:bCs/>
                <w:color w:val="000000"/>
                <w:sz w:val="21"/>
                <w:szCs w:val="21"/>
              </w:rPr>
              <w:t xml:space="preserve"> plan </w:t>
            </w:r>
            <w:proofErr w:type="spellStart"/>
            <w:r w:rsidRPr="00E03152">
              <w:rPr>
                <w:rFonts w:asciiTheme="majorHAnsi" w:eastAsia="Times New Roman" w:hAnsiTheme="majorHAnsi" w:cstheme="majorHAnsi"/>
                <w:b/>
                <w:bCs/>
                <w:color w:val="000000"/>
                <w:sz w:val="21"/>
                <w:szCs w:val="21"/>
              </w:rPr>
              <w:t>for</w:t>
            </w:r>
            <w:proofErr w:type="spellEnd"/>
            <w:r w:rsidRPr="00E03152">
              <w:rPr>
                <w:rFonts w:asciiTheme="majorHAnsi" w:eastAsia="Times New Roman" w:hAnsiTheme="majorHAnsi" w:cstheme="majorHAnsi"/>
                <w:b/>
                <w:bCs/>
                <w:color w:val="000000"/>
                <w:sz w:val="21"/>
                <w:szCs w:val="21"/>
              </w:rPr>
              <w:t xml:space="preserve"> </w:t>
            </w:r>
            <w:proofErr w:type="spellStart"/>
            <w:r w:rsidRPr="00E03152">
              <w:rPr>
                <w:rFonts w:asciiTheme="majorHAnsi" w:eastAsia="Times New Roman" w:hAnsiTheme="majorHAnsi" w:cstheme="majorHAnsi"/>
                <w:b/>
                <w:bCs/>
                <w:color w:val="000000"/>
                <w:sz w:val="21"/>
                <w:szCs w:val="21"/>
              </w:rPr>
              <w:t>addressing</w:t>
            </w:r>
            <w:proofErr w:type="spellEnd"/>
            <w:r w:rsidRPr="00E03152">
              <w:rPr>
                <w:rFonts w:asciiTheme="majorHAnsi" w:eastAsia="Times New Roman" w:hAnsiTheme="majorHAnsi" w:cstheme="majorHAnsi"/>
                <w:b/>
                <w:bCs/>
                <w:color w:val="000000"/>
                <w:sz w:val="21"/>
                <w:szCs w:val="21"/>
              </w:rPr>
              <w:t xml:space="preserve"> the </w:t>
            </w:r>
            <w:proofErr w:type="spellStart"/>
            <w:r w:rsidRPr="00E03152">
              <w:rPr>
                <w:rFonts w:asciiTheme="majorHAnsi" w:eastAsia="Times New Roman" w:hAnsiTheme="majorHAnsi" w:cstheme="majorHAnsi"/>
                <w:b/>
                <w:bCs/>
                <w:color w:val="000000"/>
                <w:sz w:val="21"/>
                <w:szCs w:val="21"/>
              </w:rPr>
              <w:t>recommendations</w:t>
            </w:r>
            <w:proofErr w:type="spellEnd"/>
            <w:r w:rsidRPr="00E03152">
              <w:rPr>
                <w:rFonts w:asciiTheme="majorHAnsi" w:eastAsia="Times New Roman" w:hAnsiTheme="majorHAnsi" w:cstheme="majorHAnsi"/>
                <w:b/>
                <w:bCs/>
                <w:color w:val="000000"/>
                <w:sz w:val="21"/>
                <w:szCs w:val="21"/>
              </w:rPr>
              <w:t xml:space="preserve"> in the MA </w:t>
            </w:r>
          </w:p>
        </w:tc>
        <w:tc>
          <w:tcPr>
            <w:tcW w:w="1440" w:type="dxa"/>
            <w:tcBorders>
              <w:top w:val="nil"/>
              <w:left w:val="nil"/>
              <w:bottom w:val="single" w:sz="4" w:space="0" w:color="auto"/>
              <w:right w:val="single" w:sz="4" w:space="0" w:color="auto"/>
            </w:tcBorders>
            <w:noWrap/>
            <w:vAlign w:val="center"/>
            <w:hideMark/>
          </w:tcPr>
          <w:p w14:paraId="01BE3368" w14:textId="77777777" w:rsidR="00E46572" w:rsidRPr="00E03152" w:rsidRDefault="00E46572" w:rsidP="00023C23">
            <w:pPr>
              <w:rPr>
                <w:rFonts w:asciiTheme="majorHAnsi" w:eastAsia="Times New Roman" w:hAnsiTheme="majorHAnsi" w:cstheme="majorHAnsi"/>
                <w:b/>
                <w:bCs/>
                <w:color w:val="000000"/>
                <w:sz w:val="21"/>
                <w:szCs w:val="21"/>
              </w:rPr>
            </w:pPr>
            <w:r w:rsidRPr="00E03152">
              <w:rPr>
                <w:rFonts w:asciiTheme="majorHAnsi" w:eastAsia="Times New Roman" w:hAnsiTheme="majorHAnsi" w:cstheme="majorHAnsi"/>
                <w:b/>
                <w:bCs/>
                <w:color w:val="000000"/>
                <w:sz w:val="21"/>
                <w:szCs w:val="21"/>
              </w:rPr>
              <w:t>2</w:t>
            </w:r>
          </w:p>
        </w:tc>
        <w:tc>
          <w:tcPr>
            <w:tcW w:w="2327" w:type="dxa"/>
            <w:tcBorders>
              <w:top w:val="nil"/>
              <w:left w:val="nil"/>
              <w:bottom w:val="single" w:sz="4" w:space="0" w:color="auto"/>
              <w:right w:val="single" w:sz="4" w:space="0" w:color="auto"/>
            </w:tcBorders>
          </w:tcPr>
          <w:p w14:paraId="7BB019FF" w14:textId="534B6B12" w:rsidR="00E46572" w:rsidRPr="00E03152" w:rsidRDefault="00E46572" w:rsidP="00023C23">
            <w:pPr>
              <w:rPr>
                <w:rFonts w:asciiTheme="majorHAnsi" w:eastAsia="Times New Roman" w:hAnsiTheme="majorHAnsi" w:cstheme="majorHAnsi"/>
                <w:b/>
                <w:bCs/>
                <w:color w:val="000000"/>
                <w:sz w:val="21"/>
                <w:szCs w:val="21"/>
              </w:rPr>
            </w:pPr>
            <w:r w:rsidRPr="00E03152">
              <w:rPr>
                <w:rFonts w:asciiTheme="majorHAnsi" w:eastAsia="Times New Roman" w:hAnsiTheme="majorHAnsi" w:cstheme="majorHAnsi"/>
                <w:b/>
                <w:bCs/>
                <w:color w:val="000000"/>
                <w:sz w:val="21"/>
                <w:szCs w:val="21"/>
              </w:rPr>
              <w:t>2</w:t>
            </w:r>
          </w:p>
        </w:tc>
      </w:tr>
      <w:tr w:rsidR="00E46572" w:rsidRPr="001C44F9" w14:paraId="037F383E" w14:textId="2DE23703" w:rsidTr="00E46572">
        <w:trPr>
          <w:trHeight w:val="269"/>
        </w:trPr>
        <w:tc>
          <w:tcPr>
            <w:tcW w:w="542" w:type="dxa"/>
            <w:tcBorders>
              <w:top w:val="nil"/>
              <w:left w:val="single" w:sz="8" w:space="0" w:color="auto"/>
              <w:bottom w:val="single" w:sz="4" w:space="0" w:color="auto"/>
              <w:right w:val="single" w:sz="4" w:space="0" w:color="auto"/>
            </w:tcBorders>
            <w:noWrap/>
            <w:vAlign w:val="center"/>
            <w:hideMark/>
          </w:tcPr>
          <w:p w14:paraId="7BEB9FC5" w14:textId="77777777" w:rsidR="00E46572" w:rsidRPr="00E03152" w:rsidRDefault="00E46572" w:rsidP="00023C23">
            <w:pPr>
              <w:rPr>
                <w:rFonts w:asciiTheme="majorHAnsi" w:eastAsia="Times New Roman" w:hAnsiTheme="majorHAnsi" w:cstheme="majorHAnsi"/>
                <w:b/>
                <w:bCs/>
                <w:color w:val="000000"/>
                <w:sz w:val="21"/>
                <w:szCs w:val="21"/>
              </w:rPr>
            </w:pPr>
            <w:r w:rsidRPr="00E03152">
              <w:rPr>
                <w:rFonts w:asciiTheme="majorHAnsi" w:eastAsia="Times New Roman" w:hAnsiTheme="majorHAnsi" w:cstheme="majorHAnsi"/>
                <w:b/>
                <w:bCs/>
                <w:color w:val="000000"/>
                <w:sz w:val="21"/>
                <w:szCs w:val="21"/>
              </w:rPr>
              <w:t>5</w:t>
            </w:r>
          </w:p>
        </w:tc>
        <w:tc>
          <w:tcPr>
            <w:tcW w:w="5388" w:type="dxa"/>
            <w:tcBorders>
              <w:top w:val="nil"/>
              <w:left w:val="nil"/>
              <w:bottom w:val="single" w:sz="4" w:space="0" w:color="auto"/>
              <w:right w:val="single" w:sz="4" w:space="0" w:color="auto"/>
            </w:tcBorders>
            <w:vAlign w:val="center"/>
            <w:hideMark/>
          </w:tcPr>
          <w:p w14:paraId="195D53DC" w14:textId="77777777" w:rsidR="00E46572" w:rsidRPr="00E03152" w:rsidRDefault="00E46572" w:rsidP="00023C23">
            <w:pPr>
              <w:rPr>
                <w:rFonts w:asciiTheme="majorHAnsi" w:eastAsia="Times New Roman" w:hAnsiTheme="majorHAnsi" w:cstheme="majorHAnsi"/>
                <w:color w:val="000000"/>
                <w:sz w:val="21"/>
                <w:szCs w:val="21"/>
              </w:rPr>
            </w:pPr>
            <w:proofErr w:type="spellStart"/>
            <w:r w:rsidRPr="00E03152">
              <w:rPr>
                <w:rFonts w:asciiTheme="majorHAnsi" w:eastAsia="Times New Roman" w:hAnsiTheme="majorHAnsi" w:cstheme="majorHAnsi"/>
                <w:color w:val="000000"/>
                <w:sz w:val="21"/>
                <w:szCs w:val="21"/>
              </w:rPr>
              <w:t>Meetings</w:t>
            </w:r>
            <w:proofErr w:type="spellEnd"/>
            <w:r w:rsidRPr="00E03152">
              <w:rPr>
                <w:rFonts w:asciiTheme="majorHAnsi" w:eastAsia="Times New Roman" w:hAnsiTheme="majorHAnsi" w:cstheme="majorHAnsi"/>
                <w:color w:val="000000"/>
                <w:sz w:val="21"/>
                <w:szCs w:val="21"/>
              </w:rPr>
              <w:t xml:space="preserve"> </w:t>
            </w:r>
            <w:proofErr w:type="spellStart"/>
            <w:r w:rsidRPr="00E03152">
              <w:rPr>
                <w:rFonts w:asciiTheme="majorHAnsi" w:eastAsia="Times New Roman" w:hAnsiTheme="majorHAnsi" w:cstheme="majorHAnsi"/>
                <w:color w:val="000000"/>
                <w:sz w:val="21"/>
                <w:szCs w:val="21"/>
              </w:rPr>
              <w:t>of</w:t>
            </w:r>
            <w:proofErr w:type="spellEnd"/>
            <w:r w:rsidRPr="00E03152">
              <w:rPr>
                <w:rFonts w:asciiTheme="majorHAnsi" w:eastAsia="Times New Roman" w:hAnsiTheme="majorHAnsi" w:cstheme="majorHAnsi"/>
                <w:color w:val="000000"/>
                <w:sz w:val="21"/>
                <w:szCs w:val="21"/>
              </w:rPr>
              <w:t xml:space="preserve"> the </w:t>
            </w:r>
            <w:proofErr w:type="spellStart"/>
            <w:r w:rsidRPr="00E03152">
              <w:rPr>
                <w:rFonts w:asciiTheme="majorHAnsi" w:eastAsia="Times New Roman" w:hAnsiTheme="majorHAnsi" w:cstheme="majorHAnsi"/>
                <w:color w:val="000000"/>
                <w:sz w:val="21"/>
                <w:szCs w:val="21"/>
              </w:rPr>
              <w:t>Municipal</w:t>
            </w:r>
            <w:proofErr w:type="spellEnd"/>
            <w:r w:rsidRPr="00E03152">
              <w:rPr>
                <w:rFonts w:asciiTheme="majorHAnsi" w:eastAsia="Times New Roman" w:hAnsiTheme="majorHAnsi" w:cstheme="majorHAnsi"/>
                <w:color w:val="000000"/>
                <w:sz w:val="21"/>
                <w:szCs w:val="21"/>
              </w:rPr>
              <w:t xml:space="preserve"> </w:t>
            </w:r>
            <w:proofErr w:type="spellStart"/>
            <w:r w:rsidRPr="00E03152">
              <w:rPr>
                <w:rFonts w:asciiTheme="majorHAnsi" w:eastAsia="Times New Roman" w:hAnsiTheme="majorHAnsi" w:cstheme="majorHAnsi"/>
                <w:color w:val="000000"/>
                <w:sz w:val="21"/>
                <w:szCs w:val="21"/>
              </w:rPr>
              <w:t>Assembly</w:t>
            </w:r>
            <w:proofErr w:type="spellEnd"/>
            <w:r w:rsidRPr="00E03152">
              <w:rPr>
                <w:rFonts w:asciiTheme="majorHAnsi" w:eastAsia="Times New Roman" w:hAnsiTheme="majorHAnsi" w:cstheme="majorHAnsi"/>
                <w:color w:val="000000"/>
                <w:sz w:val="21"/>
                <w:szCs w:val="21"/>
              </w:rPr>
              <w:t xml:space="preserve"> </w:t>
            </w:r>
            <w:proofErr w:type="spellStart"/>
            <w:r w:rsidRPr="00E03152">
              <w:rPr>
                <w:rFonts w:asciiTheme="majorHAnsi" w:eastAsia="Times New Roman" w:hAnsiTheme="majorHAnsi" w:cstheme="majorHAnsi"/>
                <w:color w:val="000000"/>
                <w:sz w:val="21"/>
                <w:szCs w:val="21"/>
              </w:rPr>
              <w:t>with</w:t>
            </w:r>
            <w:proofErr w:type="spellEnd"/>
            <w:r w:rsidRPr="00E03152">
              <w:rPr>
                <w:rFonts w:asciiTheme="majorHAnsi" w:eastAsia="Times New Roman" w:hAnsiTheme="majorHAnsi" w:cstheme="majorHAnsi"/>
                <w:color w:val="000000"/>
                <w:sz w:val="21"/>
                <w:szCs w:val="21"/>
              </w:rPr>
              <w:t xml:space="preserve"> the </w:t>
            </w:r>
            <w:proofErr w:type="spellStart"/>
            <w:r w:rsidRPr="00E03152">
              <w:rPr>
                <w:rFonts w:asciiTheme="majorHAnsi" w:eastAsia="Times New Roman" w:hAnsiTheme="majorHAnsi" w:cstheme="majorHAnsi"/>
                <w:color w:val="000000"/>
                <w:sz w:val="21"/>
                <w:szCs w:val="21"/>
              </w:rPr>
              <w:t>participation</w:t>
            </w:r>
            <w:proofErr w:type="spellEnd"/>
            <w:r w:rsidRPr="00E03152">
              <w:rPr>
                <w:rFonts w:asciiTheme="majorHAnsi" w:eastAsia="Times New Roman" w:hAnsiTheme="majorHAnsi" w:cstheme="majorHAnsi"/>
                <w:color w:val="000000"/>
                <w:sz w:val="21"/>
                <w:szCs w:val="21"/>
              </w:rPr>
              <w:t xml:space="preserve"> </w:t>
            </w:r>
            <w:proofErr w:type="spellStart"/>
            <w:r w:rsidRPr="00E03152">
              <w:rPr>
                <w:rFonts w:asciiTheme="majorHAnsi" w:eastAsia="Times New Roman" w:hAnsiTheme="majorHAnsi" w:cstheme="majorHAnsi"/>
                <w:color w:val="000000"/>
                <w:sz w:val="21"/>
                <w:szCs w:val="21"/>
              </w:rPr>
              <w:t>of</w:t>
            </w:r>
            <w:proofErr w:type="spellEnd"/>
            <w:r w:rsidRPr="00E03152">
              <w:rPr>
                <w:rFonts w:asciiTheme="majorHAnsi" w:eastAsia="Times New Roman" w:hAnsiTheme="majorHAnsi" w:cstheme="majorHAnsi"/>
                <w:color w:val="000000"/>
                <w:sz w:val="21"/>
                <w:szCs w:val="21"/>
              </w:rPr>
              <w:t xml:space="preserve"> the </w:t>
            </w:r>
            <w:proofErr w:type="spellStart"/>
            <w:r w:rsidRPr="00E03152">
              <w:rPr>
                <w:rFonts w:asciiTheme="majorHAnsi" w:eastAsia="Times New Roman" w:hAnsiTheme="majorHAnsi" w:cstheme="majorHAnsi"/>
                <w:color w:val="000000"/>
                <w:sz w:val="21"/>
                <w:szCs w:val="21"/>
              </w:rPr>
              <w:t>mayor</w:t>
            </w:r>
            <w:proofErr w:type="spellEnd"/>
          </w:p>
        </w:tc>
        <w:tc>
          <w:tcPr>
            <w:tcW w:w="1440" w:type="dxa"/>
            <w:tcBorders>
              <w:top w:val="nil"/>
              <w:left w:val="nil"/>
              <w:bottom w:val="single" w:sz="4" w:space="0" w:color="auto"/>
              <w:right w:val="single" w:sz="4" w:space="0" w:color="auto"/>
            </w:tcBorders>
            <w:noWrap/>
            <w:vAlign w:val="center"/>
            <w:hideMark/>
          </w:tcPr>
          <w:p w14:paraId="2C66EC2D" w14:textId="77777777" w:rsidR="00E46572" w:rsidRPr="00E03152" w:rsidRDefault="00E46572" w:rsidP="00023C23">
            <w:pPr>
              <w:rPr>
                <w:rFonts w:asciiTheme="majorHAnsi" w:eastAsia="Times New Roman" w:hAnsiTheme="majorHAnsi" w:cstheme="majorHAnsi"/>
                <w:b/>
                <w:bCs/>
                <w:color w:val="000000"/>
                <w:sz w:val="21"/>
                <w:szCs w:val="21"/>
              </w:rPr>
            </w:pPr>
            <w:r w:rsidRPr="00E03152">
              <w:rPr>
                <w:rFonts w:asciiTheme="majorHAnsi" w:eastAsia="Times New Roman" w:hAnsiTheme="majorHAnsi" w:cstheme="majorHAnsi"/>
                <w:b/>
                <w:bCs/>
                <w:color w:val="000000"/>
                <w:sz w:val="21"/>
                <w:szCs w:val="21"/>
              </w:rPr>
              <w:t>2</w:t>
            </w:r>
          </w:p>
        </w:tc>
        <w:tc>
          <w:tcPr>
            <w:tcW w:w="2327" w:type="dxa"/>
            <w:tcBorders>
              <w:top w:val="nil"/>
              <w:left w:val="nil"/>
              <w:bottom w:val="single" w:sz="4" w:space="0" w:color="auto"/>
              <w:right w:val="single" w:sz="4" w:space="0" w:color="auto"/>
            </w:tcBorders>
          </w:tcPr>
          <w:p w14:paraId="5A652CCE" w14:textId="0F576A2F" w:rsidR="00E46572" w:rsidRPr="00E03152" w:rsidRDefault="00E46572" w:rsidP="00023C23">
            <w:pPr>
              <w:rPr>
                <w:rFonts w:asciiTheme="majorHAnsi" w:eastAsia="Times New Roman" w:hAnsiTheme="majorHAnsi" w:cstheme="majorHAnsi"/>
                <w:b/>
                <w:bCs/>
                <w:color w:val="000000"/>
                <w:sz w:val="21"/>
                <w:szCs w:val="21"/>
              </w:rPr>
            </w:pPr>
            <w:r w:rsidRPr="00E03152">
              <w:rPr>
                <w:rFonts w:asciiTheme="majorHAnsi" w:eastAsia="Times New Roman" w:hAnsiTheme="majorHAnsi" w:cstheme="majorHAnsi"/>
                <w:b/>
                <w:bCs/>
                <w:color w:val="000000"/>
                <w:sz w:val="21"/>
                <w:szCs w:val="21"/>
              </w:rPr>
              <w:t>2</w:t>
            </w:r>
          </w:p>
        </w:tc>
      </w:tr>
      <w:tr w:rsidR="00E46572" w:rsidRPr="001C44F9" w14:paraId="2BCD8D40" w14:textId="7674B5F2" w:rsidTr="00E46572">
        <w:trPr>
          <w:trHeight w:val="144"/>
        </w:trPr>
        <w:tc>
          <w:tcPr>
            <w:tcW w:w="542" w:type="dxa"/>
            <w:tcBorders>
              <w:top w:val="nil"/>
              <w:left w:val="single" w:sz="8" w:space="0" w:color="auto"/>
              <w:bottom w:val="single" w:sz="4" w:space="0" w:color="auto"/>
              <w:right w:val="single" w:sz="4" w:space="0" w:color="auto"/>
            </w:tcBorders>
            <w:shd w:val="clear" w:color="auto" w:fill="709FDB" w:themeFill="text2" w:themeFillTint="80"/>
            <w:noWrap/>
            <w:vAlign w:val="center"/>
            <w:hideMark/>
          </w:tcPr>
          <w:p w14:paraId="429D5759"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II</w:t>
            </w:r>
          </w:p>
        </w:tc>
        <w:tc>
          <w:tcPr>
            <w:tcW w:w="5388" w:type="dxa"/>
            <w:tcBorders>
              <w:top w:val="single" w:sz="4" w:space="0" w:color="auto"/>
              <w:left w:val="nil"/>
              <w:bottom w:val="single" w:sz="4" w:space="0" w:color="auto"/>
              <w:right w:val="single" w:sz="4" w:space="0" w:color="auto"/>
            </w:tcBorders>
            <w:shd w:val="clear" w:color="auto" w:fill="709FDB" w:themeFill="text2" w:themeFillTint="80"/>
            <w:vAlign w:val="center"/>
            <w:hideMark/>
          </w:tcPr>
          <w:p w14:paraId="292CCD58" w14:textId="77777777" w:rsidR="00E46572" w:rsidRPr="001C44F9" w:rsidRDefault="00E46572" w:rsidP="00023C23">
            <w:pPr>
              <w:rPr>
                <w:rFonts w:asciiTheme="majorHAnsi" w:eastAsia="Times New Roman" w:hAnsiTheme="majorHAnsi" w:cstheme="majorHAnsi"/>
                <w:b/>
                <w:bCs/>
                <w:color w:val="FFFFFF"/>
                <w:sz w:val="21"/>
                <w:szCs w:val="21"/>
              </w:rPr>
            </w:pPr>
            <w:proofErr w:type="spellStart"/>
            <w:r w:rsidRPr="001C44F9">
              <w:rPr>
                <w:rFonts w:asciiTheme="majorHAnsi" w:eastAsia="Times New Roman" w:hAnsiTheme="majorHAnsi" w:cstheme="majorHAnsi"/>
                <w:b/>
                <w:bCs/>
                <w:color w:val="FFFFFF"/>
                <w:sz w:val="21"/>
                <w:szCs w:val="21"/>
              </w:rPr>
              <w:t>Participation</w:t>
            </w:r>
            <w:proofErr w:type="spellEnd"/>
            <w:r w:rsidRPr="001C44F9">
              <w:rPr>
                <w:rFonts w:asciiTheme="majorHAnsi" w:eastAsia="Times New Roman" w:hAnsiTheme="majorHAnsi" w:cstheme="majorHAnsi"/>
                <w:b/>
                <w:bCs/>
                <w:color w:val="FFFFFF"/>
                <w:sz w:val="21"/>
                <w:szCs w:val="21"/>
              </w:rPr>
              <w:t xml:space="preserve">, </w:t>
            </w:r>
            <w:proofErr w:type="spellStart"/>
            <w:r w:rsidRPr="001C44F9">
              <w:rPr>
                <w:rFonts w:asciiTheme="majorHAnsi" w:eastAsia="Times New Roman" w:hAnsiTheme="majorHAnsi" w:cstheme="majorHAnsi"/>
                <w:b/>
                <w:bCs/>
                <w:color w:val="FFFFFF"/>
                <w:sz w:val="21"/>
                <w:szCs w:val="21"/>
              </w:rPr>
              <w:t>consultation</w:t>
            </w:r>
            <w:proofErr w:type="spellEnd"/>
            <w:r w:rsidRPr="001C44F9">
              <w:rPr>
                <w:rFonts w:asciiTheme="majorHAnsi" w:eastAsia="Times New Roman" w:hAnsiTheme="majorHAnsi" w:cstheme="majorHAnsi"/>
                <w:b/>
                <w:bCs/>
                <w:color w:val="FFFFFF"/>
                <w:sz w:val="21"/>
                <w:szCs w:val="21"/>
              </w:rPr>
              <w:t xml:space="preserve"> </w:t>
            </w:r>
            <w:proofErr w:type="spellStart"/>
            <w:r w:rsidRPr="001C44F9">
              <w:rPr>
                <w:rFonts w:asciiTheme="majorHAnsi" w:eastAsia="Times New Roman" w:hAnsiTheme="majorHAnsi" w:cstheme="majorHAnsi"/>
                <w:b/>
                <w:bCs/>
                <w:color w:val="FFFFFF"/>
                <w:sz w:val="21"/>
                <w:szCs w:val="21"/>
              </w:rPr>
              <w:t>and</w:t>
            </w:r>
            <w:proofErr w:type="spellEnd"/>
            <w:r w:rsidRPr="001C44F9">
              <w:rPr>
                <w:rFonts w:asciiTheme="majorHAnsi" w:eastAsia="Times New Roman" w:hAnsiTheme="majorHAnsi" w:cstheme="majorHAnsi"/>
                <w:b/>
                <w:bCs/>
                <w:color w:val="FFFFFF"/>
                <w:sz w:val="21"/>
                <w:szCs w:val="21"/>
              </w:rPr>
              <w:t xml:space="preserve"> </w:t>
            </w:r>
            <w:proofErr w:type="spellStart"/>
            <w:r w:rsidRPr="001C44F9">
              <w:rPr>
                <w:rFonts w:asciiTheme="majorHAnsi" w:eastAsia="Times New Roman" w:hAnsiTheme="majorHAnsi" w:cstheme="majorHAnsi"/>
                <w:b/>
                <w:bCs/>
                <w:color w:val="FFFFFF"/>
                <w:sz w:val="21"/>
                <w:szCs w:val="21"/>
              </w:rPr>
              <w:t>inclusion</w:t>
            </w:r>
            <w:proofErr w:type="spellEnd"/>
            <w:r w:rsidRPr="001C44F9">
              <w:rPr>
                <w:rFonts w:asciiTheme="majorHAnsi" w:eastAsia="Times New Roman" w:hAnsiTheme="majorHAnsi" w:cstheme="majorHAnsi"/>
                <w:b/>
                <w:bCs/>
                <w:color w:val="FFFFFF"/>
                <w:sz w:val="21"/>
                <w:szCs w:val="21"/>
              </w:rPr>
              <w:t xml:space="preserve"> </w:t>
            </w:r>
            <w:proofErr w:type="spellStart"/>
            <w:r w:rsidRPr="001C44F9">
              <w:rPr>
                <w:rFonts w:asciiTheme="majorHAnsi" w:eastAsia="Times New Roman" w:hAnsiTheme="majorHAnsi" w:cstheme="majorHAnsi"/>
                <w:b/>
                <w:bCs/>
                <w:color w:val="FFFFFF"/>
                <w:sz w:val="21"/>
                <w:szCs w:val="21"/>
              </w:rPr>
              <w:t>of</w:t>
            </w:r>
            <w:proofErr w:type="spellEnd"/>
            <w:r w:rsidRPr="001C44F9">
              <w:rPr>
                <w:rFonts w:asciiTheme="majorHAnsi" w:eastAsia="Times New Roman" w:hAnsiTheme="majorHAnsi" w:cstheme="majorHAnsi"/>
                <w:b/>
                <w:bCs/>
                <w:color w:val="FFFFFF"/>
                <w:sz w:val="21"/>
                <w:szCs w:val="21"/>
              </w:rPr>
              <w:t xml:space="preserve">  </w:t>
            </w:r>
            <w:proofErr w:type="spellStart"/>
            <w:r w:rsidRPr="001C44F9">
              <w:rPr>
                <w:rFonts w:asciiTheme="majorHAnsi" w:eastAsia="Times New Roman" w:hAnsiTheme="majorHAnsi" w:cstheme="majorHAnsi"/>
                <w:b/>
                <w:bCs/>
                <w:color w:val="FFFFFF"/>
                <w:sz w:val="21"/>
                <w:szCs w:val="21"/>
              </w:rPr>
              <w:t>citizens</w:t>
            </w:r>
            <w:proofErr w:type="spellEnd"/>
          </w:p>
        </w:tc>
        <w:tc>
          <w:tcPr>
            <w:tcW w:w="1440" w:type="dxa"/>
            <w:tcBorders>
              <w:top w:val="nil"/>
              <w:left w:val="nil"/>
              <w:bottom w:val="single" w:sz="4" w:space="0" w:color="auto"/>
              <w:right w:val="single" w:sz="4" w:space="0" w:color="auto"/>
            </w:tcBorders>
            <w:shd w:val="clear" w:color="auto" w:fill="709FDB" w:themeFill="text2" w:themeFillTint="80"/>
            <w:vAlign w:val="center"/>
            <w:hideMark/>
          </w:tcPr>
          <w:p w14:paraId="36CE84E8"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12</w:t>
            </w:r>
          </w:p>
        </w:tc>
        <w:tc>
          <w:tcPr>
            <w:tcW w:w="2327" w:type="dxa"/>
            <w:tcBorders>
              <w:top w:val="nil"/>
              <w:left w:val="nil"/>
              <w:bottom w:val="single" w:sz="4" w:space="0" w:color="auto"/>
              <w:right w:val="single" w:sz="4" w:space="0" w:color="auto"/>
            </w:tcBorders>
            <w:shd w:val="clear" w:color="auto" w:fill="709FDB" w:themeFill="text2" w:themeFillTint="80"/>
          </w:tcPr>
          <w:p w14:paraId="76750051" w14:textId="09B6DAC9" w:rsidR="00E46572" w:rsidRPr="001C44F9" w:rsidRDefault="00E46572" w:rsidP="00023C23">
            <w:pPr>
              <w:rPr>
                <w:rFonts w:asciiTheme="majorHAnsi" w:eastAsia="Times New Roman" w:hAnsiTheme="majorHAnsi" w:cstheme="majorHAnsi"/>
                <w:b/>
                <w:bCs/>
                <w:color w:val="FFFFFF"/>
                <w:sz w:val="21"/>
                <w:szCs w:val="21"/>
              </w:rPr>
            </w:pPr>
            <w:r>
              <w:rPr>
                <w:rFonts w:asciiTheme="majorHAnsi" w:eastAsia="Times New Roman" w:hAnsiTheme="majorHAnsi" w:cstheme="majorHAnsi"/>
                <w:b/>
                <w:bCs/>
                <w:color w:val="FFFFFF"/>
                <w:sz w:val="21"/>
                <w:szCs w:val="21"/>
              </w:rPr>
              <w:t>12</w:t>
            </w:r>
          </w:p>
        </w:tc>
      </w:tr>
      <w:tr w:rsidR="00E46572" w:rsidRPr="001C44F9" w14:paraId="257C6406" w14:textId="019A29ED" w:rsidTr="00E46572">
        <w:trPr>
          <w:trHeight w:val="386"/>
        </w:trPr>
        <w:tc>
          <w:tcPr>
            <w:tcW w:w="542"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07B0A958"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6</w:t>
            </w:r>
          </w:p>
        </w:tc>
        <w:tc>
          <w:tcPr>
            <w:tcW w:w="5388" w:type="dxa"/>
            <w:tcBorders>
              <w:top w:val="nil"/>
              <w:left w:val="nil"/>
              <w:bottom w:val="single" w:sz="4" w:space="0" w:color="auto"/>
              <w:right w:val="single" w:sz="4" w:space="0" w:color="auto"/>
            </w:tcBorders>
            <w:vAlign w:val="center"/>
            <w:hideMark/>
          </w:tcPr>
          <w:p w14:paraId="1F5D4753" w14:textId="77777777" w:rsidR="00E46572" w:rsidRPr="001C44F9" w:rsidRDefault="00E46572" w:rsidP="00023C23">
            <w:pPr>
              <w:rPr>
                <w:rFonts w:asciiTheme="majorHAnsi" w:eastAsia="Times New Roman" w:hAnsiTheme="majorHAnsi" w:cstheme="majorHAnsi"/>
                <w:sz w:val="21"/>
                <w:szCs w:val="21"/>
              </w:rPr>
            </w:pPr>
            <w:proofErr w:type="spellStart"/>
            <w:r w:rsidRPr="001C44F9">
              <w:rPr>
                <w:rFonts w:asciiTheme="majorHAnsi" w:eastAsia="Times New Roman" w:hAnsiTheme="majorHAnsi" w:cstheme="majorHAnsi"/>
                <w:sz w:val="21"/>
                <w:szCs w:val="21"/>
              </w:rPr>
              <w:t>Citizen</w:t>
            </w:r>
            <w:proofErr w:type="spellEnd"/>
            <w:r w:rsidRPr="001C44F9">
              <w:rPr>
                <w:rFonts w:asciiTheme="majorHAnsi" w:eastAsia="Times New Roman" w:hAnsiTheme="majorHAnsi" w:cstheme="majorHAnsi"/>
                <w:sz w:val="21"/>
                <w:szCs w:val="21"/>
              </w:rPr>
              <w:t xml:space="preserve"> </w:t>
            </w:r>
            <w:proofErr w:type="spellStart"/>
            <w:r w:rsidRPr="001C44F9">
              <w:rPr>
                <w:rFonts w:asciiTheme="majorHAnsi" w:eastAsia="Times New Roman" w:hAnsiTheme="majorHAnsi" w:cstheme="majorHAnsi"/>
                <w:sz w:val="21"/>
                <w:szCs w:val="21"/>
              </w:rPr>
              <w:t>participation</w:t>
            </w:r>
            <w:proofErr w:type="spellEnd"/>
            <w:r w:rsidRPr="001C44F9">
              <w:rPr>
                <w:rFonts w:asciiTheme="majorHAnsi" w:eastAsia="Times New Roman" w:hAnsiTheme="majorHAnsi" w:cstheme="majorHAnsi"/>
                <w:sz w:val="21"/>
                <w:szCs w:val="21"/>
              </w:rPr>
              <w:t xml:space="preserve"> in </w:t>
            </w:r>
            <w:proofErr w:type="spellStart"/>
            <w:r w:rsidRPr="001C44F9">
              <w:rPr>
                <w:rFonts w:asciiTheme="majorHAnsi" w:eastAsia="Times New Roman" w:hAnsiTheme="majorHAnsi" w:cstheme="majorHAnsi"/>
                <w:sz w:val="21"/>
                <w:szCs w:val="21"/>
              </w:rPr>
              <w:t>public</w:t>
            </w:r>
            <w:proofErr w:type="spellEnd"/>
            <w:r w:rsidRPr="001C44F9">
              <w:rPr>
                <w:rFonts w:asciiTheme="majorHAnsi" w:eastAsia="Times New Roman" w:hAnsiTheme="majorHAnsi" w:cstheme="majorHAnsi"/>
                <w:sz w:val="21"/>
                <w:szCs w:val="21"/>
              </w:rPr>
              <w:t xml:space="preserve"> </w:t>
            </w:r>
            <w:proofErr w:type="spellStart"/>
            <w:r w:rsidRPr="001C44F9">
              <w:rPr>
                <w:rFonts w:asciiTheme="majorHAnsi" w:eastAsia="Times New Roman" w:hAnsiTheme="majorHAnsi" w:cstheme="majorHAnsi"/>
                <w:sz w:val="21"/>
                <w:szCs w:val="21"/>
              </w:rPr>
              <w:t>consultations</w:t>
            </w:r>
            <w:proofErr w:type="spellEnd"/>
            <w:r w:rsidRPr="001C44F9">
              <w:rPr>
                <w:rFonts w:asciiTheme="majorHAnsi" w:eastAsia="Times New Roman" w:hAnsiTheme="majorHAnsi" w:cstheme="majorHAnsi"/>
                <w:sz w:val="21"/>
                <w:szCs w:val="21"/>
              </w:rPr>
              <w:t xml:space="preserve">, </w:t>
            </w:r>
            <w:proofErr w:type="spellStart"/>
            <w:r w:rsidRPr="001C44F9">
              <w:rPr>
                <w:rFonts w:asciiTheme="majorHAnsi" w:eastAsia="Times New Roman" w:hAnsiTheme="majorHAnsi" w:cstheme="majorHAnsi"/>
                <w:sz w:val="21"/>
                <w:szCs w:val="21"/>
              </w:rPr>
              <w:t>disaggregated</w:t>
            </w:r>
            <w:proofErr w:type="spellEnd"/>
            <w:r w:rsidRPr="001C44F9">
              <w:rPr>
                <w:rFonts w:asciiTheme="majorHAnsi" w:eastAsia="Times New Roman" w:hAnsiTheme="majorHAnsi" w:cstheme="majorHAnsi"/>
                <w:sz w:val="21"/>
                <w:szCs w:val="21"/>
              </w:rPr>
              <w:t xml:space="preserve"> by </w:t>
            </w:r>
            <w:proofErr w:type="spellStart"/>
            <w:r w:rsidRPr="001C44F9">
              <w:rPr>
                <w:rFonts w:asciiTheme="majorHAnsi" w:eastAsia="Times New Roman" w:hAnsiTheme="majorHAnsi" w:cstheme="majorHAnsi"/>
                <w:sz w:val="21"/>
                <w:szCs w:val="21"/>
              </w:rPr>
              <w:t>gender</w:t>
            </w:r>
            <w:proofErr w:type="spellEnd"/>
          </w:p>
        </w:tc>
        <w:tc>
          <w:tcPr>
            <w:tcW w:w="1440" w:type="dxa"/>
            <w:tcBorders>
              <w:top w:val="nil"/>
              <w:left w:val="nil"/>
              <w:bottom w:val="single" w:sz="4" w:space="0" w:color="auto"/>
              <w:right w:val="single" w:sz="4" w:space="0" w:color="auto"/>
            </w:tcBorders>
            <w:noWrap/>
            <w:vAlign w:val="center"/>
            <w:hideMark/>
          </w:tcPr>
          <w:p w14:paraId="5885F106"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4</w:t>
            </w:r>
          </w:p>
        </w:tc>
        <w:tc>
          <w:tcPr>
            <w:tcW w:w="2327" w:type="dxa"/>
            <w:tcBorders>
              <w:top w:val="nil"/>
              <w:left w:val="nil"/>
              <w:bottom w:val="single" w:sz="4" w:space="0" w:color="auto"/>
              <w:right w:val="single" w:sz="4" w:space="0" w:color="auto"/>
            </w:tcBorders>
          </w:tcPr>
          <w:p w14:paraId="12471E60" w14:textId="46F41940"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4</w:t>
            </w:r>
          </w:p>
        </w:tc>
      </w:tr>
      <w:tr w:rsidR="00E46572" w:rsidRPr="001C44F9" w14:paraId="4BCE7910" w14:textId="4D6501F9" w:rsidTr="00E46572">
        <w:trPr>
          <w:trHeight w:val="305"/>
        </w:trPr>
        <w:tc>
          <w:tcPr>
            <w:tcW w:w="542"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301602C9"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7</w:t>
            </w:r>
          </w:p>
        </w:tc>
        <w:tc>
          <w:tcPr>
            <w:tcW w:w="5388" w:type="dxa"/>
            <w:tcBorders>
              <w:top w:val="nil"/>
              <w:left w:val="nil"/>
              <w:bottom w:val="single" w:sz="4" w:space="0" w:color="auto"/>
              <w:right w:val="single" w:sz="4" w:space="0" w:color="auto"/>
            </w:tcBorders>
            <w:vAlign w:val="center"/>
            <w:hideMark/>
          </w:tcPr>
          <w:p w14:paraId="5775B33B" w14:textId="77777777" w:rsidR="00E46572" w:rsidRPr="001C44F9" w:rsidRDefault="00E46572" w:rsidP="00023C23">
            <w:pPr>
              <w:rPr>
                <w:rFonts w:asciiTheme="majorHAnsi" w:eastAsia="Times New Roman" w:hAnsiTheme="majorHAnsi" w:cstheme="majorHAnsi"/>
                <w:color w:val="000000"/>
                <w:sz w:val="21"/>
                <w:szCs w:val="21"/>
              </w:rPr>
            </w:pPr>
            <w:proofErr w:type="spellStart"/>
            <w:r w:rsidRPr="001C44F9">
              <w:rPr>
                <w:rFonts w:asciiTheme="majorHAnsi" w:eastAsia="Times New Roman" w:hAnsiTheme="majorHAnsi" w:cstheme="majorHAnsi"/>
                <w:color w:val="000000"/>
                <w:sz w:val="21"/>
                <w:szCs w:val="21"/>
              </w:rPr>
              <w:t>Municipal</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acts</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and</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local</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policy</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documents</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consulted</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with</w:t>
            </w:r>
            <w:proofErr w:type="spellEnd"/>
            <w:r w:rsidRPr="001C44F9">
              <w:rPr>
                <w:rFonts w:asciiTheme="majorHAnsi" w:eastAsia="Times New Roman" w:hAnsiTheme="majorHAnsi" w:cstheme="majorHAnsi"/>
                <w:color w:val="000000"/>
                <w:sz w:val="21"/>
                <w:szCs w:val="21"/>
              </w:rPr>
              <w:t xml:space="preserve"> the </w:t>
            </w:r>
            <w:proofErr w:type="spellStart"/>
            <w:r w:rsidRPr="001C44F9">
              <w:rPr>
                <w:rFonts w:asciiTheme="majorHAnsi" w:eastAsia="Times New Roman" w:hAnsiTheme="majorHAnsi" w:cstheme="majorHAnsi"/>
                <w:color w:val="000000"/>
                <w:sz w:val="21"/>
                <w:szCs w:val="21"/>
              </w:rPr>
              <w:t>public</w:t>
            </w:r>
            <w:proofErr w:type="spellEnd"/>
          </w:p>
        </w:tc>
        <w:tc>
          <w:tcPr>
            <w:tcW w:w="1440" w:type="dxa"/>
            <w:tcBorders>
              <w:top w:val="nil"/>
              <w:left w:val="nil"/>
              <w:bottom w:val="single" w:sz="4" w:space="0" w:color="auto"/>
              <w:right w:val="single" w:sz="4" w:space="0" w:color="auto"/>
            </w:tcBorders>
            <w:noWrap/>
            <w:vAlign w:val="center"/>
            <w:hideMark/>
          </w:tcPr>
          <w:p w14:paraId="5969D2F2"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4</w:t>
            </w:r>
          </w:p>
        </w:tc>
        <w:tc>
          <w:tcPr>
            <w:tcW w:w="2327" w:type="dxa"/>
            <w:tcBorders>
              <w:top w:val="nil"/>
              <w:left w:val="nil"/>
              <w:bottom w:val="single" w:sz="4" w:space="0" w:color="auto"/>
              <w:right w:val="single" w:sz="4" w:space="0" w:color="auto"/>
            </w:tcBorders>
          </w:tcPr>
          <w:p w14:paraId="37097C2C" w14:textId="1D7989FD"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4</w:t>
            </w:r>
          </w:p>
        </w:tc>
      </w:tr>
      <w:tr w:rsidR="00E46572" w:rsidRPr="001C44F9" w14:paraId="7B580093" w14:textId="01ED6387" w:rsidTr="00E46572">
        <w:trPr>
          <w:trHeight w:val="260"/>
        </w:trPr>
        <w:tc>
          <w:tcPr>
            <w:tcW w:w="542"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4B072AE9"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8</w:t>
            </w:r>
          </w:p>
        </w:tc>
        <w:tc>
          <w:tcPr>
            <w:tcW w:w="5388" w:type="dxa"/>
            <w:tcBorders>
              <w:top w:val="nil"/>
              <w:left w:val="nil"/>
              <w:bottom w:val="single" w:sz="4" w:space="0" w:color="auto"/>
              <w:right w:val="single" w:sz="4" w:space="0" w:color="auto"/>
            </w:tcBorders>
            <w:shd w:val="clear" w:color="000000" w:fill="FFFFFF"/>
            <w:vAlign w:val="center"/>
            <w:hideMark/>
          </w:tcPr>
          <w:p w14:paraId="6D060D26" w14:textId="77777777" w:rsidR="00E46572" w:rsidRPr="001C44F9" w:rsidRDefault="00E46572" w:rsidP="00023C23">
            <w:pPr>
              <w:rPr>
                <w:rFonts w:asciiTheme="majorHAnsi" w:eastAsia="Times New Roman" w:hAnsiTheme="majorHAnsi" w:cstheme="majorHAnsi"/>
                <w:sz w:val="21"/>
                <w:szCs w:val="21"/>
              </w:rPr>
            </w:pPr>
            <w:proofErr w:type="spellStart"/>
            <w:r w:rsidRPr="001C44F9">
              <w:rPr>
                <w:rFonts w:asciiTheme="majorHAnsi" w:eastAsia="Times New Roman" w:hAnsiTheme="majorHAnsi" w:cstheme="majorHAnsi"/>
                <w:sz w:val="21"/>
                <w:szCs w:val="21"/>
              </w:rPr>
              <w:t>Public</w:t>
            </w:r>
            <w:proofErr w:type="spellEnd"/>
            <w:r w:rsidRPr="001C44F9">
              <w:rPr>
                <w:rFonts w:asciiTheme="majorHAnsi" w:eastAsia="Times New Roman" w:hAnsiTheme="majorHAnsi" w:cstheme="majorHAnsi"/>
                <w:sz w:val="21"/>
                <w:szCs w:val="21"/>
              </w:rPr>
              <w:t xml:space="preserve"> </w:t>
            </w:r>
            <w:proofErr w:type="spellStart"/>
            <w:r w:rsidRPr="001C44F9">
              <w:rPr>
                <w:rFonts w:asciiTheme="majorHAnsi" w:eastAsia="Times New Roman" w:hAnsiTheme="majorHAnsi" w:cstheme="majorHAnsi"/>
                <w:sz w:val="21"/>
                <w:szCs w:val="21"/>
              </w:rPr>
              <w:t>hearing</w:t>
            </w:r>
            <w:proofErr w:type="spellEnd"/>
            <w:r w:rsidRPr="001C44F9">
              <w:rPr>
                <w:rFonts w:asciiTheme="majorHAnsi" w:eastAsia="Times New Roman" w:hAnsiTheme="majorHAnsi" w:cstheme="majorHAnsi"/>
                <w:sz w:val="21"/>
                <w:szCs w:val="21"/>
              </w:rPr>
              <w:t xml:space="preserve"> </w:t>
            </w:r>
            <w:proofErr w:type="spellStart"/>
            <w:r w:rsidRPr="001C44F9">
              <w:rPr>
                <w:rFonts w:asciiTheme="majorHAnsi" w:eastAsia="Times New Roman" w:hAnsiTheme="majorHAnsi" w:cstheme="majorHAnsi"/>
                <w:sz w:val="21"/>
                <w:szCs w:val="21"/>
              </w:rPr>
              <w:t>on</w:t>
            </w:r>
            <w:proofErr w:type="spellEnd"/>
            <w:r w:rsidRPr="001C44F9">
              <w:rPr>
                <w:rFonts w:asciiTheme="majorHAnsi" w:eastAsia="Times New Roman" w:hAnsiTheme="majorHAnsi" w:cstheme="majorHAnsi"/>
                <w:sz w:val="21"/>
                <w:szCs w:val="21"/>
              </w:rPr>
              <w:t xml:space="preserve"> the Medium Term </w:t>
            </w:r>
            <w:proofErr w:type="spellStart"/>
            <w:r w:rsidRPr="001C44F9">
              <w:rPr>
                <w:rFonts w:asciiTheme="majorHAnsi" w:eastAsia="Times New Roman" w:hAnsiTheme="majorHAnsi" w:cstheme="majorHAnsi"/>
                <w:sz w:val="21"/>
                <w:szCs w:val="21"/>
              </w:rPr>
              <w:t>Budget</w:t>
            </w:r>
            <w:proofErr w:type="spellEnd"/>
            <w:r w:rsidRPr="001C44F9">
              <w:rPr>
                <w:rFonts w:asciiTheme="majorHAnsi" w:eastAsia="Times New Roman" w:hAnsiTheme="majorHAnsi" w:cstheme="majorHAnsi"/>
                <w:sz w:val="21"/>
                <w:szCs w:val="21"/>
              </w:rPr>
              <w:t xml:space="preserve"> </w:t>
            </w:r>
            <w:proofErr w:type="spellStart"/>
            <w:r w:rsidRPr="001C44F9">
              <w:rPr>
                <w:rFonts w:asciiTheme="majorHAnsi" w:eastAsia="Times New Roman" w:hAnsiTheme="majorHAnsi" w:cstheme="majorHAnsi"/>
                <w:sz w:val="21"/>
                <w:szCs w:val="21"/>
              </w:rPr>
              <w:t>Framework</w:t>
            </w:r>
            <w:proofErr w:type="spellEnd"/>
            <w:r w:rsidRPr="001C44F9">
              <w:rPr>
                <w:rFonts w:asciiTheme="majorHAnsi" w:eastAsia="Times New Roman" w:hAnsiTheme="majorHAnsi" w:cstheme="majorHAnsi"/>
                <w:sz w:val="21"/>
                <w:szCs w:val="21"/>
              </w:rPr>
              <w:t xml:space="preserve"> (MTBF) </w:t>
            </w:r>
            <w:proofErr w:type="spellStart"/>
            <w:r w:rsidRPr="001C44F9">
              <w:rPr>
                <w:rFonts w:asciiTheme="majorHAnsi" w:eastAsia="Times New Roman" w:hAnsiTheme="majorHAnsi" w:cstheme="majorHAnsi"/>
                <w:sz w:val="21"/>
                <w:szCs w:val="21"/>
              </w:rPr>
              <w:t>and</w:t>
            </w:r>
            <w:proofErr w:type="spellEnd"/>
            <w:r w:rsidRPr="001C44F9">
              <w:rPr>
                <w:rFonts w:asciiTheme="majorHAnsi" w:eastAsia="Times New Roman" w:hAnsiTheme="majorHAnsi" w:cstheme="majorHAnsi"/>
                <w:sz w:val="21"/>
                <w:szCs w:val="21"/>
              </w:rPr>
              <w:t xml:space="preserve"> </w:t>
            </w:r>
            <w:proofErr w:type="spellStart"/>
            <w:r w:rsidRPr="001C44F9">
              <w:rPr>
                <w:rFonts w:asciiTheme="majorHAnsi" w:eastAsia="Times New Roman" w:hAnsiTheme="majorHAnsi" w:cstheme="majorHAnsi"/>
                <w:sz w:val="21"/>
                <w:szCs w:val="21"/>
              </w:rPr>
              <w:t>municipal</w:t>
            </w:r>
            <w:proofErr w:type="spellEnd"/>
            <w:r w:rsidRPr="001C44F9">
              <w:rPr>
                <w:rFonts w:asciiTheme="majorHAnsi" w:eastAsia="Times New Roman" w:hAnsiTheme="majorHAnsi" w:cstheme="majorHAnsi"/>
                <w:sz w:val="21"/>
                <w:szCs w:val="21"/>
              </w:rPr>
              <w:t xml:space="preserve"> </w:t>
            </w:r>
            <w:proofErr w:type="spellStart"/>
            <w:r w:rsidRPr="001C44F9">
              <w:rPr>
                <w:rFonts w:asciiTheme="majorHAnsi" w:eastAsia="Times New Roman" w:hAnsiTheme="majorHAnsi" w:cstheme="majorHAnsi"/>
                <w:sz w:val="21"/>
                <w:szCs w:val="21"/>
              </w:rPr>
              <w:t>budget</w:t>
            </w:r>
            <w:proofErr w:type="spellEnd"/>
          </w:p>
        </w:tc>
        <w:tc>
          <w:tcPr>
            <w:tcW w:w="1440" w:type="dxa"/>
            <w:tcBorders>
              <w:top w:val="nil"/>
              <w:left w:val="nil"/>
              <w:bottom w:val="single" w:sz="4" w:space="0" w:color="auto"/>
              <w:right w:val="single" w:sz="4" w:space="0" w:color="auto"/>
            </w:tcBorders>
            <w:shd w:val="clear" w:color="000000" w:fill="FFFFFF"/>
            <w:noWrap/>
            <w:vAlign w:val="center"/>
            <w:hideMark/>
          </w:tcPr>
          <w:p w14:paraId="1C336936"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4</w:t>
            </w:r>
          </w:p>
        </w:tc>
        <w:tc>
          <w:tcPr>
            <w:tcW w:w="2327" w:type="dxa"/>
            <w:tcBorders>
              <w:top w:val="nil"/>
              <w:left w:val="nil"/>
              <w:bottom w:val="single" w:sz="4" w:space="0" w:color="auto"/>
              <w:right w:val="single" w:sz="4" w:space="0" w:color="auto"/>
            </w:tcBorders>
            <w:shd w:val="clear" w:color="000000" w:fill="FFFFFF"/>
          </w:tcPr>
          <w:p w14:paraId="0B0FE6B9" w14:textId="5AAF6B4D"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4</w:t>
            </w:r>
          </w:p>
        </w:tc>
      </w:tr>
      <w:tr w:rsidR="00E46572" w:rsidRPr="001C44F9" w14:paraId="1281C333" w14:textId="7C12EEEB" w:rsidTr="00E46572">
        <w:trPr>
          <w:trHeight w:val="144"/>
        </w:trPr>
        <w:tc>
          <w:tcPr>
            <w:tcW w:w="542" w:type="dxa"/>
            <w:tcBorders>
              <w:top w:val="nil"/>
              <w:left w:val="single" w:sz="8" w:space="0" w:color="auto"/>
              <w:bottom w:val="single" w:sz="4" w:space="0" w:color="auto"/>
              <w:right w:val="single" w:sz="4" w:space="0" w:color="auto"/>
            </w:tcBorders>
            <w:shd w:val="clear" w:color="auto" w:fill="709FDB" w:themeFill="text2" w:themeFillTint="80"/>
            <w:noWrap/>
            <w:vAlign w:val="center"/>
            <w:hideMark/>
          </w:tcPr>
          <w:p w14:paraId="7A1AFDF0"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lastRenderedPageBreak/>
              <w:t>III</w:t>
            </w:r>
          </w:p>
        </w:tc>
        <w:tc>
          <w:tcPr>
            <w:tcW w:w="5388" w:type="dxa"/>
            <w:tcBorders>
              <w:top w:val="single" w:sz="4" w:space="0" w:color="auto"/>
              <w:left w:val="nil"/>
              <w:bottom w:val="single" w:sz="4" w:space="0" w:color="auto"/>
              <w:right w:val="single" w:sz="4" w:space="0" w:color="auto"/>
            </w:tcBorders>
            <w:shd w:val="clear" w:color="auto" w:fill="709FDB" w:themeFill="text2" w:themeFillTint="80"/>
            <w:vAlign w:val="center"/>
            <w:hideMark/>
          </w:tcPr>
          <w:p w14:paraId="788CC7CF" w14:textId="77777777" w:rsidR="00E46572" w:rsidRPr="001C44F9" w:rsidRDefault="00E46572" w:rsidP="00023C23">
            <w:pPr>
              <w:rPr>
                <w:rFonts w:asciiTheme="majorHAnsi" w:eastAsia="Times New Roman" w:hAnsiTheme="majorHAnsi" w:cstheme="majorHAnsi"/>
                <w:b/>
                <w:bCs/>
                <w:color w:val="FFFFFF"/>
                <w:sz w:val="21"/>
                <w:szCs w:val="21"/>
              </w:rPr>
            </w:pPr>
            <w:proofErr w:type="spellStart"/>
            <w:r w:rsidRPr="001C44F9">
              <w:rPr>
                <w:rFonts w:asciiTheme="majorHAnsi" w:eastAsia="Times New Roman" w:hAnsiTheme="majorHAnsi" w:cstheme="majorHAnsi"/>
                <w:b/>
                <w:bCs/>
                <w:color w:val="FFFFFF"/>
                <w:sz w:val="21"/>
                <w:szCs w:val="21"/>
              </w:rPr>
              <w:t>Transparency</w:t>
            </w:r>
            <w:proofErr w:type="spellEnd"/>
            <w:r w:rsidRPr="001C44F9">
              <w:rPr>
                <w:rFonts w:asciiTheme="majorHAnsi" w:eastAsia="Times New Roman" w:hAnsiTheme="majorHAnsi" w:cstheme="majorHAnsi"/>
                <w:b/>
                <w:bCs/>
                <w:color w:val="FFFFFF"/>
                <w:sz w:val="21"/>
                <w:szCs w:val="21"/>
              </w:rPr>
              <w:t xml:space="preserve">, </w:t>
            </w:r>
            <w:proofErr w:type="spellStart"/>
            <w:r w:rsidRPr="001C44F9">
              <w:rPr>
                <w:rFonts w:asciiTheme="majorHAnsi" w:eastAsia="Times New Roman" w:hAnsiTheme="majorHAnsi" w:cstheme="majorHAnsi"/>
                <w:b/>
                <w:bCs/>
                <w:color w:val="FFFFFF"/>
                <w:sz w:val="21"/>
                <w:szCs w:val="21"/>
              </w:rPr>
              <w:t>access</w:t>
            </w:r>
            <w:proofErr w:type="spellEnd"/>
            <w:r w:rsidRPr="001C44F9">
              <w:rPr>
                <w:rFonts w:asciiTheme="majorHAnsi" w:eastAsia="Times New Roman" w:hAnsiTheme="majorHAnsi" w:cstheme="majorHAnsi"/>
                <w:b/>
                <w:bCs/>
                <w:color w:val="FFFFFF"/>
                <w:sz w:val="21"/>
                <w:szCs w:val="21"/>
              </w:rPr>
              <w:t xml:space="preserve"> to </w:t>
            </w:r>
            <w:proofErr w:type="spellStart"/>
            <w:r w:rsidRPr="001C44F9">
              <w:rPr>
                <w:rFonts w:asciiTheme="majorHAnsi" w:eastAsia="Times New Roman" w:hAnsiTheme="majorHAnsi" w:cstheme="majorHAnsi"/>
                <w:b/>
                <w:bCs/>
                <w:color w:val="FFFFFF"/>
                <w:sz w:val="21"/>
                <w:szCs w:val="21"/>
              </w:rPr>
              <w:t>information</w:t>
            </w:r>
            <w:proofErr w:type="spellEnd"/>
            <w:r w:rsidRPr="001C44F9">
              <w:rPr>
                <w:rFonts w:asciiTheme="majorHAnsi" w:eastAsia="Times New Roman" w:hAnsiTheme="majorHAnsi" w:cstheme="majorHAnsi"/>
                <w:b/>
                <w:bCs/>
                <w:color w:val="FFFFFF"/>
                <w:sz w:val="21"/>
                <w:szCs w:val="21"/>
              </w:rPr>
              <w:t xml:space="preserve"> </w:t>
            </w:r>
            <w:proofErr w:type="spellStart"/>
            <w:r w:rsidRPr="001C44F9">
              <w:rPr>
                <w:rFonts w:asciiTheme="majorHAnsi" w:eastAsia="Times New Roman" w:hAnsiTheme="majorHAnsi" w:cstheme="majorHAnsi"/>
                <w:b/>
                <w:bCs/>
                <w:color w:val="FFFFFF"/>
                <w:sz w:val="21"/>
                <w:szCs w:val="21"/>
              </w:rPr>
              <w:t>and</w:t>
            </w:r>
            <w:proofErr w:type="spellEnd"/>
            <w:r w:rsidRPr="001C44F9">
              <w:rPr>
                <w:rFonts w:asciiTheme="majorHAnsi" w:eastAsia="Times New Roman" w:hAnsiTheme="majorHAnsi" w:cstheme="majorHAnsi"/>
                <w:b/>
                <w:bCs/>
                <w:color w:val="FFFFFF"/>
                <w:sz w:val="21"/>
                <w:szCs w:val="21"/>
              </w:rPr>
              <w:t xml:space="preserve"> </w:t>
            </w:r>
            <w:proofErr w:type="spellStart"/>
            <w:r w:rsidRPr="001C44F9">
              <w:rPr>
                <w:rFonts w:asciiTheme="majorHAnsi" w:eastAsia="Times New Roman" w:hAnsiTheme="majorHAnsi" w:cstheme="majorHAnsi"/>
                <w:b/>
                <w:bCs/>
                <w:color w:val="FFFFFF"/>
                <w:sz w:val="21"/>
                <w:szCs w:val="21"/>
              </w:rPr>
              <w:t>integrity</w:t>
            </w:r>
            <w:proofErr w:type="spellEnd"/>
          </w:p>
        </w:tc>
        <w:tc>
          <w:tcPr>
            <w:tcW w:w="1440" w:type="dxa"/>
            <w:tcBorders>
              <w:top w:val="nil"/>
              <w:left w:val="nil"/>
              <w:bottom w:val="single" w:sz="4" w:space="0" w:color="auto"/>
              <w:right w:val="single" w:sz="4" w:space="0" w:color="auto"/>
            </w:tcBorders>
            <w:shd w:val="clear" w:color="auto" w:fill="709FDB" w:themeFill="text2" w:themeFillTint="80"/>
            <w:vAlign w:val="center"/>
            <w:hideMark/>
          </w:tcPr>
          <w:p w14:paraId="4BDA587E"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16</w:t>
            </w:r>
          </w:p>
        </w:tc>
        <w:tc>
          <w:tcPr>
            <w:tcW w:w="2327" w:type="dxa"/>
            <w:tcBorders>
              <w:top w:val="nil"/>
              <w:left w:val="nil"/>
              <w:bottom w:val="single" w:sz="4" w:space="0" w:color="auto"/>
              <w:right w:val="single" w:sz="4" w:space="0" w:color="auto"/>
            </w:tcBorders>
            <w:shd w:val="clear" w:color="auto" w:fill="709FDB" w:themeFill="text2" w:themeFillTint="80"/>
          </w:tcPr>
          <w:p w14:paraId="7D64A88A" w14:textId="1EC41C98" w:rsidR="00E46572" w:rsidRPr="001C44F9" w:rsidRDefault="00E46572" w:rsidP="00023C23">
            <w:pPr>
              <w:rPr>
                <w:rFonts w:asciiTheme="majorHAnsi" w:eastAsia="Times New Roman" w:hAnsiTheme="majorHAnsi" w:cstheme="majorHAnsi"/>
                <w:b/>
                <w:bCs/>
                <w:color w:val="FFFFFF"/>
                <w:sz w:val="21"/>
                <w:szCs w:val="21"/>
              </w:rPr>
            </w:pPr>
            <w:r>
              <w:rPr>
                <w:rFonts w:asciiTheme="majorHAnsi" w:eastAsia="Times New Roman" w:hAnsiTheme="majorHAnsi" w:cstheme="majorHAnsi"/>
                <w:b/>
                <w:bCs/>
                <w:color w:val="FFFFFF"/>
                <w:sz w:val="21"/>
                <w:szCs w:val="21"/>
              </w:rPr>
              <w:t>16</w:t>
            </w:r>
          </w:p>
        </w:tc>
      </w:tr>
      <w:tr w:rsidR="00E46572" w:rsidRPr="001C44F9" w14:paraId="484B19A0" w14:textId="19A2BEE1" w:rsidTr="00E46572">
        <w:trPr>
          <w:trHeight w:val="296"/>
        </w:trPr>
        <w:tc>
          <w:tcPr>
            <w:tcW w:w="542"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172A44CF"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9</w:t>
            </w:r>
          </w:p>
        </w:tc>
        <w:tc>
          <w:tcPr>
            <w:tcW w:w="5388" w:type="dxa"/>
            <w:tcBorders>
              <w:top w:val="nil"/>
              <w:left w:val="nil"/>
              <w:bottom w:val="single" w:sz="4" w:space="0" w:color="auto"/>
              <w:right w:val="single" w:sz="4" w:space="0" w:color="auto"/>
            </w:tcBorders>
            <w:vAlign w:val="center"/>
            <w:hideMark/>
          </w:tcPr>
          <w:p w14:paraId="4B9E8567" w14:textId="77777777" w:rsidR="00E46572" w:rsidRPr="001C44F9" w:rsidRDefault="00E46572" w:rsidP="00023C23">
            <w:pPr>
              <w:rPr>
                <w:rFonts w:asciiTheme="majorHAnsi" w:eastAsia="Times New Roman" w:hAnsiTheme="majorHAnsi" w:cstheme="majorHAnsi"/>
                <w:color w:val="000000"/>
                <w:sz w:val="21"/>
                <w:szCs w:val="21"/>
              </w:rPr>
            </w:pPr>
            <w:proofErr w:type="spellStart"/>
            <w:r w:rsidRPr="001C44F9">
              <w:rPr>
                <w:rFonts w:asciiTheme="majorHAnsi" w:eastAsia="Times New Roman" w:hAnsiTheme="majorHAnsi" w:cstheme="majorHAnsi"/>
                <w:color w:val="000000"/>
                <w:sz w:val="21"/>
                <w:szCs w:val="21"/>
              </w:rPr>
              <w:t>Assembly</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meetings</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made</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public</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and</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broadcasted</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live</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online</w:t>
            </w:r>
            <w:proofErr w:type="spellEnd"/>
          </w:p>
        </w:tc>
        <w:tc>
          <w:tcPr>
            <w:tcW w:w="1440" w:type="dxa"/>
            <w:tcBorders>
              <w:top w:val="nil"/>
              <w:left w:val="nil"/>
              <w:bottom w:val="single" w:sz="4" w:space="0" w:color="auto"/>
              <w:right w:val="single" w:sz="4" w:space="0" w:color="auto"/>
            </w:tcBorders>
            <w:noWrap/>
            <w:vAlign w:val="center"/>
            <w:hideMark/>
          </w:tcPr>
          <w:p w14:paraId="1B708FD8"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4</w:t>
            </w:r>
          </w:p>
        </w:tc>
        <w:tc>
          <w:tcPr>
            <w:tcW w:w="2327" w:type="dxa"/>
            <w:tcBorders>
              <w:top w:val="nil"/>
              <w:left w:val="nil"/>
              <w:bottom w:val="single" w:sz="4" w:space="0" w:color="auto"/>
              <w:right w:val="single" w:sz="4" w:space="0" w:color="auto"/>
            </w:tcBorders>
          </w:tcPr>
          <w:p w14:paraId="13818440" w14:textId="6489C7A9"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4</w:t>
            </w:r>
          </w:p>
        </w:tc>
      </w:tr>
      <w:tr w:rsidR="00E46572" w:rsidRPr="001C44F9" w14:paraId="4138E81C" w14:textId="6ABB3BCD" w:rsidTr="00E46572">
        <w:trPr>
          <w:trHeight w:val="359"/>
        </w:trPr>
        <w:tc>
          <w:tcPr>
            <w:tcW w:w="542"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0422E5E5"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10</w:t>
            </w:r>
          </w:p>
        </w:tc>
        <w:tc>
          <w:tcPr>
            <w:tcW w:w="5388" w:type="dxa"/>
            <w:tcBorders>
              <w:top w:val="nil"/>
              <w:left w:val="nil"/>
              <w:bottom w:val="single" w:sz="4" w:space="0" w:color="auto"/>
              <w:right w:val="single" w:sz="4" w:space="0" w:color="auto"/>
            </w:tcBorders>
            <w:vAlign w:val="center"/>
            <w:hideMark/>
          </w:tcPr>
          <w:p w14:paraId="49DA42B4" w14:textId="77777777" w:rsidR="00E46572" w:rsidRPr="001C44F9" w:rsidRDefault="00E46572" w:rsidP="00023C23">
            <w:pPr>
              <w:rPr>
                <w:rFonts w:asciiTheme="majorHAnsi" w:eastAsia="Times New Roman" w:hAnsiTheme="majorHAnsi" w:cstheme="majorHAnsi"/>
                <w:color w:val="000000"/>
                <w:sz w:val="21"/>
                <w:szCs w:val="21"/>
              </w:rPr>
            </w:pPr>
            <w:proofErr w:type="spellStart"/>
            <w:r w:rsidRPr="001C44F9">
              <w:rPr>
                <w:rFonts w:asciiTheme="majorHAnsi" w:eastAsia="Times New Roman" w:hAnsiTheme="majorHAnsi" w:cstheme="majorHAnsi"/>
                <w:color w:val="000000"/>
                <w:sz w:val="21"/>
                <w:szCs w:val="21"/>
              </w:rPr>
              <w:t>Meeting</w:t>
            </w:r>
            <w:proofErr w:type="spellEnd"/>
            <w:r w:rsidRPr="001C44F9">
              <w:rPr>
                <w:rFonts w:asciiTheme="majorHAnsi" w:eastAsia="Times New Roman" w:hAnsiTheme="majorHAnsi" w:cstheme="majorHAnsi"/>
                <w:color w:val="000000"/>
                <w:sz w:val="21"/>
                <w:szCs w:val="21"/>
              </w:rPr>
              <w:t xml:space="preserve"> the </w:t>
            </w:r>
            <w:proofErr w:type="spellStart"/>
            <w:r w:rsidRPr="001C44F9">
              <w:rPr>
                <w:rFonts w:asciiTheme="majorHAnsi" w:eastAsia="Times New Roman" w:hAnsiTheme="majorHAnsi" w:cstheme="majorHAnsi"/>
                <w:color w:val="000000"/>
                <w:sz w:val="21"/>
                <w:szCs w:val="21"/>
              </w:rPr>
              <w:t>criteria</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of</w:t>
            </w:r>
            <w:proofErr w:type="spellEnd"/>
            <w:r w:rsidRPr="001C44F9">
              <w:rPr>
                <w:rFonts w:asciiTheme="majorHAnsi" w:eastAsia="Times New Roman" w:hAnsiTheme="majorHAnsi" w:cstheme="majorHAnsi"/>
                <w:color w:val="000000"/>
                <w:sz w:val="21"/>
                <w:szCs w:val="21"/>
              </w:rPr>
              <w:t xml:space="preserve"> the </w:t>
            </w:r>
            <w:proofErr w:type="spellStart"/>
            <w:r w:rsidRPr="001C44F9">
              <w:rPr>
                <w:rFonts w:asciiTheme="majorHAnsi" w:eastAsia="Times New Roman" w:hAnsiTheme="majorHAnsi" w:cstheme="majorHAnsi"/>
                <w:color w:val="000000"/>
                <w:sz w:val="21"/>
                <w:szCs w:val="21"/>
              </w:rPr>
              <w:t>official</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website</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of</w:t>
            </w:r>
            <w:proofErr w:type="spellEnd"/>
            <w:r w:rsidRPr="001C44F9">
              <w:rPr>
                <w:rFonts w:asciiTheme="majorHAnsi" w:eastAsia="Times New Roman" w:hAnsiTheme="majorHAnsi" w:cstheme="majorHAnsi"/>
                <w:color w:val="000000"/>
                <w:sz w:val="21"/>
                <w:szCs w:val="21"/>
              </w:rPr>
              <w:t xml:space="preserve"> the </w:t>
            </w:r>
            <w:proofErr w:type="spellStart"/>
            <w:r w:rsidRPr="001C44F9">
              <w:rPr>
                <w:rFonts w:asciiTheme="majorHAnsi" w:eastAsia="Times New Roman" w:hAnsiTheme="majorHAnsi" w:cstheme="majorHAnsi"/>
                <w:color w:val="000000"/>
                <w:sz w:val="21"/>
                <w:szCs w:val="21"/>
              </w:rPr>
              <w:t>municipality</w:t>
            </w:r>
            <w:proofErr w:type="spellEnd"/>
          </w:p>
        </w:tc>
        <w:tc>
          <w:tcPr>
            <w:tcW w:w="1440" w:type="dxa"/>
            <w:tcBorders>
              <w:top w:val="nil"/>
              <w:left w:val="nil"/>
              <w:bottom w:val="single" w:sz="4" w:space="0" w:color="auto"/>
              <w:right w:val="single" w:sz="4" w:space="0" w:color="auto"/>
            </w:tcBorders>
            <w:noWrap/>
            <w:vAlign w:val="center"/>
            <w:hideMark/>
          </w:tcPr>
          <w:p w14:paraId="553DDC4A"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3</w:t>
            </w:r>
          </w:p>
        </w:tc>
        <w:tc>
          <w:tcPr>
            <w:tcW w:w="2327" w:type="dxa"/>
            <w:tcBorders>
              <w:top w:val="nil"/>
              <w:left w:val="nil"/>
              <w:bottom w:val="single" w:sz="4" w:space="0" w:color="auto"/>
              <w:right w:val="single" w:sz="4" w:space="0" w:color="auto"/>
            </w:tcBorders>
          </w:tcPr>
          <w:p w14:paraId="2BF21C4A" w14:textId="14BD936F"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3</w:t>
            </w:r>
          </w:p>
        </w:tc>
      </w:tr>
      <w:tr w:rsidR="00E46572" w:rsidRPr="001C44F9" w14:paraId="7BAED0D1" w14:textId="0233FD2E" w:rsidTr="00E46572">
        <w:trPr>
          <w:trHeight w:val="341"/>
        </w:trPr>
        <w:tc>
          <w:tcPr>
            <w:tcW w:w="542"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3F2D6339"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11</w:t>
            </w:r>
          </w:p>
        </w:tc>
        <w:tc>
          <w:tcPr>
            <w:tcW w:w="5388" w:type="dxa"/>
            <w:tcBorders>
              <w:top w:val="nil"/>
              <w:left w:val="nil"/>
              <w:bottom w:val="single" w:sz="4" w:space="0" w:color="auto"/>
              <w:right w:val="single" w:sz="4" w:space="0" w:color="auto"/>
            </w:tcBorders>
            <w:vAlign w:val="center"/>
            <w:hideMark/>
          </w:tcPr>
          <w:p w14:paraId="4B444E82" w14:textId="77777777" w:rsidR="00E46572" w:rsidRPr="001C44F9" w:rsidRDefault="00E46572" w:rsidP="00023C23">
            <w:pPr>
              <w:rPr>
                <w:rFonts w:asciiTheme="majorHAnsi" w:eastAsia="Times New Roman" w:hAnsiTheme="majorHAnsi" w:cstheme="majorHAnsi"/>
                <w:color w:val="000000"/>
                <w:sz w:val="21"/>
                <w:szCs w:val="21"/>
              </w:rPr>
            </w:pPr>
            <w:proofErr w:type="spellStart"/>
            <w:r w:rsidRPr="001C44F9">
              <w:rPr>
                <w:rFonts w:asciiTheme="majorHAnsi" w:eastAsia="Times New Roman" w:hAnsiTheme="majorHAnsi" w:cstheme="majorHAnsi"/>
                <w:color w:val="000000"/>
                <w:sz w:val="21"/>
                <w:szCs w:val="21"/>
              </w:rPr>
              <w:t>Publication</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of</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public</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procurement</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documents</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of</w:t>
            </w:r>
            <w:proofErr w:type="spellEnd"/>
            <w:r w:rsidRPr="001C44F9">
              <w:rPr>
                <w:rFonts w:asciiTheme="majorHAnsi" w:eastAsia="Times New Roman" w:hAnsiTheme="majorHAnsi" w:cstheme="majorHAnsi"/>
                <w:color w:val="000000"/>
                <w:sz w:val="21"/>
                <w:szCs w:val="21"/>
              </w:rPr>
              <w:t xml:space="preserve"> the </w:t>
            </w:r>
            <w:proofErr w:type="spellStart"/>
            <w:r w:rsidRPr="001C44F9">
              <w:rPr>
                <w:rFonts w:asciiTheme="majorHAnsi" w:eastAsia="Times New Roman" w:hAnsiTheme="majorHAnsi" w:cstheme="majorHAnsi"/>
                <w:color w:val="000000"/>
                <w:sz w:val="21"/>
                <w:szCs w:val="21"/>
              </w:rPr>
              <w:t>municipality</w:t>
            </w:r>
            <w:proofErr w:type="spellEnd"/>
          </w:p>
        </w:tc>
        <w:tc>
          <w:tcPr>
            <w:tcW w:w="1440" w:type="dxa"/>
            <w:tcBorders>
              <w:top w:val="nil"/>
              <w:left w:val="nil"/>
              <w:bottom w:val="single" w:sz="4" w:space="0" w:color="auto"/>
              <w:right w:val="single" w:sz="4" w:space="0" w:color="auto"/>
            </w:tcBorders>
            <w:noWrap/>
            <w:vAlign w:val="center"/>
            <w:hideMark/>
          </w:tcPr>
          <w:p w14:paraId="1684B209"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3</w:t>
            </w:r>
          </w:p>
        </w:tc>
        <w:tc>
          <w:tcPr>
            <w:tcW w:w="2327" w:type="dxa"/>
            <w:tcBorders>
              <w:top w:val="nil"/>
              <w:left w:val="nil"/>
              <w:bottom w:val="single" w:sz="4" w:space="0" w:color="auto"/>
              <w:right w:val="single" w:sz="4" w:space="0" w:color="auto"/>
            </w:tcBorders>
          </w:tcPr>
          <w:p w14:paraId="1F848D54" w14:textId="47CDD886"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3</w:t>
            </w:r>
          </w:p>
        </w:tc>
      </w:tr>
      <w:tr w:rsidR="00E46572" w:rsidRPr="001C44F9" w14:paraId="6412D1B1" w14:textId="3B2E8B29" w:rsidTr="00E46572">
        <w:trPr>
          <w:trHeight w:val="269"/>
        </w:trPr>
        <w:tc>
          <w:tcPr>
            <w:tcW w:w="542"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7C8DE20D"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12</w:t>
            </w:r>
          </w:p>
        </w:tc>
        <w:tc>
          <w:tcPr>
            <w:tcW w:w="5388" w:type="dxa"/>
            <w:tcBorders>
              <w:top w:val="nil"/>
              <w:left w:val="nil"/>
              <w:bottom w:val="single" w:sz="4" w:space="0" w:color="auto"/>
              <w:right w:val="single" w:sz="4" w:space="0" w:color="auto"/>
            </w:tcBorders>
            <w:vAlign w:val="center"/>
            <w:hideMark/>
          </w:tcPr>
          <w:p w14:paraId="6A25FDF0" w14:textId="77777777" w:rsidR="00E46572" w:rsidRPr="001C44F9" w:rsidRDefault="00E46572" w:rsidP="00023C23">
            <w:pPr>
              <w:rPr>
                <w:rFonts w:asciiTheme="majorHAnsi" w:eastAsia="Times New Roman" w:hAnsiTheme="majorHAnsi" w:cstheme="majorHAnsi"/>
                <w:color w:val="000000"/>
                <w:sz w:val="21"/>
                <w:szCs w:val="21"/>
              </w:rPr>
            </w:pPr>
            <w:proofErr w:type="spellStart"/>
            <w:r w:rsidRPr="001C44F9">
              <w:rPr>
                <w:rFonts w:asciiTheme="majorHAnsi" w:eastAsia="Times New Roman" w:hAnsiTheme="majorHAnsi" w:cstheme="majorHAnsi"/>
                <w:color w:val="000000"/>
                <w:sz w:val="21"/>
                <w:szCs w:val="21"/>
              </w:rPr>
              <w:t>Publication</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of</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reports</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of</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public</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consultation</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processes</w:t>
            </w:r>
            <w:proofErr w:type="spellEnd"/>
            <w:r w:rsidRPr="001C44F9">
              <w:rPr>
                <w:rFonts w:asciiTheme="majorHAnsi" w:eastAsia="Times New Roman" w:hAnsiTheme="majorHAnsi" w:cstheme="majorHAnsi"/>
                <w:color w:val="000000"/>
                <w:sz w:val="21"/>
                <w:szCs w:val="21"/>
              </w:rPr>
              <w:t xml:space="preserve"> </w:t>
            </w:r>
          </w:p>
        </w:tc>
        <w:tc>
          <w:tcPr>
            <w:tcW w:w="1440" w:type="dxa"/>
            <w:tcBorders>
              <w:top w:val="nil"/>
              <w:left w:val="nil"/>
              <w:bottom w:val="single" w:sz="4" w:space="0" w:color="auto"/>
              <w:right w:val="single" w:sz="4" w:space="0" w:color="auto"/>
            </w:tcBorders>
            <w:noWrap/>
            <w:vAlign w:val="center"/>
            <w:hideMark/>
          </w:tcPr>
          <w:p w14:paraId="4E8BCBB6"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4</w:t>
            </w:r>
          </w:p>
        </w:tc>
        <w:tc>
          <w:tcPr>
            <w:tcW w:w="2327" w:type="dxa"/>
            <w:tcBorders>
              <w:top w:val="nil"/>
              <w:left w:val="nil"/>
              <w:bottom w:val="single" w:sz="4" w:space="0" w:color="auto"/>
              <w:right w:val="single" w:sz="4" w:space="0" w:color="auto"/>
            </w:tcBorders>
          </w:tcPr>
          <w:p w14:paraId="039D84DB" w14:textId="3EF8664B"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4</w:t>
            </w:r>
          </w:p>
        </w:tc>
      </w:tr>
      <w:tr w:rsidR="00E46572" w:rsidRPr="001C44F9" w14:paraId="275BFF68" w14:textId="4CFE7AAF" w:rsidTr="00E46572">
        <w:trPr>
          <w:trHeight w:val="341"/>
        </w:trPr>
        <w:tc>
          <w:tcPr>
            <w:tcW w:w="542"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41036591"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13</w:t>
            </w:r>
          </w:p>
        </w:tc>
        <w:tc>
          <w:tcPr>
            <w:tcW w:w="5388" w:type="dxa"/>
            <w:tcBorders>
              <w:top w:val="nil"/>
              <w:left w:val="nil"/>
              <w:bottom w:val="single" w:sz="4" w:space="0" w:color="auto"/>
              <w:right w:val="single" w:sz="4" w:space="0" w:color="auto"/>
            </w:tcBorders>
            <w:vAlign w:val="center"/>
            <w:hideMark/>
          </w:tcPr>
          <w:p w14:paraId="3A5C4597" w14:textId="77777777" w:rsidR="00E46572" w:rsidRPr="001C44F9" w:rsidRDefault="00E46572" w:rsidP="00023C23">
            <w:pPr>
              <w:rPr>
                <w:rFonts w:asciiTheme="majorHAnsi" w:eastAsia="Times New Roman" w:hAnsiTheme="majorHAnsi" w:cstheme="majorHAnsi"/>
                <w:color w:val="000000"/>
                <w:sz w:val="21"/>
                <w:szCs w:val="21"/>
              </w:rPr>
            </w:pPr>
            <w:proofErr w:type="spellStart"/>
            <w:r w:rsidRPr="001C44F9">
              <w:rPr>
                <w:rFonts w:asciiTheme="majorHAnsi" w:eastAsia="Times New Roman" w:hAnsiTheme="majorHAnsi" w:cstheme="majorHAnsi"/>
                <w:color w:val="000000"/>
                <w:sz w:val="21"/>
                <w:szCs w:val="21"/>
              </w:rPr>
              <w:t>Reporting</w:t>
            </w:r>
            <w:proofErr w:type="spellEnd"/>
            <w:r w:rsidRPr="001C44F9">
              <w:rPr>
                <w:rFonts w:asciiTheme="majorHAnsi" w:eastAsia="Times New Roman" w:hAnsiTheme="majorHAnsi" w:cstheme="majorHAnsi"/>
                <w:color w:val="000000"/>
                <w:sz w:val="21"/>
                <w:szCs w:val="21"/>
              </w:rPr>
              <w:t xml:space="preserve"> the </w:t>
            </w:r>
            <w:proofErr w:type="spellStart"/>
            <w:r w:rsidRPr="001C44F9">
              <w:rPr>
                <w:rFonts w:asciiTheme="majorHAnsi" w:eastAsia="Times New Roman" w:hAnsiTheme="majorHAnsi" w:cstheme="majorHAnsi"/>
                <w:color w:val="000000"/>
                <w:sz w:val="21"/>
                <w:szCs w:val="21"/>
              </w:rPr>
              <w:t>annual</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Integrity</w:t>
            </w:r>
            <w:proofErr w:type="spellEnd"/>
            <w:r w:rsidRPr="001C44F9">
              <w:rPr>
                <w:rFonts w:asciiTheme="majorHAnsi" w:eastAsia="Times New Roman" w:hAnsiTheme="majorHAnsi" w:cstheme="majorHAnsi"/>
                <w:color w:val="000000"/>
                <w:sz w:val="21"/>
                <w:szCs w:val="21"/>
              </w:rPr>
              <w:t xml:space="preserve"> Plan </w:t>
            </w:r>
            <w:proofErr w:type="spellStart"/>
            <w:r w:rsidRPr="001C44F9">
              <w:rPr>
                <w:rFonts w:asciiTheme="majorHAnsi" w:eastAsia="Times New Roman" w:hAnsiTheme="majorHAnsi" w:cstheme="majorHAnsi"/>
                <w:color w:val="000000"/>
                <w:sz w:val="21"/>
                <w:szCs w:val="21"/>
              </w:rPr>
              <w:t>before</w:t>
            </w:r>
            <w:proofErr w:type="spellEnd"/>
            <w:r w:rsidRPr="001C44F9">
              <w:rPr>
                <w:rFonts w:asciiTheme="majorHAnsi" w:eastAsia="Times New Roman" w:hAnsiTheme="majorHAnsi" w:cstheme="majorHAnsi"/>
                <w:color w:val="000000"/>
                <w:sz w:val="21"/>
                <w:szCs w:val="21"/>
              </w:rPr>
              <w:t xml:space="preserve"> the </w:t>
            </w:r>
            <w:proofErr w:type="spellStart"/>
            <w:r w:rsidRPr="001C44F9">
              <w:rPr>
                <w:rFonts w:asciiTheme="majorHAnsi" w:eastAsia="Times New Roman" w:hAnsiTheme="majorHAnsi" w:cstheme="majorHAnsi"/>
                <w:color w:val="000000"/>
                <w:sz w:val="21"/>
                <w:szCs w:val="21"/>
              </w:rPr>
              <w:t>Municipal</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Assembly</w:t>
            </w:r>
            <w:proofErr w:type="spellEnd"/>
          </w:p>
        </w:tc>
        <w:tc>
          <w:tcPr>
            <w:tcW w:w="1440" w:type="dxa"/>
            <w:tcBorders>
              <w:top w:val="nil"/>
              <w:left w:val="nil"/>
              <w:bottom w:val="single" w:sz="4" w:space="0" w:color="auto"/>
              <w:right w:val="single" w:sz="4" w:space="0" w:color="auto"/>
            </w:tcBorders>
            <w:noWrap/>
            <w:vAlign w:val="center"/>
            <w:hideMark/>
          </w:tcPr>
          <w:p w14:paraId="00E68A80"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w:t>
            </w:r>
          </w:p>
        </w:tc>
        <w:tc>
          <w:tcPr>
            <w:tcW w:w="2327" w:type="dxa"/>
            <w:tcBorders>
              <w:top w:val="nil"/>
              <w:left w:val="nil"/>
              <w:bottom w:val="single" w:sz="4" w:space="0" w:color="auto"/>
              <w:right w:val="single" w:sz="4" w:space="0" w:color="auto"/>
            </w:tcBorders>
          </w:tcPr>
          <w:p w14:paraId="59B55D18" w14:textId="5A792E60"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2</w:t>
            </w:r>
          </w:p>
        </w:tc>
      </w:tr>
      <w:tr w:rsidR="00E46572" w:rsidRPr="001C44F9" w14:paraId="3F32508C" w14:textId="1DC1538A" w:rsidTr="00E46572">
        <w:trPr>
          <w:trHeight w:val="144"/>
        </w:trPr>
        <w:tc>
          <w:tcPr>
            <w:tcW w:w="542" w:type="dxa"/>
            <w:tcBorders>
              <w:top w:val="nil"/>
              <w:left w:val="single" w:sz="8" w:space="0" w:color="auto"/>
              <w:bottom w:val="single" w:sz="4" w:space="0" w:color="auto"/>
              <w:right w:val="single" w:sz="4" w:space="0" w:color="auto"/>
            </w:tcBorders>
            <w:shd w:val="clear" w:color="auto" w:fill="3071C3" w:themeFill="text2" w:themeFillTint="BF"/>
            <w:noWrap/>
            <w:vAlign w:val="center"/>
            <w:hideMark/>
          </w:tcPr>
          <w:p w14:paraId="0F620763"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2</w:t>
            </w:r>
          </w:p>
        </w:tc>
        <w:tc>
          <w:tcPr>
            <w:tcW w:w="5388" w:type="dxa"/>
            <w:tcBorders>
              <w:top w:val="single" w:sz="4" w:space="0" w:color="auto"/>
              <w:left w:val="nil"/>
              <w:bottom w:val="single" w:sz="4" w:space="0" w:color="auto"/>
              <w:right w:val="single" w:sz="4" w:space="0" w:color="auto"/>
            </w:tcBorders>
            <w:shd w:val="clear" w:color="auto" w:fill="3071C3" w:themeFill="text2" w:themeFillTint="BF"/>
            <w:vAlign w:val="center"/>
            <w:hideMark/>
          </w:tcPr>
          <w:p w14:paraId="3EC20E56" w14:textId="77777777" w:rsidR="00E46572" w:rsidRPr="001C44F9" w:rsidRDefault="00E46572" w:rsidP="00023C23">
            <w:pPr>
              <w:rPr>
                <w:rFonts w:asciiTheme="majorHAnsi" w:eastAsia="Times New Roman" w:hAnsiTheme="majorHAnsi" w:cstheme="majorHAnsi"/>
                <w:b/>
                <w:bCs/>
                <w:color w:val="FFFFFF"/>
                <w:sz w:val="21"/>
                <w:szCs w:val="21"/>
              </w:rPr>
            </w:pPr>
            <w:proofErr w:type="spellStart"/>
            <w:r w:rsidRPr="001C44F9">
              <w:rPr>
                <w:rFonts w:asciiTheme="majorHAnsi" w:eastAsia="Times New Roman" w:hAnsiTheme="majorHAnsi" w:cstheme="majorHAnsi"/>
                <w:b/>
                <w:bCs/>
                <w:color w:val="FFFFFF"/>
                <w:sz w:val="21"/>
                <w:szCs w:val="21"/>
              </w:rPr>
              <w:t>Municipal</w:t>
            </w:r>
            <w:proofErr w:type="spellEnd"/>
            <w:r w:rsidRPr="001C44F9">
              <w:rPr>
                <w:rFonts w:asciiTheme="majorHAnsi" w:eastAsia="Times New Roman" w:hAnsiTheme="majorHAnsi" w:cstheme="majorHAnsi"/>
                <w:b/>
                <w:bCs/>
                <w:color w:val="FFFFFF"/>
                <w:sz w:val="21"/>
                <w:szCs w:val="21"/>
              </w:rPr>
              <w:t xml:space="preserve"> Management</w:t>
            </w:r>
          </w:p>
        </w:tc>
        <w:tc>
          <w:tcPr>
            <w:tcW w:w="1440" w:type="dxa"/>
            <w:tcBorders>
              <w:top w:val="nil"/>
              <w:left w:val="nil"/>
              <w:bottom w:val="single" w:sz="4" w:space="0" w:color="auto"/>
              <w:right w:val="single" w:sz="4" w:space="0" w:color="auto"/>
            </w:tcBorders>
            <w:shd w:val="clear" w:color="auto" w:fill="3071C3" w:themeFill="text2" w:themeFillTint="BF"/>
            <w:vAlign w:val="center"/>
            <w:hideMark/>
          </w:tcPr>
          <w:p w14:paraId="35ACBF43"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30</w:t>
            </w:r>
          </w:p>
        </w:tc>
        <w:tc>
          <w:tcPr>
            <w:tcW w:w="2327" w:type="dxa"/>
            <w:tcBorders>
              <w:top w:val="nil"/>
              <w:left w:val="nil"/>
              <w:bottom w:val="single" w:sz="4" w:space="0" w:color="auto"/>
              <w:right w:val="single" w:sz="4" w:space="0" w:color="auto"/>
            </w:tcBorders>
            <w:shd w:val="clear" w:color="auto" w:fill="3071C3" w:themeFill="text2" w:themeFillTint="BF"/>
          </w:tcPr>
          <w:p w14:paraId="1CAE853D" w14:textId="52D93397" w:rsidR="00E46572" w:rsidRPr="001C44F9" w:rsidRDefault="00E46572" w:rsidP="00023C23">
            <w:pPr>
              <w:rPr>
                <w:rFonts w:asciiTheme="majorHAnsi" w:eastAsia="Times New Roman" w:hAnsiTheme="majorHAnsi" w:cstheme="majorHAnsi"/>
                <w:b/>
                <w:bCs/>
                <w:color w:val="FFFFFF"/>
                <w:sz w:val="21"/>
                <w:szCs w:val="21"/>
              </w:rPr>
            </w:pPr>
            <w:r>
              <w:rPr>
                <w:rFonts w:asciiTheme="majorHAnsi" w:eastAsia="Times New Roman" w:hAnsiTheme="majorHAnsi" w:cstheme="majorHAnsi"/>
                <w:b/>
                <w:bCs/>
                <w:color w:val="FFFFFF"/>
                <w:sz w:val="21"/>
                <w:szCs w:val="21"/>
              </w:rPr>
              <w:t>28</w:t>
            </w:r>
          </w:p>
        </w:tc>
      </w:tr>
      <w:tr w:rsidR="00E46572" w:rsidRPr="001C44F9" w14:paraId="7C4D1673" w14:textId="6E3A4029" w:rsidTr="00E46572">
        <w:trPr>
          <w:trHeight w:val="144"/>
        </w:trPr>
        <w:tc>
          <w:tcPr>
            <w:tcW w:w="542" w:type="dxa"/>
            <w:tcBorders>
              <w:top w:val="nil"/>
              <w:left w:val="single" w:sz="8" w:space="0" w:color="auto"/>
              <w:bottom w:val="single" w:sz="4" w:space="0" w:color="auto"/>
              <w:right w:val="single" w:sz="4" w:space="0" w:color="auto"/>
            </w:tcBorders>
            <w:shd w:val="clear" w:color="auto" w:fill="709FDB" w:themeFill="text2" w:themeFillTint="80"/>
            <w:noWrap/>
            <w:vAlign w:val="center"/>
            <w:hideMark/>
          </w:tcPr>
          <w:p w14:paraId="0848D139"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IV</w:t>
            </w:r>
          </w:p>
        </w:tc>
        <w:tc>
          <w:tcPr>
            <w:tcW w:w="5388" w:type="dxa"/>
            <w:tcBorders>
              <w:top w:val="single" w:sz="4" w:space="0" w:color="auto"/>
              <w:left w:val="nil"/>
              <w:bottom w:val="single" w:sz="4" w:space="0" w:color="auto"/>
              <w:right w:val="single" w:sz="4" w:space="0" w:color="auto"/>
            </w:tcBorders>
            <w:shd w:val="clear" w:color="auto" w:fill="709FDB" w:themeFill="text2" w:themeFillTint="80"/>
            <w:vAlign w:val="center"/>
            <w:hideMark/>
          </w:tcPr>
          <w:p w14:paraId="6C8F1A52" w14:textId="77777777" w:rsidR="00E46572" w:rsidRPr="001C44F9" w:rsidRDefault="00E46572" w:rsidP="00023C23">
            <w:pPr>
              <w:rPr>
                <w:rFonts w:asciiTheme="majorHAnsi" w:eastAsia="Times New Roman" w:hAnsiTheme="majorHAnsi" w:cstheme="majorHAnsi"/>
                <w:b/>
                <w:bCs/>
                <w:color w:val="FFFFFF"/>
                <w:sz w:val="21"/>
                <w:szCs w:val="21"/>
              </w:rPr>
            </w:pPr>
            <w:proofErr w:type="spellStart"/>
            <w:r w:rsidRPr="001C44F9">
              <w:rPr>
                <w:rFonts w:asciiTheme="majorHAnsi" w:eastAsia="Times New Roman" w:hAnsiTheme="majorHAnsi" w:cstheme="majorHAnsi"/>
                <w:b/>
                <w:bCs/>
                <w:color w:val="FFFFFF"/>
                <w:sz w:val="21"/>
                <w:szCs w:val="21"/>
              </w:rPr>
              <w:t>Financial</w:t>
            </w:r>
            <w:proofErr w:type="spellEnd"/>
            <w:r w:rsidRPr="001C44F9">
              <w:rPr>
                <w:rFonts w:asciiTheme="majorHAnsi" w:eastAsia="Times New Roman" w:hAnsiTheme="majorHAnsi" w:cstheme="majorHAnsi"/>
                <w:b/>
                <w:bCs/>
                <w:color w:val="FFFFFF"/>
                <w:sz w:val="21"/>
                <w:szCs w:val="21"/>
              </w:rPr>
              <w:t xml:space="preserve"> </w:t>
            </w:r>
            <w:proofErr w:type="spellStart"/>
            <w:r w:rsidRPr="001C44F9">
              <w:rPr>
                <w:rFonts w:asciiTheme="majorHAnsi" w:eastAsia="Times New Roman" w:hAnsiTheme="majorHAnsi" w:cstheme="majorHAnsi"/>
                <w:b/>
                <w:bCs/>
                <w:color w:val="FFFFFF"/>
                <w:sz w:val="21"/>
                <w:szCs w:val="21"/>
              </w:rPr>
              <w:t>management</w:t>
            </w:r>
            <w:proofErr w:type="spellEnd"/>
          </w:p>
        </w:tc>
        <w:tc>
          <w:tcPr>
            <w:tcW w:w="1440" w:type="dxa"/>
            <w:tcBorders>
              <w:top w:val="nil"/>
              <w:left w:val="nil"/>
              <w:bottom w:val="single" w:sz="4" w:space="0" w:color="auto"/>
              <w:right w:val="single" w:sz="4" w:space="0" w:color="auto"/>
            </w:tcBorders>
            <w:shd w:val="clear" w:color="auto" w:fill="709FDB" w:themeFill="text2" w:themeFillTint="80"/>
            <w:vAlign w:val="center"/>
            <w:hideMark/>
          </w:tcPr>
          <w:p w14:paraId="48F1B8D8"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13</w:t>
            </w:r>
          </w:p>
        </w:tc>
        <w:tc>
          <w:tcPr>
            <w:tcW w:w="2327" w:type="dxa"/>
            <w:tcBorders>
              <w:top w:val="nil"/>
              <w:left w:val="nil"/>
              <w:bottom w:val="single" w:sz="4" w:space="0" w:color="auto"/>
              <w:right w:val="single" w:sz="4" w:space="0" w:color="auto"/>
            </w:tcBorders>
            <w:shd w:val="clear" w:color="auto" w:fill="709FDB" w:themeFill="text2" w:themeFillTint="80"/>
          </w:tcPr>
          <w:p w14:paraId="4BBC5E47" w14:textId="2ED2A149" w:rsidR="00E46572" w:rsidRPr="001C44F9" w:rsidRDefault="00E46572" w:rsidP="00023C23">
            <w:pPr>
              <w:rPr>
                <w:rFonts w:asciiTheme="majorHAnsi" w:eastAsia="Times New Roman" w:hAnsiTheme="majorHAnsi" w:cstheme="majorHAnsi"/>
                <w:b/>
                <w:bCs/>
                <w:color w:val="FFFFFF"/>
                <w:sz w:val="21"/>
                <w:szCs w:val="21"/>
              </w:rPr>
            </w:pPr>
            <w:r>
              <w:rPr>
                <w:rFonts w:asciiTheme="majorHAnsi" w:eastAsia="Times New Roman" w:hAnsiTheme="majorHAnsi" w:cstheme="majorHAnsi"/>
                <w:b/>
                <w:bCs/>
                <w:color w:val="FFFFFF"/>
                <w:sz w:val="21"/>
                <w:szCs w:val="21"/>
              </w:rPr>
              <w:t>11</w:t>
            </w:r>
          </w:p>
        </w:tc>
      </w:tr>
      <w:tr w:rsidR="00E46572" w:rsidRPr="001C44F9" w14:paraId="55B36473" w14:textId="1479AD87" w:rsidTr="00E46572">
        <w:trPr>
          <w:trHeight w:val="251"/>
        </w:trPr>
        <w:tc>
          <w:tcPr>
            <w:tcW w:w="542" w:type="dxa"/>
            <w:tcBorders>
              <w:top w:val="nil"/>
              <w:left w:val="single" w:sz="8" w:space="0" w:color="auto"/>
              <w:bottom w:val="single" w:sz="4" w:space="0" w:color="auto"/>
              <w:right w:val="single" w:sz="4" w:space="0" w:color="auto"/>
            </w:tcBorders>
            <w:noWrap/>
            <w:vAlign w:val="center"/>
            <w:hideMark/>
          </w:tcPr>
          <w:p w14:paraId="34632DC4"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14</w:t>
            </w:r>
          </w:p>
        </w:tc>
        <w:tc>
          <w:tcPr>
            <w:tcW w:w="5388" w:type="dxa"/>
            <w:tcBorders>
              <w:top w:val="nil"/>
              <w:left w:val="nil"/>
              <w:bottom w:val="single" w:sz="4" w:space="0" w:color="auto"/>
              <w:right w:val="single" w:sz="4" w:space="0" w:color="auto"/>
            </w:tcBorders>
            <w:vAlign w:val="center"/>
            <w:hideMark/>
          </w:tcPr>
          <w:p w14:paraId="5BDF98EF" w14:textId="77777777" w:rsidR="00E46572" w:rsidRPr="001C44F9" w:rsidRDefault="00E46572" w:rsidP="00023C23">
            <w:pPr>
              <w:rPr>
                <w:rFonts w:asciiTheme="majorHAnsi" w:eastAsia="Times New Roman" w:hAnsiTheme="majorHAnsi" w:cstheme="majorHAnsi"/>
                <w:color w:val="000000"/>
                <w:sz w:val="21"/>
                <w:szCs w:val="21"/>
              </w:rPr>
            </w:pPr>
            <w:proofErr w:type="spellStart"/>
            <w:r w:rsidRPr="001C44F9">
              <w:rPr>
                <w:rFonts w:asciiTheme="majorHAnsi" w:eastAsia="Times New Roman" w:hAnsiTheme="majorHAnsi" w:cstheme="majorHAnsi"/>
                <w:color w:val="000000"/>
                <w:sz w:val="21"/>
                <w:szCs w:val="21"/>
              </w:rPr>
              <w:t>Level</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of</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updating</w:t>
            </w:r>
            <w:proofErr w:type="spellEnd"/>
            <w:r w:rsidRPr="001C44F9">
              <w:rPr>
                <w:rFonts w:asciiTheme="majorHAnsi" w:eastAsia="Times New Roman" w:hAnsiTheme="majorHAnsi" w:cstheme="majorHAnsi"/>
                <w:color w:val="000000"/>
                <w:sz w:val="21"/>
                <w:szCs w:val="21"/>
              </w:rPr>
              <w:t xml:space="preserve"> the </w:t>
            </w:r>
            <w:proofErr w:type="spellStart"/>
            <w:r w:rsidRPr="001C44F9">
              <w:rPr>
                <w:rFonts w:asciiTheme="majorHAnsi" w:eastAsia="Times New Roman" w:hAnsiTheme="majorHAnsi" w:cstheme="majorHAnsi"/>
                <w:color w:val="000000"/>
                <w:sz w:val="21"/>
                <w:szCs w:val="21"/>
              </w:rPr>
              <w:t>property</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tax</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register</w:t>
            </w:r>
            <w:proofErr w:type="spellEnd"/>
          </w:p>
        </w:tc>
        <w:tc>
          <w:tcPr>
            <w:tcW w:w="1440" w:type="dxa"/>
            <w:tcBorders>
              <w:top w:val="nil"/>
              <w:left w:val="nil"/>
              <w:bottom w:val="single" w:sz="4" w:space="0" w:color="auto"/>
              <w:right w:val="single" w:sz="4" w:space="0" w:color="auto"/>
            </w:tcBorders>
            <w:noWrap/>
            <w:vAlign w:val="center"/>
            <w:hideMark/>
          </w:tcPr>
          <w:p w14:paraId="2BFAF5C6"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3</w:t>
            </w:r>
          </w:p>
        </w:tc>
        <w:tc>
          <w:tcPr>
            <w:tcW w:w="2327" w:type="dxa"/>
            <w:tcBorders>
              <w:top w:val="nil"/>
              <w:left w:val="nil"/>
              <w:bottom w:val="single" w:sz="4" w:space="0" w:color="auto"/>
              <w:right w:val="single" w:sz="4" w:space="0" w:color="auto"/>
            </w:tcBorders>
          </w:tcPr>
          <w:p w14:paraId="1B02BE74" w14:textId="618244A9"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3</w:t>
            </w:r>
          </w:p>
        </w:tc>
      </w:tr>
      <w:tr w:rsidR="00E46572" w:rsidRPr="001C44F9" w14:paraId="2A7D4988" w14:textId="53513AA3" w:rsidTr="00E46572">
        <w:trPr>
          <w:trHeight w:val="260"/>
        </w:trPr>
        <w:tc>
          <w:tcPr>
            <w:tcW w:w="542" w:type="dxa"/>
            <w:tcBorders>
              <w:top w:val="nil"/>
              <w:left w:val="single" w:sz="8" w:space="0" w:color="auto"/>
              <w:bottom w:val="nil"/>
              <w:right w:val="single" w:sz="4" w:space="0" w:color="auto"/>
            </w:tcBorders>
            <w:noWrap/>
            <w:vAlign w:val="center"/>
            <w:hideMark/>
          </w:tcPr>
          <w:p w14:paraId="5E218078"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15</w:t>
            </w:r>
          </w:p>
        </w:tc>
        <w:tc>
          <w:tcPr>
            <w:tcW w:w="5388" w:type="dxa"/>
            <w:tcBorders>
              <w:top w:val="nil"/>
              <w:left w:val="nil"/>
              <w:bottom w:val="nil"/>
              <w:right w:val="single" w:sz="4" w:space="0" w:color="auto"/>
            </w:tcBorders>
            <w:vAlign w:val="center"/>
            <w:hideMark/>
          </w:tcPr>
          <w:p w14:paraId="464A5CA0" w14:textId="77777777" w:rsidR="00E46572" w:rsidRPr="001C44F9" w:rsidRDefault="00E46572" w:rsidP="00023C23">
            <w:pPr>
              <w:rPr>
                <w:rFonts w:asciiTheme="majorHAnsi" w:eastAsia="Times New Roman" w:hAnsiTheme="majorHAnsi" w:cstheme="majorHAnsi"/>
                <w:color w:val="000000"/>
                <w:sz w:val="21"/>
                <w:szCs w:val="21"/>
              </w:rPr>
            </w:pPr>
            <w:proofErr w:type="spellStart"/>
            <w:r w:rsidRPr="001C44F9">
              <w:rPr>
                <w:rFonts w:asciiTheme="majorHAnsi" w:eastAsia="Times New Roman" w:hAnsiTheme="majorHAnsi" w:cstheme="majorHAnsi"/>
                <w:color w:val="000000"/>
                <w:sz w:val="21"/>
                <w:szCs w:val="21"/>
              </w:rPr>
              <w:t>Level</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of</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property</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tax</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bill</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collection</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no</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debts</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interest</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penalties</w:t>
            </w:r>
            <w:proofErr w:type="spellEnd"/>
            <w:r w:rsidRPr="001C44F9">
              <w:rPr>
                <w:rFonts w:asciiTheme="majorHAnsi" w:eastAsia="Times New Roman" w:hAnsiTheme="majorHAnsi" w:cstheme="majorHAnsi"/>
                <w:color w:val="000000"/>
                <w:sz w:val="21"/>
                <w:szCs w:val="21"/>
              </w:rPr>
              <w:t>)</w:t>
            </w:r>
          </w:p>
        </w:tc>
        <w:tc>
          <w:tcPr>
            <w:tcW w:w="1440" w:type="dxa"/>
            <w:tcBorders>
              <w:top w:val="nil"/>
              <w:left w:val="nil"/>
              <w:bottom w:val="nil"/>
              <w:right w:val="single" w:sz="4" w:space="0" w:color="auto"/>
            </w:tcBorders>
            <w:noWrap/>
            <w:vAlign w:val="center"/>
            <w:hideMark/>
          </w:tcPr>
          <w:p w14:paraId="2DD04895"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5</w:t>
            </w:r>
          </w:p>
        </w:tc>
        <w:tc>
          <w:tcPr>
            <w:tcW w:w="2327" w:type="dxa"/>
            <w:tcBorders>
              <w:top w:val="nil"/>
              <w:left w:val="nil"/>
              <w:bottom w:val="nil"/>
              <w:right w:val="single" w:sz="4" w:space="0" w:color="auto"/>
            </w:tcBorders>
          </w:tcPr>
          <w:p w14:paraId="6E435887" w14:textId="5D90EABF"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5</w:t>
            </w:r>
          </w:p>
        </w:tc>
      </w:tr>
      <w:tr w:rsidR="00E46572" w:rsidRPr="001C44F9" w14:paraId="6CF29EE9" w14:textId="28A820AA" w:rsidTr="00E46572">
        <w:trPr>
          <w:trHeight w:val="241"/>
        </w:trPr>
        <w:tc>
          <w:tcPr>
            <w:tcW w:w="542" w:type="dxa"/>
            <w:tcBorders>
              <w:top w:val="single" w:sz="8" w:space="0" w:color="auto"/>
              <w:left w:val="single" w:sz="8" w:space="0" w:color="auto"/>
              <w:bottom w:val="dashed" w:sz="4" w:space="0" w:color="auto"/>
              <w:right w:val="dashed" w:sz="4" w:space="0" w:color="auto"/>
            </w:tcBorders>
            <w:noWrap/>
            <w:vAlign w:val="center"/>
            <w:hideMark/>
          </w:tcPr>
          <w:p w14:paraId="237AB23C"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 xml:space="preserve">16a </w:t>
            </w:r>
          </w:p>
        </w:tc>
        <w:tc>
          <w:tcPr>
            <w:tcW w:w="5388" w:type="dxa"/>
            <w:tcBorders>
              <w:top w:val="single" w:sz="8" w:space="0" w:color="auto"/>
              <w:left w:val="nil"/>
              <w:bottom w:val="dashed" w:sz="4" w:space="0" w:color="auto"/>
              <w:right w:val="dashed" w:sz="4" w:space="0" w:color="auto"/>
            </w:tcBorders>
            <w:vAlign w:val="center"/>
            <w:hideMark/>
          </w:tcPr>
          <w:p w14:paraId="35147ABE" w14:textId="77777777" w:rsidR="00E46572" w:rsidRPr="001C44F9" w:rsidRDefault="00E46572" w:rsidP="00023C23">
            <w:pPr>
              <w:rPr>
                <w:rFonts w:asciiTheme="majorHAnsi" w:eastAsia="Times New Roman" w:hAnsiTheme="majorHAnsi" w:cstheme="majorHAnsi"/>
                <w:color w:val="000000"/>
                <w:sz w:val="21"/>
                <w:szCs w:val="21"/>
              </w:rPr>
            </w:pPr>
            <w:proofErr w:type="spellStart"/>
            <w:r w:rsidRPr="001C44F9">
              <w:rPr>
                <w:rFonts w:asciiTheme="majorHAnsi" w:eastAsia="Times New Roman" w:hAnsiTheme="majorHAnsi" w:cstheme="majorHAnsi"/>
                <w:color w:val="000000"/>
                <w:sz w:val="21"/>
                <w:szCs w:val="21"/>
              </w:rPr>
              <w:t>Level</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of</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addressing</w:t>
            </w:r>
            <w:proofErr w:type="spellEnd"/>
            <w:r w:rsidRPr="001C44F9">
              <w:rPr>
                <w:rFonts w:asciiTheme="majorHAnsi" w:eastAsia="Times New Roman" w:hAnsiTheme="majorHAnsi" w:cstheme="majorHAnsi"/>
                <w:color w:val="000000"/>
                <w:sz w:val="21"/>
                <w:szCs w:val="21"/>
              </w:rPr>
              <w:t xml:space="preserve"> the </w:t>
            </w:r>
            <w:proofErr w:type="spellStart"/>
            <w:r w:rsidRPr="001C44F9">
              <w:rPr>
                <w:rFonts w:asciiTheme="majorHAnsi" w:eastAsia="Times New Roman" w:hAnsiTheme="majorHAnsi" w:cstheme="majorHAnsi"/>
                <w:color w:val="000000"/>
                <w:sz w:val="21"/>
                <w:szCs w:val="21"/>
              </w:rPr>
              <w:t>recommendations</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of</w:t>
            </w:r>
            <w:proofErr w:type="spellEnd"/>
            <w:r w:rsidRPr="001C44F9">
              <w:rPr>
                <w:rFonts w:asciiTheme="majorHAnsi" w:eastAsia="Times New Roman" w:hAnsiTheme="majorHAnsi" w:cstheme="majorHAnsi"/>
                <w:color w:val="000000"/>
                <w:sz w:val="21"/>
                <w:szCs w:val="21"/>
              </w:rPr>
              <w:t xml:space="preserve"> the </w:t>
            </w:r>
            <w:proofErr w:type="spellStart"/>
            <w:r w:rsidRPr="001C44F9">
              <w:rPr>
                <w:rFonts w:asciiTheme="majorHAnsi" w:eastAsia="Times New Roman" w:hAnsiTheme="majorHAnsi" w:cstheme="majorHAnsi"/>
                <w:color w:val="000000"/>
                <w:sz w:val="21"/>
                <w:szCs w:val="21"/>
              </w:rPr>
              <w:t>National</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Audit</w:t>
            </w:r>
            <w:proofErr w:type="spellEnd"/>
            <w:r w:rsidRPr="001C44F9">
              <w:rPr>
                <w:rFonts w:asciiTheme="majorHAnsi" w:eastAsia="Times New Roman" w:hAnsiTheme="majorHAnsi" w:cstheme="majorHAnsi"/>
                <w:color w:val="000000"/>
                <w:sz w:val="21"/>
                <w:szCs w:val="21"/>
              </w:rPr>
              <w:t xml:space="preserve"> Office</w:t>
            </w:r>
          </w:p>
        </w:tc>
        <w:tc>
          <w:tcPr>
            <w:tcW w:w="1440" w:type="dxa"/>
            <w:tcBorders>
              <w:top w:val="single" w:sz="8" w:space="0" w:color="auto"/>
              <w:left w:val="nil"/>
              <w:bottom w:val="dashed" w:sz="4" w:space="0" w:color="auto"/>
              <w:right w:val="single" w:sz="8" w:space="0" w:color="auto"/>
            </w:tcBorders>
            <w:noWrap/>
            <w:vAlign w:val="center"/>
            <w:hideMark/>
          </w:tcPr>
          <w:p w14:paraId="6DB5A7C8"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3</w:t>
            </w:r>
          </w:p>
        </w:tc>
        <w:tc>
          <w:tcPr>
            <w:tcW w:w="2327" w:type="dxa"/>
            <w:tcBorders>
              <w:top w:val="single" w:sz="8" w:space="0" w:color="auto"/>
              <w:left w:val="nil"/>
              <w:bottom w:val="dashed" w:sz="4" w:space="0" w:color="auto"/>
              <w:right w:val="single" w:sz="8" w:space="0" w:color="auto"/>
            </w:tcBorders>
          </w:tcPr>
          <w:p w14:paraId="54F9E9B5" w14:textId="1B8A9C0C"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3</w:t>
            </w:r>
          </w:p>
        </w:tc>
      </w:tr>
      <w:tr w:rsidR="00E46572" w:rsidRPr="001C44F9" w14:paraId="77F4CD0B" w14:textId="12879754" w:rsidTr="00E46572">
        <w:trPr>
          <w:trHeight w:val="269"/>
        </w:trPr>
        <w:tc>
          <w:tcPr>
            <w:tcW w:w="542" w:type="dxa"/>
            <w:tcBorders>
              <w:top w:val="nil"/>
              <w:left w:val="single" w:sz="8" w:space="0" w:color="auto"/>
              <w:bottom w:val="single" w:sz="8" w:space="0" w:color="auto"/>
              <w:right w:val="dashed" w:sz="4" w:space="0" w:color="auto"/>
            </w:tcBorders>
            <w:shd w:val="clear" w:color="auto" w:fill="FBD4B4" w:themeFill="accent6" w:themeFillTint="66"/>
            <w:noWrap/>
            <w:vAlign w:val="center"/>
            <w:hideMark/>
          </w:tcPr>
          <w:p w14:paraId="32C74935"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16b</w:t>
            </w:r>
          </w:p>
        </w:tc>
        <w:tc>
          <w:tcPr>
            <w:tcW w:w="5388" w:type="dxa"/>
            <w:tcBorders>
              <w:top w:val="nil"/>
              <w:left w:val="nil"/>
              <w:bottom w:val="single" w:sz="8" w:space="0" w:color="auto"/>
              <w:right w:val="dashed" w:sz="4" w:space="0" w:color="auto"/>
            </w:tcBorders>
            <w:shd w:val="clear" w:color="auto" w:fill="FBD4B4" w:themeFill="accent6" w:themeFillTint="66"/>
            <w:vAlign w:val="center"/>
            <w:hideMark/>
          </w:tcPr>
          <w:p w14:paraId="225033C6" w14:textId="77777777" w:rsidR="00E46572" w:rsidRPr="001C44F9" w:rsidRDefault="00E46572" w:rsidP="00023C23">
            <w:pPr>
              <w:rPr>
                <w:rFonts w:asciiTheme="majorHAnsi" w:eastAsia="Times New Roman" w:hAnsiTheme="majorHAnsi" w:cstheme="majorHAnsi"/>
                <w:sz w:val="21"/>
                <w:szCs w:val="21"/>
              </w:rPr>
            </w:pPr>
            <w:proofErr w:type="spellStart"/>
            <w:r w:rsidRPr="001C44F9">
              <w:rPr>
                <w:rFonts w:asciiTheme="majorHAnsi" w:eastAsia="Times New Roman" w:hAnsiTheme="majorHAnsi" w:cstheme="majorHAnsi"/>
                <w:sz w:val="21"/>
                <w:szCs w:val="21"/>
              </w:rPr>
              <w:t>Level</w:t>
            </w:r>
            <w:proofErr w:type="spellEnd"/>
            <w:r w:rsidRPr="001C44F9">
              <w:rPr>
                <w:rFonts w:asciiTheme="majorHAnsi" w:eastAsia="Times New Roman" w:hAnsiTheme="majorHAnsi" w:cstheme="majorHAnsi"/>
                <w:sz w:val="21"/>
                <w:szCs w:val="21"/>
              </w:rPr>
              <w:t xml:space="preserve"> </w:t>
            </w:r>
            <w:proofErr w:type="spellStart"/>
            <w:r w:rsidRPr="001C44F9">
              <w:rPr>
                <w:rFonts w:asciiTheme="majorHAnsi" w:eastAsia="Times New Roman" w:hAnsiTheme="majorHAnsi" w:cstheme="majorHAnsi"/>
                <w:sz w:val="21"/>
                <w:szCs w:val="21"/>
              </w:rPr>
              <w:t>of</w:t>
            </w:r>
            <w:proofErr w:type="spellEnd"/>
            <w:r w:rsidRPr="001C44F9">
              <w:rPr>
                <w:rFonts w:asciiTheme="majorHAnsi" w:eastAsia="Times New Roman" w:hAnsiTheme="majorHAnsi" w:cstheme="majorHAnsi"/>
                <w:sz w:val="21"/>
                <w:szCs w:val="21"/>
              </w:rPr>
              <w:t xml:space="preserve"> </w:t>
            </w:r>
            <w:proofErr w:type="spellStart"/>
            <w:r w:rsidRPr="001C44F9">
              <w:rPr>
                <w:rFonts w:asciiTheme="majorHAnsi" w:eastAsia="Times New Roman" w:hAnsiTheme="majorHAnsi" w:cstheme="majorHAnsi"/>
                <w:sz w:val="21"/>
                <w:szCs w:val="21"/>
              </w:rPr>
              <w:t>addressing</w:t>
            </w:r>
            <w:proofErr w:type="spellEnd"/>
            <w:r w:rsidRPr="001C44F9">
              <w:rPr>
                <w:rFonts w:asciiTheme="majorHAnsi" w:eastAsia="Times New Roman" w:hAnsiTheme="majorHAnsi" w:cstheme="majorHAnsi"/>
                <w:sz w:val="21"/>
                <w:szCs w:val="21"/>
              </w:rPr>
              <w:t xml:space="preserve"> the </w:t>
            </w:r>
            <w:proofErr w:type="spellStart"/>
            <w:r w:rsidRPr="001C44F9">
              <w:rPr>
                <w:rFonts w:asciiTheme="majorHAnsi" w:eastAsia="Times New Roman" w:hAnsiTheme="majorHAnsi" w:cstheme="majorHAnsi"/>
                <w:sz w:val="21"/>
                <w:szCs w:val="21"/>
              </w:rPr>
              <w:t>recommendations</w:t>
            </w:r>
            <w:proofErr w:type="spellEnd"/>
            <w:r w:rsidRPr="001C44F9">
              <w:rPr>
                <w:rFonts w:asciiTheme="majorHAnsi" w:eastAsia="Times New Roman" w:hAnsiTheme="majorHAnsi" w:cstheme="majorHAnsi"/>
                <w:sz w:val="21"/>
                <w:szCs w:val="21"/>
              </w:rPr>
              <w:t xml:space="preserve"> </w:t>
            </w:r>
            <w:proofErr w:type="spellStart"/>
            <w:r w:rsidRPr="001C44F9">
              <w:rPr>
                <w:rFonts w:asciiTheme="majorHAnsi" w:eastAsia="Times New Roman" w:hAnsiTheme="majorHAnsi" w:cstheme="majorHAnsi"/>
                <w:sz w:val="21"/>
                <w:szCs w:val="21"/>
              </w:rPr>
              <w:t>of</w:t>
            </w:r>
            <w:proofErr w:type="spellEnd"/>
            <w:r w:rsidRPr="001C44F9">
              <w:rPr>
                <w:rFonts w:asciiTheme="majorHAnsi" w:eastAsia="Times New Roman" w:hAnsiTheme="majorHAnsi" w:cstheme="majorHAnsi"/>
                <w:sz w:val="21"/>
                <w:szCs w:val="21"/>
              </w:rPr>
              <w:t xml:space="preserve"> the </w:t>
            </w:r>
            <w:proofErr w:type="spellStart"/>
            <w:r w:rsidRPr="001C44F9">
              <w:rPr>
                <w:rFonts w:asciiTheme="majorHAnsi" w:eastAsia="Times New Roman" w:hAnsiTheme="majorHAnsi" w:cstheme="majorHAnsi"/>
                <w:sz w:val="21"/>
                <w:szCs w:val="21"/>
              </w:rPr>
              <w:t>internal</w:t>
            </w:r>
            <w:proofErr w:type="spellEnd"/>
            <w:r w:rsidRPr="001C44F9">
              <w:rPr>
                <w:rFonts w:asciiTheme="majorHAnsi" w:eastAsia="Times New Roman" w:hAnsiTheme="majorHAnsi" w:cstheme="majorHAnsi"/>
                <w:sz w:val="21"/>
                <w:szCs w:val="21"/>
              </w:rPr>
              <w:t xml:space="preserve"> </w:t>
            </w:r>
            <w:proofErr w:type="spellStart"/>
            <w:r w:rsidRPr="001C44F9">
              <w:rPr>
                <w:rFonts w:asciiTheme="majorHAnsi" w:eastAsia="Times New Roman" w:hAnsiTheme="majorHAnsi" w:cstheme="majorHAnsi"/>
                <w:sz w:val="21"/>
                <w:szCs w:val="21"/>
              </w:rPr>
              <w:t>audit</w:t>
            </w:r>
            <w:proofErr w:type="spellEnd"/>
          </w:p>
        </w:tc>
        <w:tc>
          <w:tcPr>
            <w:tcW w:w="1440" w:type="dxa"/>
            <w:tcBorders>
              <w:top w:val="nil"/>
              <w:left w:val="nil"/>
              <w:bottom w:val="single" w:sz="8" w:space="0" w:color="auto"/>
              <w:right w:val="single" w:sz="8" w:space="0" w:color="auto"/>
            </w:tcBorders>
            <w:shd w:val="clear" w:color="auto" w:fill="FBD4B4" w:themeFill="accent6" w:themeFillTint="66"/>
            <w:noWrap/>
            <w:vAlign w:val="center"/>
            <w:hideMark/>
          </w:tcPr>
          <w:p w14:paraId="79DEEB46"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w:t>
            </w:r>
          </w:p>
        </w:tc>
        <w:tc>
          <w:tcPr>
            <w:tcW w:w="2327" w:type="dxa"/>
            <w:tcBorders>
              <w:top w:val="nil"/>
              <w:left w:val="nil"/>
              <w:bottom w:val="single" w:sz="8" w:space="0" w:color="auto"/>
              <w:right w:val="single" w:sz="8" w:space="0" w:color="auto"/>
            </w:tcBorders>
            <w:shd w:val="clear" w:color="auto" w:fill="FBD4B4" w:themeFill="accent6" w:themeFillTint="66"/>
          </w:tcPr>
          <w:p w14:paraId="76C52B6F" w14:textId="2F913919"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0</w:t>
            </w:r>
          </w:p>
        </w:tc>
      </w:tr>
      <w:tr w:rsidR="00E46572" w:rsidRPr="001C44F9" w14:paraId="38255A73" w14:textId="05202AD4" w:rsidTr="00E46572">
        <w:trPr>
          <w:trHeight w:val="144"/>
        </w:trPr>
        <w:tc>
          <w:tcPr>
            <w:tcW w:w="542" w:type="dxa"/>
            <w:tcBorders>
              <w:top w:val="nil"/>
              <w:left w:val="single" w:sz="8" w:space="0" w:color="auto"/>
              <w:bottom w:val="single" w:sz="4" w:space="0" w:color="auto"/>
              <w:right w:val="single" w:sz="4" w:space="0" w:color="auto"/>
            </w:tcBorders>
            <w:shd w:val="clear" w:color="auto" w:fill="709FDB" w:themeFill="text2" w:themeFillTint="80"/>
            <w:noWrap/>
            <w:vAlign w:val="center"/>
            <w:hideMark/>
          </w:tcPr>
          <w:p w14:paraId="056B1F81"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V</w:t>
            </w:r>
          </w:p>
        </w:tc>
        <w:tc>
          <w:tcPr>
            <w:tcW w:w="5388" w:type="dxa"/>
            <w:tcBorders>
              <w:top w:val="nil"/>
              <w:left w:val="nil"/>
              <w:bottom w:val="single" w:sz="4" w:space="0" w:color="auto"/>
              <w:right w:val="single" w:sz="4" w:space="0" w:color="auto"/>
            </w:tcBorders>
            <w:shd w:val="clear" w:color="auto" w:fill="709FDB" w:themeFill="text2" w:themeFillTint="80"/>
            <w:vAlign w:val="center"/>
            <w:hideMark/>
          </w:tcPr>
          <w:p w14:paraId="79A438C1" w14:textId="77777777" w:rsidR="00E46572" w:rsidRPr="001C44F9" w:rsidRDefault="00E46572" w:rsidP="00023C23">
            <w:pPr>
              <w:rPr>
                <w:rFonts w:asciiTheme="majorHAnsi" w:eastAsia="Times New Roman" w:hAnsiTheme="majorHAnsi" w:cstheme="majorHAnsi"/>
                <w:b/>
                <w:bCs/>
                <w:color w:val="FFFFFF"/>
                <w:sz w:val="21"/>
                <w:szCs w:val="21"/>
              </w:rPr>
            </w:pPr>
            <w:proofErr w:type="spellStart"/>
            <w:r w:rsidRPr="001C44F9">
              <w:rPr>
                <w:rFonts w:asciiTheme="majorHAnsi" w:eastAsia="Times New Roman" w:hAnsiTheme="majorHAnsi" w:cstheme="majorHAnsi"/>
                <w:b/>
                <w:bCs/>
                <w:color w:val="FFFFFF"/>
                <w:sz w:val="21"/>
                <w:szCs w:val="21"/>
              </w:rPr>
              <w:t>Contract</w:t>
            </w:r>
            <w:proofErr w:type="spellEnd"/>
            <w:r w:rsidRPr="001C44F9">
              <w:rPr>
                <w:rFonts w:asciiTheme="majorHAnsi" w:eastAsia="Times New Roman" w:hAnsiTheme="majorHAnsi" w:cstheme="majorHAnsi"/>
                <w:b/>
                <w:bCs/>
                <w:color w:val="FFFFFF"/>
                <w:sz w:val="21"/>
                <w:szCs w:val="21"/>
              </w:rPr>
              <w:t xml:space="preserve"> </w:t>
            </w:r>
            <w:proofErr w:type="spellStart"/>
            <w:r w:rsidRPr="001C44F9">
              <w:rPr>
                <w:rFonts w:asciiTheme="majorHAnsi" w:eastAsia="Times New Roman" w:hAnsiTheme="majorHAnsi" w:cstheme="majorHAnsi"/>
                <w:b/>
                <w:bCs/>
                <w:color w:val="FFFFFF"/>
                <w:sz w:val="21"/>
                <w:szCs w:val="21"/>
              </w:rPr>
              <w:t>management</w:t>
            </w:r>
            <w:proofErr w:type="spellEnd"/>
            <w:r w:rsidRPr="001C44F9">
              <w:rPr>
                <w:rFonts w:asciiTheme="majorHAnsi" w:eastAsia="Times New Roman" w:hAnsiTheme="majorHAnsi" w:cstheme="majorHAnsi"/>
                <w:b/>
                <w:bCs/>
                <w:color w:val="FFFFFF"/>
                <w:sz w:val="21"/>
                <w:szCs w:val="21"/>
              </w:rPr>
              <w:t xml:space="preserve"> </w:t>
            </w:r>
          </w:p>
        </w:tc>
        <w:tc>
          <w:tcPr>
            <w:tcW w:w="1440" w:type="dxa"/>
            <w:tcBorders>
              <w:top w:val="nil"/>
              <w:left w:val="nil"/>
              <w:bottom w:val="single" w:sz="4" w:space="0" w:color="auto"/>
              <w:right w:val="single" w:sz="4" w:space="0" w:color="auto"/>
            </w:tcBorders>
            <w:shd w:val="clear" w:color="auto" w:fill="709FDB" w:themeFill="text2" w:themeFillTint="80"/>
            <w:vAlign w:val="center"/>
            <w:hideMark/>
          </w:tcPr>
          <w:p w14:paraId="2C223A5A"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7</w:t>
            </w:r>
          </w:p>
        </w:tc>
        <w:tc>
          <w:tcPr>
            <w:tcW w:w="2327" w:type="dxa"/>
            <w:tcBorders>
              <w:top w:val="nil"/>
              <w:left w:val="nil"/>
              <w:bottom w:val="single" w:sz="4" w:space="0" w:color="auto"/>
              <w:right w:val="single" w:sz="4" w:space="0" w:color="auto"/>
            </w:tcBorders>
            <w:shd w:val="clear" w:color="auto" w:fill="709FDB" w:themeFill="text2" w:themeFillTint="80"/>
          </w:tcPr>
          <w:p w14:paraId="3E17B0E7" w14:textId="71484B85" w:rsidR="00E46572" w:rsidRPr="001C44F9" w:rsidRDefault="00E46572" w:rsidP="00023C23">
            <w:pPr>
              <w:rPr>
                <w:rFonts w:asciiTheme="majorHAnsi" w:eastAsia="Times New Roman" w:hAnsiTheme="majorHAnsi" w:cstheme="majorHAnsi"/>
                <w:b/>
                <w:bCs/>
                <w:color w:val="FFFFFF"/>
                <w:sz w:val="21"/>
                <w:szCs w:val="21"/>
              </w:rPr>
            </w:pPr>
            <w:r>
              <w:rPr>
                <w:rFonts w:asciiTheme="majorHAnsi" w:eastAsia="Times New Roman" w:hAnsiTheme="majorHAnsi" w:cstheme="majorHAnsi"/>
                <w:b/>
                <w:bCs/>
                <w:color w:val="FFFFFF"/>
                <w:sz w:val="21"/>
                <w:szCs w:val="21"/>
              </w:rPr>
              <w:t>7</w:t>
            </w:r>
          </w:p>
        </w:tc>
      </w:tr>
      <w:tr w:rsidR="00E46572" w:rsidRPr="001C44F9" w14:paraId="536F9C2C" w14:textId="2DEA5600" w:rsidTr="00E46572">
        <w:trPr>
          <w:trHeight w:val="287"/>
        </w:trPr>
        <w:tc>
          <w:tcPr>
            <w:tcW w:w="542" w:type="dxa"/>
            <w:tcBorders>
              <w:top w:val="nil"/>
              <w:left w:val="single" w:sz="8" w:space="0" w:color="auto"/>
              <w:bottom w:val="single" w:sz="4" w:space="0" w:color="auto"/>
              <w:right w:val="single" w:sz="4" w:space="0" w:color="auto"/>
            </w:tcBorders>
            <w:noWrap/>
            <w:vAlign w:val="center"/>
            <w:hideMark/>
          </w:tcPr>
          <w:p w14:paraId="0C0BB9C2"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17</w:t>
            </w:r>
          </w:p>
        </w:tc>
        <w:tc>
          <w:tcPr>
            <w:tcW w:w="5388" w:type="dxa"/>
            <w:tcBorders>
              <w:top w:val="nil"/>
              <w:left w:val="nil"/>
              <w:bottom w:val="single" w:sz="4" w:space="0" w:color="auto"/>
              <w:right w:val="single" w:sz="4" w:space="0" w:color="auto"/>
            </w:tcBorders>
            <w:vAlign w:val="center"/>
            <w:hideMark/>
          </w:tcPr>
          <w:p w14:paraId="38E201FF" w14:textId="77777777" w:rsidR="00E46572" w:rsidRPr="001C44F9" w:rsidRDefault="00E46572" w:rsidP="00023C23">
            <w:pPr>
              <w:rPr>
                <w:rFonts w:asciiTheme="majorHAnsi" w:eastAsia="Times New Roman" w:hAnsiTheme="majorHAnsi" w:cstheme="majorHAnsi"/>
                <w:color w:val="000000"/>
                <w:sz w:val="21"/>
                <w:szCs w:val="21"/>
              </w:rPr>
            </w:pPr>
            <w:proofErr w:type="spellStart"/>
            <w:r w:rsidRPr="001C44F9">
              <w:rPr>
                <w:rFonts w:asciiTheme="majorHAnsi" w:eastAsia="Times New Roman" w:hAnsiTheme="majorHAnsi" w:cstheme="majorHAnsi"/>
                <w:color w:val="000000"/>
                <w:sz w:val="21"/>
                <w:szCs w:val="21"/>
              </w:rPr>
              <w:t>Level</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of</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implementation</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of</w:t>
            </w:r>
            <w:proofErr w:type="spellEnd"/>
            <w:r w:rsidRPr="001C44F9">
              <w:rPr>
                <w:rFonts w:asciiTheme="majorHAnsi" w:eastAsia="Times New Roman" w:hAnsiTheme="majorHAnsi" w:cstheme="majorHAnsi"/>
                <w:color w:val="000000"/>
                <w:sz w:val="21"/>
                <w:szCs w:val="21"/>
              </w:rPr>
              <w:t xml:space="preserve"> the </w:t>
            </w:r>
            <w:proofErr w:type="spellStart"/>
            <w:r w:rsidRPr="001C44F9">
              <w:rPr>
                <w:rFonts w:asciiTheme="majorHAnsi" w:eastAsia="Times New Roman" w:hAnsiTheme="majorHAnsi" w:cstheme="majorHAnsi"/>
                <w:color w:val="000000"/>
                <w:sz w:val="21"/>
                <w:szCs w:val="21"/>
              </w:rPr>
              <w:t>procurement</w:t>
            </w:r>
            <w:proofErr w:type="spellEnd"/>
            <w:r w:rsidRPr="001C44F9">
              <w:rPr>
                <w:rFonts w:asciiTheme="majorHAnsi" w:eastAsia="Times New Roman" w:hAnsiTheme="majorHAnsi" w:cstheme="majorHAnsi"/>
                <w:color w:val="000000"/>
                <w:sz w:val="21"/>
                <w:szCs w:val="21"/>
              </w:rPr>
              <w:t xml:space="preserve"> plan</w:t>
            </w:r>
          </w:p>
        </w:tc>
        <w:tc>
          <w:tcPr>
            <w:tcW w:w="1440" w:type="dxa"/>
            <w:tcBorders>
              <w:top w:val="nil"/>
              <w:left w:val="nil"/>
              <w:bottom w:val="single" w:sz="4" w:space="0" w:color="auto"/>
              <w:right w:val="single" w:sz="4" w:space="0" w:color="auto"/>
            </w:tcBorders>
            <w:noWrap/>
            <w:vAlign w:val="center"/>
            <w:hideMark/>
          </w:tcPr>
          <w:p w14:paraId="51736828"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3</w:t>
            </w:r>
          </w:p>
        </w:tc>
        <w:tc>
          <w:tcPr>
            <w:tcW w:w="2327" w:type="dxa"/>
            <w:tcBorders>
              <w:top w:val="nil"/>
              <w:left w:val="nil"/>
              <w:bottom w:val="single" w:sz="4" w:space="0" w:color="auto"/>
              <w:right w:val="single" w:sz="4" w:space="0" w:color="auto"/>
            </w:tcBorders>
          </w:tcPr>
          <w:p w14:paraId="11F20DCD" w14:textId="7D862C8B"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3</w:t>
            </w:r>
          </w:p>
        </w:tc>
      </w:tr>
      <w:tr w:rsidR="00E46572" w:rsidRPr="001C44F9" w14:paraId="58303876" w14:textId="0E08361C" w:rsidTr="00E46572">
        <w:trPr>
          <w:trHeight w:val="269"/>
        </w:trPr>
        <w:tc>
          <w:tcPr>
            <w:tcW w:w="542" w:type="dxa"/>
            <w:tcBorders>
              <w:top w:val="nil"/>
              <w:left w:val="single" w:sz="8" w:space="0" w:color="auto"/>
              <w:bottom w:val="single" w:sz="4" w:space="0" w:color="auto"/>
              <w:right w:val="single" w:sz="4" w:space="0" w:color="auto"/>
            </w:tcBorders>
            <w:noWrap/>
            <w:vAlign w:val="center"/>
            <w:hideMark/>
          </w:tcPr>
          <w:p w14:paraId="7BC7356C"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18</w:t>
            </w:r>
          </w:p>
        </w:tc>
        <w:tc>
          <w:tcPr>
            <w:tcW w:w="5388" w:type="dxa"/>
            <w:tcBorders>
              <w:top w:val="nil"/>
              <w:left w:val="nil"/>
              <w:bottom w:val="single" w:sz="4" w:space="0" w:color="auto"/>
              <w:right w:val="single" w:sz="4" w:space="0" w:color="auto"/>
            </w:tcBorders>
            <w:vAlign w:val="center"/>
            <w:hideMark/>
          </w:tcPr>
          <w:p w14:paraId="24597097" w14:textId="77777777" w:rsidR="00E46572" w:rsidRPr="001C44F9" w:rsidRDefault="00E46572" w:rsidP="00023C23">
            <w:pPr>
              <w:rPr>
                <w:rFonts w:asciiTheme="majorHAnsi" w:eastAsia="Times New Roman" w:hAnsiTheme="majorHAnsi" w:cstheme="majorHAnsi"/>
                <w:color w:val="000000"/>
                <w:sz w:val="21"/>
                <w:szCs w:val="21"/>
              </w:rPr>
            </w:pPr>
            <w:proofErr w:type="spellStart"/>
            <w:r w:rsidRPr="001C44F9">
              <w:rPr>
                <w:rFonts w:asciiTheme="majorHAnsi" w:eastAsia="Times New Roman" w:hAnsiTheme="majorHAnsi" w:cstheme="majorHAnsi"/>
                <w:color w:val="000000"/>
                <w:sz w:val="21"/>
                <w:szCs w:val="21"/>
              </w:rPr>
              <w:t>Preparation</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and</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publication</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of</w:t>
            </w:r>
            <w:proofErr w:type="spellEnd"/>
            <w:r w:rsidRPr="001C44F9">
              <w:rPr>
                <w:rFonts w:asciiTheme="majorHAnsi" w:eastAsia="Times New Roman" w:hAnsiTheme="majorHAnsi" w:cstheme="majorHAnsi"/>
                <w:color w:val="000000"/>
                <w:sz w:val="21"/>
                <w:szCs w:val="21"/>
              </w:rPr>
              <w:t xml:space="preserve"> the </w:t>
            </w:r>
            <w:proofErr w:type="spellStart"/>
            <w:r w:rsidRPr="001C44F9">
              <w:rPr>
                <w:rFonts w:asciiTheme="majorHAnsi" w:eastAsia="Times New Roman" w:hAnsiTheme="majorHAnsi" w:cstheme="majorHAnsi"/>
                <w:color w:val="000000"/>
                <w:sz w:val="21"/>
                <w:szCs w:val="21"/>
              </w:rPr>
              <w:t>list</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of</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municipal</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properties</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planned</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for</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commissioning</w:t>
            </w:r>
            <w:proofErr w:type="spellEnd"/>
          </w:p>
        </w:tc>
        <w:tc>
          <w:tcPr>
            <w:tcW w:w="1440" w:type="dxa"/>
            <w:tcBorders>
              <w:top w:val="nil"/>
              <w:left w:val="nil"/>
              <w:bottom w:val="single" w:sz="4" w:space="0" w:color="auto"/>
              <w:right w:val="single" w:sz="4" w:space="0" w:color="auto"/>
            </w:tcBorders>
            <w:noWrap/>
            <w:vAlign w:val="center"/>
            <w:hideMark/>
          </w:tcPr>
          <w:p w14:paraId="16410A2E"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4</w:t>
            </w:r>
          </w:p>
        </w:tc>
        <w:tc>
          <w:tcPr>
            <w:tcW w:w="2327" w:type="dxa"/>
            <w:tcBorders>
              <w:top w:val="nil"/>
              <w:left w:val="nil"/>
              <w:bottom w:val="single" w:sz="4" w:space="0" w:color="auto"/>
              <w:right w:val="single" w:sz="4" w:space="0" w:color="auto"/>
            </w:tcBorders>
          </w:tcPr>
          <w:p w14:paraId="6C109255" w14:textId="1F67BAD2"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4</w:t>
            </w:r>
          </w:p>
        </w:tc>
      </w:tr>
      <w:tr w:rsidR="00E46572" w:rsidRPr="001C44F9" w14:paraId="4CA9C666" w14:textId="52CAAFA1" w:rsidTr="00E46572">
        <w:trPr>
          <w:trHeight w:val="144"/>
        </w:trPr>
        <w:tc>
          <w:tcPr>
            <w:tcW w:w="542" w:type="dxa"/>
            <w:tcBorders>
              <w:top w:val="nil"/>
              <w:left w:val="single" w:sz="8" w:space="0" w:color="auto"/>
              <w:bottom w:val="single" w:sz="4" w:space="0" w:color="auto"/>
              <w:right w:val="single" w:sz="4" w:space="0" w:color="auto"/>
            </w:tcBorders>
            <w:shd w:val="clear" w:color="auto" w:fill="709FDB" w:themeFill="text2" w:themeFillTint="80"/>
            <w:noWrap/>
            <w:vAlign w:val="center"/>
            <w:hideMark/>
          </w:tcPr>
          <w:p w14:paraId="4CF2F815"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VI</w:t>
            </w:r>
          </w:p>
        </w:tc>
        <w:tc>
          <w:tcPr>
            <w:tcW w:w="5388" w:type="dxa"/>
            <w:tcBorders>
              <w:top w:val="single" w:sz="4" w:space="0" w:color="auto"/>
              <w:left w:val="nil"/>
              <w:bottom w:val="single" w:sz="4" w:space="0" w:color="auto"/>
              <w:right w:val="single" w:sz="4" w:space="0" w:color="auto"/>
            </w:tcBorders>
            <w:shd w:val="clear" w:color="auto" w:fill="709FDB" w:themeFill="text2" w:themeFillTint="80"/>
            <w:vAlign w:val="center"/>
            <w:hideMark/>
          </w:tcPr>
          <w:p w14:paraId="20242914"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 xml:space="preserve">Human </w:t>
            </w:r>
            <w:proofErr w:type="spellStart"/>
            <w:r w:rsidRPr="001C44F9">
              <w:rPr>
                <w:rFonts w:asciiTheme="majorHAnsi" w:eastAsia="Times New Roman" w:hAnsiTheme="majorHAnsi" w:cstheme="majorHAnsi"/>
                <w:b/>
                <w:bCs/>
                <w:color w:val="FFFFFF"/>
                <w:sz w:val="21"/>
                <w:szCs w:val="21"/>
              </w:rPr>
              <w:t>resource</w:t>
            </w:r>
            <w:proofErr w:type="spellEnd"/>
            <w:r w:rsidRPr="001C44F9">
              <w:rPr>
                <w:rFonts w:asciiTheme="majorHAnsi" w:eastAsia="Times New Roman" w:hAnsiTheme="majorHAnsi" w:cstheme="majorHAnsi"/>
                <w:b/>
                <w:bCs/>
                <w:color w:val="FFFFFF"/>
                <w:sz w:val="21"/>
                <w:szCs w:val="21"/>
              </w:rPr>
              <w:t xml:space="preserve"> Management </w:t>
            </w:r>
          </w:p>
        </w:tc>
        <w:tc>
          <w:tcPr>
            <w:tcW w:w="1440" w:type="dxa"/>
            <w:tcBorders>
              <w:top w:val="nil"/>
              <w:left w:val="nil"/>
              <w:bottom w:val="single" w:sz="4" w:space="0" w:color="auto"/>
              <w:right w:val="single" w:sz="4" w:space="0" w:color="auto"/>
            </w:tcBorders>
            <w:shd w:val="clear" w:color="auto" w:fill="709FDB" w:themeFill="text2" w:themeFillTint="80"/>
            <w:vAlign w:val="center"/>
            <w:hideMark/>
          </w:tcPr>
          <w:p w14:paraId="2648A9E0"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10</w:t>
            </w:r>
          </w:p>
        </w:tc>
        <w:tc>
          <w:tcPr>
            <w:tcW w:w="2327" w:type="dxa"/>
            <w:tcBorders>
              <w:top w:val="nil"/>
              <w:left w:val="nil"/>
              <w:bottom w:val="single" w:sz="4" w:space="0" w:color="auto"/>
              <w:right w:val="single" w:sz="4" w:space="0" w:color="auto"/>
            </w:tcBorders>
            <w:shd w:val="clear" w:color="auto" w:fill="709FDB" w:themeFill="text2" w:themeFillTint="80"/>
          </w:tcPr>
          <w:p w14:paraId="44C08AEE" w14:textId="0FAAA838" w:rsidR="00E46572" w:rsidRPr="001C44F9" w:rsidRDefault="00E46572" w:rsidP="00023C23">
            <w:pPr>
              <w:rPr>
                <w:rFonts w:asciiTheme="majorHAnsi" w:eastAsia="Times New Roman" w:hAnsiTheme="majorHAnsi" w:cstheme="majorHAnsi"/>
                <w:b/>
                <w:bCs/>
                <w:color w:val="FFFFFF"/>
                <w:sz w:val="21"/>
                <w:szCs w:val="21"/>
              </w:rPr>
            </w:pPr>
            <w:r>
              <w:rPr>
                <w:rFonts w:asciiTheme="majorHAnsi" w:eastAsia="Times New Roman" w:hAnsiTheme="majorHAnsi" w:cstheme="majorHAnsi"/>
                <w:b/>
                <w:bCs/>
                <w:color w:val="FFFFFF"/>
                <w:sz w:val="21"/>
                <w:szCs w:val="21"/>
              </w:rPr>
              <w:t>10</w:t>
            </w:r>
          </w:p>
        </w:tc>
      </w:tr>
      <w:tr w:rsidR="00E46572" w:rsidRPr="001C44F9" w14:paraId="6FCF3742" w14:textId="299EA554" w:rsidTr="00E03152">
        <w:trPr>
          <w:trHeight w:val="242"/>
        </w:trPr>
        <w:tc>
          <w:tcPr>
            <w:tcW w:w="542" w:type="dxa"/>
            <w:tcBorders>
              <w:top w:val="nil"/>
              <w:left w:val="single" w:sz="8" w:space="0" w:color="auto"/>
              <w:bottom w:val="single" w:sz="4" w:space="0" w:color="auto"/>
              <w:right w:val="single" w:sz="4" w:space="0" w:color="auto"/>
            </w:tcBorders>
            <w:noWrap/>
            <w:vAlign w:val="center"/>
            <w:hideMark/>
          </w:tcPr>
          <w:p w14:paraId="282D1099"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19</w:t>
            </w:r>
          </w:p>
        </w:tc>
        <w:tc>
          <w:tcPr>
            <w:tcW w:w="5388" w:type="dxa"/>
            <w:tcBorders>
              <w:top w:val="nil"/>
              <w:left w:val="nil"/>
              <w:bottom w:val="single" w:sz="4" w:space="0" w:color="auto"/>
              <w:right w:val="single" w:sz="4" w:space="0" w:color="auto"/>
            </w:tcBorders>
            <w:vAlign w:val="center"/>
            <w:hideMark/>
          </w:tcPr>
          <w:p w14:paraId="63E27361" w14:textId="77777777" w:rsidR="00E46572" w:rsidRPr="005E782F" w:rsidRDefault="00E46572" w:rsidP="00023C23">
            <w:pPr>
              <w:rPr>
                <w:rFonts w:asciiTheme="majorHAnsi" w:eastAsia="Times New Roman" w:hAnsiTheme="majorHAnsi" w:cstheme="majorHAnsi"/>
                <w:b/>
                <w:bCs/>
                <w:color w:val="000000"/>
                <w:sz w:val="21"/>
                <w:szCs w:val="21"/>
              </w:rPr>
            </w:pPr>
            <w:proofErr w:type="spellStart"/>
            <w:r w:rsidRPr="005E782F">
              <w:rPr>
                <w:rFonts w:asciiTheme="majorHAnsi" w:eastAsia="Times New Roman" w:hAnsiTheme="majorHAnsi" w:cstheme="majorHAnsi"/>
                <w:b/>
                <w:bCs/>
                <w:color w:val="000000"/>
                <w:sz w:val="21"/>
                <w:szCs w:val="21"/>
              </w:rPr>
              <w:t>Drafting</w:t>
            </w:r>
            <w:proofErr w:type="spellEnd"/>
            <w:r w:rsidRPr="005E782F">
              <w:rPr>
                <w:rFonts w:asciiTheme="majorHAnsi" w:eastAsia="Times New Roman" w:hAnsiTheme="majorHAnsi" w:cstheme="majorHAnsi"/>
                <w:b/>
                <w:bCs/>
                <w:color w:val="000000"/>
                <w:sz w:val="21"/>
                <w:szCs w:val="21"/>
              </w:rPr>
              <w:t xml:space="preserve"> </w:t>
            </w:r>
            <w:proofErr w:type="spellStart"/>
            <w:r w:rsidRPr="005E782F">
              <w:rPr>
                <w:rFonts w:asciiTheme="majorHAnsi" w:eastAsia="Times New Roman" w:hAnsiTheme="majorHAnsi" w:cstheme="majorHAnsi"/>
                <w:b/>
                <w:bCs/>
                <w:color w:val="000000"/>
                <w:sz w:val="21"/>
                <w:szCs w:val="21"/>
              </w:rPr>
              <w:t>of</w:t>
            </w:r>
            <w:proofErr w:type="spellEnd"/>
            <w:r w:rsidRPr="005E782F">
              <w:rPr>
                <w:rFonts w:asciiTheme="majorHAnsi" w:eastAsia="Times New Roman" w:hAnsiTheme="majorHAnsi" w:cstheme="majorHAnsi"/>
                <w:b/>
                <w:bCs/>
                <w:color w:val="000000"/>
                <w:sz w:val="21"/>
                <w:szCs w:val="21"/>
              </w:rPr>
              <w:t xml:space="preserve"> the </w:t>
            </w:r>
            <w:proofErr w:type="spellStart"/>
            <w:r w:rsidRPr="005E782F">
              <w:rPr>
                <w:rFonts w:asciiTheme="majorHAnsi" w:eastAsia="Times New Roman" w:hAnsiTheme="majorHAnsi" w:cstheme="majorHAnsi"/>
                <w:b/>
                <w:bCs/>
                <w:color w:val="000000"/>
                <w:sz w:val="21"/>
                <w:szCs w:val="21"/>
              </w:rPr>
              <w:t>staff</w:t>
            </w:r>
            <w:proofErr w:type="spellEnd"/>
            <w:r w:rsidRPr="005E782F">
              <w:rPr>
                <w:rFonts w:asciiTheme="majorHAnsi" w:eastAsia="Times New Roman" w:hAnsiTheme="majorHAnsi" w:cstheme="majorHAnsi"/>
                <w:b/>
                <w:bCs/>
                <w:color w:val="000000"/>
                <w:sz w:val="21"/>
                <w:szCs w:val="21"/>
              </w:rPr>
              <w:t xml:space="preserve"> </w:t>
            </w:r>
            <w:proofErr w:type="spellStart"/>
            <w:r w:rsidRPr="005E782F">
              <w:rPr>
                <w:rFonts w:asciiTheme="majorHAnsi" w:eastAsia="Times New Roman" w:hAnsiTheme="majorHAnsi" w:cstheme="majorHAnsi"/>
                <w:b/>
                <w:bCs/>
                <w:color w:val="000000"/>
                <w:sz w:val="21"/>
                <w:szCs w:val="21"/>
              </w:rPr>
              <w:t>development</w:t>
            </w:r>
            <w:proofErr w:type="spellEnd"/>
            <w:r w:rsidRPr="005E782F">
              <w:rPr>
                <w:rFonts w:asciiTheme="majorHAnsi" w:eastAsia="Times New Roman" w:hAnsiTheme="majorHAnsi" w:cstheme="majorHAnsi"/>
                <w:b/>
                <w:bCs/>
                <w:color w:val="000000"/>
                <w:sz w:val="21"/>
                <w:szCs w:val="21"/>
              </w:rPr>
              <w:t xml:space="preserve"> plan</w:t>
            </w:r>
          </w:p>
        </w:tc>
        <w:tc>
          <w:tcPr>
            <w:tcW w:w="1440" w:type="dxa"/>
            <w:tcBorders>
              <w:top w:val="nil"/>
              <w:left w:val="nil"/>
              <w:bottom w:val="single" w:sz="4" w:space="0" w:color="auto"/>
              <w:right w:val="single" w:sz="4" w:space="0" w:color="auto"/>
            </w:tcBorders>
            <w:noWrap/>
            <w:vAlign w:val="center"/>
            <w:hideMark/>
          </w:tcPr>
          <w:p w14:paraId="01713A1E"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w:t>
            </w:r>
          </w:p>
        </w:tc>
        <w:tc>
          <w:tcPr>
            <w:tcW w:w="2327" w:type="dxa"/>
            <w:tcBorders>
              <w:top w:val="nil"/>
              <w:left w:val="nil"/>
              <w:bottom w:val="single" w:sz="4" w:space="0" w:color="auto"/>
              <w:right w:val="single" w:sz="4" w:space="0" w:color="auto"/>
            </w:tcBorders>
          </w:tcPr>
          <w:p w14:paraId="46394B53" w14:textId="210415C8"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2</w:t>
            </w:r>
          </w:p>
        </w:tc>
      </w:tr>
      <w:tr w:rsidR="00E46572" w:rsidRPr="001C44F9" w14:paraId="45BF846C" w14:textId="1F0B97C1" w:rsidTr="00E46572">
        <w:trPr>
          <w:trHeight w:val="215"/>
        </w:trPr>
        <w:tc>
          <w:tcPr>
            <w:tcW w:w="542" w:type="dxa"/>
            <w:tcBorders>
              <w:top w:val="nil"/>
              <w:left w:val="single" w:sz="8" w:space="0" w:color="auto"/>
              <w:bottom w:val="single" w:sz="4" w:space="0" w:color="auto"/>
              <w:right w:val="single" w:sz="4" w:space="0" w:color="auto"/>
            </w:tcBorders>
            <w:noWrap/>
            <w:vAlign w:val="center"/>
            <w:hideMark/>
          </w:tcPr>
          <w:p w14:paraId="7B87DF2D"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20</w:t>
            </w:r>
          </w:p>
        </w:tc>
        <w:tc>
          <w:tcPr>
            <w:tcW w:w="5388" w:type="dxa"/>
            <w:tcBorders>
              <w:top w:val="nil"/>
              <w:left w:val="nil"/>
              <w:bottom w:val="single" w:sz="4" w:space="0" w:color="auto"/>
              <w:right w:val="single" w:sz="4" w:space="0" w:color="auto"/>
            </w:tcBorders>
            <w:vAlign w:val="center"/>
            <w:hideMark/>
          </w:tcPr>
          <w:p w14:paraId="2689C500" w14:textId="77777777" w:rsidR="00E46572" w:rsidRPr="001C44F9" w:rsidRDefault="00E46572" w:rsidP="00023C23">
            <w:pPr>
              <w:rPr>
                <w:rFonts w:asciiTheme="majorHAnsi" w:eastAsia="Times New Roman" w:hAnsiTheme="majorHAnsi" w:cstheme="majorHAnsi"/>
                <w:color w:val="000000"/>
                <w:sz w:val="21"/>
                <w:szCs w:val="21"/>
              </w:rPr>
            </w:pPr>
            <w:proofErr w:type="spellStart"/>
            <w:r w:rsidRPr="001C44F9">
              <w:rPr>
                <w:rFonts w:asciiTheme="majorHAnsi" w:eastAsia="Times New Roman" w:hAnsiTheme="majorHAnsi" w:cstheme="majorHAnsi"/>
                <w:color w:val="000000"/>
                <w:sz w:val="21"/>
                <w:szCs w:val="21"/>
              </w:rPr>
              <w:t>Women</w:t>
            </w:r>
            <w:proofErr w:type="spellEnd"/>
            <w:r w:rsidRPr="001C44F9">
              <w:rPr>
                <w:rFonts w:asciiTheme="majorHAnsi" w:eastAsia="Times New Roman" w:hAnsiTheme="majorHAnsi" w:cstheme="majorHAnsi"/>
                <w:color w:val="000000"/>
                <w:sz w:val="21"/>
                <w:szCs w:val="21"/>
              </w:rPr>
              <w:t xml:space="preserve"> in </w:t>
            </w:r>
            <w:proofErr w:type="spellStart"/>
            <w:r w:rsidRPr="001C44F9">
              <w:rPr>
                <w:rFonts w:asciiTheme="majorHAnsi" w:eastAsia="Times New Roman" w:hAnsiTheme="majorHAnsi" w:cstheme="majorHAnsi"/>
                <w:color w:val="000000"/>
                <w:sz w:val="21"/>
                <w:szCs w:val="21"/>
              </w:rPr>
              <w:t>leadership</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positions</w:t>
            </w:r>
            <w:proofErr w:type="spellEnd"/>
            <w:r w:rsidRPr="001C44F9">
              <w:rPr>
                <w:rFonts w:asciiTheme="majorHAnsi" w:eastAsia="Times New Roman" w:hAnsiTheme="majorHAnsi" w:cstheme="majorHAnsi"/>
                <w:color w:val="000000"/>
                <w:sz w:val="21"/>
                <w:szCs w:val="21"/>
              </w:rPr>
              <w:t xml:space="preserve"> in </w:t>
            </w:r>
            <w:proofErr w:type="spellStart"/>
            <w:r w:rsidRPr="001C44F9">
              <w:rPr>
                <w:rFonts w:asciiTheme="majorHAnsi" w:eastAsia="Times New Roman" w:hAnsiTheme="majorHAnsi" w:cstheme="majorHAnsi"/>
                <w:color w:val="000000"/>
                <w:sz w:val="21"/>
                <w:szCs w:val="21"/>
              </w:rPr>
              <w:t>education</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health</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and</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culture</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institutions</w:t>
            </w:r>
            <w:proofErr w:type="spellEnd"/>
          </w:p>
        </w:tc>
        <w:tc>
          <w:tcPr>
            <w:tcW w:w="1440" w:type="dxa"/>
            <w:tcBorders>
              <w:top w:val="nil"/>
              <w:left w:val="nil"/>
              <w:bottom w:val="single" w:sz="4" w:space="0" w:color="auto"/>
              <w:right w:val="single" w:sz="4" w:space="0" w:color="auto"/>
            </w:tcBorders>
            <w:noWrap/>
            <w:vAlign w:val="center"/>
            <w:hideMark/>
          </w:tcPr>
          <w:p w14:paraId="0E574A06"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5</w:t>
            </w:r>
          </w:p>
        </w:tc>
        <w:tc>
          <w:tcPr>
            <w:tcW w:w="2327" w:type="dxa"/>
            <w:tcBorders>
              <w:top w:val="nil"/>
              <w:left w:val="nil"/>
              <w:bottom w:val="single" w:sz="4" w:space="0" w:color="auto"/>
              <w:right w:val="single" w:sz="4" w:space="0" w:color="auto"/>
            </w:tcBorders>
          </w:tcPr>
          <w:p w14:paraId="1AC99078" w14:textId="34C45E4B"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5</w:t>
            </w:r>
          </w:p>
        </w:tc>
      </w:tr>
      <w:tr w:rsidR="00E46572" w:rsidRPr="001C44F9" w14:paraId="2CEB4907" w14:textId="41B81EC4" w:rsidTr="00E46572">
        <w:trPr>
          <w:trHeight w:val="206"/>
        </w:trPr>
        <w:tc>
          <w:tcPr>
            <w:tcW w:w="542" w:type="dxa"/>
            <w:tcBorders>
              <w:top w:val="nil"/>
              <w:left w:val="single" w:sz="8" w:space="0" w:color="auto"/>
              <w:bottom w:val="single" w:sz="4" w:space="0" w:color="auto"/>
              <w:right w:val="single" w:sz="4" w:space="0" w:color="auto"/>
            </w:tcBorders>
            <w:noWrap/>
            <w:vAlign w:val="center"/>
            <w:hideMark/>
          </w:tcPr>
          <w:p w14:paraId="5F47FE92"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21</w:t>
            </w:r>
          </w:p>
        </w:tc>
        <w:tc>
          <w:tcPr>
            <w:tcW w:w="5388" w:type="dxa"/>
            <w:tcBorders>
              <w:top w:val="nil"/>
              <w:left w:val="nil"/>
              <w:bottom w:val="single" w:sz="4" w:space="0" w:color="auto"/>
              <w:right w:val="single" w:sz="4" w:space="0" w:color="auto"/>
            </w:tcBorders>
            <w:vAlign w:val="center"/>
            <w:hideMark/>
          </w:tcPr>
          <w:p w14:paraId="67FE10FC" w14:textId="093B7863" w:rsidR="00E46572" w:rsidRPr="001C44F9" w:rsidRDefault="00E46572" w:rsidP="00023C23">
            <w:pPr>
              <w:rPr>
                <w:rFonts w:asciiTheme="majorHAnsi" w:eastAsia="Times New Roman" w:hAnsiTheme="majorHAnsi" w:cstheme="majorHAnsi"/>
                <w:color w:val="000000"/>
                <w:sz w:val="21"/>
                <w:szCs w:val="21"/>
              </w:rPr>
            </w:pPr>
            <w:proofErr w:type="spellStart"/>
            <w:r w:rsidRPr="001C44F9">
              <w:rPr>
                <w:rFonts w:asciiTheme="majorHAnsi" w:eastAsia="Times New Roman" w:hAnsiTheme="majorHAnsi" w:cstheme="majorHAnsi"/>
                <w:color w:val="000000"/>
                <w:sz w:val="21"/>
                <w:szCs w:val="21"/>
              </w:rPr>
              <w:t>Women</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appointed</w:t>
            </w:r>
            <w:proofErr w:type="spellEnd"/>
            <w:r w:rsidRPr="001C44F9">
              <w:rPr>
                <w:rFonts w:asciiTheme="majorHAnsi" w:eastAsia="Times New Roman" w:hAnsiTheme="majorHAnsi" w:cstheme="majorHAnsi"/>
                <w:color w:val="000000"/>
                <w:sz w:val="21"/>
                <w:szCs w:val="21"/>
              </w:rPr>
              <w:t xml:space="preserve"> in </w:t>
            </w:r>
            <w:proofErr w:type="spellStart"/>
            <w:r w:rsidRPr="001C44F9">
              <w:rPr>
                <w:rFonts w:asciiTheme="majorHAnsi" w:eastAsia="Times New Roman" w:hAnsiTheme="majorHAnsi" w:cstheme="majorHAnsi"/>
                <w:color w:val="000000"/>
                <w:sz w:val="21"/>
                <w:szCs w:val="21"/>
              </w:rPr>
              <w:t>political</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positions</w:t>
            </w:r>
            <w:proofErr w:type="spellEnd"/>
            <w:r w:rsidRPr="001C44F9">
              <w:rPr>
                <w:rFonts w:asciiTheme="majorHAnsi" w:eastAsia="Times New Roman" w:hAnsiTheme="majorHAnsi" w:cstheme="majorHAnsi"/>
                <w:color w:val="000000"/>
                <w:sz w:val="21"/>
                <w:szCs w:val="21"/>
              </w:rPr>
              <w:t xml:space="preserve"> in the </w:t>
            </w:r>
            <w:proofErr w:type="spellStart"/>
            <w:r w:rsidRPr="001C44F9">
              <w:rPr>
                <w:rFonts w:asciiTheme="majorHAnsi" w:eastAsia="Times New Roman" w:hAnsiTheme="majorHAnsi" w:cstheme="majorHAnsi"/>
                <w:color w:val="000000"/>
                <w:sz w:val="21"/>
                <w:szCs w:val="21"/>
              </w:rPr>
              <w:t>municipality</w:t>
            </w:r>
            <w:proofErr w:type="spellEnd"/>
          </w:p>
        </w:tc>
        <w:tc>
          <w:tcPr>
            <w:tcW w:w="1440" w:type="dxa"/>
            <w:tcBorders>
              <w:top w:val="nil"/>
              <w:left w:val="nil"/>
              <w:bottom w:val="single" w:sz="4" w:space="0" w:color="auto"/>
              <w:right w:val="single" w:sz="4" w:space="0" w:color="auto"/>
            </w:tcBorders>
            <w:noWrap/>
            <w:vAlign w:val="center"/>
            <w:hideMark/>
          </w:tcPr>
          <w:p w14:paraId="18DE8D9C"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3</w:t>
            </w:r>
          </w:p>
        </w:tc>
        <w:tc>
          <w:tcPr>
            <w:tcW w:w="2327" w:type="dxa"/>
            <w:tcBorders>
              <w:top w:val="nil"/>
              <w:left w:val="nil"/>
              <w:bottom w:val="single" w:sz="4" w:space="0" w:color="auto"/>
              <w:right w:val="single" w:sz="4" w:space="0" w:color="auto"/>
            </w:tcBorders>
          </w:tcPr>
          <w:p w14:paraId="4F811081" w14:textId="6C622568"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3</w:t>
            </w:r>
          </w:p>
        </w:tc>
      </w:tr>
      <w:tr w:rsidR="00E46572" w:rsidRPr="001C44F9" w14:paraId="53AA4F80" w14:textId="256313C2" w:rsidTr="00E46572">
        <w:trPr>
          <w:trHeight w:val="144"/>
        </w:trPr>
        <w:tc>
          <w:tcPr>
            <w:tcW w:w="542" w:type="dxa"/>
            <w:tcBorders>
              <w:top w:val="nil"/>
              <w:left w:val="single" w:sz="8" w:space="0" w:color="auto"/>
              <w:bottom w:val="single" w:sz="4" w:space="0" w:color="auto"/>
              <w:right w:val="single" w:sz="4" w:space="0" w:color="auto"/>
            </w:tcBorders>
            <w:shd w:val="clear" w:color="auto" w:fill="3071C3" w:themeFill="text2" w:themeFillTint="BF"/>
            <w:noWrap/>
            <w:vAlign w:val="center"/>
            <w:hideMark/>
          </w:tcPr>
          <w:p w14:paraId="595D6397"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3</w:t>
            </w:r>
          </w:p>
        </w:tc>
        <w:tc>
          <w:tcPr>
            <w:tcW w:w="5388" w:type="dxa"/>
            <w:tcBorders>
              <w:top w:val="nil"/>
              <w:left w:val="nil"/>
              <w:bottom w:val="single" w:sz="4" w:space="0" w:color="auto"/>
              <w:right w:val="single" w:sz="4" w:space="0" w:color="auto"/>
            </w:tcBorders>
            <w:shd w:val="clear" w:color="auto" w:fill="3071C3" w:themeFill="text2" w:themeFillTint="BF"/>
            <w:vAlign w:val="center"/>
          </w:tcPr>
          <w:p w14:paraId="6EC26DB9" w14:textId="77777777" w:rsidR="00E46572" w:rsidRPr="001C44F9" w:rsidRDefault="00E46572" w:rsidP="00023C23">
            <w:pPr>
              <w:rPr>
                <w:rFonts w:asciiTheme="majorHAnsi" w:eastAsia="Times New Roman" w:hAnsiTheme="majorHAnsi" w:cstheme="majorHAnsi"/>
                <w:b/>
                <w:bCs/>
                <w:color w:val="FFFFFF"/>
                <w:sz w:val="21"/>
                <w:szCs w:val="21"/>
              </w:rPr>
            </w:pPr>
            <w:proofErr w:type="spellStart"/>
            <w:r w:rsidRPr="001C44F9">
              <w:rPr>
                <w:rFonts w:asciiTheme="majorHAnsi" w:eastAsia="Times New Roman" w:hAnsiTheme="majorHAnsi" w:cstheme="majorHAnsi"/>
                <w:b/>
                <w:bCs/>
                <w:color w:val="FFFFFF"/>
                <w:sz w:val="21"/>
                <w:szCs w:val="21"/>
              </w:rPr>
              <w:t>Service</w:t>
            </w:r>
            <w:proofErr w:type="spellEnd"/>
            <w:r w:rsidRPr="001C44F9">
              <w:rPr>
                <w:rFonts w:asciiTheme="majorHAnsi" w:eastAsia="Times New Roman" w:hAnsiTheme="majorHAnsi" w:cstheme="majorHAnsi"/>
                <w:b/>
                <w:bCs/>
                <w:color w:val="FFFFFF"/>
                <w:sz w:val="21"/>
                <w:szCs w:val="21"/>
              </w:rPr>
              <w:t xml:space="preserve"> </w:t>
            </w:r>
            <w:proofErr w:type="spellStart"/>
            <w:r w:rsidRPr="001C44F9">
              <w:rPr>
                <w:rFonts w:asciiTheme="majorHAnsi" w:eastAsia="Times New Roman" w:hAnsiTheme="majorHAnsi" w:cstheme="majorHAnsi"/>
                <w:b/>
                <w:bCs/>
                <w:color w:val="FFFFFF"/>
                <w:sz w:val="21"/>
                <w:szCs w:val="21"/>
              </w:rPr>
              <w:t>Delivery</w:t>
            </w:r>
            <w:proofErr w:type="spellEnd"/>
          </w:p>
        </w:tc>
        <w:tc>
          <w:tcPr>
            <w:tcW w:w="1440" w:type="dxa"/>
            <w:tcBorders>
              <w:top w:val="nil"/>
              <w:left w:val="nil"/>
              <w:bottom w:val="single" w:sz="4" w:space="0" w:color="auto"/>
              <w:right w:val="single" w:sz="4" w:space="0" w:color="auto"/>
            </w:tcBorders>
            <w:shd w:val="clear" w:color="auto" w:fill="3071C3" w:themeFill="text2" w:themeFillTint="BF"/>
            <w:vAlign w:val="center"/>
            <w:hideMark/>
          </w:tcPr>
          <w:p w14:paraId="33F83231"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30</w:t>
            </w:r>
          </w:p>
        </w:tc>
        <w:tc>
          <w:tcPr>
            <w:tcW w:w="2327" w:type="dxa"/>
            <w:tcBorders>
              <w:top w:val="nil"/>
              <w:left w:val="nil"/>
              <w:bottom w:val="single" w:sz="4" w:space="0" w:color="auto"/>
              <w:right w:val="single" w:sz="4" w:space="0" w:color="auto"/>
            </w:tcBorders>
            <w:shd w:val="clear" w:color="auto" w:fill="3071C3" w:themeFill="text2" w:themeFillTint="BF"/>
          </w:tcPr>
          <w:p w14:paraId="64F9CCB8" w14:textId="588F0BD9" w:rsidR="00E46572" w:rsidRPr="001C44F9" w:rsidRDefault="00E46572" w:rsidP="00023C23">
            <w:pPr>
              <w:rPr>
                <w:rFonts w:asciiTheme="majorHAnsi" w:eastAsia="Times New Roman" w:hAnsiTheme="majorHAnsi" w:cstheme="majorHAnsi"/>
                <w:b/>
                <w:bCs/>
                <w:color w:val="FFFFFF"/>
                <w:sz w:val="21"/>
                <w:szCs w:val="21"/>
              </w:rPr>
            </w:pPr>
            <w:r>
              <w:rPr>
                <w:rFonts w:asciiTheme="majorHAnsi" w:eastAsia="Times New Roman" w:hAnsiTheme="majorHAnsi" w:cstheme="majorHAnsi"/>
                <w:b/>
                <w:bCs/>
                <w:color w:val="FFFFFF"/>
                <w:sz w:val="21"/>
                <w:szCs w:val="21"/>
              </w:rPr>
              <w:t>30</w:t>
            </w:r>
          </w:p>
        </w:tc>
      </w:tr>
      <w:tr w:rsidR="00E46572" w:rsidRPr="001C44F9" w14:paraId="6DFFD1CF" w14:textId="5E2FA77A" w:rsidTr="00E46572">
        <w:trPr>
          <w:trHeight w:val="144"/>
        </w:trPr>
        <w:tc>
          <w:tcPr>
            <w:tcW w:w="542" w:type="dxa"/>
            <w:tcBorders>
              <w:top w:val="nil"/>
              <w:left w:val="single" w:sz="8" w:space="0" w:color="auto"/>
              <w:bottom w:val="single" w:sz="4" w:space="0" w:color="auto"/>
              <w:right w:val="single" w:sz="4" w:space="0" w:color="auto"/>
            </w:tcBorders>
            <w:shd w:val="clear" w:color="auto" w:fill="709FDB" w:themeFill="text2" w:themeFillTint="80"/>
            <w:noWrap/>
            <w:vAlign w:val="center"/>
            <w:hideMark/>
          </w:tcPr>
          <w:p w14:paraId="47B8C933"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VII</w:t>
            </w:r>
          </w:p>
        </w:tc>
        <w:tc>
          <w:tcPr>
            <w:tcW w:w="5388" w:type="dxa"/>
            <w:tcBorders>
              <w:top w:val="single" w:sz="4" w:space="0" w:color="auto"/>
              <w:left w:val="nil"/>
              <w:bottom w:val="single" w:sz="4" w:space="0" w:color="auto"/>
              <w:right w:val="single" w:sz="4" w:space="0" w:color="auto"/>
            </w:tcBorders>
            <w:shd w:val="clear" w:color="auto" w:fill="709FDB" w:themeFill="text2" w:themeFillTint="80"/>
            <w:vAlign w:val="center"/>
            <w:hideMark/>
          </w:tcPr>
          <w:p w14:paraId="170B925B"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 xml:space="preserve">Administrative </w:t>
            </w:r>
            <w:proofErr w:type="spellStart"/>
            <w:r w:rsidRPr="001C44F9">
              <w:rPr>
                <w:rFonts w:asciiTheme="majorHAnsi" w:eastAsia="Times New Roman" w:hAnsiTheme="majorHAnsi" w:cstheme="majorHAnsi"/>
                <w:b/>
                <w:bCs/>
                <w:color w:val="FFFFFF"/>
                <w:sz w:val="21"/>
                <w:szCs w:val="21"/>
              </w:rPr>
              <w:t>services</w:t>
            </w:r>
            <w:proofErr w:type="spellEnd"/>
            <w:r w:rsidRPr="001C44F9">
              <w:rPr>
                <w:rFonts w:asciiTheme="majorHAnsi" w:eastAsia="Times New Roman" w:hAnsiTheme="majorHAnsi" w:cstheme="majorHAnsi"/>
                <w:b/>
                <w:bCs/>
                <w:color w:val="FFFFFF"/>
                <w:sz w:val="21"/>
                <w:szCs w:val="21"/>
              </w:rPr>
              <w:t xml:space="preserve"> </w:t>
            </w:r>
          </w:p>
        </w:tc>
        <w:tc>
          <w:tcPr>
            <w:tcW w:w="1440" w:type="dxa"/>
            <w:tcBorders>
              <w:top w:val="nil"/>
              <w:left w:val="nil"/>
              <w:bottom w:val="single" w:sz="4" w:space="0" w:color="auto"/>
              <w:right w:val="single" w:sz="4" w:space="0" w:color="auto"/>
            </w:tcBorders>
            <w:shd w:val="clear" w:color="auto" w:fill="709FDB" w:themeFill="text2" w:themeFillTint="80"/>
            <w:vAlign w:val="center"/>
            <w:hideMark/>
          </w:tcPr>
          <w:p w14:paraId="31FA64F5"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6</w:t>
            </w:r>
          </w:p>
        </w:tc>
        <w:tc>
          <w:tcPr>
            <w:tcW w:w="2327" w:type="dxa"/>
            <w:tcBorders>
              <w:top w:val="nil"/>
              <w:left w:val="nil"/>
              <w:bottom w:val="single" w:sz="4" w:space="0" w:color="auto"/>
              <w:right w:val="single" w:sz="4" w:space="0" w:color="auto"/>
            </w:tcBorders>
            <w:shd w:val="clear" w:color="auto" w:fill="709FDB" w:themeFill="text2" w:themeFillTint="80"/>
          </w:tcPr>
          <w:p w14:paraId="6538DE17" w14:textId="02C65CB3" w:rsidR="00E46572" w:rsidRPr="001C44F9" w:rsidRDefault="00E46572" w:rsidP="00023C23">
            <w:pPr>
              <w:rPr>
                <w:rFonts w:asciiTheme="majorHAnsi" w:eastAsia="Times New Roman" w:hAnsiTheme="majorHAnsi" w:cstheme="majorHAnsi"/>
                <w:b/>
                <w:bCs/>
                <w:color w:val="FFFFFF"/>
                <w:sz w:val="21"/>
                <w:szCs w:val="21"/>
              </w:rPr>
            </w:pPr>
            <w:r>
              <w:rPr>
                <w:rFonts w:asciiTheme="majorHAnsi" w:eastAsia="Times New Roman" w:hAnsiTheme="majorHAnsi" w:cstheme="majorHAnsi"/>
                <w:b/>
                <w:bCs/>
                <w:color w:val="FFFFFF"/>
                <w:sz w:val="21"/>
                <w:szCs w:val="21"/>
              </w:rPr>
              <w:t>2</w:t>
            </w:r>
          </w:p>
        </w:tc>
      </w:tr>
      <w:tr w:rsidR="00E46572" w:rsidRPr="001C44F9" w14:paraId="16BB5B52" w14:textId="51AD1257" w:rsidTr="00E03152">
        <w:trPr>
          <w:trHeight w:val="305"/>
        </w:trPr>
        <w:tc>
          <w:tcPr>
            <w:tcW w:w="542" w:type="dxa"/>
            <w:tcBorders>
              <w:top w:val="nil"/>
              <w:left w:val="single" w:sz="8" w:space="0" w:color="auto"/>
              <w:bottom w:val="single" w:sz="4" w:space="0" w:color="auto"/>
              <w:right w:val="single" w:sz="4" w:space="0" w:color="auto"/>
            </w:tcBorders>
            <w:noWrap/>
            <w:vAlign w:val="center"/>
            <w:hideMark/>
          </w:tcPr>
          <w:p w14:paraId="0A20E4FE"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22</w:t>
            </w:r>
          </w:p>
        </w:tc>
        <w:tc>
          <w:tcPr>
            <w:tcW w:w="5388" w:type="dxa"/>
            <w:tcBorders>
              <w:top w:val="nil"/>
              <w:left w:val="nil"/>
              <w:bottom w:val="single" w:sz="4" w:space="0" w:color="auto"/>
              <w:right w:val="single" w:sz="4" w:space="0" w:color="auto"/>
            </w:tcBorders>
            <w:vAlign w:val="center"/>
            <w:hideMark/>
          </w:tcPr>
          <w:p w14:paraId="2AFDA23E" w14:textId="068EB693" w:rsidR="00E46572" w:rsidRPr="001C44F9" w:rsidRDefault="00E46572" w:rsidP="00023C23">
            <w:pPr>
              <w:rPr>
                <w:rFonts w:asciiTheme="majorHAnsi" w:eastAsia="Times New Roman" w:hAnsiTheme="majorHAnsi" w:cstheme="majorHAnsi"/>
                <w:sz w:val="21"/>
                <w:szCs w:val="21"/>
              </w:rPr>
            </w:pPr>
            <w:proofErr w:type="spellStart"/>
            <w:r w:rsidRPr="001C44F9">
              <w:rPr>
                <w:rFonts w:asciiTheme="majorHAnsi" w:eastAsia="Times New Roman" w:hAnsiTheme="majorHAnsi" w:cstheme="majorHAnsi"/>
                <w:sz w:val="21"/>
                <w:szCs w:val="21"/>
              </w:rPr>
              <w:t>Simplified</w:t>
            </w:r>
            <w:proofErr w:type="spellEnd"/>
            <w:r w:rsidRPr="001C44F9">
              <w:rPr>
                <w:rFonts w:asciiTheme="majorHAnsi" w:eastAsia="Times New Roman" w:hAnsiTheme="majorHAnsi" w:cstheme="majorHAnsi"/>
                <w:sz w:val="21"/>
                <w:szCs w:val="21"/>
              </w:rPr>
              <w:t xml:space="preserve"> administrative </w:t>
            </w:r>
            <w:proofErr w:type="spellStart"/>
            <w:r w:rsidRPr="001C44F9">
              <w:rPr>
                <w:rFonts w:asciiTheme="majorHAnsi" w:eastAsia="Times New Roman" w:hAnsiTheme="majorHAnsi" w:cstheme="majorHAnsi"/>
                <w:sz w:val="21"/>
                <w:szCs w:val="21"/>
              </w:rPr>
              <w:t>services</w:t>
            </w:r>
            <w:proofErr w:type="spellEnd"/>
            <w:r w:rsidRPr="001C44F9">
              <w:rPr>
                <w:rFonts w:asciiTheme="majorHAnsi" w:eastAsia="Times New Roman" w:hAnsiTheme="majorHAnsi" w:cstheme="majorHAnsi"/>
                <w:sz w:val="21"/>
                <w:szCs w:val="21"/>
              </w:rPr>
              <w:t xml:space="preserve"> to </w:t>
            </w:r>
            <w:proofErr w:type="spellStart"/>
            <w:r w:rsidRPr="001C44F9">
              <w:rPr>
                <w:rFonts w:asciiTheme="majorHAnsi" w:eastAsia="Times New Roman" w:hAnsiTheme="majorHAnsi" w:cstheme="majorHAnsi"/>
                <w:sz w:val="21"/>
                <w:szCs w:val="21"/>
              </w:rPr>
              <w:t>reduce</w:t>
            </w:r>
            <w:proofErr w:type="spellEnd"/>
            <w:r w:rsidRPr="001C44F9">
              <w:rPr>
                <w:rFonts w:asciiTheme="majorHAnsi" w:eastAsia="Times New Roman" w:hAnsiTheme="majorHAnsi" w:cstheme="majorHAnsi"/>
                <w:sz w:val="21"/>
                <w:szCs w:val="21"/>
              </w:rPr>
              <w:t xml:space="preserve"> the administrative </w:t>
            </w:r>
            <w:proofErr w:type="spellStart"/>
            <w:r w:rsidRPr="001C44F9">
              <w:rPr>
                <w:rFonts w:asciiTheme="majorHAnsi" w:eastAsia="Times New Roman" w:hAnsiTheme="majorHAnsi" w:cstheme="majorHAnsi"/>
                <w:sz w:val="21"/>
                <w:szCs w:val="21"/>
              </w:rPr>
              <w:t>burden</w:t>
            </w:r>
            <w:proofErr w:type="spellEnd"/>
            <w:r w:rsidRPr="001C44F9">
              <w:rPr>
                <w:rFonts w:asciiTheme="majorHAnsi" w:eastAsia="Times New Roman" w:hAnsiTheme="majorHAnsi" w:cstheme="majorHAnsi"/>
                <w:sz w:val="21"/>
                <w:szCs w:val="21"/>
              </w:rPr>
              <w:t xml:space="preserve"> at the </w:t>
            </w:r>
            <w:proofErr w:type="spellStart"/>
            <w:r w:rsidRPr="001C44F9">
              <w:rPr>
                <w:rFonts w:asciiTheme="majorHAnsi" w:eastAsia="Times New Roman" w:hAnsiTheme="majorHAnsi" w:cstheme="majorHAnsi"/>
                <w:sz w:val="21"/>
                <w:szCs w:val="21"/>
              </w:rPr>
              <w:t>municipal</w:t>
            </w:r>
            <w:proofErr w:type="spellEnd"/>
            <w:r w:rsidRPr="001C44F9">
              <w:rPr>
                <w:rFonts w:asciiTheme="majorHAnsi" w:eastAsia="Times New Roman" w:hAnsiTheme="majorHAnsi" w:cstheme="majorHAnsi"/>
                <w:sz w:val="21"/>
                <w:szCs w:val="21"/>
              </w:rPr>
              <w:t xml:space="preserve"> </w:t>
            </w:r>
            <w:proofErr w:type="spellStart"/>
            <w:r w:rsidRPr="001C44F9">
              <w:rPr>
                <w:rFonts w:asciiTheme="majorHAnsi" w:eastAsia="Times New Roman" w:hAnsiTheme="majorHAnsi" w:cstheme="majorHAnsi"/>
                <w:sz w:val="21"/>
                <w:szCs w:val="21"/>
              </w:rPr>
              <w:t>level</w:t>
            </w:r>
            <w:proofErr w:type="spellEnd"/>
          </w:p>
        </w:tc>
        <w:tc>
          <w:tcPr>
            <w:tcW w:w="1440" w:type="dxa"/>
            <w:tcBorders>
              <w:top w:val="nil"/>
              <w:left w:val="nil"/>
              <w:bottom w:val="single" w:sz="4" w:space="0" w:color="auto"/>
              <w:right w:val="single" w:sz="4" w:space="0" w:color="auto"/>
            </w:tcBorders>
            <w:noWrap/>
            <w:vAlign w:val="center"/>
            <w:hideMark/>
          </w:tcPr>
          <w:p w14:paraId="5F45E051"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4</w:t>
            </w:r>
          </w:p>
        </w:tc>
        <w:tc>
          <w:tcPr>
            <w:tcW w:w="2327" w:type="dxa"/>
            <w:tcBorders>
              <w:top w:val="nil"/>
              <w:left w:val="nil"/>
              <w:bottom w:val="single" w:sz="4" w:space="0" w:color="auto"/>
              <w:right w:val="single" w:sz="4" w:space="0" w:color="auto"/>
            </w:tcBorders>
          </w:tcPr>
          <w:p w14:paraId="77A5625A" w14:textId="0EDF02D7"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4</w:t>
            </w:r>
          </w:p>
        </w:tc>
      </w:tr>
      <w:tr w:rsidR="00E46572" w:rsidRPr="001C44F9" w14:paraId="0FFBEF9F" w14:textId="1EBB133A" w:rsidTr="00E46572">
        <w:trPr>
          <w:trHeight w:val="269"/>
        </w:trPr>
        <w:tc>
          <w:tcPr>
            <w:tcW w:w="542" w:type="dxa"/>
            <w:tcBorders>
              <w:top w:val="nil"/>
              <w:left w:val="single" w:sz="8" w:space="0" w:color="auto"/>
              <w:bottom w:val="single" w:sz="4" w:space="0" w:color="auto"/>
              <w:right w:val="single" w:sz="4" w:space="0" w:color="auto"/>
            </w:tcBorders>
            <w:noWrap/>
            <w:vAlign w:val="center"/>
            <w:hideMark/>
          </w:tcPr>
          <w:p w14:paraId="2CAB0EBD"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23</w:t>
            </w:r>
          </w:p>
        </w:tc>
        <w:tc>
          <w:tcPr>
            <w:tcW w:w="5388" w:type="dxa"/>
            <w:tcBorders>
              <w:top w:val="nil"/>
              <w:left w:val="nil"/>
              <w:bottom w:val="single" w:sz="4" w:space="0" w:color="auto"/>
              <w:right w:val="single" w:sz="4" w:space="0" w:color="auto"/>
            </w:tcBorders>
            <w:vAlign w:val="center"/>
            <w:hideMark/>
          </w:tcPr>
          <w:p w14:paraId="39613A1C" w14:textId="77777777" w:rsidR="00E46572" w:rsidRPr="001C44F9" w:rsidRDefault="00E46572" w:rsidP="00023C23">
            <w:pPr>
              <w:rPr>
                <w:rFonts w:asciiTheme="majorHAnsi" w:eastAsia="Times New Roman" w:hAnsiTheme="majorHAnsi" w:cstheme="majorHAnsi"/>
                <w:sz w:val="21"/>
                <w:szCs w:val="21"/>
              </w:rPr>
            </w:pPr>
            <w:proofErr w:type="spellStart"/>
            <w:r w:rsidRPr="001C44F9">
              <w:rPr>
                <w:rFonts w:asciiTheme="majorHAnsi" w:eastAsia="Times New Roman" w:hAnsiTheme="majorHAnsi" w:cstheme="majorHAnsi"/>
                <w:sz w:val="21"/>
                <w:szCs w:val="21"/>
              </w:rPr>
              <w:t>Reviewed</w:t>
            </w:r>
            <w:proofErr w:type="spellEnd"/>
            <w:r w:rsidRPr="001C44F9">
              <w:rPr>
                <w:rFonts w:asciiTheme="majorHAnsi" w:eastAsia="Times New Roman" w:hAnsiTheme="majorHAnsi" w:cstheme="majorHAnsi"/>
                <w:sz w:val="21"/>
                <w:szCs w:val="21"/>
              </w:rPr>
              <w:t xml:space="preserve"> </w:t>
            </w:r>
            <w:proofErr w:type="spellStart"/>
            <w:r w:rsidRPr="001C44F9">
              <w:rPr>
                <w:rFonts w:asciiTheme="majorHAnsi" w:eastAsia="Times New Roman" w:hAnsiTheme="majorHAnsi" w:cstheme="majorHAnsi"/>
                <w:sz w:val="21"/>
                <w:szCs w:val="21"/>
              </w:rPr>
              <w:t>building</w:t>
            </w:r>
            <w:proofErr w:type="spellEnd"/>
            <w:r w:rsidRPr="001C44F9">
              <w:rPr>
                <w:rFonts w:asciiTheme="majorHAnsi" w:eastAsia="Times New Roman" w:hAnsiTheme="majorHAnsi" w:cstheme="majorHAnsi"/>
                <w:sz w:val="21"/>
                <w:szCs w:val="21"/>
              </w:rPr>
              <w:t xml:space="preserve"> </w:t>
            </w:r>
            <w:proofErr w:type="spellStart"/>
            <w:r w:rsidRPr="001C44F9">
              <w:rPr>
                <w:rFonts w:asciiTheme="majorHAnsi" w:eastAsia="Times New Roman" w:hAnsiTheme="majorHAnsi" w:cstheme="majorHAnsi"/>
                <w:sz w:val="21"/>
                <w:szCs w:val="21"/>
              </w:rPr>
              <w:t>permit</w:t>
            </w:r>
            <w:proofErr w:type="spellEnd"/>
            <w:r w:rsidRPr="001C44F9">
              <w:rPr>
                <w:rFonts w:asciiTheme="majorHAnsi" w:eastAsia="Times New Roman" w:hAnsiTheme="majorHAnsi" w:cstheme="majorHAnsi"/>
                <w:sz w:val="21"/>
                <w:szCs w:val="21"/>
              </w:rPr>
              <w:t xml:space="preserve"> </w:t>
            </w:r>
            <w:proofErr w:type="spellStart"/>
            <w:r w:rsidRPr="001C44F9">
              <w:rPr>
                <w:rFonts w:asciiTheme="majorHAnsi" w:eastAsia="Times New Roman" w:hAnsiTheme="majorHAnsi" w:cstheme="majorHAnsi"/>
                <w:sz w:val="21"/>
                <w:szCs w:val="21"/>
              </w:rPr>
              <w:t>requests</w:t>
            </w:r>
            <w:proofErr w:type="spellEnd"/>
          </w:p>
        </w:tc>
        <w:tc>
          <w:tcPr>
            <w:tcW w:w="1440" w:type="dxa"/>
            <w:tcBorders>
              <w:top w:val="nil"/>
              <w:left w:val="nil"/>
              <w:bottom w:val="single" w:sz="4" w:space="0" w:color="auto"/>
              <w:right w:val="single" w:sz="4" w:space="0" w:color="auto"/>
            </w:tcBorders>
            <w:noWrap/>
            <w:vAlign w:val="center"/>
            <w:hideMark/>
          </w:tcPr>
          <w:p w14:paraId="61FF08A8"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w:t>
            </w:r>
          </w:p>
        </w:tc>
        <w:tc>
          <w:tcPr>
            <w:tcW w:w="2327" w:type="dxa"/>
            <w:tcBorders>
              <w:top w:val="nil"/>
              <w:left w:val="nil"/>
              <w:bottom w:val="single" w:sz="4" w:space="0" w:color="auto"/>
              <w:right w:val="single" w:sz="4" w:space="0" w:color="auto"/>
            </w:tcBorders>
          </w:tcPr>
          <w:p w14:paraId="09DD6DB8" w14:textId="1C7CB459"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2</w:t>
            </w:r>
          </w:p>
        </w:tc>
      </w:tr>
      <w:tr w:rsidR="00E46572" w:rsidRPr="001C44F9" w14:paraId="7FC67571" w14:textId="0EC6D090" w:rsidTr="00E46572">
        <w:trPr>
          <w:trHeight w:val="144"/>
        </w:trPr>
        <w:tc>
          <w:tcPr>
            <w:tcW w:w="542" w:type="dxa"/>
            <w:tcBorders>
              <w:top w:val="nil"/>
              <w:left w:val="single" w:sz="8" w:space="0" w:color="auto"/>
              <w:bottom w:val="single" w:sz="4" w:space="0" w:color="auto"/>
              <w:right w:val="single" w:sz="4" w:space="0" w:color="auto"/>
            </w:tcBorders>
            <w:shd w:val="clear" w:color="auto" w:fill="709FDB" w:themeFill="text2" w:themeFillTint="80"/>
            <w:noWrap/>
            <w:vAlign w:val="center"/>
            <w:hideMark/>
          </w:tcPr>
          <w:p w14:paraId="4F247164"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VIII</w:t>
            </w:r>
          </w:p>
        </w:tc>
        <w:tc>
          <w:tcPr>
            <w:tcW w:w="5388" w:type="dxa"/>
            <w:tcBorders>
              <w:top w:val="single" w:sz="4" w:space="0" w:color="auto"/>
              <w:left w:val="nil"/>
              <w:bottom w:val="single" w:sz="4" w:space="0" w:color="auto"/>
              <w:right w:val="single" w:sz="4" w:space="0" w:color="auto"/>
            </w:tcBorders>
            <w:shd w:val="clear" w:color="auto" w:fill="709FDB" w:themeFill="text2" w:themeFillTint="80"/>
            <w:vAlign w:val="center"/>
            <w:hideMark/>
          </w:tcPr>
          <w:p w14:paraId="441EDFDF" w14:textId="77777777" w:rsidR="00E46572" w:rsidRPr="001C44F9" w:rsidRDefault="00E46572" w:rsidP="00023C23">
            <w:pPr>
              <w:rPr>
                <w:rFonts w:asciiTheme="majorHAnsi" w:eastAsia="Times New Roman" w:hAnsiTheme="majorHAnsi" w:cstheme="majorHAnsi"/>
                <w:b/>
                <w:bCs/>
                <w:color w:val="FFFFFF"/>
                <w:sz w:val="21"/>
                <w:szCs w:val="21"/>
              </w:rPr>
            </w:pPr>
            <w:proofErr w:type="spellStart"/>
            <w:r w:rsidRPr="001C44F9">
              <w:rPr>
                <w:rFonts w:asciiTheme="majorHAnsi" w:eastAsia="Times New Roman" w:hAnsiTheme="majorHAnsi" w:cstheme="majorHAnsi"/>
                <w:b/>
                <w:bCs/>
                <w:color w:val="FFFFFF"/>
                <w:sz w:val="21"/>
                <w:szCs w:val="21"/>
              </w:rPr>
              <w:t>Spatial</w:t>
            </w:r>
            <w:proofErr w:type="spellEnd"/>
            <w:r w:rsidRPr="001C44F9">
              <w:rPr>
                <w:rFonts w:asciiTheme="majorHAnsi" w:eastAsia="Times New Roman" w:hAnsiTheme="majorHAnsi" w:cstheme="majorHAnsi"/>
                <w:b/>
                <w:bCs/>
                <w:color w:val="FFFFFF"/>
                <w:sz w:val="21"/>
                <w:szCs w:val="21"/>
              </w:rPr>
              <w:t xml:space="preserve"> </w:t>
            </w:r>
            <w:proofErr w:type="spellStart"/>
            <w:r w:rsidRPr="001C44F9">
              <w:rPr>
                <w:rFonts w:asciiTheme="majorHAnsi" w:eastAsia="Times New Roman" w:hAnsiTheme="majorHAnsi" w:cstheme="majorHAnsi"/>
                <w:b/>
                <w:bCs/>
                <w:color w:val="FFFFFF"/>
                <w:sz w:val="21"/>
                <w:szCs w:val="21"/>
              </w:rPr>
              <w:t>planning</w:t>
            </w:r>
            <w:proofErr w:type="spellEnd"/>
            <w:r w:rsidRPr="001C44F9">
              <w:rPr>
                <w:rFonts w:asciiTheme="majorHAnsi" w:eastAsia="Times New Roman" w:hAnsiTheme="majorHAnsi" w:cstheme="majorHAnsi"/>
                <w:b/>
                <w:bCs/>
                <w:color w:val="FFFFFF"/>
                <w:sz w:val="21"/>
                <w:szCs w:val="21"/>
              </w:rPr>
              <w:t xml:space="preserve">, </w:t>
            </w:r>
            <w:proofErr w:type="spellStart"/>
            <w:r w:rsidRPr="001C44F9">
              <w:rPr>
                <w:rFonts w:asciiTheme="majorHAnsi" w:eastAsia="Times New Roman" w:hAnsiTheme="majorHAnsi" w:cstheme="majorHAnsi"/>
                <w:b/>
                <w:bCs/>
                <w:color w:val="FFFFFF"/>
                <w:sz w:val="21"/>
                <w:szCs w:val="21"/>
              </w:rPr>
              <w:t>public</w:t>
            </w:r>
            <w:proofErr w:type="spellEnd"/>
            <w:r w:rsidRPr="001C44F9">
              <w:rPr>
                <w:rFonts w:asciiTheme="majorHAnsi" w:eastAsia="Times New Roman" w:hAnsiTheme="majorHAnsi" w:cstheme="majorHAnsi"/>
                <w:b/>
                <w:bCs/>
                <w:color w:val="FFFFFF"/>
                <w:sz w:val="21"/>
                <w:szCs w:val="21"/>
              </w:rPr>
              <w:t xml:space="preserve"> transport </w:t>
            </w:r>
            <w:proofErr w:type="spellStart"/>
            <w:r w:rsidRPr="001C44F9">
              <w:rPr>
                <w:rFonts w:asciiTheme="majorHAnsi" w:eastAsia="Times New Roman" w:hAnsiTheme="majorHAnsi" w:cstheme="majorHAnsi"/>
                <w:b/>
                <w:bCs/>
                <w:color w:val="FFFFFF"/>
                <w:sz w:val="21"/>
                <w:szCs w:val="21"/>
              </w:rPr>
              <w:t>and</w:t>
            </w:r>
            <w:proofErr w:type="spellEnd"/>
            <w:r w:rsidRPr="001C44F9">
              <w:rPr>
                <w:rFonts w:asciiTheme="majorHAnsi" w:eastAsia="Times New Roman" w:hAnsiTheme="majorHAnsi" w:cstheme="majorHAnsi"/>
                <w:b/>
                <w:bCs/>
                <w:color w:val="FFFFFF"/>
                <w:sz w:val="21"/>
                <w:szCs w:val="21"/>
              </w:rPr>
              <w:t xml:space="preserve"> </w:t>
            </w:r>
            <w:proofErr w:type="spellStart"/>
            <w:r w:rsidRPr="001C44F9">
              <w:rPr>
                <w:rFonts w:asciiTheme="majorHAnsi" w:eastAsia="Times New Roman" w:hAnsiTheme="majorHAnsi" w:cstheme="majorHAnsi"/>
                <w:b/>
                <w:bCs/>
                <w:color w:val="FFFFFF"/>
                <w:sz w:val="21"/>
                <w:szCs w:val="21"/>
              </w:rPr>
              <w:t>environmental</w:t>
            </w:r>
            <w:proofErr w:type="spellEnd"/>
            <w:r w:rsidRPr="001C44F9">
              <w:rPr>
                <w:rFonts w:asciiTheme="majorHAnsi" w:eastAsia="Times New Roman" w:hAnsiTheme="majorHAnsi" w:cstheme="majorHAnsi"/>
                <w:b/>
                <w:bCs/>
                <w:color w:val="FFFFFF"/>
                <w:sz w:val="21"/>
                <w:szCs w:val="21"/>
              </w:rPr>
              <w:t xml:space="preserve"> </w:t>
            </w:r>
            <w:proofErr w:type="spellStart"/>
            <w:r w:rsidRPr="001C44F9">
              <w:rPr>
                <w:rFonts w:asciiTheme="majorHAnsi" w:eastAsia="Times New Roman" w:hAnsiTheme="majorHAnsi" w:cstheme="majorHAnsi"/>
                <w:b/>
                <w:bCs/>
                <w:color w:val="FFFFFF"/>
                <w:sz w:val="21"/>
                <w:szCs w:val="21"/>
              </w:rPr>
              <w:t>protection</w:t>
            </w:r>
            <w:proofErr w:type="spellEnd"/>
            <w:r w:rsidRPr="001C44F9">
              <w:rPr>
                <w:rFonts w:asciiTheme="majorHAnsi" w:eastAsia="Times New Roman" w:hAnsiTheme="majorHAnsi" w:cstheme="majorHAnsi"/>
                <w:b/>
                <w:bCs/>
                <w:color w:val="FFFFFF"/>
                <w:sz w:val="21"/>
                <w:szCs w:val="21"/>
              </w:rPr>
              <w:t xml:space="preserve"> </w:t>
            </w:r>
          </w:p>
        </w:tc>
        <w:tc>
          <w:tcPr>
            <w:tcW w:w="1440" w:type="dxa"/>
            <w:tcBorders>
              <w:top w:val="nil"/>
              <w:left w:val="nil"/>
              <w:bottom w:val="single" w:sz="4" w:space="0" w:color="auto"/>
              <w:right w:val="single" w:sz="4" w:space="0" w:color="auto"/>
            </w:tcBorders>
            <w:shd w:val="clear" w:color="auto" w:fill="709FDB" w:themeFill="text2" w:themeFillTint="80"/>
            <w:vAlign w:val="center"/>
            <w:hideMark/>
          </w:tcPr>
          <w:p w14:paraId="6F7F3FFB"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8</w:t>
            </w:r>
          </w:p>
        </w:tc>
        <w:tc>
          <w:tcPr>
            <w:tcW w:w="2327" w:type="dxa"/>
            <w:tcBorders>
              <w:top w:val="nil"/>
              <w:left w:val="nil"/>
              <w:bottom w:val="single" w:sz="4" w:space="0" w:color="auto"/>
              <w:right w:val="single" w:sz="4" w:space="0" w:color="auto"/>
            </w:tcBorders>
            <w:shd w:val="clear" w:color="auto" w:fill="709FDB" w:themeFill="text2" w:themeFillTint="80"/>
          </w:tcPr>
          <w:p w14:paraId="7C3BD7EF" w14:textId="771F7453" w:rsidR="00E46572" w:rsidRPr="001C44F9" w:rsidRDefault="00E46572" w:rsidP="00023C23">
            <w:pPr>
              <w:rPr>
                <w:rFonts w:asciiTheme="majorHAnsi" w:eastAsia="Times New Roman" w:hAnsiTheme="majorHAnsi" w:cstheme="majorHAnsi"/>
                <w:b/>
                <w:bCs/>
                <w:color w:val="FFFFFF"/>
                <w:sz w:val="21"/>
                <w:szCs w:val="21"/>
              </w:rPr>
            </w:pPr>
            <w:r>
              <w:rPr>
                <w:rFonts w:asciiTheme="majorHAnsi" w:eastAsia="Times New Roman" w:hAnsiTheme="majorHAnsi" w:cstheme="majorHAnsi"/>
                <w:b/>
                <w:bCs/>
                <w:color w:val="FFFFFF"/>
                <w:sz w:val="21"/>
                <w:szCs w:val="21"/>
              </w:rPr>
              <w:t>8</w:t>
            </w:r>
          </w:p>
        </w:tc>
      </w:tr>
      <w:tr w:rsidR="00E46572" w:rsidRPr="001C44F9" w14:paraId="7EC5BA9C" w14:textId="1ED7F1CC" w:rsidTr="00E46572">
        <w:trPr>
          <w:trHeight w:val="215"/>
        </w:trPr>
        <w:tc>
          <w:tcPr>
            <w:tcW w:w="542" w:type="dxa"/>
            <w:tcBorders>
              <w:top w:val="nil"/>
              <w:left w:val="single" w:sz="8" w:space="0" w:color="auto"/>
              <w:bottom w:val="single" w:sz="4" w:space="0" w:color="auto"/>
              <w:right w:val="single" w:sz="4" w:space="0" w:color="auto"/>
            </w:tcBorders>
            <w:noWrap/>
            <w:vAlign w:val="center"/>
            <w:hideMark/>
          </w:tcPr>
          <w:p w14:paraId="7B947A97"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24</w:t>
            </w:r>
          </w:p>
        </w:tc>
        <w:tc>
          <w:tcPr>
            <w:tcW w:w="5388" w:type="dxa"/>
            <w:tcBorders>
              <w:top w:val="nil"/>
              <w:left w:val="nil"/>
              <w:bottom w:val="single" w:sz="4" w:space="0" w:color="auto"/>
              <w:right w:val="single" w:sz="4" w:space="0" w:color="auto"/>
            </w:tcBorders>
            <w:vAlign w:val="center"/>
            <w:hideMark/>
          </w:tcPr>
          <w:p w14:paraId="0A2FED84" w14:textId="77777777" w:rsidR="00E46572" w:rsidRPr="001C44F9" w:rsidRDefault="00E46572" w:rsidP="00023C23">
            <w:pPr>
              <w:rPr>
                <w:rFonts w:asciiTheme="majorHAnsi" w:eastAsia="Times New Roman" w:hAnsiTheme="majorHAnsi" w:cstheme="majorHAnsi"/>
                <w:color w:val="000000"/>
                <w:sz w:val="21"/>
                <w:szCs w:val="21"/>
              </w:rPr>
            </w:pPr>
            <w:proofErr w:type="spellStart"/>
            <w:r w:rsidRPr="001C44F9">
              <w:rPr>
                <w:rFonts w:asciiTheme="majorHAnsi" w:eastAsia="Times New Roman" w:hAnsiTheme="majorHAnsi" w:cstheme="majorHAnsi"/>
                <w:color w:val="000000"/>
                <w:sz w:val="21"/>
                <w:szCs w:val="21"/>
              </w:rPr>
              <w:t>Surface</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of</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municipality’s</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territory</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covered</w:t>
            </w:r>
            <w:proofErr w:type="spellEnd"/>
            <w:r w:rsidRPr="001C44F9">
              <w:rPr>
                <w:rFonts w:asciiTheme="majorHAnsi" w:eastAsia="Times New Roman" w:hAnsiTheme="majorHAnsi" w:cstheme="majorHAnsi"/>
                <w:color w:val="000000"/>
                <w:sz w:val="21"/>
                <w:szCs w:val="21"/>
              </w:rPr>
              <w:t xml:space="preserve"> by (</w:t>
            </w:r>
            <w:proofErr w:type="spellStart"/>
            <w:r w:rsidRPr="001C44F9">
              <w:rPr>
                <w:rFonts w:asciiTheme="majorHAnsi" w:eastAsia="Times New Roman" w:hAnsiTheme="majorHAnsi" w:cstheme="majorHAnsi"/>
                <w:color w:val="000000"/>
                <w:sz w:val="21"/>
                <w:szCs w:val="21"/>
              </w:rPr>
              <w:t>detailed</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regulatory</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plans</w:t>
            </w:r>
            <w:proofErr w:type="spellEnd"/>
            <w:r w:rsidRPr="001C44F9">
              <w:rPr>
                <w:rFonts w:asciiTheme="majorHAnsi" w:eastAsia="Times New Roman" w:hAnsiTheme="majorHAnsi" w:cstheme="majorHAnsi"/>
                <w:color w:val="000000"/>
                <w:sz w:val="21"/>
                <w:szCs w:val="21"/>
              </w:rPr>
              <w:t xml:space="preserve"> or </w:t>
            </w:r>
            <w:proofErr w:type="spellStart"/>
            <w:r w:rsidRPr="001C44F9">
              <w:rPr>
                <w:rFonts w:asciiTheme="majorHAnsi" w:eastAsia="Times New Roman" w:hAnsiTheme="majorHAnsi" w:cstheme="majorHAnsi"/>
                <w:color w:val="000000"/>
                <w:sz w:val="21"/>
                <w:szCs w:val="21"/>
              </w:rPr>
              <w:t>zoning</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maps</w:t>
            </w:r>
            <w:proofErr w:type="spellEnd"/>
          </w:p>
        </w:tc>
        <w:tc>
          <w:tcPr>
            <w:tcW w:w="1440" w:type="dxa"/>
            <w:tcBorders>
              <w:top w:val="nil"/>
              <w:left w:val="nil"/>
              <w:bottom w:val="single" w:sz="4" w:space="0" w:color="auto"/>
              <w:right w:val="single" w:sz="4" w:space="0" w:color="auto"/>
            </w:tcBorders>
            <w:noWrap/>
            <w:vAlign w:val="center"/>
            <w:hideMark/>
          </w:tcPr>
          <w:p w14:paraId="6BB7A1C4"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3</w:t>
            </w:r>
          </w:p>
        </w:tc>
        <w:tc>
          <w:tcPr>
            <w:tcW w:w="2327" w:type="dxa"/>
            <w:tcBorders>
              <w:top w:val="nil"/>
              <w:left w:val="nil"/>
              <w:bottom w:val="single" w:sz="4" w:space="0" w:color="auto"/>
              <w:right w:val="single" w:sz="4" w:space="0" w:color="auto"/>
            </w:tcBorders>
          </w:tcPr>
          <w:p w14:paraId="5D63F041" w14:textId="0CBE84A0"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3</w:t>
            </w:r>
          </w:p>
        </w:tc>
      </w:tr>
      <w:tr w:rsidR="00E46572" w:rsidRPr="001C44F9" w14:paraId="7D762D14" w14:textId="5E04E2F3" w:rsidTr="00E46572">
        <w:trPr>
          <w:trHeight w:val="242"/>
        </w:trPr>
        <w:tc>
          <w:tcPr>
            <w:tcW w:w="542" w:type="dxa"/>
            <w:tcBorders>
              <w:top w:val="nil"/>
              <w:left w:val="single" w:sz="8" w:space="0" w:color="auto"/>
              <w:bottom w:val="single" w:sz="4" w:space="0" w:color="auto"/>
              <w:right w:val="single" w:sz="4" w:space="0" w:color="auto"/>
            </w:tcBorders>
            <w:noWrap/>
            <w:vAlign w:val="center"/>
            <w:hideMark/>
          </w:tcPr>
          <w:p w14:paraId="0294EDC8"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25</w:t>
            </w:r>
          </w:p>
        </w:tc>
        <w:tc>
          <w:tcPr>
            <w:tcW w:w="5388" w:type="dxa"/>
            <w:tcBorders>
              <w:top w:val="nil"/>
              <w:left w:val="nil"/>
              <w:bottom w:val="single" w:sz="4" w:space="0" w:color="auto"/>
              <w:right w:val="single" w:sz="4" w:space="0" w:color="auto"/>
            </w:tcBorders>
            <w:vAlign w:val="center"/>
            <w:hideMark/>
          </w:tcPr>
          <w:p w14:paraId="2672D5EB" w14:textId="77777777" w:rsidR="00E46572" w:rsidRPr="001C44F9" w:rsidRDefault="00E46572" w:rsidP="00023C23">
            <w:pPr>
              <w:rPr>
                <w:rFonts w:asciiTheme="majorHAnsi" w:eastAsia="Times New Roman" w:hAnsiTheme="majorHAnsi" w:cstheme="majorHAnsi"/>
                <w:color w:val="000000"/>
                <w:sz w:val="21"/>
                <w:szCs w:val="21"/>
              </w:rPr>
            </w:pPr>
            <w:proofErr w:type="spellStart"/>
            <w:r w:rsidRPr="001C44F9">
              <w:rPr>
                <w:rFonts w:asciiTheme="majorHAnsi" w:eastAsia="Times New Roman" w:hAnsiTheme="majorHAnsi" w:cstheme="majorHAnsi"/>
                <w:color w:val="000000"/>
                <w:sz w:val="21"/>
                <w:szCs w:val="21"/>
              </w:rPr>
              <w:t>Settlements</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involved</w:t>
            </w:r>
            <w:proofErr w:type="spellEnd"/>
            <w:r w:rsidRPr="001C44F9">
              <w:rPr>
                <w:rFonts w:asciiTheme="majorHAnsi" w:eastAsia="Times New Roman" w:hAnsiTheme="majorHAnsi" w:cstheme="majorHAnsi"/>
                <w:color w:val="000000"/>
                <w:sz w:val="21"/>
                <w:szCs w:val="21"/>
              </w:rPr>
              <w:t xml:space="preserve"> in </w:t>
            </w:r>
            <w:proofErr w:type="spellStart"/>
            <w:r w:rsidRPr="001C44F9">
              <w:rPr>
                <w:rFonts w:asciiTheme="majorHAnsi" w:eastAsia="Times New Roman" w:hAnsiTheme="majorHAnsi" w:cstheme="majorHAnsi"/>
                <w:color w:val="000000"/>
                <w:sz w:val="21"/>
                <w:szCs w:val="21"/>
              </w:rPr>
              <w:t>local</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public</w:t>
            </w:r>
            <w:proofErr w:type="spellEnd"/>
            <w:r w:rsidRPr="001C44F9">
              <w:rPr>
                <w:rFonts w:asciiTheme="majorHAnsi" w:eastAsia="Times New Roman" w:hAnsiTheme="majorHAnsi" w:cstheme="majorHAnsi"/>
                <w:color w:val="000000"/>
                <w:sz w:val="21"/>
                <w:szCs w:val="21"/>
              </w:rPr>
              <w:t xml:space="preserve"> transport </w:t>
            </w:r>
          </w:p>
        </w:tc>
        <w:tc>
          <w:tcPr>
            <w:tcW w:w="1440" w:type="dxa"/>
            <w:tcBorders>
              <w:top w:val="nil"/>
              <w:left w:val="nil"/>
              <w:bottom w:val="single" w:sz="4" w:space="0" w:color="auto"/>
              <w:right w:val="single" w:sz="4" w:space="0" w:color="auto"/>
            </w:tcBorders>
            <w:noWrap/>
            <w:vAlign w:val="center"/>
            <w:hideMark/>
          </w:tcPr>
          <w:p w14:paraId="1E855E0F"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3</w:t>
            </w:r>
          </w:p>
        </w:tc>
        <w:tc>
          <w:tcPr>
            <w:tcW w:w="2327" w:type="dxa"/>
            <w:tcBorders>
              <w:top w:val="nil"/>
              <w:left w:val="nil"/>
              <w:bottom w:val="single" w:sz="4" w:space="0" w:color="auto"/>
              <w:right w:val="single" w:sz="4" w:space="0" w:color="auto"/>
            </w:tcBorders>
          </w:tcPr>
          <w:p w14:paraId="7C836F59" w14:textId="03F293F8"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3</w:t>
            </w:r>
          </w:p>
        </w:tc>
      </w:tr>
      <w:tr w:rsidR="00E46572" w:rsidRPr="001C44F9" w14:paraId="432EBB56" w14:textId="595398D3" w:rsidTr="00E46572">
        <w:trPr>
          <w:trHeight w:val="170"/>
        </w:trPr>
        <w:tc>
          <w:tcPr>
            <w:tcW w:w="542" w:type="dxa"/>
            <w:tcBorders>
              <w:top w:val="nil"/>
              <w:left w:val="single" w:sz="8" w:space="0" w:color="auto"/>
              <w:bottom w:val="single" w:sz="4" w:space="0" w:color="auto"/>
              <w:right w:val="single" w:sz="4" w:space="0" w:color="auto"/>
            </w:tcBorders>
            <w:noWrap/>
            <w:vAlign w:val="center"/>
            <w:hideMark/>
          </w:tcPr>
          <w:p w14:paraId="39AC4AFB"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26</w:t>
            </w:r>
          </w:p>
        </w:tc>
        <w:tc>
          <w:tcPr>
            <w:tcW w:w="5388" w:type="dxa"/>
            <w:tcBorders>
              <w:top w:val="nil"/>
              <w:left w:val="nil"/>
              <w:bottom w:val="single" w:sz="4" w:space="0" w:color="auto"/>
              <w:right w:val="single" w:sz="4" w:space="0" w:color="auto"/>
            </w:tcBorders>
            <w:vAlign w:val="center"/>
            <w:hideMark/>
          </w:tcPr>
          <w:p w14:paraId="21C55C9F" w14:textId="77777777" w:rsidR="00E46572" w:rsidRPr="001C44F9" w:rsidRDefault="00E46572" w:rsidP="00023C23">
            <w:pPr>
              <w:rPr>
                <w:rFonts w:asciiTheme="majorHAnsi" w:eastAsia="Times New Roman" w:hAnsiTheme="majorHAnsi" w:cstheme="majorHAnsi"/>
                <w:color w:val="000000"/>
                <w:sz w:val="21"/>
                <w:szCs w:val="21"/>
              </w:rPr>
            </w:pPr>
            <w:proofErr w:type="spellStart"/>
            <w:r w:rsidRPr="001C44F9">
              <w:rPr>
                <w:rFonts w:asciiTheme="majorHAnsi" w:eastAsia="Times New Roman" w:hAnsiTheme="majorHAnsi" w:cstheme="majorHAnsi"/>
                <w:color w:val="000000"/>
                <w:sz w:val="21"/>
                <w:szCs w:val="21"/>
              </w:rPr>
              <w:t>Implementation</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of</w:t>
            </w:r>
            <w:proofErr w:type="spellEnd"/>
            <w:r w:rsidRPr="001C44F9">
              <w:rPr>
                <w:rFonts w:asciiTheme="majorHAnsi" w:eastAsia="Times New Roman" w:hAnsiTheme="majorHAnsi" w:cstheme="majorHAnsi"/>
                <w:color w:val="000000"/>
                <w:sz w:val="21"/>
                <w:szCs w:val="21"/>
              </w:rPr>
              <w:t xml:space="preserve"> the </w:t>
            </w:r>
            <w:proofErr w:type="spellStart"/>
            <w:r w:rsidRPr="001C44F9">
              <w:rPr>
                <w:rFonts w:asciiTheme="majorHAnsi" w:eastAsia="Times New Roman" w:hAnsiTheme="majorHAnsi" w:cstheme="majorHAnsi"/>
                <w:color w:val="000000"/>
                <w:sz w:val="21"/>
                <w:szCs w:val="21"/>
              </w:rPr>
              <w:t>Local</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Environmental</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Action</w:t>
            </w:r>
            <w:proofErr w:type="spellEnd"/>
            <w:r w:rsidRPr="001C44F9">
              <w:rPr>
                <w:rFonts w:asciiTheme="majorHAnsi" w:eastAsia="Times New Roman" w:hAnsiTheme="majorHAnsi" w:cstheme="majorHAnsi"/>
                <w:color w:val="000000"/>
                <w:sz w:val="21"/>
                <w:szCs w:val="21"/>
              </w:rPr>
              <w:t xml:space="preserve"> Plan</w:t>
            </w:r>
          </w:p>
        </w:tc>
        <w:tc>
          <w:tcPr>
            <w:tcW w:w="1440" w:type="dxa"/>
            <w:tcBorders>
              <w:top w:val="nil"/>
              <w:left w:val="nil"/>
              <w:bottom w:val="single" w:sz="4" w:space="0" w:color="auto"/>
              <w:right w:val="single" w:sz="4" w:space="0" w:color="auto"/>
            </w:tcBorders>
            <w:noWrap/>
            <w:vAlign w:val="center"/>
            <w:hideMark/>
          </w:tcPr>
          <w:p w14:paraId="2B7F06A5"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w:t>
            </w:r>
          </w:p>
        </w:tc>
        <w:tc>
          <w:tcPr>
            <w:tcW w:w="2327" w:type="dxa"/>
            <w:tcBorders>
              <w:top w:val="nil"/>
              <w:left w:val="nil"/>
              <w:bottom w:val="single" w:sz="4" w:space="0" w:color="auto"/>
              <w:right w:val="single" w:sz="4" w:space="0" w:color="auto"/>
            </w:tcBorders>
          </w:tcPr>
          <w:p w14:paraId="771ABB47" w14:textId="0C233A28"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2</w:t>
            </w:r>
          </w:p>
        </w:tc>
      </w:tr>
      <w:tr w:rsidR="00E46572" w:rsidRPr="001C44F9" w14:paraId="6C72811D" w14:textId="578F90D2" w:rsidTr="00E46572">
        <w:trPr>
          <w:trHeight w:val="144"/>
        </w:trPr>
        <w:tc>
          <w:tcPr>
            <w:tcW w:w="542" w:type="dxa"/>
            <w:tcBorders>
              <w:top w:val="nil"/>
              <w:left w:val="single" w:sz="8" w:space="0" w:color="auto"/>
              <w:bottom w:val="single" w:sz="4" w:space="0" w:color="auto"/>
              <w:right w:val="single" w:sz="4" w:space="0" w:color="auto"/>
            </w:tcBorders>
            <w:shd w:val="clear" w:color="auto" w:fill="709FDB" w:themeFill="text2" w:themeFillTint="80"/>
            <w:noWrap/>
            <w:vAlign w:val="center"/>
            <w:hideMark/>
          </w:tcPr>
          <w:p w14:paraId="72D5B273"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IX</w:t>
            </w:r>
          </w:p>
        </w:tc>
        <w:tc>
          <w:tcPr>
            <w:tcW w:w="5388" w:type="dxa"/>
            <w:tcBorders>
              <w:top w:val="single" w:sz="4" w:space="0" w:color="auto"/>
              <w:left w:val="nil"/>
              <w:bottom w:val="single" w:sz="4" w:space="0" w:color="auto"/>
              <w:right w:val="single" w:sz="4" w:space="0" w:color="auto"/>
            </w:tcBorders>
            <w:shd w:val="clear" w:color="auto" w:fill="709FDB" w:themeFill="text2" w:themeFillTint="80"/>
            <w:vAlign w:val="center"/>
            <w:hideMark/>
          </w:tcPr>
          <w:p w14:paraId="0B2BC850"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Pre-</w:t>
            </w:r>
            <w:proofErr w:type="spellStart"/>
            <w:r w:rsidRPr="001C44F9">
              <w:rPr>
                <w:rFonts w:asciiTheme="majorHAnsi" w:eastAsia="Times New Roman" w:hAnsiTheme="majorHAnsi" w:cstheme="majorHAnsi"/>
                <w:b/>
                <w:bCs/>
                <w:color w:val="FFFFFF"/>
                <w:sz w:val="21"/>
                <w:szCs w:val="21"/>
              </w:rPr>
              <w:t>University</w:t>
            </w:r>
            <w:proofErr w:type="spellEnd"/>
            <w:r w:rsidRPr="001C44F9">
              <w:rPr>
                <w:rFonts w:asciiTheme="majorHAnsi" w:eastAsia="Times New Roman" w:hAnsiTheme="majorHAnsi" w:cstheme="majorHAnsi"/>
                <w:b/>
                <w:bCs/>
                <w:color w:val="FFFFFF"/>
                <w:sz w:val="21"/>
                <w:szCs w:val="21"/>
              </w:rPr>
              <w:t xml:space="preserve"> </w:t>
            </w:r>
            <w:proofErr w:type="spellStart"/>
            <w:r w:rsidRPr="001C44F9">
              <w:rPr>
                <w:rFonts w:asciiTheme="majorHAnsi" w:eastAsia="Times New Roman" w:hAnsiTheme="majorHAnsi" w:cstheme="majorHAnsi"/>
                <w:b/>
                <w:bCs/>
                <w:color w:val="FFFFFF"/>
                <w:sz w:val="21"/>
                <w:szCs w:val="21"/>
              </w:rPr>
              <w:t>Education</w:t>
            </w:r>
            <w:proofErr w:type="spellEnd"/>
            <w:r w:rsidRPr="001C44F9">
              <w:rPr>
                <w:rFonts w:asciiTheme="majorHAnsi" w:eastAsia="Times New Roman" w:hAnsiTheme="majorHAnsi" w:cstheme="majorHAnsi"/>
                <w:b/>
                <w:bCs/>
                <w:color w:val="FFFFFF"/>
                <w:sz w:val="21"/>
                <w:szCs w:val="21"/>
              </w:rPr>
              <w:t xml:space="preserve">  </w:t>
            </w:r>
          </w:p>
        </w:tc>
        <w:tc>
          <w:tcPr>
            <w:tcW w:w="1440" w:type="dxa"/>
            <w:tcBorders>
              <w:top w:val="nil"/>
              <w:left w:val="nil"/>
              <w:bottom w:val="single" w:sz="4" w:space="0" w:color="auto"/>
              <w:right w:val="single" w:sz="4" w:space="0" w:color="auto"/>
            </w:tcBorders>
            <w:shd w:val="clear" w:color="auto" w:fill="709FDB" w:themeFill="text2" w:themeFillTint="80"/>
            <w:vAlign w:val="center"/>
            <w:hideMark/>
          </w:tcPr>
          <w:p w14:paraId="29B05325"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8</w:t>
            </w:r>
          </w:p>
        </w:tc>
        <w:tc>
          <w:tcPr>
            <w:tcW w:w="2327" w:type="dxa"/>
            <w:tcBorders>
              <w:top w:val="nil"/>
              <w:left w:val="nil"/>
              <w:bottom w:val="single" w:sz="4" w:space="0" w:color="auto"/>
              <w:right w:val="single" w:sz="4" w:space="0" w:color="auto"/>
            </w:tcBorders>
            <w:shd w:val="clear" w:color="auto" w:fill="709FDB" w:themeFill="text2" w:themeFillTint="80"/>
          </w:tcPr>
          <w:p w14:paraId="39B3B636" w14:textId="3E7AD8B0" w:rsidR="00E46572" w:rsidRPr="001C44F9" w:rsidRDefault="00E46572" w:rsidP="00023C23">
            <w:pPr>
              <w:rPr>
                <w:rFonts w:asciiTheme="majorHAnsi" w:eastAsia="Times New Roman" w:hAnsiTheme="majorHAnsi" w:cstheme="majorHAnsi"/>
                <w:b/>
                <w:bCs/>
                <w:color w:val="FFFFFF"/>
                <w:sz w:val="21"/>
                <w:szCs w:val="21"/>
              </w:rPr>
            </w:pPr>
            <w:r>
              <w:rPr>
                <w:rFonts w:asciiTheme="majorHAnsi" w:eastAsia="Times New Roman" w:hAnsiTheme="majorHAnsi" w:cstheme="majorHAnsi"/>
                <w:b/>
                <w:bCs/>
                <w:color w:val="FFFFFF"/>
                <w:sz w:val="21"/>
                <w:szCs w:val="21"/>
              </w:rPr>
              <w:t>8</w:t>
            </w:r>
          </w:p>
        </w:tc>
      </w:tr>
      <w:tr w:rsidR="00E46572" w:rsidRPr="001C44F9" w14:paraId="3FF5BD56" w14:textId="3E61FB00" w:rsidTr="00E46572">
        <w:trPr>
          <w:trHeight w:val="287"/>
        </w:trPr>
        <w:tc>
          <w:tcPr>
            <w:tcW w:w="542" w:type="dxa"/>
            <w:tcBorders>
              <w:top w:val="nil"/>
              <w:left w:val="single" w:sz="8" w:space="0" w:color="auto"/>
              <w:bottom w:val="single" w:sz="4" w:space="0" w:color="auto"/>
              <w:right w:val="single" w:sz="4" w:space="0" w:color="auto"/>
            </w:tcBorders>
            <w:noWrap/>
            <w:vAlign w:val="center"/>
            <w:hideMark/>
          </w:tcPr>
          <w:p w14:paraId="7FD02B18"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27</w:t>
            </w:r>
          </w:p>
        </w:tc>
        <w:tc>
          <w:tcPr>
            <w:tcW w:w="5388" w:type="dxa"/>
            <w:tcBorders>
              <w:top w:val="nil"/>
              <w:left w:val="nil"/>
              <w:bottom w:val="single" w:sz="4" w:space="0" w:color="auto"/>
              <w:right w:val="single" w:sz="4" w:space="0" w:color="auto"/>
            </w:tcBorders>
            <w:vAlign w:val="bottom"/>
            <w:hideMark/>
          </w:tcPr>
          <w:p w14:paraId="701237C5" w14:textId="77777777" w:rsidR="00E46572" w:rsidRPr="001C44F9" w:rsidRDefault="00E46572" w:rsidP="00023C23">
            <w:pPr>
              <w:rPr>
                <w:rFonts w:asciiTheme="majorHAnsi" w:eastAsia="Times New Roman" w:hAnsiTheme="majorHAnsi" w:cstheme="majorHAnsi"/>
                <w:color w:val="000000"/>
                <w:sz w:val="21"/>
                <w:szCs w:val="21"/>
              </w:rPr>
            </w:pPr>
            <w:proofErr w:type="spellStart"/>
            <w:r w:rsidRPr="001C44F9">
              <w:rPr>
                <w:rFonts w:asciiTheme="majorHAnsi" w:eastAsia="Times New Roman" w:hAnsiTheme="majorHAnsi" w:cstheme="majorHAnsi"/>
                <w:color w:val="000000"/>
                <w:sz w:val="21"/>
                <w:szCs w:val="21"/>
              </w:rPr>
              <w:t>Fulfilment</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of</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required</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conditions</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with</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infrastructure</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equipment</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and</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tools</w:t>
            </w:r>
            <w:proofErr w:type="spellEnd"/>
            <w:r w:rsidRPr="001C44F9">
              <w:rPr>
                <w:rFonts w:asciiTheme="majorHAnsi" w:eastAsia="Times New Roman" w:hAnsiTheme="majorHAnsi" w:cstheme="majorHAnsi"/>
                <w:color w:val="000000"/>
                <w:sz w:val="21"/>
                <w:szCs w:val="21"/>
              </w:rPr>
              <w:t xml:space="preserve"> in </w:t>
            </w:r>
            <w:proofErr w:type="spellStart"/>
            <w:r w:rsidRPr="001C44F9">
              <w:rPr>
                <w:rFonts w:asciiTheme="majorHAnsi" w:eastAsia="Times New Roman" w:hAnsiTheme="majorHAnsi" w:cstheme="majorHAnsi"/>
                <w:color w:val="000000"/>
                <w:sz w:val="21"/>
                <w:szCs w:val="21"/>
              </w:rPr>
              <w:t>preuniversity</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education</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facilities</w:t>
            </w:r>
            <w:proofErr w:type="spellEnd"/>
          </w:p>
        </w:tc>
        <w:tc>
          <w:tcPr>
            <w:tcW w:w="1440" w:type="dxa"/>
            <w:tcBorders>
              <w:top w:val="nil"/>
              <w:left w:val="nil"/>
              <w:bottom w:val="single" w:sz="4" w:space="0" w:color="auto"/>
              <w:right w:val="single" w:sz="4" w:space="0" w:color="auto"/>
            </w:tcBorders>
            <w:noWrap/>
            <w:vAlign w:val="center"/>
            <w:hideMark/>
          </w:tcPr>
          <w:p w14:paraId="05F26ABE"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4</w:t>
            </w:r>
          </w:p>
        </w:tc>
        <w:tc>
          <w:tcPr>
            <w:tcW w:w="2327" w:type="dxa"/>
            <w:tcBorders>
              <w:top w:val="nil"/>
              <w:left w:val="nil"/>
              <w:bottom w:val="single" w:sz="4" w:space="0" w:color="auto"/>
              <w:right w:val="single" w:sz="4" w:space="0" w:color="auto"/>
            </w:tcBorders>
          </w:tcPr>
          <w:p w14:paraId="4FE7107B" w14:textId="09D7AEB5"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4</w:t>
            </w:r>
          </w:p>
        </w:tc>
      </w:tr>
      <w:tr w:rsidR="00E46572" w:rsidRPr="001C44F9" w14:paraId="6183D868" w14:textId="6E702495" w:rsidTr="00E46572">
        <w:trPr>
          <w:trHeight w:val="224"/>
        </w:trPr>
        <w:tc>
          <w:tcPr>
            <w:tcW w:w="542" w:type="dxa"/>
            <w:tcBorders>
              <w:top w:val="nil"/>
              <w:left w:val="single" w:sz="8" w:space="0" w:color="auto"/>
              <w:bottom w:val="single" w:sz="4" w:space="0" w:color="auto"/>
              <w:right w:val="single" w:sz="4" w:space="0" w:color="auto"/>
            </w:tcBorders>
            <w:noWrap/>
            <w:vAlign w:val="center"/>
            <w:hideMark/>
          </w:tcPr>
          <w:p w14:paraId="516D5C91"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28</w:t>
            </w:r>
          </w:p>
        </w:tc>
        <w:tc>
          <w:tcPr>
            <w:tcW w:w="5388" w:type="dxa"/>
            <w:tcBorders>
              <w:top w:val="nil"/>
              <w:left w:val="nil"/>
              <w:bottom w:val="single" w:sz="4" w:space="0" w:color="auto"/>
              <w:right w:val="single" w:sz="4" w:space="0" w:color="auto"/>
            </w:tcBorders>
            <w:vAlign w:val="bottom"/>
            <w:hideMark/>
          </w:tcPr>
          <w:p w14:paraId="6B84F5B9" w14:textId="77777777" w:rsidR="00E46572" w:rsidRPr="001C44F9" w:rsidRDefault="00E46572" w:rsidP="00023C23">
            <w:pPr>
              <w:rPr>
                <w:rFonts w:asciiTheme="majorHAnsi" w:eastAsia="Times New Roman" w:hAnsiTheme="majorHAnsi" w:cstheme="majorHAnsi"/>
                <w:color w:val="000000"/>
                <w:sz w:val="21"/>
                <w:szCs w:val="21"/>
              </w:rPr>
            </w:pPr>
            <w:r w:rsidRPr="001C44F9">
              <w:rPr>
                <w:rFonts w:asciiTheme="majorHAnsi" w:eastAsia="Times New Roman" w:hAnsiTheme="majorHAnsi" w:cstheme="majorHAnsi"/>
                <w:color w:val="000000"/>
                <w:sz w:val="21"/>
                <w:szCs w:val="21"/>
              </w:rPr>
              <w:t>Student/</w:t>
            </w:r>
            <w:proofErr w:type="spellStart"/>
            <w:r w:rsidRPr="001C44F9">
              <w:rPr>
                <w:rFonts w:asciiTheme="majorHAnsi" w:eastAsia="Times New Roman" w:hAnsiTheme="majorHAnsi" w:cstheme="majorHAnsi"/>
                <w:color w:val="000000"/>
                <w:sz w:val="21"/>
                <w:szCs w:val="21"/>
              </w:rPr>
              <w:t>teacher</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compliance</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ratio</w:t>
            </w:r>
            <w:proofErr w:type="spellEnd"/>
            <w:r w:rsidRPr="001C44F9">
              <w:rPr>
                <w:rFonts w:asciiTheme="majorHAnsi" w:eastAsia="Times New Roman" w:hAnsiTheme="majorHAnsi" w:cstheme="majorHAnsi"/>
                <w:color w:val="000000"/>
                <w:sz w:val="21"/>
                <w:szCs w:val="21"/>
              </w:rPr>
              <w:t xml:space="preserve"> </w:t>
            </w:r>
          </w:p>
        </w:tc>
        <w:tc>
          <w:tcPr>
            <w:tcW w:w="1440" w:type="dxa"/>
            <w:tcBorders>
              <w:top w:val="nil"/>
              <w:left w:val="nil"/>
              <w:bottom w:val="single" w:sz="4" w:space="0" w:color="auto"/>
              <w:right w:val="single" w:sz="4" w:space="0" w:color="auto"/>
            </w:tcBorders>
            <w:noWrap/>
            <w:vAlign w:val="center"/>
            <w:hideMark/>
          </w:tcPr>
          <w:p w14:paraId="66D3AC3F"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4</w:t>
            </w:r>
          </w:p>
        </w:tc>
        <w:tc>
          <w:tcPr>
            <w:tcW w:w="2327" w:type="dxa"/>
            <w:tcBorders>
              <w:top w:val="nil"/>
              <w:left w:val="nil"/>
              <w:bottom w:val="single" w:sz="4" w:space="0" w:color="auto"/>
              <w:right w:val="single" w:sz="4" w:space="0" w:color="auto"/>
            </w:tcBorders>
          </w:tcPr>
          <w:p w14:paraId="5F386987" w14:textId="32561645"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4</w:t>
            </w:r>
          </w:p>
        </w:tc>
      </w:tr>
      <w:tr w:rsidR="00E46572" w:rsidRPr="001C44F9" w14:paraId="0264EDA3" w14:textId="1235548F" w:rsidTr="00E46572">
        <w:trPr>
          <w:trHeight w:val="144"/>
        </w:trPr>
        <w:tc>
          <w:tcPr>
            <w:tcW w:w="542" w:type="dxa"/>
            <w:tcBorders>
              <w:top w:val="nil"/>
              <w:left w:val="single" w:sz="8" w:space="0" w:color="auto"/>
              <w:bottom w:val="single" w:sz="4" w:space="0" w:color="auto"/>
              <w:right w:val="single" w:sz="4" w:space="0" w:color="auto"/>
            </w:tcBorders>
            <w:shd w:val="clear" w:color="auto" w:fill="709FDB" w:themeFill="text2" w:themeFillTint="80"/>
            <w:noWrap/>
            <w:vAlign w:val="center"/>
            <w:hideMark/>
          </w:tcPr>
          <w:p w14:paraId="1A1200B9"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X</w:t>
            </w:r>
          </w:p>
        </w:tc>
        <w:tc>
          <w:tcPr>
            <w:tcW w:w="5388" w:type="dxa"/>
            <w:tcBorders>
              <w:top w:val="single" w:sz="4" w:space="0" w:color="auto"/>
              <w:left w:val="nil"/>
              <w:bottom w:val="single" w:sz="4" w:space="0" w:color="auto"/>
              <w:right w:val="single" w:sz="4" w:space="0" w:color="auto"/>
            </w:tcBorders>
            <w:shd w:val="clear" w:color="auto" w:fill="709FDB" w:themeFill="text2" w:themeFillTint="80"/>
            <w:vAlign w:val="center"/>
            <w:hideMark/>
          </w:tcPr>
          <w:p w14:paraId="3FB2851C" w14:textId="77777777" w:rsidR="00E46572" w:rsidRPr="001C44F9" w:rsidRDefault="00E46572" w:rsidP="00023C23">
            <w:pPr>
              <w:rPr>
                <w:rFonts w:asciiTheme="majorHAnsi" w:eastAsia="Times New Roman" w:hAnsiTheme="majorHAnsi" w:cstheme="majorHAnsi"/>
                <w:b/>
                <w:bCs/>
                <w:color w:val="FFFFFF"/>
                <w:sz w:val="21"/>
                <w:szCs w:val="21"/>
              </w:rPr>
            </w:pPr>
            <w:proofErr w:type="spellStart"/>
            <w:r w:rsidRPr="001C44F9">
              <w:rPr>
                <w:rFonts w:asciiTheme="majorHAnsi" w:eastAsia="Times New Roman" w:hAnsiTheme="majorHAnsi" w:cstheme="majorHAnsi"/>
                <w:b/>
                <w:bCs/>
                <w:color w:val="FFFFFF"/>
                <w:sz w:val="21"/>
                <w:szCs w:val="21"/>
              </w:rPr>
              <w:t>Primary</w:t>
            </w:r>
            <w:proofErr w:type="spellEnd"/>
            <w:r w:rsidRPr="001C44F9">
              <w:rPr>
                <w:rFonts w:asciiTheme="majorHAnsi" w:eastAsia="Times New Roman" w:hAnsiTheme="majorHAnsi" w:cstheme="majorHAnsi"/>
                <w:b/>
                <w:bCs/>
                <w:color w:val="FFFFFF"/>
                <w:sz w:val="21"/>
                <w:szCs w:val="21"/>
              </w:rPr>
              <w:t xml:space="preserve"> </w:t>
            </w:r>
            <w:proofErr w:type="spellStart"/>
            <w:r w:rsidRPr="001C44F9">
              <w:rPr>
                <w:rFonts w:asciiTheme="majorHAnsi" w:eastAsia="Times New Roman" w:hAnsiTheme="majorHAnsi" w:cstheme="majorHAnsi"/>
                <w:b/>
                <w:bCs/>
                <w:color w:val="FFFFFF"/>
                <w:sz w:val="21"/>
                <w:szCs w:val="21"/>
              </w:rPr>
              <w:t>health</w:t>
            </w:r>
            <w:proofErr w:type="spellEnd"/>
            <w:r w:rsidRPr="001C44F9">
              <w:rPr>
                <w:rFonts w:asciiTheme="majorHAnsi" w:eastAsia="Times New Roman" w:hAnsiTheme="majorHAnsi" w:cstheme="majorHAnsi"/>
                <w:b/>
                <w:bCs/>
                <w:color w:val="FFFFFF"/>
                <w:sz w:val="21"/>
                <w:szCs w:val="21"/>
              </w:rPr>
              <w:t xml:space="preserve"> </w:t>
            </w:r>
            <w:proofErr w:type="spellStart"/>
            <w:r w:rsidRPr="001C44F9">
              <w:rPr>
                <w:rFonts w:asciiTheme="majorHAnsi" w:eastAsia="Times New Roman" w:hAnsiTheme="majorHAnsi" w:cstheme="majorHAnsi"/>
                <w:b/>
                <w:bCs/>
                <w:color w:val="FFFFFF"/>
                <w:sz w:val="21"/>
                <w:szCs w:val="21"/>
              </w:rPr>
              <w:t>care</w:t>
            </w:r>
            <w:proofErr w:type="spellEnd"/>
            <w:r w:rsidRPr="001C44F9">
              <w:rPr>
                <w:rFonts w:asciiTheme="majorHAnsi" w:eastAsia="Times New Roman" w:hAnsiTheme="majorHAnsi" w:cstheme="majorHAnsi"/>
                <w:b/>
                <w:bCs/>
                <w:color w:val="FFFFFF"/>
                <w:sz w:val="21"/>
                <w:szCs w:val="21"/>
              </w:rPr>
              <w:t xml:space="preserve"> </w:t>
            </w:r>
          </w:p>
        </w:tc>
        <w:tc>
          <w:tcPr>
            <w:tcW w:w="1440" w:type="dxa"/>
            <w:tcBorders>
              <w:top w:val="nil"/>
              <w:left w:val="nil"/>
              <w:bottom w:val="single" w:sz="4" w:space="0" w:color="auto"/>
              <w:right w:val="single" w:sz="4" w:space="0" w:color="auto"/>
            </w:tcBorders>
            <w:shd w:val="clear" w:color="auto" w:fill="709FDB" w:themeFill="text2" w:themeFillTint="80"/>
            <w:vAlign w:val="center"/>
            <w:hideMark/>
          </w:tcPr>
          <w:p w14:paraId="3EA95D16"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8</w:t>
            </w:r>
          </w:p>
        </w:tc>
        <w:tc>
          <w:tcPr>
            <w:tcW w:w="2327" w:type="dxa"/>
            <w:tcBorders>
              <w:top w:val="nil"/>
              <w:left w:val="nil"/>
              <w:bottom w:val="single" w:sz="4" w:space="0" w:color="auto"/>
              <w:right w:val="single" w:sz="4" w:space="0" w:color="auto"/>
            </w:tcBorders>
            <w:shd w:val="clear" w:color="auto" w:fill="709FDB" w:themeFill="text2" w:themeFillTint="80"/>
          </w:tcPr>
          <w:p w14:paraId="22F9B6BC" w14:textId="2BA1179B" w:rsidR="00E46572" w:rsidRPr="001C44F9" w:rsidRDefault="00E46572" w:rsidP="00023C23">
            <w:pPr>
              <w:rPr>
                <w:rFonts w:asciiTheme="majorHAnsi" w:eastAsia="Times New Roman" w:hAnsiTheme="majorHAnsi" w:cstheme="majorHAnsi"/>
                <w:b/>
                <w:bCs/>
                <w:color w:val="FFFFFF"/>
                <w:sz w:val="21"/>
                <w:szCs w:val="21"/>
              </w:rPr>
            </w:pPr>
            <w:r>
              <w:rPr>
                <w:rFonts w:asciiTheme="majorHAnsi" w:eastAsia="Times New Roman" w:hAnsiTheme="majorHAnsi" w:cstheme="majorHAnsi"/>
                <w:b/>
                <w:bCs/>
                <w:color w:val="FFFFFF"/>
                <w:sz w:val="21"/>
                <w:szCs w:val="21"/>
              </w:rPr>
              <w:t>8</w:t>
            </w:r>
          </w:p>
        </w:tc>
      </w:tr>
      <w:tr w:rsidR="00E46572" w:rsidRPr="001C44F9" w14:paraId="0757FFFD" w14:textId="60E41A65" w:rsidTr="00E46572">
        <w:trPr>
          <w:trHeight w:val="260"/>
        </w:trPr>
        <w:tc>
          <w:tcPr>
            <w:tcW w:w="542" w:type="dxa"/>
            <w:tcBorders>
              <w:top w:val="nil"/>
              <w:left w:val="single" w:sz="8" w:space="0" w:color="auto"/>
              <w:bottom w:val="single" w:sz="4" w:space="0" w:color="auto"/>
              <w:right w:val="single" w:sz="4" w:space="0" w:color="auto"/>
            </w:tcBorders>
            <w:noWrap/>
            <w:vAlign w:val="center"/>
            <w:hideMark/>
          </w:tcPr>
          <w:p w14:paraId="74FD351E"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29</w:t>
            </w:r>
          </w:p>
        </w:tc>
        <w:tc>
          <w:tcPr>
            <w:tcW w:w="5388" w:type="dxa"/>
            <w:tcBorders>
              <w:top w:val="nil"/>
              <w:left w:val="nil"/>
              <w:bottom w:val="single" w:sz="4" w:space="0" w:color="auto"/>
              <w:right w:val="single" w:sz="4" w:space="0" w:color="auto"/>
            </w:tcBorders>
            <w:vAlign w:val="center"/>
            <w:hideMark/>
          </w:tcPr>
          <w:p w14:paraId="30EBB4DD" w14:textId="77777777" w:rsidR="00E46572" w:rsidRPr="001C44F9" w:rsidRDefault="00E46572" w:rsidP="00023C23">
            <w:pPr>
              <w:rPr>
                <w:rFonts w:asciiTheme="majorHAnsi" w:eastAsia="Times New Roman" w:hAnsiTheme="majorHAnsi" w:cstheme="majorHAnsi"/>
                <w:color w:val="000000"/>
                <w:sz w:val="21"/>
                <w:szCs w:val="21"/>
              </w:rPr>
            </w:pPr>
            <w:proofErr w:type="spellStart"/>
            <w:r w:rsidRPr="001C44F9">
              <w:rPr>
                <w:rFonts w:asciiTheme="majorHAnsi" w:eastAsia="Times New Roman" w:hAnsiTheme="majorHAnsi" w:cstheme="majorHAnsi"/>
                <w:color w:val="000000"/>
                <w:sz w:val="21"/>
                <w:szCs w:val="21"/>
              </w:rPr>
              <w:t>Primary</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Health</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Care</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Units</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equipped</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with</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necessary</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laboratory</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equipment</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and</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services</w:t>
            </w:r>
            <w:proofErr w:type="spellEnd"/>
            <w:r w:rsidRPr="001C44F9">
              <w:rPr>
                <w:rFonts w:asciiTheme="majorHAnsi" w:eastAsia="Times New Roman" w:hAnsiTheme="majorHAnsi" w:cstheme="majorHAnsi"/>
                <w:color w:val="000000"/>
                <w:sz w:val="21"/>
                <w:szCs w:val="21"/>
              </w:rPr>
              <w:t xml:space="preserve">. </w:t>
            </w:r>
          </w:p>
        </w:tc>
        <w:tc>
          <w:tcPr>
            <w:tcW w:w="1440" w:type="dxa"/>
            <w:tcBorders>
              <w:top w:val="nil"/>
              <w:left w:val="nil"/>
              <w:bottom w:val="single" w:sz="4" w:space="0" w:color="auto"/>
              <w:right w:val="single" w:sz="4" w:space="0" w:color="auto"/>
            </w:tcBorders>
            <w:noWrap/>
            <w:vAlign w:val="center"/>
            <w:hideMark/>
          </w:tcPr>
          <w:p w14:paraId="5D866184"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4</w:t>
            </w:r>
          </w:p>
        </w:tc>
        <w:tc>
          <w:tcPr>
            <w:tcW w:w="2327" w:type="dxa"/>
            <w:tcBorders>
              <w:top w:val="nil"/>
              <w:left w:val="nil"/>
              <w:bottom w:val="single" w:sz="4" w:space="0" w:color="auto"/>
              <w:right w:val="single" w:sz="4" w:space="0" w:color="auto"/>
            </w:tcBorders>
          </w:tcPr>
          <w:p w14:paraId="29D57533" w14:textId="5E13542C"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4</w:t>
            </w:r>
          </w:p>
        </w:tc>
      </w:tr>
      <w:tr w:rsidR="00E46572" w:rsidRPr="001C44F9" w14:paraId="2CEC2EED" w14:textId="7CFDFD91" w:rsidTr="00E46572">
        <w:trPr>
          <w:trHeight w:val="260"/>
        </w:trPr>
        <w:tc>
          <w:tcPr>
            <w:tcW w:w="542" w:type="dxa"/>
            <w:tcBorders>
              <w:top w:val="nil"/>
              <w:left w:val="single" w:sz="8" w:space="0" w:color="auto"/>
              <w:bottom w:val="single" w:sz="4" w:space="0" w:color="auto"/>
              <w:right w:val="single" w:sz="4" w:space="0" w:color="auto"/>
            </w:tcBorders>
            <w:noWrap/>
            <w:vAlign w:val="center"/>
          </w:tcPr>
          <w:p w14:paraId="350C75B5" w14:textId="1C3F0F29"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30</w:t>
            </w:r>
          </w:p>
        </w:tc>
        <w:tc>
          <w:tcPr>
            <w:tcW w:w="5388" w:type="dxa"/>
            <w:tcBorders>
              <w:top w:val="nil"/>
              <w:left w:val="nil"/>
              <w:bottom w:val="single" w:sz="4" w:space="0" w:color="auto"/>
              <w:right w:val="single" w:sz="4" w:space="0" w:color="auto"/>
            </w:tcBorders>
            <w:vAlign w:val="center"/>
          </w:tcPr>
          <w:p w14:paraId="3A0C80F6" w14:textId="29824E38" w:rsidR="00E46572" w:rsidRPr="001C44F9" w:rsidRDefault="00E46572" w:rsidP="00023C23">
            <w:pPr>
              <w:rPr>
                <w:rFonts w:asciiTheme="majorHAnsi" w:eastAsia="Times New Roman" w:hAnsiTheme="majorHAnsi" w:cstheme="majorHAnsi"/>
                <w:color w:val="000000"/>
                <w:sz w:val="21"/>
                <w:szCs w:val="21"/>
              </w:rPr>
            </w:pPr>
            <w:proofErr w:type="spellStart"/>
            <w:r w:rsidRPr="001C44F9">
              <w:rPr>
                <w:rFonts w:asciiTheme="majorHAnsi" w:eastAsia="Times New Roman" w:hAnsiTheme="majorHAnsi" w:cstheme="majorHAnsi"/>
                <w:color w:val="000000"/>
                <w:sz w:val="21"/>
                <w:szCs w:val="21"/>
              </w:rPr>
              <w:t>Level</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of</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compliance</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with</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family</w:t>
            </w:r>
            <w:proofErr w:type="spellEnd"/>
            <w:r w:rsidRPr="001C44F9">
              <w:rPr>
                <w:rFonts w:asciiTheme="majorHAnsi" w:eastAsia="Times New Roman" w:hAnsiTheme="majorHAnsi" w:cstheme="majorHAnsi"/>
                <w:color w:val="000000"/>
                <w:sz w:val="21"/>
                <w:szCs w:val="21"/>
              </w:rPr>
              <w:t xml:space="preserve"> medicine </w:t>
            </w:r>
            <w:proofErr w:type="spellStart"/>
            <w:r w:rsidRPr="001C44F9">
              <w:rPr>
                <w:rFonts w:asciiTheme="majorHAnsi" w:eastAsia="Times New Roman" w:hAnsiTheme="majorHAnsi" w:cstheme="majorHAnsi"/>
                <w:color w:val="000000"/>
                <w:sz w:val="21"/>
                <w:szCs w:val="21"/>
              </w:rPr>
              <w:t>and</w:t>
            </w:r>
            <w:proofErr w:type="spellEnd"/>
            <w:r w:rsidRPr="001C44F9">
              <w:rPr>
                <w:rFonts w:asciiTheme="majorHAnsi" w:eastAsia="Times New Roman" w:hAnsiTheme="majorHAnsi" w:cstheme="majorHAnsi"/>
                <w:color w:val="000000"/>
                <w:sz w:val="21"/>
                <w:szCs w:val="21"/>
              </w:rPr>
              <w:t xml:space="preserve"> oral </w:t>
            </w:r>
            <w:proofErr w:type="spellStart"/>
            <w:r w:rsidRPr="001C44F9">
              <w:rPr>
                <w:rFonts w:asciiTheme="majorHAnsi" w:eastAsia="Times New Roman" w:hAnsiTheme="majorHAnsi" w:cstheme="majorHAnsi"/>
                <w:color w:val="000000"/>
                <w:sz w:val="21"/>
                <w:szCs w:val="21"/>
              </w:rPr>
              <w:t>health</w:t>
            </w:r>
            <w:proofErr w:type="spellEnd"/>
            <w:r w:rsidRPr="001C44F9">
              <w:rPr>
                <w:rFonts w:asciiTheme="majorHAnsi" w:eastAsia="Times New Roman" w:hAnsiTheme="majorHAnsi" w:cstheme="majorHAnsi"/>
                <w:color w:val="000000"/>
                <w:sz w:val="21"/>
                <w:szCs w:val="21"/>
              </w:rPr>
              <w:t xml:space="preserve"> </w:t>
            </w:r>
            <w:proofErr w:type="spellStart"/>
            <w:r w:rsidRPr="001C44F9">
              <w:rPr>
                <w:rFonts w:asciiTheme="majorHAnsi" w:eastAsia="Times New Roman" w:hAnsiTheme="majorHAnsi" w:cstheme="majorHAnsi"/>
                <w:color w:val="000000"/>
                <w:sz w:val="21"/>
                <w:szCs w:val="21"/>
              </w:rPr>
              <w:t>teams</w:t>
            </w:r>
            <w:proofErr w:type="spellEnd"/>
          </w:p>
        </w:tc>
        <w:tc>
          <w:tcPr>
            <w:tcW w:w="1440" w:type="dxa"/>
            <w:tcBorders>
              <w:top w:val="nil"/>
              <w:left w:val="nil"/>
              <w:bottom w:val="single" w:sz="4" w:space="0" w:color="auto"/>
              <w:right w:val="single" w:sz="4" w:space="0" w:color="auto"/>
            </w:tcBorders>
            <w:noWrap/>
            <w:vAlign w:val="center"/>
          </w:tcPr>
          <w:p w14:paraId="0CBC3FE7" w14:textId="06FF8E58"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4</w:t>
            </w:r>
          </w:p>
        </w:tc>
        <w:tc>
          <w:tcPr>
            <w:tcW w:w="2327" w:type="dxa"/>
            <w:tcBorders>
              <w:top w:val="nil"/>
              <w:left w:val="nil"/>
              <w:bottom w:val="single" w:sz="4" w:space="0" w:color="auto"/>
              <w:right w:val="single" w:sz="4" w:space="0" w:color="auto"/>
            </w:tcBorders>
          </w:tcPr>
          <w:p w14:paraId="36F58DED" w14:textId="26910509" w:rsidR="00E46572"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4</w:t>
            </w:r>
          </w:p>
        </w:tc>
      </w:tr>
      <w:tr w:rsidR="00E46572" w:rsidRPr="001C44F9" w14:paraId="2437B851" w14:textId="05528675" w:rsidTr="00E46572">
        <w:trPr>
          <w:trHeight w:val="260"/>
        </w:trPr>
        <w:tc>
          <w:tcPr>
            <w:tcW w:w="5930" w:type="dxa"/>
            <w:gridSpan w:val="2"/>
            <w:tcBorders>
              <w:top w:val="nil"/>
              <w:left w:val="single" w:sz="8" w:space="0" w:color="auto"/>
              <w:bottom w:val="single" w:sz="4" w:space="0" w:color="auto"/>
              <w:right w:val="single" w:sz="4" w:space="0" w:color="auto"/>
            </w:tcBorders>
            <w:noWrap/>
            <w:vAlign w:val="center"/>
          </w:tcPr>
          <w:p w14:paraId="43AD881A" w14:textId="00E151F3" w:rsidR="00E46572" w:rsidRPr="001C44F9" w:rsidRDefault="00E46572" w:rsidP="005E782F">
            <w:pPr>
              <w:rPr>
                <w:rFonts w:asciiTheme="majorHAnsi" w:eastAsia="Times New Roman" w:hAnsiTheme="majorHAnsi" w:cstheme="majorHAnsi"/>
                <w:color w:val="000000"/>
                <w:sz w:val="21"/>
                <w:szCs w:val="21"/>
              </w:rPr>
            </w:pPr>
            <w:r>
              <w:rPr>
                <w:rFonts w:ascii="Calibri-Bold" w:hAnsi="Calibri-Bold" w:cs="Calibri-Bold"/>
                <w:b/>
                <w:bCs/>
                <w:sz w:val="20"/>
                <w:szCs w:val="20"/>
                <w:lang w:val="en-US"/>
              </w:rPr>
              <w:t>Total points</w:t>
            </w:r>
          </w:p>
        </w:tc>
        <w:tc>
          <w:tcPr>
            <w:tcW w:w="1440" w:type="dxa"/>
            <w:tcBorders>
              <w:top w:val="nil"/>
              <w:left w:val="nil"/>
              <w:bottom w:val="single" w:sz="4" w:space="0" w:color="auto"/>
              <w:right w:val="single" w:sz="4" w:space="0" w:color="auto"/>
            </w:tcBorders>
            <w:noWrap/>
            <w:vAlign w:val="center"/>
          </w:tcPr>
          <w:p w14:paraId="734B20D6" w14:textId="4F4D7811"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100</w:t>
            </w:r>
          </w:p>
        </w:tc>
        <w:tc>
          <w:tcPr>
            <w:tcW w:w="2327" w:type="dxa"/>
            <w:tcBorders>
              <w:top w:val="nil"/>
              <w:left w:val="nil"/>
              <w:bottom w:val="single" w:sz="4" w:space="0" w:color="auto"/>
              <w:right w:val="single" w:sz="4" w:space="0" w:color="auto"/>
            </w:tcBorders>
          </w:tcPr>
          <w:p w14:paraId="49FCE350" w14:textId="1C654E59" w:rsidR="00E46572"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98</w:t>
            </w:r>
          </w:p>
        </w:tc>
      </w:tr>
    </w:tbl>
    <w:p w14:paraId="4F9A5CF5" w14:textId="77777777" w:rsidR="00B739C3" w:rsidRPr="001E5747" w:rsidRDefault="00B739C3" w:rsidP="005E782F">
      <w:pPr>
        <w:spacing w:before="60" w:line="264" w:lineRule="auto"/>
        <w:jc w:val="both"/>
        <w:rPr>
          <w:rFonts w:asciiTheme="majorHAnsi" w:hAnsiTheme="majorHAnsi"/>
          <w:sz w:val="21"/>
          <w:szCs w:val="21"/>
          <w:lang w:val="en-GB"/>
        </w:rPr>
      </w:pPr>
    </w:p>
    <w:p w14:paraId="6FED14BE" w14:textId="77777777" w:rsidR="00B739C3" w:rsidRPr="001E5747" w:rsidRDefault="003C772E"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lastRenderedPageBreak/>
        <w:t>The indicators reflect municipal performance areas that (</w:t>
      </w:r>
      <w:proofErr w:type="spellStart"/>
      <w:r w:rsidRPr="001E5747">
        <w:rPr>
          <w:rFonts w:asciiTheme="majorHAnsi" w:hAnsiTheme="majorHAnsi"/>
          <w:sz w:val="21"/>
          <w:szCs w:val="21"/>
          <w:lang w:val="en-GB"/>
        </w:rPr>
        <w:t>i</w:t>
      </w:r>
      <w:proofErr w:type="spellEnd"/>
      <w:r w:rsidRPr="001E5747">
        <w:rPr>
          <w:rFonts w:asciiTheme="majorHAnsi" w:hAnsiTheme="majorHAnsi"/>
          <w:sz w:val="21"/>
          <w:szCs w:val="21"/>
          <w:lang w:val="en-GB"/>
        </w:rPr>
        <w:t>) are considered important for the good functioning of the municipal structures as entities of democratic local governance and (ii) are, at all levels for all municipalities, considered to have scope for improvement</w:t>
      </w:r>
      <w:r w:rsidR="00B739C3" w:rsidRPr="001E5747">
        <w:rPr>
          <w:rFonts w:asciiTheme="majorHAnsi" w:hAnsiTheme="majorHAnsi"/>
          <w:sz w:val="21"/>
          <w:szCs w:val="21"/>
          <w:lang w:val="en-GB"/>
        </w:rPr>
        <w:t>. The MPG focuses on areas where municipalities need and can make further improvements. The grant will create incentives to facilitate this change.</w:t>
      </w:r>
    </w:p>
    <w:p w14:paraId="7541B2E2" w14:textId="77777777" w:rsidR="00B739C3" w:rsidRPr="001E5747" w:rsidRDefault="003C772E"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Different indicators have different maximum scores, related to their attributed weight and importance. Annex </w:t>
      </w:r>
      <w:r w:rsidR="00517222">
        <w:rPr>
          <w:rFonts w:asciiTheme="majorHAnsi" w:hAnsiTheme="majorHAnsi"/>
          <w:sz w:val="21"/>
          <w:szCs w:val="21"/>
          <w:lang w:val="en-GB"/>
        </w:rPr>
        <w:t>3</w:t>
      </w:r>
      <w:r w:rsidRPr="001E5747">
        <w:rPr>
          <w:rFonts w:asciiTheme="majorHAnsi" w:hAnsiTheme="majorHAnsi"/>
          <w:sz w:val="21"/>
          <w:szCs w:val="21"/>
          <w:lang w:val="en-GB"/>
        </w:rPr>
        <w:t xml:space="preserve"> has a detailed guideline on the allocation of the points within the maximum scores. The points have been calibrated such that good and acceptable levels of performance are rewarded but that, for each indicator, sub optimal performance are given very little or no points, which means that the points really stimulate good performance (instead of mediocre performance). It also means that municipalities that perform well on a number of indicators will receive substantially more points than the ones that show ordinary performance</w:t>
      </w:r>
      <w:r w:rsidR="00B739C3" w:rsidRPr="001E5747">
        <w:rPr>
          <w:rFonts w:asciiTheme="majorHAnsi" w:hAnsiTheme="majorHAnsi"/>
          <w:sz w:val="21"/>
          <w:szCs w:val="21"/>
          <w:lang w:val="en-GB"/>
        </w:rPr>
        <w:t>.</w:t>
      </w:r>
    </w:p>
    <w:p w14:paraId="74787DA9" w14:textId="77777777" w:rsidR="00B739C3" w:rsidRDefault="003C772E"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It is important to note that the indicators have been selected and formulated in such a way that they are more or less equally attainable by all municipalities, irrespective of the population or area size and economic strength</w:t>
      </w:r>
      <w:r w:rsidR="00B739C3" w:rsidRPr="001E5747">
        <w:rPr>
          <w:rFonts w:asciiTheme="majorHAnsi" w:hAnsiTheme="majorHAnsi"/>
          <w:sz w:val="21"/>
          <w:szCs w:val="21"/>
          <w:lang w:val="en-GB"/>
        </w:rPr>
        <w:t xml:space="preserve">. In principle, the indicators reflect the attributes that all municipalities </w:t>
      </w:r>
      <w:r w:rsidRPr="001E5747">
        <w:rPr>
          <w:rFonts w:asciiTheme="majorHAnsi" w:hAnsiTheme="majorHAnsi"/>
          <w:sz w:val="21"/>
          <w:szCs w:val="21"/>
          <w:lang w:val="en-GB"/>
        </w:rPr>
        <w:t>‘ought to</w:t>
      </w:r>
      <w:r w:rsidR="00B739C3" w:rsidRPr="001E5747">
        <w:rPr>
          <w:rFonts w:asciiTheme="majorHAnsi" w:hAnsiTheme="majorHAnsi"/>
          <w:sz w:val="21"/>
          <w:szCs w:val="21"/>
          <w:lang w:val="en-GB"/>
        </w:rPr>
        <w:t xml:space="preserve"> have' - as they are part of good local governance, which belongs to all citizens of Kosovo.</w:t>
      </w:r>
    </w:p>
    <w:p w14:paraId="7E49A6CE" w14:textId="77777777" w:rsidR="000E3A9A" w:rsidRDefault="000E3A9A" w:rsidP="00B739C3">
      <w:pPr>
        <w:spacing w:before="60" w:line="264" w:lineRule="auto"/>
        <w:jc w:val="both"/>
        <w:rPr>
          <w:rFonts w:asciiTheme="majorHAnsi" w:hAnsiTheme="majorHAnsi"/>
          <w:sz w:val="21"/>
          <w:szCs w:val="21"/>
          <w:lang w:val="en-GB"/>
        </w:rPr>
      </w:pPr>
    </w:p>
    <w:p w14:paraId="6331549B" w14:textId="00EB211A" w:rsidR="00636F36" w:rsidRPr="0005224E" w:rsidRDefault="000E3A9A" w:rsidP="007A3400">
      <w:pPr>
        <w:shd w:val="clear" w:color="auto" w:fill="709FDB" w:themeFill="text2" w:themeFillTint="80"/>
        <w:jc w:val="both"/>
        <w:rPr>
          <w:rFonts w:asciiTheme="majorHAnsi" w:hAnsiTheme="majorHAnsi"/>
          <w:color w:val="FFFFFF" w:themeColor="background1"/>
          <w:sz w:val="21"/>
          <w:szCs w:val="21"/>
          <w:lang w:val="en-GB"/>
        </w:rPr>
      </w:pPr>
      <w:proofErr w:type="spellStart"/>
      <w:r w:rsidRPr="000E3A9A">
        <w:rPr>
          <w:rFonts w:asciiTheme="majorHAnsi" w:hAnsiTheme="majorHAnsi"/>
          <w:color w:val="FFFFFF" w:themeColor="background1"/>
          <w:sz w:val="21"/>
          <w:szCs w:val="21"/>
        </w:rPr>
        <w:t>Indicator</w:t>
      </w:r>
      <w:proofErr w:type="spellEnd"/>
      <w:r w:rsidRPr="000E3A9A">
        <w:rPr>
          <w:rFonts w:asciiTheme="majorHAnsi" w:hAnsiTheme="majorHAnsi"/>
          <w:color w:val="FFFFFF" w:themeColor="background1"/>
          <w:sz w:val="21"/>
          <w:szCs w:val="21"/>
        </w:rPr>
        <w:t xml:space="preserve"> </w:t>
      </w:r>
      <w:proofErr w:type="spellStart"/>
      <w:r w:rsidRPr="000E3A9A">
        <w:rPr>
          <w:rFonts w:asciiTheme="majorHAnsi" w:hAnsiTheme="majorHAnsi"/>
          <w:color w:val="FFFFFF" w:themeColor="background1"/>
          <w:sz w:val="21"/>
          <w:szCs w:val="21"/>
        </w:rPr>
        <w:t>no</w:t>
      </w:r>
      <w:proofErr w:type="spellEnd"/>
      <w:r w:rsidRPr="000E3A9A">
        <w:rPr>
          <w:rFonts w:asciiTheme="majorHAnsi" w:hAnsiTheme="majorHAnsi"/>
          <w:color w:val="FFFFFF" w:themeColor="background1"/>
          <w:sz w:val="21"/>
          <w:szCs w:val="21"/>
        </w:rPr>
        <w:t xml:space="preserve">. 16b </w:t>
      </w:r>
      <w:proofErr w:type="spellStart"/>
      <w:r w:rsidRPr="000E3A9A">
        <w:rPr>
          <w:rFonts w:asciiTheme="majorHAnsi" w:hAnsiTheme="majorHAnsi"/>
          <w:color w:val="FFFFFF" w:themeColor="background1"/>
          <w:sz w:val="21"/>
          <w:szCs w:val="21"/>
        </w:rPr>
        <w:t>will</w:t>
      </w:r>
      <w:proofErr w:type="spellEnd"/>
      <w:r w:rsidRPr="000E3A9A">
        <w:rPr>
          <w:rFonts w:asciiTheme="majorHAnsi" w:hAnsiTheme="majorHAnsi"/>
          <w:color w:val="FFFFFF" w:themeColor="background1"/>
          <w:sz w:val="21"/>
          <w:szCs w:val="21"/>
        </w:rPr>
        <w:t xml:space="preserve"> not be </w:t>
      </w:r>
      <w:proofErr w:type="spellStart"/>
      <w:r w:rsidRPr="000E3A9A">
        <w:rPr>
          <w:rFonts w:asciiTheme="majorHAnsi" w:hAnsiTheme="majorHAnsi"/>
          <w:color w:val="FFFFFF" w:themeColor="background1"/>
          <w:sz w:val="21"/>
          <w:szCs w:val="21"/>
        </w:rPr>
        <w:t>measured</w:t>
      </w:r>
      <w:proofErr w:type="spellEnd"/>
      <w:r w:rsidRPr="000E3A9A">
        <w:rPr>
          <w:rFonts w:asciiTheme="majorHAnsi" w:hAnsiTheme="majorHAnsi"/>
          <w:color w:val="FFFFFF" w:themeColor="background1"/>
          <w:sz w:val="21"/>
          <w:szCs w:val="21"/>
        </w:rPr>
        <w:t xml:space="preserve">, </w:t>
      </w:r>
      <w:proofErr w:type="spellStart"/>
      <w:r w:rsidRPr="000E3A9A">
        <w:rPr>
          <w:rFonts w:asciiTheme="majorHAnsi" w:hAnsiTheme="majorHAnsi"/>
          <w:color w:val="FFFFFF" w:themeColor="background1"/>
          <w:sz w:val="21"/>
          <w:szCs w:val="21"/>
        </w:rPr>
        <w:t>considering</w:t>
      </w:r>
      <w:proofErr w:type="spellEnd"/>
      <w:r w:rsidRPr="000E3A9A">
        <w:rPr>
          <w:rFonts w:asciiTheme="majorHAnsi" w:hAnsiTheme="majorHAnsi"/>
          <w:color w:val="FFFFFF" w:themeColor="background1"/>
          <w:sz w:val="21"/>
          <w:szCs w:val="21"/>
        </w:rPr>
        <w:t xml:space="preserve"> </w:t>
      </w:r>
      <w:proofErr w:type="spellStart"/>
      <w:r w:rsidRPr="000E3A9A">
        <w:rPr>
          <w:rFonts w:asciiTheme="majorHAnsi" w:hAnsiTheme="majorHAnsi"/>
          <w:color w:val="FFFFFF" w:themeColor="background1"/>
          <w:sz w:val="21"/>
          <w:szCs w:val="21"/>
        </w:rPr>
        <w:t>that</w:t>
      </w:r>
      <w:proofErr w:type="spellEnd"/>
      <w:r w:rsidRPr="000E3A9A">
        <w:rPr>
          <w:rFonts w:asciiTheme="majorHAnsi" w:hAnsiTheme="majorHAnsi"/>
          <w:color w:val="FFFFFF" w:themeColor="background1"/>
          <w:sz w:val="21"/>
          <w:szCs w:val="21"/>
        </w:rPr>
        <w:t xml:space="preserve"> </w:t>
      </w:r>
      <w:proofErr w:type="spellStart"/>
      <w:r w:rsidRPr="000E3A9A">
        <w:rPr>
          <w:rFonts w:asciiTheme="majorHAnsi" w:hAnsiTheme="majorHAnsi"/>
          <w:color w:val="FFFFFF" w:themeColor="background1"/>
          <w:sz w:val="21"/>
          <w:szCs w:val="21"/>
        </w:rPr>
        <w:t>this</w:t>
      </w:r>
      <w:proofErr w:type="spellEnd"/>
      <w:r w:rsidRPr="000E3A9A">
        <w:rPr>
          <w:rFonts w:asciiTheme="majorHAnsi" w:hAnsiTheme="majorHAnsi"/>
          <w:color w:val="FFFFFF" w:themeColor="background1"/>
          <w:sz w:val="21"/>
          <w:szCs w:val="21"/>
        </w:rPr>
        <w:t xml:space="preserve"> </w:t>
      </w:r>
      <w:proofErr w:type="spellStart"/>
      <w:r w:rsidRPr="000E3A9A">
        <w:rPr>
          <w:rFonts w:asciiTheme="majorHAnsi" w:hAnsiTheme="majorHAnsi"/>
          <w:color w:val="FFFFFF" w:themeColor="background1"/>
          <w:sz w:val="21"/>
          <w:szCs w:val="21"/>
        </w:rPr>
        <w:t>indicator</w:t>
      </w:r>
      <w:proofErr w:type="spellEnd"/>
      <w:r w:rsidRPr="000E3A9A">
        <w:rPr>
          <w:rFonts w:asciiTheme="majorHAnsi" w:hAnsiTheme="majorHAnsi"/>
          <w:color w:val="FFFFFF" w:themeColor="background1"/>
          <w:sz w:val="21"/>
          <w:szCs w:val="21"/>
        </w:rPr>
        <w:t xml:space="preserve"> </w:t>
      </w:r>
      <w:proofErr w:type="spellStart"/>
      <w:r w:rsidRPr="000E3A9A">
        <w:rPr>
          <w:rFonts w:asciiTheme="majorHAnsi" w:hAnsiTheme="majorHAnsi"/>
          <w:color w:val="FFFFFF" w:themeColor="background1"/>
          <w:sz w:val="21"/>
          <w:szCs w:val="21"/>
        </w:rPr>
        <w:t>was</w:t>
      </w:r>
      <w:proofErr w:type="spellEnd"/>
      <w:r w:rsidRPr="000E3A9A">
        <w:rPr>
          <w:rFonts w:asciiTheme="majorHAnsi" w:hAnsiTheme="majorHAnsi"/>
          <w:color w:val="FFFFFF" w:themeColor="background1"/>
          <w:sz w:val="21"/>
          <w:szCs w:val="21"/>
        </w:rPr>
        <w:t xml:space="preserve"> not </w:t>
      </w:r>
      <w:proofErr w:type="spellStart"/>
      <w:r w:rsidRPr="000E3A9A">
        <w:rPr>
          <w:rFonts w:asciiTheme="majorHAnsi" w:hAnsiTheme="majorHAnsi"/>
          <w:color w:val="FFFFFF" w:themeColor="background1"/>
          <w:sz w:val="21"/>
          <w:szCs w:val="21"/>
        </w:rPr>
        <w:t>measured</w:t>
      </w:r>
      <w:proofErr w:type="spellEnd"/>
      <w:r w:rsidRPr="000E3A9A">
        <w:rPr>
          <w:rFonts w:asciiTheme="majorHAnsi" w:hAnsiTheme="majorHAnsi"/>
          <w:color w:val="FFFFFF" w:themeColor="background1"/>
          <w:sz w:val="21"/>
          <w:szCs w:val="21"/>
        </w:rPr>
        <w:t xml:space="preserve"> in the SMPK </w:t>
      </w:r>
      <w:proofErr w:type="spellStart"/>
      <w:r w:rsidRPr="000E3A9A">
        <w:rPr>
          <w:rFonts w:asciiTheme="majorHAnsi" w:hAnsiTheme="majorHAnsi"/>
          <w:color w:val="FFFFFF" w:themeColor="background1"/>
          <w:sz w:val="21"/>
          <w:szCs w:val="21"/>
        </w:rPr>
        <w:t>for</w:t>
      </w:r>
      <w:proofErr w:type="spellEnd"/>
      <w:r w:rsidRPr="000E3A9A">
        <w:rPr>
          <w:rFonts w:asciiTheme="majorHAnsi" w:hAnsiTheme="majorHAnsi"/>
          <w:color w:val="FFFFFF" w:themeColor="background1"/>
          <w:sz w:val="21"/>
          <w:szCs w:val="21"/>
        </w:rPr>
        <w:t xml:space="preserve"> the 2024 </w:t>
      </w:r>
      <w:proofErr w:type="spellStart"/>
      <w:r w:rsidRPr="000E3A9A">
        <w:rPr>
          <w:rFonts w:asciiTheme="majorHAnsi" w:hAnsiTheme="majorHAnsi"/>
          <w:color w:val="FFFFFF" w:themeColor="background1"/>
          <w:sz w:val="21"/>
          <w:szCs w:val="21"/>
        </w:rPr>
        <w:t>performance</w:t>
      </w:r>
      <w:proofErr w:type="spellEnd"/>
      <w:r w:rsidRPr="000E3A9A">
        <w:rPr>
          <w:rFonts w:asciiTheme="majorHAnsi" w:hAnsiTheme="majorHAnsi"/>
          <w:color w:val="FFFFFF" w:themeColor="background1"/>
          <w:sz w:val="21"/>
          <w:szCs w:val="21"/>
        </w:rPr>
        <w:t>.</w:t>
      </w:r>
      <w:r w:rsidR="00636F36" w:rsidRPr="0005224E">
        <w:rPr>
          <w:rFonts w:asciiTheme="majorHAnsi" w:hAnsiTheme="majorHAnsi"/>
          <w:color w:val="FFFFFF" w:themeColor="background1"/>
          <w:sz w:val="21"/>
          <w:szCs w:val="21"/>
          <w:lang w:val="en-GB"/>
        </w:rPr>
        <w:t>.</w:t>
      </w:r>
    </w:p>
    <w:p w14:paraId="09437814" w14:textId="77777777" w:rsidR="00B739C3" w:rsidRPr="001E5747" w:rsidRDefault="00B739C3" w:rsidP="00B739C3">
      <w:pPr>
        <w:bidi/>
        <w:rPr>
          <w:lang w:val="en-GB"/>
        </w:rPr>
      </w:pPr>
    </w:p>
    <w:p w14:paraId="7C623C5A" w14:textId="77777777" w:rsidR="00B739C3" w:rsidRPr="001E5747" w:rsidRDefault="00B739C3" w:rsidP="00B739C3">
      <w:pPr>
        <w:pStyle w:val="Heading1"/>
        <w:numPr>
          <w:ilvl w:val="1"/>
          <w:numId w:val="43"/>
        </w:numPr>
        <w:tabs>
          <w:tab w:val="left" w:pos="540"/>
        </w:tabs>
        <w:ind w:hanging="1800"/>
        <w:rPr>
          <w:rFonts w:asciiTheme="majorHAnsi" w:hAnsiTheme="majorHAnsi"/>
          <w:color w:val="C0504D"/>
          <w:szCs w:val="28"/>
          <w:lang w:val="en-GB"/>
        </w:rPr>
      </w:pPr>
      <w:bookmarkStart w:id="53" w:name="_Toc61062523"/>
      <w:bookmarkStart w:id="54" w:name="_Toc214024548"/>
      <w:r w:rsidRPr="001E5747">
        <w:rPr>
          <w:rFonts w:asciiTheme="majorHAnsi" w:hAnsiTheme="majorHAnsi"/>
          <w:color w:val="C0504D"/>
          <w:szCs w:val="28"/>
          <w:lang w:val="en-GB"/>
        </w:rPr>
        <w:t xml:space="preserve">Sources </w:t>
      </w:r>
      <w:bookmarkEnd w:id="53"/>
      <w:r w:rsidRPr="001E5747">
        <w:rPr>
          <w:rFonts w:asciiTheme="majorHAnsi" w:hAnsiTheme="majorHAnsi"/>
          <w:color w:val="C0504D"/>
          <w:szCs w:val="28"/>
          <w:lang w:val="en-GB"/>
        </w:rPr>
        <w:t>of funding for the municipal performance grant</w:t>
      </w:r>
      <w:bookmarkEnd w:id="54"/>
    </w:p>
    <w:p w14:paraId="5A3D94C1" w14:textId="77777777" w:rsidR="008200CF" w:rsidRDefault="008200CF" w:rsidP="00B739C3">
      <w:pPr>
        <w:spacing w:before="40" w:line="252" w:lineRule="auto"/>
        <w:jc w:val="both"/>
        <w:rPr>
          <w:rFonts w:asciiTheme="majorHAnsi" w:hAnsiTheme="majorHAnsi"/>
          <w:sz w:val="21"/>
          <w:szCs w:val="21"/>
          <w:lang w:val="en-GB"/>
        </w:rPr>
      </w:pPr>
    </w:p>
    <w:p w14:paraId="5FB24586" w14:textId="5CEA1C48" w:rsidR="00B739C3" w:rsidRDefault="00B739C3" w:rsidP="00B739C3">
      <w:pPr>
        <w:spacing w:before="40" w:line="252" w:lineRule="auto"/>
        <w:jc w:val="both"/>
        <w:rPr>
          <w:rFonts w:asciiTheme="majorHAnsi" w:hAnsiTheme="majorHAnsi"/>
          <w:sz w:val="21"/>
          <w:szCs w:val="21"/>
          <w:lang w:val="en-GB"/>
        </w:rPr>
      </w:pPr>
      <w:r w:rsidRPr="001E5747">
        <w:rPr>
          <w:rFonts w:asciiTheme="majorHAnsi" w:hAnsiTheme="majorHAnsi"/>
          <w:sz w:val="21"/>
          <w:szCs w:val="21"/>
          <w:lang w:val="en-GB"/>
        </w:rPr>
        <w:t xml:space="preserve">The MPG </w:t>
      </w:r>
      <w:r w:rsidR="00F56C24">
        <w:rPr>
          <w:rFonts w:asciiTheme="majorHAnsi" w:hAnsiTheme="majorHAnsi"/>
          <w:sz w:val="21"/>
          <w:szCs w:val="21"/>
          <w:lang w:val="en-GB"/>
        </w:rPr>
        <w:t xml:space="preserve">for the year </w:t>
      </w:r>
      <w:r w:rsidR="0000244C">
        <w:rPr>
          <w:rFonts w:asciiTheme="majorHAnsi" w:hAnsiTheme="majorHAnsi"/>
          <w:sz w:val="21"/>
          <w:szCs w:val="21"/>
          <w:lang w:val="en-GB"/>
        </w:rPr>
        <w:t>202</w:t>
      </w:r>
      <w:r w:rsidR="000E3A9A">
        <w:rPr>
          <w:rFonts w:asciiTheme="majorHAnsi" w:hAnsiTheme="majorHAnsi"/>
          <w:sz w:val="21"/>
          <w:szCs w:val="21"/>
          <w:lang w:val="en-GB"/>
        </w:rPr>
        <w:t>6</w:t>
      </w:r>
      <w:r w:rsidR="0000244C">
        <w:rPr>
          <w:rFonts w:asciiTheme="majorHAnsi" w:hAnsiTheme="majorHAnsi"/>
          <w:sz w:val="21"/>
          <w:szCs w:val="21"/>
          <w:lang w:val="en-GB"/>
        </w:rPr>
        <w:t xml:space="preserve"> </w:t>
      </w:r>
      <w:r w:rsidR="00F56C24">
        <w:rPr>
          <w:rFonts w:asciiTheme="majorHAnsi" w:hAnsiTheme="majorHAnsi"/>
          <w:sz w:val="21"/>
          <w:szCs w:val="21"/>
          <w:lang w:val="en-GB"/>
        </w:rPr>
        <w:t xml:space="preserve">is expected to be </w:t>
      </w:r>
      <w:r w:rsidRPr="001E5747">
        <w:rPr>
          <w:rFonts w:asciiTheme="majorHAnsi" w:hAnsiTheme="majorHAnsi"/>
          <w:sz w:val="21"/>
          <w:szCs w:val="21"/>
          <w:lang w:val="en-GB"/>
        </w:rPr>
        <w:t>co-financed by the Government of Kosovo (from the budget allocation of the MLG</w:t>
      </w:r>
      <w:r w:rsidR="00822DDE">
        <w:rPr>
          <w:rFonts w:asciiTheme="majorHAnsi" w:hAnsiTheme="majorHAnsi"/>
          <w:sz w:val="21"/>
          <w:szCs w:val="21"/>
          <w:lang w:val="en-GB"/>
        </w:rPr>
        <w:t>A</w:t>
      </w:r>
      <w:r w:rsidRPr="001E5747">
        <w:rPr>
          <w:rFonts w:asciiTheme="majorHAnsi" w:hAnsiTheme="majorHAnsi"/>
          <w:sz w:val="21"/>
          <w:szCs w:val="21"/>
          <w:lang w:val="en-GB"/>
        </w:rPr>
        <w:t>),</w:t>
      </w:r>
      <w:r w:rsidR="00B64DC9">
        <w:rPr>
          <w:rFonts w:asciiTheme="majorHAnsi" w:hAnsiTheme="majorHAnsi"/>
          <w:sz w:val="21"/>
          <w:szCs w:val="21"/>
          <w:lang w:val="en-GB"/>
        </w:rPr>
        <w:t xml:space="preserve"> the European Union</w:t>
      </w:r>
      <w:r w:rsidR="003F2C39">
        <w:rPr>
          <w:rFonts w:asciiTheme="majorHAnsi" w:hAnsiTheme="majorHAnsi"/>
          <w:sz w:val="21"/>
          <w:szCs w:val="21"/>
          <w:lang w:val="en-GB"/>
        </w:rPr>
        <w:t xml:space="preserve"> and</w:t>
      </w:r>
      <w:r w:rsidR="00B64DC9">
        <w:rPr>
          <w:rFonts w:asciiTheme="majorHAnsi" w:hAnsiTheme="majorHAnsi"/>
          <w:sz w:val="21"/>
          <w:szCs w:val="21"/>
          <w:lang w:val="en-GB"/>
        </w:rPr>
        <w:t xml:space="preserve"> </w:t>
      </w:r>
      <w:r w:rsidRPr="001E5747">
        <w:rPr>
          <w:rFonts w:asciiTheme="majorHAnsi" w:hAnsiTheme="majorHAnsi"/>
          <w:sz w:val="21"/>
          <w:szCs w:val="21"/>
          <w:lang w:val="en-GB"/>
        </w:rPr>
        <w:t>Swed</w:t>
      </w:r>
      <w:r w:rsidR="00822DDE">
        <w:rPr>
          <w:rFonts w:asciiTheme="majorHAnsi" w:hAnsiTheme="majorHAnsi"/>
          <w:sz w:val="21"/>
          <w:szCs w:val="21"/>
          <w:lang w:val="en-GB"/>
        </w:rPr>
        <w:t>en</w:t>
      </w:r>
      <w:r w:rsidR="00B64DC9">
        <w:rPr>
          <w:rFonts w:asciiTheme="majorHAnsi" w:hAnsiTheme="majorHAnsi"/>
          <w:sz w:val="21"/>
          <w:szCs w:val="21"/>
          <w:lang w:val="en-GB"/>
        </w:rPr>
        <w:t>,</w:t>
      </w:r>
      <w:r w:rsidR="00E77FB0">
        <w:rPr>
          <w:rFonts w:asciiTheme="majorHAnsi" w:hAnsiTheme="majorHAnsi"/>
          <w:sz w:val="21"/>
          <w:szCs w:val="21"/>
          <w:lang w:val="en-GB"/>
        </w:rPr>
        <w:t xml:space="preserve"> </w:t>
      </w:r>
      <w:r w:rsidR="00B64DC9">
        <w:rPr>
          <w:rFonts w:asciiTheme="majorHAnsi" w:hAnsiTheme="majorHAnsi"/>
          <w:sz w:val="21"/>
          <w:szCs w:val="21"/>
          <w:lang w:val="en-GB"/>
        </w:rPr>
        <w:t>Switzerland</w:t>
      </w:r>
      <w:r w:rsidR="00636F36">
        <w:rPr>
          <w:rFonts w:asciiTheme="majorHAnsi" w:hAnsiTheme="majorHAnsi"/>
          <w:sz w:val="21"/>
          <w:szCs w:val="21"/>
          <w:lang w:val="en-GB"/>
        </w:rPr>
        <w:t>.</w:t>
      </w:r>
    </w:p>
    <w:p w14:paraId="2301609D" w14:textId="77777777" w:rsidR="000E3A9A" w:rsidRPr="001E5747" w:rsidRDefault="000E3A9A" w:rsidP="00B739C3">
      <w:pPr>
        <w:spacing w:before="40" w:line="252" w:lineRule="auto"/>
        <w:jc w:val="both"/>
        <w:rPr>
          <w:rFonts w:asciiTheme="majorHAnsi" w:hAnsiTheme="majorHAnsi"/>
          <w:sz w:val="21"/>
          <w:szCs w:val="21"/>
          <w:lang w:val="en-GB"/>
        </w:rPr>
      </w:pPr>
    </w:p>
    <w:p w14:paraId="55221732" w14:textId="4CE8F81E" w:rsidR="00B739C3" w:rsidRDefault="00B739C3" w:rsidP="00B739C3">
      <w:pPr>
        <w:spacing w:before="40" w:line="252" w:lineRule="auto"/>
        <w:jc w:val="both"/>
        <w:rPr>
          <w:rFonts w:asciiTheme="majorHAnsi" w:hAnsiTheme="majorHAnsi"/>
          <w:sz w:val="21"/>
          <w:szCs w:val="21"/>
          <w:lang w:val="en-GB"/>
        </w:rPr>
      </w:pPr>
      <w:r w:rsidRPr="001E5747">
        <w:rPr>
          <w:rFonts w:asciiTheme="majorHAnsi" w:hAnsiTheme="majorHAnsi"/>
          <w:sz w:val="21"/>
          <w:szCs w:val="21"/>
          <w:lang w:val="en-GB"/>
        </w:rPr>
        <w:t xml:space="preserve">The MPG financing plan for </w:t>
      </w:r>
      <w:r w:rsidR="0000244C" w:rsidRPr="001E5747">
        <w:rPr>
          <w:rFonts w:asciiTheme="majorHAnsi" w:hAnsiTheme="majorHAnsi"/>
          <w:sz w:val="21"/>
          <w:szCs w:val="21"/>
          <w:lang w:val="en-GB"/>
        </w:rPr>
        <w:t>202</w:t>
      </w:r>
      <w:r w:rsidR="000E3A9A">
        <w:rPr>
          <w:rFonts w:asciiTheme="majorHAnsi" w:hAnsiTheme="majorHAnsi"/>
          <w:sz w:val="21"/>
          <w:szCs w:val="21"/>
          <w:lang w:val="en-GB"/>
        </w:rPr>
        <w:t>6</w:t>
      </w:r>
      <w:r w:rsidR="0000244C" w:rsidRPr="001E5747">
        <w:rPr>
          <w:rFonts w:asciiTheme="majorHAnsi" w:hAnsiTheme="majorHAnsi"/>
          <w:sz w:val="21"/>
          <w:szCs w:val="21"/>
          <w:lang w:val="en-GB"/>
        </w:rPr>
        <w:t xml:space="preserve"> </w:t>
      </w:r>
      <w:r w:rsidRPr="001E5747">
        <w:rPr>
          <w:rFonts w:asciiTheme="majorHAnsi" w:hAnsiTheme="majorHAnsi"/>
          <w:sz w:val="21"/>
          <w:szCs w:val="21"/>
          <w:lang w:val="en-GB"/>
        </w:rPr>
        <w:t>is as shown in Table 3 below.</w:t>
      </w:r>
      <w:r w:rsidR="006165E8">
        <w:rPr>
          <w:rFonts w:asciiTheme="majorHAnsi" w:hAnsiTheme="majorHAnsi"/>
          <w:sz w:val="21"/>
          <w:szCs w:val="21"/>
          <w:lang w:val="en-GB"/>
        </w:rPr>
        <w:t xml:space="preserve"> </w:t>
      </w:r>
      <w:r w:rsidR="006165E8" w:rsidRPr="006165E8">
        <w:rPr>
          <w:rFonts w:asciiTheme="majorHAnsi" w:hAnsiTheme="majorHAnsi"/>
          <w:sz w:val="21"/>
          <w:szCs w:val="21"/>
          <w:lang w:val="en-GB"/>
        </w:rPr>
        <w:t xml:space="preserve">All </w:t>
      </w:r>
      <w:r w:rsidR="006165E8">
        <w:rPr>
          <w:rFonts w:asciiTheme="majorHAnsi" w:hAnsiTheme="majorHAnsi"/>
          <w:sz w:val="21"/>
          <w:szCs w:val="21"/>
          <w:lang w:val="en-GB"/>
        </w:rPr>
        <w:t xml:space="preserve">the </w:t>
      </w:r>
      <w:r w:rsidR="006165E8" w:rsidRPr="006165E8">
        <w:rPr>
          <w:rFonts w:asciiTheme="majorHAnsi" w:hAnsiTheme="majorHAnsi"/>
          <w:sz w:val="21"/>
          <w:szCs w:val="21"/>
          <w:lang w:val="en-GB"/>
        </w:rPr>
        <w:t xml:space="preserve">amounts planned for the MPG are indicative and are subject to approval by the Assembly of the Republic of Kosovo and </w:t>
      </w:r>
      <w:r w:rsidR="006165E8">
        <w:rPr>
          <w:rFonts w:asciiTheme="majorHAnsi" w:hAnsiTheme="majorHAnsi"/>
          <w:sz w:val="21"/>
          <w:szCs w:val="21"/>
          <w:lang w:val="en-GB"/>
        </w:rPr>
        <w:t>donors.</w:t>
      </w:r>
    </w:p>
    <w:p w14:paraId="15E33200" w14:textId="77777777" w:rsidR="009F5EB4" w:rsidRDefault="009F5EB4" w:rsidP="00B739C3">
      <w:pPr>
        <w:spacing w:before="40" w:line="252" w:lineRule="auto"/>
        <w:jc w:val="both"/>
        <w:rPr>
          <w:rFonts w:asciiTheme="majorHAnsi" w:hAnsiTheme="majorHAnsi"/>
          <w:sz w:val="21"/>
          <w:szCs w:val="21"/>
          <w:lang w:val="en-GB"/>
        </w:rPr>
      </w:pPr>
    </w:p>
    <w:p w14:paraId="17564588" w14:textId="32D15837" w:rsidR="009F5EB4" w:rsidRPr="00D04535" w:rsidRDefault="009F5EB4" w:rsidP="00B739C3">
      <w:pPr>
        <w:spacing w:before="40" w:line="252" w:lineRule="auto"/>
        <w:jc w:val="both"/>
        <w:rPr>
          <w:rFonts w:asciiTheme="majorHAnsi" w:hAnsiTheme="majorHAnsi"/>
          <w:sz w:val="21"/>
          <w:szCs w:val="21"/>
          <w:lang w:val="en-GB"/>
        </w:rPr>
      </w:pPr>
      <w:r w:rsidRPr="00D04535">
        <w:rPr>
          <w:rFonts w:asciiTheme="majorHAnsi" w:hAnsiTheme="majorHAnsi"/>
          <w:sz w:val="21"/>
          <w:szCs w:val="21"/>
          <w:lang w:val="en-GB"/>
        </w:rPr>
        <w:t xml:space="preserve">Table 3 presents </w:t>
      </w:r>
      <w:r w:rsidR="008C5084">
        <w:rPr>
          <w:rFonts w:asciiTheme="majorHAnsi" w:hAnsiTheme="majorHAnsi"/>
          <w:sz w:val="21"/>
          <w:szCs w:val="21"/>
          <w:lang w:val="en-GB"/>
        </w:rPr>
        <w:t>the indicative amount of the MPG</w:t>
      </w:r>
      <w:r w:rsidRPr="00D04535">
        <w:rPr>
          <w:rFonts w:asciiTheme="majorHAnsi" w:hAnsiTheme="majorHAnsi"/>
          <w:sz w:val="21"/>
          <w:szCs w:val="21"/>
          <w:lang w:val="en-GB"/>
        </w:rPr>
        <w:t xml:space="preserve"> that will be allocated to municipalities for co-financing with donors.”</w:t>
      </w:r>
    </w:p>
    <w:p w14:paraId="78492145" w14:textId="3DD592E9" w:rsidR="00784B88" w:rsidRDefault="00784B88" w:rsidP="00B739C3">
      <w:pPr>
        <w:rPr>
          <w:rFonts w:asciiTheme="majorHAnsi" w:hAnsiTheme="majorHAnsi"/>
          <w:b/>
          <w:sz w:val="21"/>
          <w:szCs w:val="21"/>
          <w:lang w:val="en-GB"/>
        </w:rPr>
      </w:pPr>
    </w:p>
    <w:p w14:paraId="288E45E2" w14:textId="19856000" w:rsidR="00B739C3" w:rsidRDefault="00B739C3" w:rsidP="00B739C3">
      <w:pPr>
        <w:rPr>
          <w:rFonts w:asciiTheme="majorHAnsi" w:hAnsiTheme="majorHAnsi"/>
          <w:b/>
          <w:sz w:val="21"/>
          <w:szCs w:val="21"/>
          <w:lang w:val="en-GB"/>
        </w:rPr>
      </w:pPr>
      <w:r w:rsidRPr="001E5747">
        <w:rPr>
          <w:rFonts w:asciiTheme="majorHAnsi" w:hAnsiTheme="majorHAnsi"/>
          <w:b/>
          <w:sz w:val="21"/>
          <w:szCs w:val="21"/>
          <w:lang w:val="en-GB"/>
        </w:rPr>
        <w:t xml:space="preserve">Table 3: Sources of funding for the Municipal Performance Grant </w:t>
      </w:r>
      <w:r w:rsidR="0000244C" w:rsidRPr="001E5747">
        <w:rPr>
          <w:rFonts w:asciiTheme="majorHAnsi" w:hAnsiTheme="majorHAnsi"/>
          <w:b/>
          <w:sz w:val="21"/>
          <w:szCs w:val="21"/>
          <w:lang w:val="en-GB"/>
        </w:rPr>
        <w:t>202</w:t>
      </w:r>
      <w:r w:rsidR="000E3A9A">
        <w:rPr>
          <w:rFonts w:asciiTheme="majorHAnsi" w:hAnsiTheme="majorHAnsi"/>
          <w:b/>
          <w:sz w:val="21"/>
          <w:szCs w:val="21"/>
          <w:lang w:val="en-GB"/>
        </w:rPr>
        <w:t>6</w:t>
      </w:r>
      <w:r w:rsidR="0000244C" w:rsidRPr="001E5747">
        <w:rPr>
          <w:rFonts w:asciiTheme="majorHAnsi" w:hAnsiTheme="majorHAnsi"/>
          <w:b/>
          <w:sz w:val="21"/>
          <w:szCs w:val="21"/>
          <w:lang w:val="en-GB"/>
        </w:rPr>
        <w:t xml:space="preserve"> </w:t>
      </w:r>
      <w:r w:rsidRPr="001E5747">
        <w:rPr>
          <w:rFonts w:asciiTheme="majorHAnsi" w:hAnsiTheme="majorHAnsi"/>
          <w:b/>
          <w:sz w:val="21"/>
          <w:szCs w:val="21"/>
          <w:lang w:val="en-GB"/>
        </w:rPr>
        <w:t>(in Euro)</w:t>
      </w:r>
    </w:p>
    <w:p w14:paraId="2CC0A370" w14:textId="77777777" w:rsidR="009F5EB4" w:rsidRPr="001E5747" w:rsidRDefault="009F5EB4" w:rsidP="00B739C3">
      <w:pPr>
        <w:rPr>
          <w:rFonts w:asciiTheme="majorHAnsi" w:hAnsiTheme="majorHAnsi"/>
          <w:sz w:val="21"/>
          <w:szCs w:val="21"/>
          <w:lang w:val="en-GB"/>
        </w:rPr>
      </w:pPr>
    </w:p>
    <w:tbl>
      <w:tblPr>
        <w:tblW w:w="49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0"/>
        <w:gridCol w:w="1786"/>
      </w:tblGrid>
      <w:tr w:rsidR="000E3A9A" w:rsidRPr="001E5747" w14:paraId="78B40C0E" w14:textId="77777777" w:rsidTr="009F5EB4">
        <w:trPr>
          <w:trHeight w:val="443"/>
          <w:jc w:val="center"/>
        </w:trPr>
        <w:tc>
          <w:tcPr>
            <w:tcW w:w="3980" w:type="pct"/>
            <w:tcBorders>
              <w:top w:val="single" w:sz="4" w:space="0" w:color="auto"/>
              <w:left w:val="single" w:sz="4" w:space="0" w:color="auto"/>
              <w:bottom w:val="single" w:sz="4" w:space="0" w:color="auto"/>
              <w:right w:val="single" w:sz="4" w:space="0" w:color="auto"/>
            </w:tcBorders>
            <w:shd w:val="clear" w:color="auto" w:fill="C0504D"/>
          </w:tcPr>
          <w:p w14:paraId="5A5B0795" w14:textId="394037C0" w:rsidR="000E3A9A" w:rsidRPr="001E5747" w:rsidRDefault="000E3A9A" w:rsidP="00B739C3">
            <w:pPr>
              <w:jc w:val="center"/>
              <w:rPr>
                <w:rFonts w:ascii="Arial" w:hAnsi="Arial" w:cs="Arial"/>
                <w:b/>
                <w:bCs/>
                <w:color w:val="FFFFFF" w:themeColor="background1"/>
                <w:sz w:val="19"/>
                <w:szCs w:val="19"/>
                <w:lang w:val="en-GB"/>
              </w:rPr>
            </w:pPr>
            <w:r>
              <w:rPr>
                <w:rFonts w:ascii="Arial" w:hAnsi="Arial" w:cs="Arial"/>
                <w:b/>
                <w:bCs/>
                <w:color w:val="FFFFFF" w:themeColor="background1"/>
                <w:sz w:val="19"/>
                <w:szCs w:val="19"/>
                <w:lang w:val="en-GB"/>
              </w:rPr>
              <w:t>Funds</w:t>
            </w:r>
          </w:p>
        </w:tc>
        <w:tc>
          <w:tcPr>
            <w:tcW w:w="1020" w:type="pct"/>
            <w:tcBorders>
              <w:top w:val="single" w:sz="4" w:space="0" w:color="auto"/>
              <w:left w:val="single" w:sz="4" w:space="0" w:color="auto"/>
              <w:bottom w:val="single" w:sz="4" w:space="0" w:color="auto"/>
              <w:right w:val="single" w:sz="4" w:space="0" w:color="auto"/>
            </w:tcBorders>
            <w:shd w:val="clear" w:color="auto" w:fill="C0504D"/>
            <w:noWrap/>
            <w:vAlign w:val="bottom"/>
            <w:hideMark/>
          </w:tcPr>
          <w:p w14:paraId="457A1CEA" w14:textId="05C1A238" w:rsidR="000E3A9A" w:rsidRPr="001E5747" w:rsidRDefault="000E3A9A" w:rsidP="00B739C3">
            <w:pPr>
              <w:jc w:val="center"/>
              <w:rPr>
                <w:rFonts w:ascii="Calibri" w:hAnsi="Calibri"/>
                <w:b/>
                <w:bCs/>
                <w:color w:val="FFFFFF" w:themeColor="background1"/>
                <w:sz w:val="19"/>
                <w:szCs w:val="19"/>
                <w:lang w:val="en-GB"/>
              </w:rPr>
            </w:pPr>
            <w:r w:rsidRPr="001E5747">
              <w:rPr>
                <w:rFonts w:ascii="Calibri" w:hAnsi="Calibri"/>
                <w:b/>
                <w:bCs/>
                <w:color w:val="FFFFFF" w:themeColor="background1"/>
                <w:sz w:val="19"/>
                <w:szCs w:val="19"/>
                <w:lang w:val="en-GB"/>
              </w:rPr>
              <w:t>Total 202</w:t>
            </w:r>
            <w:r>
              <w:rPr>
                <w:rFonts w:ascii="Calibri" w:hAnsi="Calibri"/>
                <w:b/>
                <w:bCs/>
                <w:color w:val="FFFFFF" w:themeColor="background1"/>
                <w:sz w:val="19"/>
                <w:szCs w:val="19"/>
                <w:lang w:val="en-GB"/>
              </w:rPr>
              <w:t>6</w:t>
            </w:r>
          </w:p>
        </w:tc>
      </w:tr>
      <w:tr w:rsidR="000E3A9A" w:rsidRPr="001E5747" w14:paraId="097ED863" w14:textId="77777777" w:rsidTr="009F5EB4">
        <w:trPr>
          <w:trHeight w:val="986"/>
          <w:jc w:val="center"/>
        </w:trPr>
        <w:tc>
          <w:tcPr>
            <w:tcW w:w="3980" w:type="pct"/>
            <w:tcBorders>
              <w:top w:val="single" w:sz="4" w:space="0" w:color="auto"/>
              <w:left w:val="single" w:sz="4" w:space="0" w:color="auto"/>
              <w:right w:val="single" w:sz="4" w:space="0" w:color="auto"/>
            </w:tcBorders>
            <w:shd w:val="clear" w:color="auto" w:fill="E6E6E6"/>
          </w:tcPr>
          <w:p w14:paraId="0DC3B9D9" w14:textId="53D69585" w:rsidR="000E3A9A" w:rsidRPr="001E5747" w:rsidRDefault="007A5A67" w:rsidP="00B739C3">
            <w:pPr>
              <w:jc w:val="center"/>
              <w:rPr>
                <w:rFonts w:ascii="Calibri" w:hAnsi="Calibri"/>
                <w:color w:val="000000"/>
                <w:sz w:val="19"/>
                <w:szCs w:val="19"/>
                <w:lang w:val="en-GB"/>
              </w:rPr>
            </w:pPr>
            <w:proofErr w:type="spellStart"/>
            <w:r w:rsidRPr="007A5A67">
              <w:rPr>
                <w:rFonts w:ascii="Calibri" w:hAnsi="Calibri"/>
                <w:color w:val="000000"/>
                <w:sz w:val="19"/>
                <w:szCs w:val="19"/>
              </w:rPr>
              <w:t>Government</w:t>
            </w:r>
            <w:proofErr w:type="spellEnd"/>
            <w:r w:rsidRPr="007A5A67">
              <w:rPr>
                <w:rFonts w:ascii="Calibri" w:hAnsi="Calibri"/>
                <w:color w:val="000000"/>
                <w:sz w:val="19"/>
                <w:szCs w:val="19"/>
              </w:rPr>
              <w:t xml:space="preserve"> </w:t>
            </w:r>
            <w:proofErr w:type="spellStart"/>
            <w:r w:rsidRPr="007A5A67">
              <w:rPr>
                <w:rFonts w:ascii="Calibri" w:hAnsi="Calibri"/>
                <w:color w:val="000000"/>
                <w:sz w:val="19"/>
                <w:szCs w:val="19"/>
              </w:rPr>
              <w:t>of</w:t>
            </w:r>
            <w:proofErr w:type="spellEnd"/>
            <w:r w:rsidRPr="007A5A67">
              <w:rPr>
                <w:rFonts w:ascii="Calibri" w:hAnsi="Calibri"/>
                <w:color w:val="000000"/>
                <w:sz w:val="19"/>
                <w:szCs w:val="19"/>
              </w:rPr>
              <w:t xml:space="preserve"> the </w:t>
            </w:r>
            <w:proofErr w:type="spellStart"/>
            <w:r w:rsidRPr="007A5A67">
              <w:rPr>
                <w:rFonts w:ascii="Calibri" w:hAnsi="Calibri"/>
                <w:color w:val="000000"/>
                <w:sz w:val="19"/>
                <w:szCs w:val="19"/>
              </w:rPr>
              <w:t>Republic</w:t>
            </w:r>
            <w:proofErr w:type="spellEnd"/>
            <w:r w:rsidRPr="007A5A67">
              <w:rPr>
                <w:rFonts w:ascii="Calibri" w:hAnsi="Calibri"/>
                <w:color w:val="000000"/>
                <w:sz w:val="19"/>
                <w:szCs w:val="19"/>
              </w:rPr>
              <w:t xml:space="preserve"> </w:t>
            </w:r>
            <w:proofErr w:type="spellStart"/>
            <w:r w:rsidRPr="007A5A67">
              <w:rPr>
                <w:rFonts w:ascii="Calibri" w:hAnsi="Calibri"/>
                <w:color w:val="000000"/>
                <w:sz w:val="19"/>
                <w:szCs w:val="19"/>
              </w:rPr>
              <w:t>of</w:t>
            </w:r>
            <w:proofErr w:type="spellEnd"/>
            <w:r w:rsidRPr="007A5A67">
              <w:rPr>
                <w:rFonts w:ascii="Calibri" w:hAnsi="Calibri"/>
                <w:color w:val="000000"/>
                <w:sz w:val="19"/>
                <w:szCs w:val="19"/>
              </w:rPr>
              <w:t xml:space="preserve"> </w:t>
            </w:r>
            <w:proofErr w:type="spellStart"/>
            <w:r w:rsidRPr="007A5A67">
              <w:rPr>
                <w:rFonts w:ascii="Calibri" w:hAnsi="Calibri"/>
                <w:color w:val="000000"/>
                <w:sz w:val="19"/>
                <w:szCs w:val="19"/>
              </w:rPr>
              <w:t>Kosovo</w:t>
            </w:r>
            <w:proofErr w:type="spellEnd"/>
            <w:r w:rsidRPr="007A5A67">
              <w:rPr>
                <w:rFonts w:ascii="Calibri" w:hAnsi="Calibri"/>
                <w:color w:val="000000"/>
                <w:sz w:val="19"/>
                <w:szCs w:val="19"/>
              </w:rPr>
              <w:t xml:space="preserve"> / M</w:t>
            </w:r>
            <w:r>
              <w:rPr>
                <w:rFonts w:ascii="Calibri" w:hAnsi="Calibri"/>
                <w:color w:val="000000"/>
                <w:sz w:val="19"/>
                <w:szCs w:val="19"/>
              </w:rPr>
              <w:t>LGA</w:t>
            </w:r>
          </w:p>
        </w:tc>
        <w:tc>
          <w:tcPr>
            <w:tcW w:w="1020" w:type="pct"/>
            <w:tcBorders>
              <w:top w:val="single" w:sz="4" w:space="0" w:color="auto"/>
              <w:left w:val="nil"/>
              <w:right w:val="single" w:sz="4" w:space="0" w:color="auto"/>
            </w:tcBorders>
            <w:shd w:val="clear" w:color="auto" w:fill="E6E6E6"/>
            <w:noWrap/>
            <w:vAlign w:val="center"/>
            <w:hideMark/>
          </w:tcPr>
          <w:p w14:paraId="51642225" w14:textId="7441B119" w:rsidR="000E3A9A" w:rsidRPr="001E5747" w:rsidRDefault="007A5A67" w:rsidP="000E3A9A">
            <w:pPr>
              <w:jc w:val="center"/>
              <w:rPr>
                <w:rFonts w:ascii="Calibri" w:hAnsi="Calibri"/>
                <w:color w:val="000000"/>
                <w:sz w:val="19"/>
                <w:szCs w:val="19"/>
                <w:lang w:val="en-GB"/>
              </w:rPr>
            </w:pPr>
            <w:r>
              <w:rPr>
                <w:rFonts w:asciiTheme="majorHAnsi" w:eastAsia="Times New Roman" w:hAnsiTheme="majorHAnsi"/>
                <w:sz w:val="21"/>
                <w:szCs w:val="21"/>
              </w:rPr>
              <w:t>4,0</w:t>
            </w:r>
            <w:r w:rsidRPr="00322D1A">
              <w:rPr>
                <w:rFonts w:asciiTheme="majorHAnsi" w:eastAsia="Times New Roman" w:hAnsiTheme="majorHAnsi"/>
                <w:sz w:val="21"/>
                <w:szCs w:val="21"/>
              </w:rPr>
              <w:t>00,000 euro</w:t>
            </w:r>
            <w:r w:rsidR="009F5EB4">
              <w:rPr>
                <w:rStyle w:val="FootnoteReference"/>
                <w:rFonts w:asciiTheme="majorHAnsi" w:eastAsia="Times New Roman" w:hAnsiTheme="majorHAnsi"/>
                <w:sz w:val="21"/>
                <w:szCs w:val="21"/>
              </w:rPr>
              <w:footnoteReference w:id="9"/>
            </w:r>
          </w:p>
        </w:tc>
      </w:tr>
      <w:tr w:rsidR="000E3A9A" w:rsidRPr="001E5747" w14:paraId="5778C520" w14:textId="77777777" w:rsidTr="009F5EB4">
        <w:trPr>
          <w:trHeight w:val="485"/>
          <w:jc w:val="center"/>
        </w:trPr>
        <w:tc>
          <w:tcPr>
            <w:tcW w:w="3980" w:type="pct"/>
            <w:tcBorders>
              <w:top w:val="single" w:sz="4" w:space="0" w:color="auto"/>
              <w:left w:val="single" w:sz="4" w:space="0" w:color="auto"/>
              <w:bottom w:val="single" w:sz="4" w:space="0" w:color="auto"/>
              <w:right w:val="single" w:sz="4" w:space="0" w:color="auto"/>
            </w:tcBorders>
            <w:shd w:val="clear" w:color="auto" w:fill="E6E6E6"/>
          </w:tcPr>
          <w:p w14:paraId="2D595A33" w14:textId="05DE7445" w:rsidR="000E3A9A" w:rsidRPr="00BF5499" w:rsidRDefault="000E3A9A" w:rsidP="00B739C3">
            <w:pPr>
              <w:jc w:val="center"/>
              <w:rPr>
                <w:rFonts w:ascii="Calibri" w:hAnsi="Calibri"/>
                <w:color w:val="000000"/>
                <w:sz w:val="19"/>
                <w:szCs w:val="19"/>
                <w:lang w:val="en-GB"/>
              </w:rPr>
            </w:pPr>
            <w:r w:rsidRPr="00BF5499">
              <w:rPr>
                <w:rFonts w:ascii="Calibri" w:hAnsi="Calibri"/>
                <w:color w:val="000000"/>
                <w:sz w:val="19"/>
                <w:szCs w:val="19"/>
                <w:lang w:val="en-GB"/>
              </w:rPr>
              <w:t>Donors (EU, Sweden, Switzerland)</w:t>
            </w:r>
          </w:p>
        </w:tc>
        <w:tc>
          <w:tcPr>
            <w:tcW w:w="1020" w:type="pct"/>
            <w:tcBorders>
              <w:top w:val="single" w:sz="4" w:space="0" w:color="auto"/>
              <w:left w:val="nil"/>
              <w:bottom w:val="single" w:sz="4" w:space="0" w:color="auto"/>
              <w:right w:val="single" w:sz="4" w:space="0" w:color="auto"/>
            </w:tcBorders>
            <w:shd w:val="clear" w:color="auto" w:fill="E6E6E6"/>
            <w:noWrap/>
            <w:vAlign w:val="center"/>
          </w:tcPr>
          <w:p w14:paraId="7FB767F7" w14:textId="77683B90" w:rsidR="000E3A9A" w:rsidRDefault="000E3A9A" w:rsidP="00C06C3E">
            <w:pPr>
              <w:jc w:val="center"/>
              <w:rPr>
                <w:rFonts w:ascii="Calibri" w:hAnsi="Calibri"/>
                <w:color w:val="000000"/>
                <w:sz w:val="19"/>
                <w:szCs w:val="19"/>
                <w:lang w:val="en-GB"/>
              </w:rPr>
            </w:pPr>
            <w:r>
              <w:rPr>
                <w:rFonts w:asciiTheme="majorHAnsi" w:eastAsia="Times New Roman" w:hAnsiTheme="majorHAnsi"/>
                <w:sz w:val="21"/>
                <w:szCs w:val="21"/>
              </w:rPr>
              <w:t>1,110,000 euro</w:t>
            </w:r>
            <w:r>
              <w:rPr>
                <w:rStyle w:val="FootnoteReference"/>
                <w:rFonts w:asciiTheme="majorHAnsi" w:eastAsia="Times New Roman" w:hAnsiTheme="majorHAnsi"/>
                <w:sz w:val="21"/>
                <w:szCs w:val="21"/>
              </w:rPr>
              <w:footnoteReference w:id="10"/>
            </w:r>
          </w:p>
        </w:tc>
      </w:tr>
      <w:tr w:rsidR="000E3A9A" w:rsidRPr="001E5747" w14:paraId="2D24B5B8" w14:textId="77777777" w:rsidTr="009F5EB4">
        <w:trPr>
          <w:trHeight w:val="485"/>
          <w:jc w:val="center"/>
        </w:trPr>
        <w:tc>
          <w:tcPr>
            <w:tcW w:w="3980" w:type="pct"/>
            <w:tcBorders>
              <w:top w:val="single" w:sz="4" w:space="0" w:color="auto"/>
              <w:left w:val="single" w:sz="4" w:space="0" w:color="auto"/>
              <w:bottom w:val="single" w:sz="4" w:space="0" w:color="auto"/>
              <w:right w:val="single" w:sz="4" w:space="0" w:color="auto"/>
            </w:tcBorders>
            <w:shd w:val="clear" w:color="auto" w:fill="E6E6E6"/>
          </w:tcPr>
          <w:p w14:paraId="3CDE9FCB" w14:textId="70A946FA" w:rsidR="000E3A9A" w:rsidRPr="00BF5499" w:rsidRDefault="000E3A9A" w:rsidP="00B739C3">
            <w:pPr>
              <w:jc w:val="center"/>
              <w:rPr>
                <w:rFonts w:ascii="Calibri" w:hAnsi="Calibri"/>
                <w:color w:val="000000"/>
                <w:sz w:val="19"/>
                <w:szCs w:val="19"/>
                <w:lang w:val="en-GB"/>
              </w:rPr>
            </w:pPr>
            <w:r w:rsidRPr="000E3A9A">
              <w:rPr>
                <w:rFonts w:ascii="Calibri" w:hAnsi="Calibri"/>
                <w:color w:val="000000"/>
                <w:sz w:val="19"/>
                <w:szCs w:val="19"/>
              </w:rPr>
              <w:t xml:space="preserve">Total </w:t>
            </w:r>
            <w:r w:rsidR="007A5A67">
              <w:rPr>
                <w:rFonts w:ascii="Calibri" w:hAnsi="Calibri"/>
                <w:color w:val="000000"/>
                <w:sz w:val="19"/>
                <w:szCs w:val="19"/>
              </w:rPr>
              <w:t>MPG</w:t>
            </w:r>
            <w:r w:rsidRPr="000E3A9A">
              <w:rPr>
                <w:rFonts w:ascii="Calibri" w:hAnsi="Calibri"/>
                <w:color w:val="000000"/>
                <w:sz w:val="19"/>
                <w:szCs w:val="19"/>
              </w:rPr>
              <w:t xml:space="preserve"> </w:t>
            </w:r>
            <w:proofErr w:type="spellStart"/>
            <w:r w:rsidRPr="000E3A9A">
              <w:rPr>
                <w:rFonts w:ascii="Calibri" w:hAnsi="Calibri"/>
                <w:color w:val="000000"/>
                <w:sz w:val="19"/>
                <w:szCs w:val="19"/>
              </w:rPr>
              <w:t>funds</w:t>
            </w:r>
            <w:proofErr w:type="spellEnd"/>
          </w:p>
        </w:tc>
        <w:tc>
          <w:tcPr>
            <w:tcW w:w="1020" w:type="pct"/>
            <w:tcBorders>
              <w:top w:val="single" w:sz="4" w:space="0" w:color="auto"/>
              <w:left w:val="nil"/>
              <w:bottom w:val="single" w:sz="4" w:space="0" w:color="auto"/>
              <w:right w:val="single" w:sz="4" w:space="0" w:color="auto"/>
            </w:tcBorders>
            <w:shd w:val="clear" w:color="auto" w:fill="E6E6E6"/>
            <w:noWrap/>
            <w:vAlign w:val="center"/>
          </w:tcPr>
          <w:p w14:paraId="43A507B0" w14:textId="667384EB" w:rsidR="000E3A9A" w:rsidRDefault="007A5A67" w:rsidP="00C06C3E">
            <w:pPr>
              <w:jc w:val="center"/>
              <w:rPr>
                <w:rFonts w:asciiTheme="majorHAnsi" w:eastAsia="Times New Roman" w:hAnsiTheme="majorHAnsi"/>
                <w:sz w:val="21"/>
                <w:szCs w:val="21"/>
              </w:rPr>
            </w:pPr>
            <w:r>
              <w:rPr>
                <w:rFonts w:asciiTheme="majorHAnsi" w:eastAsia="Times New Roman" w:hAnsiTheme="majorHAnsi"/>
                <w:sz w:val="21"/>
                <w:szCs w:val="21"/>
              </w:rPr>
              <w:t>5,11</w:t>
            </w:r>
            <w:r w:rsidRPr="00322D1A">
              <w:rPr>
                <w:rFonts w:asciiTheme="majorHAnsi" w:eastAsia="Times New Roman" w:hAnsiTheme="majorHAnsi"/>
                <w:sz w:val="21"/>
                <w:szCs w:val="21"/>
              </w:rPr>
              <w:t>0,000 euro</w:t>
            </w:r>
          </w:p>
        </w:tc>
      </w:tr>
    </w:tbl>
    <w:p w14:paraId="23E05F8E" w14:textId="77777777" w:rsidR="00B739C3" w:rsidRDefault="00B739C3" w:rsidP="00B739C3">
      <w:pPr>
        <w:rPr>
          <w:b/>
          <w:lang w:val="en-GB"/>
        </w:rPr>
      </w:pPr>
      <w:bookmarkStart w:id="55" w:name="_Toc170432965"/>
      <w:bookmarkStart w:id="56" w:name="_Toc170004024"/>
      <w:bookmarkStart w:id="57" w:name="_Toc236632746"/>
    </w:p>
    <w:p w14:paraId="335FA4EB" w14:textId="77777777" w:rsidR="00854713" w:rsidRPr="001E5747" w:rsidRDefault="00854713" w:rsidP="00B739C3">
      <w:pPr>
        <w:rPr>
          <w:b/>
          <w:lang w:val="en-GB"/>
        </w:rPr>
      </w:pPr>
    </w:p>
    <w:p w14:paraId="71BE86FA" w14:textId="77777777" w:rsidR="00B739C3" w:rsidRDefault="00B739C3" w:rsidP="00B739C3">
      <w:pPr>
        <w:pStyle w:val="Heading1"/>
        <w:numPr>
          <w:ilvl w:val="1"/>
          <w:numId w:val="43"/>
        </w:numPr>
        <w:tabs>
          <w:tab w:val="left" w:pos="540"/>
        </w:tabs>
        <w:ind w:hanging="1800"/>
        <w:rPr>
          <w:rFonts w:asciiTheme="majorHAnsi" w:hAnsiTheme="majorHAnsi"/>
          <w:color w:val="C0504D"/>
          <w:szCs w:val="28"/>
          <w:lang w:val="en-GB"/>
        </w:rPr>
      </w:pPr>
      <w:bookmarkStart w:id="58" w:name="_Toc61062524"/>
      <w:bookmarkStart w:id="59" w:name="_Toc214024549"/>
      <w:bookmarkEnd w:id="55"/>
      <w:bookmarkEnd w:id="56"/>
      <w:bookmarkEnd w:id="57"/>
      <w:r w:rsidRPr="001E5747">
        <w:rPr>
          <w:rFonts w:asciiTheme="majorHAnsi" w:hAnsiTheme="majorHAnsi"/>
          <w:color w:val="C0504D"/>
          <w:szCs w:val="28"/>
          <w:lang w:val="en-GB"/>
        </w:rPr>
        <w:t>Calculation of the amount of the municipal performance grant</w:t>
      </w:r>
      <w:bookmarkEnd w:id="58"/>
      <w:bookmarkEnd w:id="59"/>
    </w:p>
    <w:p w14:paraId="4F958CD2" w14:textId="77777777" w:rsidR="00B067B2" w:rsidRDefault="00B067B2" w:rsidP="00B067B2">
      <w:pPr>
        <w:rPr>
          <w:lang w:val="en-GB"/>
        </w:rPr>
      </w:pPr>
    </w:p>
    <w:p w14:paraId="3323E434" w14:textId="77777777" w:rsidR="00734EA8" w:rsidRPr="00B067B2" w:rsidRDefault="00734EA8" w:rsidP="00B067B2">
      <w:pPr>
        <w:rPr>
          <w:lang w:val="en-GB"/>
        </w:rPr>
      </w:pPr>
    </w:p>
    <w:p w14:paraId="354D0E18" w14:textId="77777777" w:rsidR="00B739C3" w:rsidRPr="001E5747" w:rsidRDefault="00DA4274" w:rsidP="00DA4274">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The indicators are defined in such a way that all municipalities, independent of their size, location or economic strength, can be a good performer provided they </w:t>
      </w:r>
      <w:proofErr w:type="gramStart"/>
      <w:r w:rsidRPr="001E5747">
        <w:rPr>
          <w:rFonts w:asciiTheme="majorHAnsi" w:hAnsiTheme="majorHAnsi"/>
          <w:sz w:val="21"/>
          <w:szCs w:val="21"/>
          <w:lang w:val="en-GB"/>
        </w:rPr>
        <w:t>make an effort</w:t>
      </w:r>
      <w:proofErr w:type="gramEnd"/>
      <w:r w:rsidRPr="001E5747">
        <w:rPr>
          <w:rFonts w:asciiTheme="majorHAnsi" w:hAnsiTheme="majorHAnsi"/>
          <w:sz w:val="21"/>
          <w:szCs w:val="21"/>
          <w:lang w:val="en-GB"/>
        </w:rPr>
        <w:t xml:space="preserve"> to perform as a democratic local government serving its people</w:t>
      </w:r>
      <w:r w:rsidR="00B739C3" w:rsidRPr="001E5747">
        <w:rPr>
          <w:rFonts w:asciiTheme="majorHAnsi" w:hAnsiTheme="majorHAnsi"/>
          <w:sz w:val="21"/>
          <w:szCs w:val="21"/>
          <w:lang w:val="en-GB"/>
        </w:rPr>
        <w:t xml:space="preserve">. </w:t>
      </w:r>
    </w:p>
    <w:p w14:paraId="6822907F" w14:textId="4B806B7E" w:rsidR="00B739C3" w:rsidRPr="001E5747" w:rsidRDefault="00DA4274"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MPG is allocated </w:t>
      </w:r>
      <w:r w:rsidR="00037C87">
        <w:rPr>
          <w:rFonts w:asciiTheme="majorHAnsi" w:hAnsiTheme="majorHAnsi"/>
          <w:sz w:val="21"/>
          <w:szCs w:val="21"/>
          <w:lang w:val="en-GB"/>
        </w:rPr>
        <w:t>so</w:t>
      </w:r>
      <w:r w:rsidRPr="001E5747">
        <w:rPr>
          <w:rFonts w:asciiTheme="majorHAnsi" w:hAnsiTheme="majorHAnsi"/>
          <w:sz w:val="21"/>
          <w:szCs w:val="21"/>
          <w:lang w:val="en-GB"/>
        </w:rPr>
        <w:t xml:space="preserve"> that 90% of total grant amount is allocated based on formula, while 10% of total grant amount is allocated </w:t>
      </w:r>
      <w:r w:rsidR="00037C87">
        <w:rPr>
          <w:rFonts w:asciiTheme="majorHAnsi" w:hAnsiTheme="majorHAnsi"/>
          <w:sz w:val="21"/>
          <w:szCs w:val="21"/>
          <w:lang w:val="en-GB"/>
        </w:rPr>
        <w:t>as an</w:t>
      </w:r>
      <w:r w:rsidRPr="001E5747">
        <w:rPr>
          <w:rFonts w:asciiTheme="majorHAnsi" w:hAnsiTheme="majorHAnsi"/>
          <w:sz w:val="21"/>
          <w:szCs w:val="21"/>
          <w:lang w:val="en-GB"/>
        </w:rPr>
        <w:t xml:space="preserve"> additional reward for </w:t>
      </w:r>
      <w:r w:rsidR="00037C87">
        <w:rPr>
          <w:rFonts w:asciiTheme="majorHAnsi" w:hAnsiTheme="majorHAnsi"/>
          <w:sz w:val="21"/>
          <w:szCs w:val="21"/>
          <w:lang w:val="en-GB"/>
        </w:rPr>
        <w:t xml:space="preserve">the </w:t>
      </w:r>
      <w:r w:rsidRPr="001E5747">
        <w:rPr>
          <w:rFonts w:asciiTheme="majorHAnsi" w:hAnsiTheme="majorHAnsi"/>
          <w:sz w:val="21"/>
          <w:szCs w:val="21"/>
          <w:lang w:val="en-GB"/>
        </w:rPr>
        <w:t xml:space="preserve">three (3) municipalities with </w:t>
      </w:r>
      <w:r w:rsidR="00037C87">
        <w:rPr>
          <w:rFonts w:asciiTheme="majorHAnsi" w:hAnsiTheme="majorHAnsi"/>
          <w:sz w:val="21"/>
          <w:szCs w:val="21"/>
          <w:lang w:val="en-GB"/>
        </w:rPr>
        <w:t xml:space="preserve">the </w:t>
      </w:r>
      <w:r w:rsidRPr="001E5747">
        <w:rPr>
          <w:rFonts w:asciiTheme="majorHAnsi" w:hAnsiTheme="majorHAnsi"/>
          <w:sz w:val="21"/>
          <w:szCs w:val="21"/>
          <w:lang w:val="en-GB"/>
        </w:rPr>
        <w:t>best performance</w:t>
      </w:r>
      <w:r w:rsidR="00B739C3" w:rsidRPr="001E5747">
        <w:rPr>
          <w:rFonts w:asciiTheme="majorHAnsi" w:hAnsiTheme="majorHAnsi"/>
          <w:sz w:val="21"/>
          <w:szCs w:val="21"/>
          <w:lang w:val="en-GB"/>
        </w:rPr>
        <w:t>.</w:t>
      </w:r>
    </w:p>
    <w:p w14:paraId="110E59EA" w14:textId="7777777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The first place receives 5% of the total grant amount; the second place receives 3% of the total grant amount and the third place receives 2% of the total grant amount.</w:t>
      </w:r>
    </w:p>
    <w:p w14:paraId="6E9C308F" w14:textId="164ED593" w:rsidR="00B739C3" w:rsidRPr="001E5747" w:rsidRDefault="00DA4274"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If two or more municipalities have the same result of performance, then the reward amount for the relevant place </w:t>
      </w:r>
      <w:r w:rsidR="00057F5B">
        <w:rPr>
          <w:rFonts w:asciiTheme="majorHAnsi" w:hAnsiTheme="majorHAnsi"/>
          <w:sz w:val="21"/>
          <w:szCs w:val="21"/>
          <w:lang w:val="en-GB"/>
        </w:rPr>
        <w:t>will be</w:t>
      </w:r>
      <w:r w:rsidRPr="001E5747">
        <w:rPr>
          <w:rFonts w:asciiTheme="majorHAnsi" w:hAnsiTheme="majorHAnsi"/>
          <w:sz w:val="21"/>
          <w:szCs w:val="21"/>
          <w:lang w:val="en-GB"/>
        </w:rPr>
        <w:t xml:space="preserve"> allocated</w:t>
      </w:r>
      <w:r w:rsidR="00057F5B">
        <w:rPr>
          <w:rFonts w:asciiTheme="majorHAnsi" w:hAnsiTheme="majorHAnsi"/>
          <w:sz w:val="21"/>
          <w:szCs w:val="21"/>
          <w:lang w:val="en-GB"/>
        </w:rPr>
        <w:t xml:space="preserve"> </w:t>
      </w:r>
      <w:bookmarkStart w:id="60" w:name="_Hlk140845500"/>
      <w:r w:rsidR="00057F5B">
        <w:rPr>
          <w:rFonts w:asciiTheme="majorHAnsi" w:hAnsiTheme="majorHAnsi"/>
          <w:sz w:val="21"/>
          <w:szCs w:val="21"/>
          <w:lang w:val="en-GB"/>
        </w:rPr>
        <w:t>based separate decision</w:t>
      </w:r>
      <w:bookmarkEnd w:id="60"/>
      <w:r w:rsidR="00057F5B">
        <w:rPr>
          <w:rFonts w:asciiTheme="majorHAnsi" w:hAnsiTheme="majorHAnsi"/>
          <w:sz w:val="21"/>
          <w:szCs w:val="21"/>
          <w:lang w:val="en-GB"/>
        </w:rPr>
        <w:t>.</w:t>
      </w:r>
    </w:p>
    <w:p w14:paraId="78FFD3E2" w14:textId="69641C53" w:rsidR="00B739C3" w:rsidRPr="001E5747" w:rsidRDefault="00DA4274"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The amount of MPG based on formula (90% of total grant amount of MPG) is determined by</w:t>
      </w:r>
      <w:r w:rsidR="00B739C3" w:rsidRPr="001E5747">
        <w:rPr>
          <w:rFonts w:asciiTheme="majorHAnsi" w:hAnsiTheme="majorHAnsi"/>
          <w:sz w:val="21"/>
          <w:szCs w:val="21"/>
          <w:lang w:val="en-GB"/>
        </w:rPr>
        <w:t xml:space="preserve">: </w:t>
      </w:r>
    </w:p>
    <w:p w14:paraId="097081B6" w14:textId="77777777" w:rsidR="00B739C3" w:rsidRPr="001E5747" w:rsidRDefault="00DA4274" w:rsidP="00B739C3">
      <w:pPr>
        <w:pStyle w:val="ListParagraph"/>
        <w:numPr>
          <w:ilvl w:val="2"/>
          <w:numId w:val="27"/>
        </w:numPr>
        <w:spacing w:after="0" w:line="264" w:lineRule="auto"/>
        <w:ind w:left="907"/>
        <w:jc w:val="both"/>
        <w:rPr>
          <w:rFonts w:asciiTheme="majorHAnsi" w:hAnsiTheme="majorHAnsi"/>
          <w:sz w:val="21"/>
          <w:szCs w:val="21"/>
          <w:lang w:val="en-GB"/>
        </w:rPr>
      </w:pPr>
      <w:r w:rsidRPr="001E5747">
        <w:rPr>
          <w:rFonts w:asciiTheme="majorHAnsi" w:hAnsiTheme="majorHAnsi"/>
          <w:sz w:val="21"/>
          <w:szCs w:val="21"/>
          <w:lang w:val="en-GB"/>
        </w:rPr>
        <w:t>The relative performance of each municipality as measured against the defined performance indicators</w:t>
      </w:r>
      <w:r w:rsidR="00B739C3" w:rsidRPr="001E5747">
        <w:rPr>
          <w:rFonts w:asciiTheme="majorHAnsi" w:hAnsiTheme="majorHAnsi"/>
          <w:sz w:val="21"/>
          <w:szCs w:val="21"/>
          <w:lang w:val="en-GB"/>
        </w:rPr>
        <w:t>; and</w:t>
      </w:r>
    </w:p>
    <w:p w14:paraId="3C2CD94A" w14:textId="77777777" w:rsidR="00B739C3" w:rsidRPr="001E5747" w:rsidRDefault="00B739C3" w:rsidP="00B739C3">
      <w:pPr>
        <w:pStyle w:val="ListParagraph"/>
        <w:numPr>
          <w:ilvl w:val="2"/>
          <w:numId w:val="27"/>
        </w:numPr>
        <w:spacing w:after="0" w:line="264" w:lineRule="auto"/>
        <w:ind w:left="907"/>
        <w:jc w:val="both"/>
        <w:rPr>
          <w:rFonts w:asciiTheme="majorHAnsi" w:hAnsiTheme="majorHAnsi"/>
          <w:sz w:val="21"/>
          <w:szCs w:val="21"/>
          <w:lang w:val="en-GB"/>
        </w:rPr>
      </w:pPr>
      <w:r w:rsidRPr="001E5747">
        <w:rPr>
          <w:rFonts w:asciiTheme="majorHAnsi" w:hAnsiTheme="majorHAnsi"/>
          <w:sz w:val="21"/>
          <w:szCs w:val="21"/>
          <w:lang w:val="en-GB"/>
        </w:rPr>
        <w:t>The amount of the municipal performance grant in the total grant allocated.</w:t>
      </w:r>
    </w:p>
    <w:p w14:paraId="1F98D23D" w14:textId="77777777" w:rsidR="00B739C3" w:rsidRDefault="00DA4274"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In fact, the municipal performance grant will be allocated on the basis of relative scores, in such a way that two municipalities that have the same score will</w:t>
      </w:r>
      <w:r w:rsidR="00B739C3" w:rsidRPr="001E5747">
        <w:rPr>
          <w:rFonts w:asciiTheme="majorHAnsi" w:hAnsiTheme="majorHAnsi"/>
          <w:sz w:val="21"/>
          <w:szCs w:val="21"/>
          <w:lang w:val="en-GB"/>
        </w:rPr>
        <w:t xml:space="preserve"> receive an equal relative </w:t>
      </w:r>
      <w:r w:rsidRPr="001E5747">
        <w:rPr>
          <w:rFonts w:asciiTheme="majorHAnsi" w:hAnsiTheme="majorHAnsi"/>
          <w:sz w:val="21"/>
          <w:szCs w:val="21"/>
          <w:lang w:val="en-GB"/>
        </w:rPr>
        <w:t>addition to</w:t>
      </w:r>
      <w:r w:rsidR="00B739C3" w:rsidRPr="001E5747">
        <w:rPr>
          <w:rFonts w:asciiTheme="majorHAnsi" w:hAnsiTheme="majorHAnsi"/>
          <w:sz w:val="21"/>
          <w:szCs w:val="21"/>
          <w:lang w:val="en-GB"/>
        </w:rPr>
        <w:t xml:space="preserve"> </w:t>
      </w:r>
      <w:r w:rsidRPr="001E5747">
        <w:rPr>
          <w:rFonts w:asciiTheme="majorHAnsi" w:hAnsiTheme="majorHAnsi"/>
          <w:sz w:val="21"/>
          <w:szCs w:val="21"/>
          <w:lang w:val="en-GB"/>
        </w:rPr>
        <w:t xml:space="preserve">the </w:t>
      </w:r>
      <w:r w:rsidR="00B739C3" w:rsidRPr="001E5747">
        <w:rPr>
          <w:rFonts w:asciiTheme="majorHAnsi" w:hAnsiTheme="majorHAnsi"/>
          <w:sz w:val="21"/>
          <w:szCs w:val="21"/>
          <w:lang w:val="en-GB"/>
        </w:rPr>
        <w:t xml:space="preserve">share of capital investments of the </w:t>
      </w:r>
      <w:r w:rsidRPr="001E5747">
        <w:rPr>
          <w:rFonts w:asciiTheme="majorHAnsi" w:hAnsiTheme="majorHAnsi"/>
          <w:sz w:val="21"/>
          <w:szCs w:val="21"/>
          <w:lang w:val="en-GB"/>
        </w:rPr>
        <w:t>general</w:t>
      </w:r>
      <w:r w:rsidR="00B739C3" w:rsidRPr="001E5747">
        <w:rPr>
          <w:rFonts w:asciiTheme="majorHAnsi" w:hAnsiTheme="majorHAnsi"/>
          <w:sz w:val="21"/>
          <w:szCs w:val="21"/>
          <w:lang w:val="en-GB"/>
        </w:rPr>
        <w:t xml:space="preserve"> grant. This means that both municipalities will be awarded a grant that is the same percentage of their total grant (while the absolute amounts of the municipal performance grant will vary). The size of the absolute amount is proportional to the total grant. The rationale for this is clear: a municipality that has a larger overall grant needs a larger amount to have the same incentive in terms of improving its performance. Annex 4 shows how the MPG </w:t>
      </w:r>
      <w:r w:rsidR="00A5672F">
        <w:rPr>
          <w:rFonts w:asciiTheme="majorHAnsi" w:hAnsiTheme="majorHAnsi"/>
          <w:sz w:val="21"/>
          <w:szCs w:val="21"/>
          <w:lang w:val="en-GB"/>
        </w:rPr>
        <w:t>allocation</w:t>
      </w:r>
      <w:r w:rsidR="00B739C3" w:rsidRPr="001E5747">
        <w:rPr>
          <w:rFonts w:asciiTheme="majorHAnsi" w:hAnsiTheme="majorHAnsi"/>
          <w:sz w:val="21"/>
          <w:szCs w:val="21"/>
          <w:lang w:val="en-GB"/>
        </w:rPr>
        <w:t xml:space="preserve"> is calculated.</w:t>
      </w:r>
    </w:p>
    <w:p w14:paraId="6D446392" w14:textId="77777777" w:rsidR="00A56C90" w:rsidRPr="001E5747" w:rsidRDefault="00A56C90" w:rsidP="00B739C3">
      <w:pPr>
        <w:spacing w:before="60" w:line="264" w:lineRule="auto"/>
        <w:jc w:val="both"/>
        <w:rPr>
          <w:rFonts w:asciiTheme="majorHAnsi" w:hAnsiTheme="majorHAnsi"/>
          <w:sz w:val="21"/>
          <w:szCs w:val="21"/>
          <w:lang w:val="en-GB"/>
        </w:rPr>
      </w:pPr>
    </w:p>
    <w:p w14:paraId="44C62648" w14:textId="77777777" w:rsidR="00B739C3" w:rsidRPr="001E5747" w:rsidRDefault="00B739C3" w:rsidP="00B739C3">
      <w:pPr>
        <w:spacing w:before="60" w:line="264" w:lineRule="auto"/>
        <w:ind w:left="567"/>
        <w:jc w:val="both"/>
        <w:rPr>
          <w:rFonts w:asciiTheme="majorHAnsi" w:hAnsiTheme="majorHAnsi"/>
          <w:sz w:val="16"/>
          <w:szCs w:val="16"/>
          <w:lang w:val="en-GB"/>
        </w:rPr>
      </w:pPr>
    </w:p>
    <w:p w14:paraId="00B773DF" w14:textId="77777777" w:rsidR="00B739C3" w:rsidRPr="001E5747" w:rsidRDefault="00B739C3" w:rsidP="00B739C3">
      <w:pPr>
        <w:pStyle w:val="Heading1"/>
        <w:numPr>
          <w:ilvl w:val="1"/>
          <w:numId w:val="43"/>
        </w:numPr>
        <w:tabs>
          <w:tab w:val="left" w:pos="540"/>
        </w:tabs>
        <w:ind w:hanging="1800"/>
        <w:rPr>
          <w:rFonts w:asciiTheme="majorHAnsi" w:hAnsiTheme="majorHAnsi"/>
          <w:color w:val="C0504D"/>
          <w:szCs w:val="28"/>
          <w:lang w:val="en-GB"/>
        </w:rPr>
      </w:pPr>
      <w:bookmarkStart w:id="61" w:name="_Toc61062525"/>
      <w:bookmarkStart w:id="62" w:name="_Toc214024550"/>
      <w:r w:rsidRPr="001E5747">
        <w:rPr>
          <w:rFonts w:asciiTheme="majorHAnsi" w:hAnsiTheme="majorHAnsi"/>
          <w:color w:val="C0504D"/>
          <w:szCs w:val="28"/>
          <w:lang w:val="en-GB"/>
        </w:rPr>
        <w:t>Criteria for using the municipal performance grant</w:t>
      </w:r>
      <w:bookmarkEnd w:id="61"/>
      <w:bookmarkEnd w:id="62"/>
    </w:p>
    <w:p w14:paraId="18E4F214" w14:textId="77777777" w:rsidR="00B739C3" w:rsidRPr="001E5747" w:rsidRDefault="00B739C3" w:rsidP="00B739C3">
      <w:pPr>
        <w:bidi/>
        <w:rPr>
          <w:lang w:val="en-GB"/>
        </w:rPr>
      </w:pPr>
    </w:p>
    <w:p w14:paraId="2227A85C" w14:textId="77777777" w:rsidR="00B739C3" w:rsidRPr="001E5747" w:rsidRDefault="00B739C3" w:rsidP="00B739C3">
      <w:pPr>
        <w:rPr>
          <w:rFonts w:asciiTheme="majorHAnsi" w:hAnsiTheme="majorHAnsi"/>
          <w:sz w:val="21"/>
          <w:szCs w:val="21"/>
          <w:lang w:val="en-GB"/>
        </w:rPr>
      </w:pPr>
      <w:r w:rsidRPr="001E5747">
        <w:rPr>
          <w:rFonts w:asciiTheme="majorHAnsi" w:hAnsiTheme="majorHAnsi"/>
          <w:sz w:val="21"/>
          <w:szCs w:val="21"/>
          <w:lang w:val="en-GB"/>
        </w:rPr>
        <w:t>The grant is used to finance municipal projects for the benefit of citizens, in accordance with the following rules and principles:</w:t>
      </w:r>
    </w:p>
    <w:p w14:paraId="66728E26" w14:textId="66A0FD68" w:rsidR="00B739C3" w:rsidRPr="001E5747" w:rsidRDefault="00B739C3" w:rsidP="00B739C3">
      <w:pPr>
        <w:pStyle w:val="ListParagraph"/>
        <w:numPr>
          <w:ilvl w:val="0"/>
          <w:numId w:val="23"/>
        </w:numPr>
        <w:spacing w:after="0" w:line="264" w:lineRule="auto"/>
        <w:jc w:val="both"/>
        <w:rPr>
          <w:lang w:val="en-GB"/>
        </w:rPr>
      </w:pPr>
      <w:r w:rsidRPr="001E5747">
        <w:rPr>
          <w:rFonts w:asciiTheme="majorHAnsi" w:hAnsiTheme="majorHAnsi"/>
          <w:sz w:val="21"/>
          <w:szCs w:val="21"/>
          <w:lang w:val="en-GB"/>
        </w:rPr>
        <w:t>MPG is used only for capital investments</w:t>
      </w:r>
      <w:r w:rsidR="006C1C30">
        <w:rPr>
          <w:rFonts w:asciiTheme="majorHAnsi" w:hAnsiTheme="majorHAnsi"/>
          <w:sz w:val="21"/>
          <w:szCs w:val="21"/>
          <w:lang w:val="en-GB"/>
        </w:rPr>
        <w:t>;</w:t>
      </w:r>
    </w:p>
    <w:p w14:paraId="53C43D41" w14:textId="0F830A11" w:rsidR="00B739C3" w:rsidRPr="001E5747" w:rsidRDefault="00B739C3" w:rsidP="00B739C3">
      <w:pPr>
        <w:pStyle w:val="ListParagraph"/>
        <w:numPr>
          <w:ilvl w:val="0"/>
          <w:numId w:val="23"/>
        </w:numPr>
        <w:spacing w:after="0" w:line="264" w:lineRule="auto"/>
        <w:jc w:val="both"/>
        <w:rPr>
          <w:rFonts w:asciiTheme="majorHAnsi" w:hAnsiTheme="majorHAnsi"/>
          <w:sz w:val="21"/>
          <w:szCs w:val="21"/>
          <w:lang w:val="en-GB"/>
        </w:rPr>
      </w:pPr>
      <w:r w:rsidRPr="001E5747">
        <w:rPr>
          <w:rFonts w:asciiTheme="majorHAnsi" w:hAnsiTheme="majorHAnsi"/>
          <w:sz w:val="21"/>
          <w:szCs w:val="21"/>
          <w:lang w:val="en-GB"/>
        </w:rPr>
        <w:t>The municipality is free to decide for which investments the municipal performance grant will be used. It is recommended that municipalities focus on concrete projects, limited in number, to avoid lengthy administrative procedures and to use the funds within the fiscal year</w:t>
      </w:r>
      <w:r w:rsidR="00235512">
        <w:rPr>
          <w:rStyle w:val="FootnoteReference"/>
          <w:rFonts w:asciiTheme="majorHAnsi" w:hAnsiTheme="majorHAnsi"/>
          <w:sz w:val="21"/>
          <w:szCs w:val="21"/>
          <w:lang w:val="en-GB"/>
        </w:rPr>
        <w:footnoteReference w:id="11"/>
      </w:r>
      <w:r w:rsidRPr="001E5747">
        <w:rPr>
          <w:rFonts w:asciiTheme="majorHAnsi" w:hAnsiTheme="majorHAnsi"/>
          <w:sz w:val="21"/>
          <w:szCs w:val="21"/>
          <w:lang w:val="en-GB"/>
        </w:rPr>
        <w:t>.</w:t>
      </w:r>
    </w:p>
    <w:p w14:paraId="2A6EC8EC" w14:textId="0560B720" w:rsidR="00B739C3" w:rsidRPr="001E5747" w:rsidRDefault="00B739C3" w:rsidP="00B739C3">
      <w:pPr>
        <w:pStyle w:val="ListParagraph"/>
        <w:numPr>
          <w:ilvl w:val="0"/>
          <w:numId w:val="23"/>
        </w:numPr>
        <w:spacing w:after="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The grant must be used by the municipality in accordance with applicable law. In case the municipality does not spend the grant in accordance with these rules and legislation in force, the contractual obligations to economic operators are transferred </w:t>
      </w:r>
      <w:r w:rsidR="00B808D2">
        <w:rPr>
          <w:rFonts w:asciiTheme="majorHAnsi" w:hAnsiTheme="majorHAnsi"/>
          <w:sz w:val="21"/>
          <w:szCs w:val="21"/>
          <w:lang w:val="en-GB"/>
        </w:rPr>
        <w:t>to</w:t>
      </w:r>
      <w:r w:rsidR="00B808D2" w:rsidRPr="001E5747">
        <w:rPr>
          <w:rFonts w:asciiTheme="majorHAnsi" w:hAnsiTheme="majorHAnsi"/>
          <w:sz w:val="21"/>
          <w:szCs w:val="21"/>
          <w:lang w:val="en-GB"/>
        </w:rPr>
        <w:t xml:space="preserve"> </w:t>
      </w:r>
      <w:r w:rsidRPr="001E5747">
        <w:rPr>
          <w:rFonts w:asciiTheme="majorHAnsi" w:hAnsiTheme="majorHAnsi"/>
          <w:sz w:val="21"/>
          <w:szCs w:val="21"/>
          <w:lang w:val="en-GB"/>
        </w:rPr>
        <w:t>the municipality itself.</w:t>
      </w:r>
    </w:p>
    <w:p w14:paraId="771EC532" w14:textId="77777777" w:rsidR="00B739C3" w:rsidRPr="001E5747" w:rsidRDefault="00B739C3" w:rsidP="00B739C3">
      <w:pPr>
        <w:pStyle w:val="ListParagraph"/>
        <w:numPr>
          <w:ilvl w:val="0"/>
          <w:numId w:val="23"/>
        </w:numPr>
        <w:spacing w:after="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The use of the grant is subject to the rules of supervision and control in accordance with the legislation in force for the management of public finances and the rules of the </w:t>
      </w:r>
      <w:r w:rsidR="006165E8">
        <w:rPr>
          <w:rFonts w:asciiTheme="majorHAnsi" w:hAnsiTheme="majorHAnsi"/>
          <w:sz w:val="21"/>
          <w:szCs w:val="21"/>
          <w:lang w:val="en-GB"/>
        </w:rPr>
        <w:t xml:space="preserve">performance </w:t>
      </w:r>
      <w:r w:rsidRPr="001E5747">
        <w:rPr>
          <w:rFonts w:asciiTheme="majorHAnsi" w:hAnsiTheme="majorHAnsi"/>
          <w:sz w:val="21"/>
          <w:szCs w:val="21"/>
          <w:lang w:val="en-GB"/>
        </w:rPr>
        <w:t>grant.</w:t>
      </w:r>
    </w:p>
    <w:p w14:paraId="72800998" w14:textId="77777777" w:rsidR="00B739C3" w:rsidRPr="001E5747" w:rsidRDefault="00B739C3" w:rsidP="00B739C3">
      <w:pPr>
        <w:rPr>
          <w:rFonts w:asciiTheme="majorHAnsi" w:hAnsiTheme="majorHAnsi"/>
          <w:b/>
          <w:color w:val="C0504D"/>
          <w:sz w:val="28"/>
          <w:szCs w:val="28"/>
          <w:lang w:val="en-GB"/>
        </w:rPr>
      </w:pPr>
    </w:p>
    <w:p w14:paraId="34FD04EE" w14:textId="77777777" w:rsidR="00B739C3" w:rsidRDefault="00B739C3" w:rsidP="00B739C3">
      <w:pPr>
        <w:pStyle w:val="Heading1"/>
        <w:numPr>
          <w:ilvl w:val="1"/>
          <w:numId w:val="43"/>
        </w:numPr>
        <w:tabs>
          <w:tab w:val="left" w:pos="540"/>
        </w:tabs>
        <w:ind w:hanging="1800"/>
        <w:rPr>
          <w:rFonts w:asciiTheme="majorHAnsi" w:hAnsiTheme="majorHAnsi"/>
          <w:color w:val="C0504D"/>
          <w:szCs w:val="28"/>
          <w:lang w:val="en-GB"/>
        </w:rPr>
      </w:pPr>
      <w:bookmarkStart w:id="63" w:name="_Toc61062526"/>
      <w:bookmarkStart w:id="64" w:name="_Toc214024551"/>
      <w:r w:rsidRPr="001E5747">
        <w:rPr>
          <w:rFonts w:asciiTheme="majorHAnsi" w:hAnsiTheme="majorHAnsi"/>
          <w:color w:val="C0504D"/>
          <w:szCs w:val="28"/>
          <w:lang w:val="en-GB"/>
        </w:rPr>
        <w:lastRenderedPageBreak/>
        <w:t>Municipal performance grant audit</w:t>
      </w:r>
      <w:bookmarkEnd w:id="63"/>
      <w:bookmarkEnd w:id="64"/>
    </w:p>
    <w:p w14:paraId="61D16BE4" w14:textId="77777777" w:rsidR="00854713" w:rsidRPr="00854713" w:rsidRDefault="00854713" w:rsidP="00854713">
      <w:pPr>
        <w:rPr>
          <w:lang w:val="en-GB"/>
        </w:rPr>
      </w:pPr>
    </w:p>
    <w:p w14:paraId="20BD3278" w14:textId="77777777" w:rsidR="00854713" w:rsidRPr="00854713" w:rsidRDefault="00854713" w:rsidP="00854713">
      <w:pPr>
        <w:spacing w:line="264" w:lineRule="auto"/>
        <w:jc w:val="both"/>
        <w:rPr>
          <w:rFonts w:asciiTheme="majorHAnsi" w:hAnsiTheme="majorHAnsi"/>
          <w:sz w:val="21"/>
          <w:szCs w:val="21"/>
          <w:lang w:val="en-GB"/>
        </w:rPr>
      </w:pPr>
      <w:r w:rsidRPr="00854713">
        <w:rPr>
          <w:rFonts w:asciiTheme="majorHAnsi" w:hAnsiTheme="majorHAnsi"/>
          <w:sz w:val="21"/>
          <w:szCs w:val="21"/>
          <w:lang w:val="en-GB"/>
        </w:rPr>
        <w:t>The expenditures of the GPC may be audited as part of the regular audit conducted by the National Audit Office.</w:t>
      </w:r>
    </w:p>
    <w:p w14:paraId="1545EA3B" w14:textId="60745869" w:rsidR="00854713" w:rsidRPr="00854713" w:rsidRDefault="00854713" w:rsidP="00854713">
      <w:pPr>
        <w:spacing w:line="264" w:lineRule="auto"/>
        <w:jc w:val="both"/>
        <w:rPr>
          <w:rFonts w:asciiTheme="majorHAnsi" w:hAnsiTheme="majorHAnsi"/>
          <w:sz w:val="21"/>
          <w:szCs w:val="21"/>
          <w:lang w:val="en-GB"/>
        </w:rPr>
      </w:pPr>
      <w:r w:rsidRPr="00854713">
        <w:rPr>
          <w:rFonts w:asciiTheme="majorHAnsi" w:hAnsiTheme="majorHAnsi"/>
          <w:sz w:val="21"/>
          <w:szCs w:val="21"/>
          <w:lang w:val="en-GB"/>
        </w:rPr>
        <w:t xml:space="preserve">• The MLGA and the contributors may agree to conduct a special annual audit to review specific aspects related to the </w:t>
      </w:r>
      <w:r>
        <w:rPr>
          <w:rFonts w:asciiTheme="majorHAnsi" w:hAnsiTheme="majorHAnsi"/>
          <w:sz w:val="21"/>
          <w:szCs w:val="21"/>
          <w:lang w:val="en-GB"/>
        </w:rPr>
        <w:t>MPG</w:t>
      </w:r>
      <w:r w:rsidRPr="00854713">
        <w:rPr>
          <w:rFonts w:asciiTheme="majorHAnsi" w:hAnsiTheme="majorHAnsi"/>
          <w:sz w:val="21"/>
          <w:szCs w:val="21"/>
          <w:lang w:val="en-GB"/>
        </w:rPr>
        <w:t xml:space="preserve">. The audit may include the functioning of the </w:t>
      </w:r>
      <w:r>
        <w:rPr>
          <w:rFonts w:asciiTheme="majorHAnsi" w:hAnsiTheme="majorHAnsi"/>
          <w:sz w:val="21"/>
          <w:szCs w:val="21"/>
          <w:lang w:val="en-GB"/>
        </w:rPr>
        <w:t>MPG</w:t>
      </w:r>
      <w:r w:rsidRPr="00854713">
        <w:rPr>
          <w:rFonts w:asciiTheme="majorHAnsi" w:hAnsiTheme="majorHAnsi"/>
          <w:sz w:val="21"/>
          <w:szCs w:val="21"/>
          <w:lang w:val="en-GB"/>
        </w:rPr>
        <w:t>, procurement processes, technical acceptance procedures of services, payments, etc. The details for this audit are specified in cooperation with the contributors.</w:t>
      </w:r>
    </w:p>
    <w:p w14:paraId="36379B99" w14:textId="34DF7690" w:rsidR="00854713" w:rsidRPr="00854713" w:rsidRDefault="00854713" w:rsidP="00854713">
      <w:pPr>
        <w:spacing w:line="264" w:lineRule="auto"/>
        <w:jc w:val="both"/>
        <w:rPr>
          <w:rFonts w:asciiTheme="majorHAnsi" w:hAnsiTheme="majorHAnsi"/>
          <w:sz w:val="21"/>
          <w:szCs w:val="21"/>
          <w:lang w:val="en-GB"/>
        </w:rPr>
      </w:pPr>
      <w:r w:rsidRPr="00854713">
        <w:rPr>
          <w:rFonts w:asciiTheme="majorHAnsi" w:hAnsiTheme="majorHAnsi"/>
          <w:sz w:val="21"/>
          <w:szCs w:val="21"/>
          <w:lang w:val="en-GB"/>
        </w:rPr>
        <w:t xml:space="preserve">• In the case that violations and irregularities are identified by the audit, such as material misstatements, the MLGA and the contributors may decide to exclude the municipality from the right to benefit from the grant for a specified period, in accordance with Article 23.3 of the Law on </w:t>
      </w:r>
      <w:r>
        <w:rPr>
          <w:rFonts w:asciiTheme="majorHAnsi" w:hAnsiTheme="majorHAnsi"/>
          <w:sz w:val="21"/>
          <w:szCs w:val="21"/>
          <w:lang w:val="en-GB"/>
        </w:rPr>
        <w:t>PMS</w:t>
      </w:r>
      <w:r w:rsidRPr="00854713">
        <w:rPr>
          <w:rFonts w:asciiTheme="majorHAnsi" w:hAnsiTheme="majorHAnsi"/>
          <w:sz w:val="21"/>
          <w:szCs w:val="21"/>
          <w:lang w:val="en-GB"/>
        </w:rPr>
        <w:t>/</w:t>
      </w:r>
      <w:r>
        <w:rPr>
          <w:rFonts w:asciiTheme="majorHAnsi" w:hAnsiTheme="majorHAnsi"/>
          <w:sz w:val="21"/>
          <w:szCs w:val="21"/>
          <w:lang w:val="en-GB"/>
        </w:rPr>
        <w:t>MPG</w:t>
      </w:r>
      <w:r w:rsidRPr="00854713">
        <w:rPr>
          <w:rFonts w:asciiTheme="majorHAnsi" w:hAnsiTheme="majorHAnsi"/>
          <w:sz w:val="21"/>
          <w:szCs w:val="21"/>
          <w:lang w:val="en-GB"/>
        </w:rPr>
        <w:t>.</w:t>
      </w:r>
    </w:p>
    <w:p w14:paraId="48247D61" w14:textId="7BD433DF" w:rsidR="00A56C90" w:rsidRDefault="00854713" w:rsidP="00854713">
      <w:pPr>
        <w:spacing w:line="264" w:lineRule="auto"/>
        <w:jc w:val="both"/>
        <w:rPr>
          <w:rFonts w:asciiTheme="majorHAnsi" w:hAnsiTheme="majorHAnsi"/>
          <w:sz w:val="21"/>
          <w:szCs w:val="21"/>
          <w:lang w:val="en-GB"/>
        </w:rPr>
      </w:pPr>
      <w:r w:rsidRPr="00854713">
        <w:rPr>
          <w:rFonts w:asciiTheme="majorHAnsi" w:hAnsiTheme="majorHAnsi"/>
          <w:sz w:val="21"/>
          <w:szCs w:val="21"/>
          <w:lang w:val="en-GB"/>
        </w:rPr>
        <w:t xml:space="preserve">• To monitor the impact of the projects on citizens, social auditing will be implemented as part of the </w:t>
      </w:r>
      <w:r>
        <w:rPr>
          <w:rFonts w:asciiTheme="majorHAnsi" w:hAnsiTheme="majorHAnsi"/>
          <w:sz w:val="21"/>
          <w:szCs w:val="21"/>
          <w:lang w:val="en-GB"/>
        </w:rPr>
        <w:t>MPG</w:t>
      </w:r>
      <w:r w:rsidRPr="00854713">
        <w:rPr>
          <w:rFonts w:asciiTheme="majorHAnsi" w:hAnsiTheme="majorHAnsi"/>
          <w:sz w:val="21"/>
          <w:szCs w:val="21"/>
          <w:lang w:val="en-GB"/>
        </w:rPr>
        <w:t>. The social audit will include monitoring performance and project planning processes at the municipal level. The social audit will be funded partly by donor</w:t>
      </w:r>
      <w:r>
        <w:rPr>
          <w:rStyle w:val="FootnoteReference"/>
          <w:rFonts w:asciiTheme="majorHAnsi" w:hAnsiTheme="majorHAnsi"/>
          <w:sz w:val="21"/>
          <w:szCs w:val="21"/>
          <w:lang w:val="en-GB"/>
        </w:rPr>
        <w:footnoteReference w:id="12"/>
      </w:r>
      <w:r w:rsidRPr="00854713">
        <w:rPr>
          <w:rFonts w:asciiTheme="majorHAnsi" w:hAnsiTheme="majorHAnsi"/>
          <w:sz w:val="21"/>
          <w:szCs w:val="21"/>
          <w:lang w:val="en-GB"/>
        </w:rPr>
        <w:t xml:space="preserve"> funds and partly by MLGA subsidies, and it will be carried out by civil society organizations. The results of the social audit are reported to the GPC Commission.</w:t>
      </w:r>
    </w:p>
    <w:p w14:paraId="07FC46DC" w14:textId="77777777" w:rsidR="006C1C30" w:rsidRDefault="006C1C30" w:rsidP="00B739C3">
      <w:pPr>
        <w:spacing w:line="264" w:lineRule="auto"/>
        <w:jc w:val="both"/>
        <w:rPr>
          <w:rFonts w:asciiTheme="majorHAnsi" w:hAnsiTheme="majorHAnsi"/>
          <w:sz w:val="21"/>
          <w:szCs w:val="21"/>
          <w:lang w:val="en-GB"/>
        </w:rPr>
      </w:pPr>
    </w:p>
    <w:p w14:paraId="1FA689AC" w14:textId="77777777" w:rsidR="00A25A8C" w:rsidRPr="001E5747" w:rsidRDefault="00A25A8C" w:rsidP="00B739C3">
      <w:pPr>
        <w:spacing w:line="264" w:lineRule="auto"/>
        <w:jc w:val="both"/>
        <w:rPr>
          <w:rFonts w:asciiTheme="majorHAnsi" w:hAnsiTheme="majorHAnsi"/>
          <w:sz w:val="21"/>
          <w:szCs w:val="21"/>
          <w:lang w:val="en-GB"/>
        </w:rPr>
      </w:pPr>
    </w:p>
    <w:p w14:paraId="2B084941" w14:textId="77777777" w:rsidR="00B739C3" w:rsidRPr="001E5747" w:rsidRDefault="00B739C3" w:rsidP="00B739C3">
      <w:pPr>
        <w:pStyle w:val="Heading1"/>
        <w:numPr>
          <w:ilvl w:val="0"/>
          <w:numId w:val="41"/>
        </w:numPr>
        <w:shd w:val="clear" w:color="auto" w:fill="D55635"/>
        <w:tabs>
          <w:tab w:val="left" w:pos="540"/>
        </w:tabs>
        <w:ind w:left="902" w:hanging="902"/>
        <w:rPr>
          <w:rFonts w:asciiTheme="majorHAnsi" w:hAnsiTheme="majorHAnsi"/>
          <w:color w:val="FFFFFF" w:themeColor="background1"/>
          <w:sz w:val="32"/>
          <w:szCs w:val="32"/>
          <w:lang w:val="en-GB"/>
        </w:rPr>
      </w:pPr>
      <w:bookmarkStart w:id="65" w:name="_Toc61062527"/>
      <w:bookmarkStart w:id="66" w:name="_Toc214024552"/>
      <w:r w:rsidRPr="001E5747">
        <w:rPr>
          <w:rFonts w:asciiTheme="majorHAnsi" w:hAnsiTheme="majorHAnsi"/>
          <w:color w:val="FFFFFF" w:themeColor="background1"/>
          <w:sz w:val="32"/>
          <w:szCs w:val="32"/>
          <w:lang w:val="en-GB"/>
        </w:rPr>
        <w:t xml:space="preserve">Municipal Performance Grant - </w:t>
      </w:r>
      <w:r w:rsidR="00296FE0" w:rsidRPr="001E5747">
        <w:rPr>
          <w:rFonts w:asciiTheme="majorHAnsi" w:hAnsiTheme="majorHAnsi"/>
          <w:color w:val="FFFFFF" w:themeColor="background1"/>
          <w:sz w:val="32"/>
          <w:szCs w:val="32"/>
          <w:lang w:val="en-GB"/>
        </w:rPr>
        <w:t>Assessment</w:t>
      </w:r>
      <w:r w:rsidRPr="001E5747">
        <w:rPr>
          <w:rFonts w:asciiTheme="majorHAnsi" w:hAnsiTheme="majorHAnsi"/>
          <w:color w:val="FFFFFF" w:themeColor="background1"/>
          <w:sz w:val="32"/>
          <w:szCs w:val="32"/>
          <w:lang w:val="en-GB"/>
        </w:rPr>
        <w:t xml:space="preserve"> process</w:t>
      </w:r>
      <w:bookmarkEnd w:id="65"/>
      <w:bookmarkEnd w:id="66"/>
    </w:p>
    <w:p w14:paraId="77EF0466" w14:textId="77777777" w:rsidR="00B739C3" w:rsidRPr="001E5747" w:rsidRDefault="00B739C3" w:rsidP="00B739C3">
      <w:pPr>
        <w:spacing w:before="60" w:line="264" w:lineRule="auto"/>
        <w:ind w:left="567"/>
        <w:jc w:val="both"/>
        <w:rPr>
          <w:rFonts w:asciiTheme="majorHAnsi" w:hAnsiTheme="majorHAnsi"/>
          <w:sz w:val="21"/>
          <w:szCs w:val="21"/>
          <w:lang w:val="en-GB"/>
        </w:rPr>
      </w:pPr>
    </w:p>
    <w:p w14:paraId="2788A954" w14:textId="77777777" w:rsidR="00B739C3" w:rsidRPr="001E5747" w:rsidRDefault="00B739C3" w:rsidP="00B739C3">
      <w:pPr>
        <w:pStyle w:val="Heading1"/>
        <w:numPr>
          <w:ilvl w:val="1"/>
          <w:numId w:val="7"/>
        </w:numPr>
        <w:tabs>
          <w:tab w:val="left" w:pos="540"/>
        </w:tabs>
        <w:ind w:hanging="1800"/>
        <w:rPr>
          <w:rFonts w:asciiTheme="majorHAnsi" w:hAnsiTheme="majorHAnsi"/>
          <w:color w:val="C0504D"/>
          <w:szCs w:val="28"/>
          <w:lang w:val="en-GB"/>
        </w:rPr>
      </w:pPr>
      <w:bookmarkStart w:id="67" w:name="_Toc61062528"/>
      <w:bookmarkStart w:id="68" w:name="_Toc214024553"/>
      <w:r w:rsidRPr="001E5747">
        <w:rPr>
          <w:rFonts w:asciiTheme="majorHAnsi" w:hAnsiTheme="majorHAnsi"/>
          <w:color w:val="C0504D"/>
          <w:szCs w:val="28"/>
          <w:lang w:val="en-GB"/>
        </w:rPr>
        <w:t>Institutional arrangements</w:t>
      </w:r>
      <w:bookmarkEnd w:id="67"/>
      <w:bookmarkEnd w:id="68"/>
    </w:p>
    <w:p w14:paraId="40D4C120" w14:textId="77777777" w:rsidR="00B739C3" w:rsidRPr="001E5747" w:rsidRDefault="00B739C3" w:rsidP="00B739C3">
      <w:pPr>
        <w:spacing w:before="60" w:line="264" w:lineRule="auto"/>
        <w:jc w:val="both"/>
        <w:rPr>
          <w:rFonts w:asciiTheme="majorHAnsi" w:hAnsiTheme="majorHAnsi"/>
          <w:sz w:val="8"/>
          <w:szCs w:val="8"/>
          <w:lang w:val="en-GB"/>
        </w:rPr>
      </w:pPr>
    </w:p>
    <w:p w14:paraId="061591D9" w14:textId="57C9058D"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The Municipal Performance Grant Commission and the technical group are the bodies responsible for evaluating and allocating the municipal performance grant.</w:t>
      </w:r>
      <w:r w:rsidR="004B78F4">
        <w:rPr>
          <w:rFonts w:asciiTheme="majorHAnsi" w:hAnsiTheme="majorHAnsi"/>
          <w:sz w:val="21"/>
          <w:szCs w:val="21"/>
          <w:lang w:val="en-GB"/>
        </w:rPr>
        <w:t xml:space="preserve"> </w:t>
      </w:r>
      <w:r w:rsidRPr="001E5747">
        <w:rPr>
          <w:rFonts w:asciiTheme="majorHAnsi" w:hAnsiTheme="majorHAnsi"/>
          <w:sz w:val="21"/>
          <w:szCs w:val="21"/>
          <w:lang w:val="en-GB"/>
        </w:rPr>
        <w:t xml:space="preserve">The </w:t>
      </w:r>
      <w:r w:rsidR="00091613" w:rsidRPr="001E5747">
        <w:rPr>
          <w:rFonts w:asciiTheme="majorHAnsi" w:hAnsiTheme="majorHAnsi"/>
          <w:sz w:val="21"/>
          <w:szCs w:val="21"/>
          <w:lang w:val="en-GB"/>
        </w:rPr>
        <w:t>Appeals Commission</w:t>
      </w:r>
      <w:r w:rsidRPr="001E5747">
        <w:rPr>
          <w:rFonts w:asciiTheme="majorHAnsi" w:hAnsiTheme="majorHAnsi"/>
          <w:sz w:val="21"/>
          <w:szCs w:val="21"/>
          <w:lang w:val="en-GB"/>
        </w:rPr>
        <w:t xml:space="preserve"> reviews and decides on municipal appeal</w:t>
      </w:r>
      <w:r w:rsidR="00DD795C">
        <w:rPr>
          <w:rFonts w:asciiTheme="majorHAnsi" w:hAnsiTheme="majorHAnsi"/>
          <w:sz w:val="21"/>
          <w:szCs w:val="21"/>
          <w:lang w:val="en-GB"/>
        </w:rPr>
        <w:t>s</w:t>
      </w:r>
      <w:r w:rsidR="004B78F4">
        <w:rPr>
          <w:rStyle w:val="FootnoteReference"/>
          <w:rFonts w:asciiTheme="majorHAnsi" w:hAnsiTheme="majorHAnsi"/>
          <w:sz w:val="21"/>
          <w:szCs w:val="21"/>
          <w:lang w:val="en-GB"/>
        </w:rPr>
        <w:footnoteReference w:id="13"/>
      </w:r>
      <w:r w:rsidRPr="001E5747">
        <w:rPr>
          <w:rFonts w:asciiTheme="majorHAnsi" w:hAnsiTheme="majorHAnsi"/>
          <w:sz w:val="21"/>
          <w:szCs w:val="21"/>
          <w:lang w:val="en-GB"/>
        </w:rPr>
        <w:t>.</w:t>
      </w:r>
    </w:p>
    <w:p w14:paraId="132AF55D" w14:textId="77777777" w:rsidR="00B739C3" w:rsidRPr="001E5747" w:rsidRDefault="00B739C3" w:rsidP="00B739C3">
      <w:pPr>
        <w:spacing w:before="60" w:line="264" w:lineRule="auto"/>
        <w:jc w:val="both"/>
        <w:rPr>
          <w:rFonts w:asciiTheme="majorHAnsi" w:hAnsiTheme="majorHAnsi"/>
          <w:sz w:val="21"/>
          <w:szCs w:val="21"/>
          <w:lang w:val="en-GB"/>
        </w:rPr>
      </w:pPr>
    </w:p>
    <w:p w14:paraId="7213BD82" w14:textId="494A45A6" w:rsidR="00B739C3" w:rsidRPr="001E5747" w:rsidRDefault="00B739C3" w:rsidP="00B739C3">
      <w:pPr>
        <w:pStyle w:val="Heading1"/>
        <w:numPr>
          <w:ilvl w:val="2"/>
          <w:numId w:val="7"/>
        </w:numPr>
        <w:tabs>
          <w:tab w:val="left" w:pos="540"/>
        </w:tabs>
        <w:ind w:hanging="3600"/>
        <w:rPr>
          <w:rFonts w:asciiTheme="majorHAnsi" w:hAnsiTheme="majorHAnsi"/>
          <w:sz w:val="24"/>
          <w:szCs w:val="21"/>
          <w:lang w:val="en-GB"/>
        </w:rPr>
      </w:pPr>
      <w:bookmarkStart w:id="69" w:name="_Toc61062529"/>
      <w:bookmarkStart w:id="70" w:name="_Toc31194801"/>
      <w:bookmarkStart w:id="71" w:name="_Toc31029003"/>
      <w:bookmarkStart w:id="72" w:name="_Toc214024554"/>
      <w:r w:rsidRPr="001E5747">
        <w:rPr>
          <w:rFonts w:asciiTheme="majorHAnsi" w:hAnsiTheme="majorHAnsi"/>
          <w:sz w:val="24"/>
          <w:szCs w:val="21"/>
          <w:lang w:val="en-GB"/>
        </w:rPr>
        <w:t>Municipal Performance Grant Commission</w:t>
      </w:r>
      <w:bookmarkEnd w:id="69"/>
      <w:bookmarkEnd w:id="70"/>
      <w:bookmarkEnd w:id="71"/>
      <w:bookmarkEnd w:id="72"/>
    </w:p>
    <w:p w14:paraId="7A5A246D" w14:textId="2BD50DC2" w:rsidR="00B739C3" w:rsidRDefault="00B739C3" w:rsidP="00B739C3">
      <w:pPr>
        <w:tabs>
          <w:tab w:val="left" w:pos="1710"/>
        </w:tabs>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The Municipal Performance Grant Commission is the highest decision-making body for the MPG.</w:t>
      </w:r>
    </w:p>
    <w:p w14:paraId="277D8972" w14:textId="64485678" w:rsidR="00424980" w:rsidRPr="001E5747" w:rsidRDefault="00424980" w:rsidP="00B739C3">
      <w:pPr>
        <w:tabs>
          <w:tab w:val="left" w:pos="1710"/>
        </w:tabs>
        <w:spacing w:before="60" w:line="264" w:lineRule="auto"/>
        <w:jc w:val="both"/>
        <w:rPr>
          <w:rFonts w:asciiTheme="majorHAnsi" w:hAnsiTheme="majorHAnsi"/>
          <w:sz w:val="21"/>
          <w:szCs w:val="21"/>
          <w:lang w:val="en-GB"/>
        </w:rPr>
      </w:pPr>
      <w:r>
        <w:rPr>
          <w:rFonts w:asciiTheme="majorHAnsi" w:hAnsiTheme="majorHAnsi"/>
          <w:sz w:val="21"/>
          <w:szCs w:val="21"/>
          <w:lang w:val="en-GB"/>
        </w:rPr>
        <w:t>The composition</w:t>
      </w:r>
      <w:r w:rsidR="00A231F5">
        <w:rPr>
          <w:rFonts w:asciiTheme="majorHAnsi" w:hAnsiTheme="majorHAnsi"/>
          <w:sz w:val="21"/>
          <w:szCs w:val="21"/>
          <w:lang w:val="en-GB"/>
        </w:rPr>
        <w:t xml:space="preserve"> of the grant commission </w:t>
      </w:r>
      <w:proofErr w:type="gramStart"/>
      <w:r w:rsidR="00A231F5">
        <w:rPr>
          <w:rFonts w:asciiTheme="majorHAnsi" w:hAnsiTheme="majorHAnsi"/>
          <w:sz w:val="21"/>
          <w:szCs w:val="21"/>
          <w:lang w:val="en-GB"/>
        </w:rPr>
        <w:t>have</w:t>
      </w:r>
      <w:proofErr w:type="gramEnd"/>
      <w:r w:rsidR="00A231F5">
        <w:rPr>
          <w:rFonts w:asciiTheme="majorHAnsi" w:hAnsiTheme="majorHAnsi"/>
          <w:sz w:val="21"/>
          <w:szCs w:val="21"/>
          <w:lang w:val="en-GB"/>
        </w:rPr>
        <w:t xml:space="preserve"> been outlined under article 28.2 of the Law on MPMS/MPG, while </w:t>
      </w:r>
      <w:r>
        <w:rPr>
          <w:rFonts w:asciiTheme="majorHAnsi" w:hAnsiTheme="majorHAnsi"/>
          <w:sz w:val="21"/>
          <w:szCs w:val="21"/>
          <w:lang w:val="en-GB"/>
        </w:rPr>
        <w:t xml:space="preserve">duties and responsibilities have been outlined under article 20.1 of the </w:t>
      </w:r>
      <w:r w:rsidR="00690031">
        <w:rPr>
          <w:rFonts w:asciiTheme="majorHAnsi" w:hAnsiTheme="majorHAnsi"/>
          <w:sz w:val="21"/>
          <w:szCs w:val="21"/>
          <w:lang w:val="en-GB"/>
        </w:rPr>
        <w:t>A</w:t>
      </w:r>
      <w:r>
        <w:rPr>
          <w:rFonts w:asciiTheme="majorHAnsi" w:hAnsiTheme="majorHAnsi"/>
          <w:sz w:val="21"/>
          <w:szCs w:val="21"/>
          <w:lang w:val="en-GB"/>
        </w:rPr>
        <w:t xml:space="preserve">dministrative </w:t>
      </w:r>
      <w:r w:rsidR="00690031">
        <w:rPr>
          <w:rFonts w:asciiTheme="majorHAnsi" w:hAnsiTheme="majorHAnsi"/>
          <w:sz w:val="21"/>
          <w:szCs w:val="21"/>
          <w:lang w:val="en-GB"/>
        </w:rPr>
        <w:t>I</w:t>
      </w:r>
      <w:r>
        <w:rPr>
          <w:rFonts w:asciiTheme="majorHAnsi" w:hAnsiTheme="majorHAnsi"/>
          <w:sz w:val="21"/>
          <w:szCs w:val="21"/>
          <w:lang w:val="en-GB"/>
        </w:rPr>
        <w:t>nstruction for</w:t>
      </w:r>
      <w:r w:rsidR="00C217D4">
        <w:rPr>
          <w:rFonts w:asciiTheme="majorHAnsi" w:hAnsiTheme="majorHAnsi"/>
          <w:sz w:val="21"/>
          <w:szCs w:val="21"/>
          <w:lang w:val="en-GB"/>
        </w:rPr>
        <w:t xml:space="preserve"> </w:t>
      </w:r>
      <w:r w:rsidR="00EF1ADE">
        <w:rPr>
          <w:rFonts w:asciiTheme="majorHAnsi" w:hAnsiTheme="majorHAnsi"/>
          <w:sz w:val="21"/>
          <w:szCs w:val="21"/>
          <w:lang w:val="en-GB"/>
        </w:rPr>
        <w:t>M</w:t>
      </w:r>
      <w:r w:rsidR="00C217D4">
        <w:rPr>
          <w:rFonts w:asciiTheme="majorHAnsi" w:hAnsiTheme="majorHAnsi"/>
          <w:sz w:val="21"/>
          <w:szCs w:val="21"/>
          <w:lang w:val="en-GB"/>
        </w:rPr>
        <w:t>PMS/MPG</w:t>
      </w:r>
      <w:r w:rsidR="003712E5">
        <w:rPr>
          <w:rFonts w:asciiTheme="majorHAnsi" w:hAnsiTheme="majorHAnsi"/>
          <w:sz w:val="21"/>
          <w:szCs w:val="21"/>
          <w:lang w:val="en-GB"/>
        </w:rPr>
        <w:t>S</w:t>
      </w:r>
      <w:r w:rsidR="00C217D4">
        <w:rPr>
          <w:rFonts w:asciiTheme="majorHAnsi" w:hAnsiTheme="majorHAnsi"/>
          <w:sz w:val="21"/>
          <w:szCs w:val="21"/>
          <w:lang w:val="en-GB"/>
        </w:rPr>
        <w:t>.</w:t>
      </w:r>
    </w:p>
    <w:p w14:paraId="2181B759" w14:textId="77777777" w:rsidR="00B739C3" w:rsidRPr="001E5747" w:rsidRDefault="00B739C3" w:rsidP="00B739C3">
      <w:pPr>
        <w:ind w:left="567"/>
        <w:jc w:val="both"/>
        <w:rPr>
          <w:rFonts w:asciiTheme="majorHAnsi" w:hAnsiTheme="majorHAnsi"/>
          <w:sz w:val="21"/>
          <w:szCs w:val="21"/>
          <w:lang w:val="en-GB"/>
        </w:rPr>
      </w:pPr>
    </w:p>
    <w:p w14:paraId="086389FB" w14:textId="6F337EA0" w:rsidR="00B739C3" w:rsidRPr="001E5747" w:rsidRDefault="00B739C3" w:rsidP="00B739C3">
      <w:pPr>
        <w:pStyle w:val="Heading1"/>
        <w:numPr>
          <w:ilvl w:val="2"/>
          <w:numId w:val="7"/>
        </w:numPr>
        <w:tabs>
          <w:tab w:val="left" w:pos="540"/>
        </w:tabs>
        <w:ind w:hanging="3600"/>
        <w:rPr>
          <w:rFonts w:asciiTheme="majorHAnsi" w:hAnsiTheme="majorHAnsi"/>
          <w:sz w:val="24"/>
          <w:szCs w:val="21"/>
          <w:lang w:val="en-GB"/>
        </w:rPr>
      </w:pPr>
      <w:bookmarkStart w:id="73" w:name="_Toc61062530"/>
      <w:bookmarkStart w:id="74" w:name="_Toc31194802"/>
      <w:bookmarkStart w:id="75" w:name="_Toc31029004"/>
      <w:bookmarkStart w:id="76" w:name="_Toc214024555"/>
      <w:r w:rsidRPr="001E5747">
        <w:rPr>
          <w:rFonts w:asciiTheme="majorHAnsi" w:hAnsiTheme="majorHAnsi"/>
          <w:sz w:val="24"/>
          <w:szCs w:val="21"/>
          <w:lang w:val="en-GB"/>
        </w:rPr>
        <w:t>Technical group</w:t>
      </w:r>
      <w:bookmarkEnd w:id="73"/>
      <w:bookmarkEnd w:id="74"/>
      <w:bookmarkEnd w:id="75"/>
      <w:bookmarkEnd w:id="76"/>
    </w:p>
    <w:p w14:paraId="6DB121F2" w14:textId="40D6B50E" w:rsidR="00B739C3" w:rsidRDefault="00B739C3" w:rsidP="00BF5499">
      <w:pPr>
        <w:jc w:val="both"/>
        <w:rPr>
          <w:rFonts w:asciiTheme="majorHAnsi" w:hAnsiTheme="majorHAnsi"/>
          <w:sz w:val="21"/>
          <w:szCs w:val="21"/>
          <w:lang w:val="en-GB"/>
        </w:rPr>
      </w:pPr>
      <w:r w:rsidRPr="001E5747">
        <w:rPr>
          <w:rFonts w:asciiTheme="majorHAnsi" w:hAnsiTheme="majorHAnsi"/>
          <w:sz w:val="21"/>
          <w:szCs w:val="21"/>
          <w:lang w:val="en-GB"/>
        </w:rPr>
        <w:t xml:space="preserve">The technical group is a professional level body composed of public officials of the unit responsible for municipal performance and representatives of </w:t>
      </w:r>
      <w:r w:rsidR="00EA7257">
        <w:rPr>
          <w:rFonts w:asciiTheme="majorHAnsi" w:hAnsiTheme="majorHAnsi"/>
          <w:sz w:val="21"/>
          <w:szCs w:val="21"/>
          <w:lang w:val="en-GB"/>
        </w:rPr>
        <w:t>donors</w:t>
      </w:r>
      <w:r w:rsidRPr="001E5747">
        <w:rPr>
          <w:rFonts w:asciiTheme="majorHAnsi" w:hAnsiTheme="majorHAnsi"/>
          <w:sz w:val="21"/>
          <w:szCs w:val="21"/>
          <w:lang w:val="en-GB"/>
        </w:rPr>
        <w:t xml:space="preserve">.  </w:t>
      </w:r>
    </w:p>
    <w:p w14:paraId="0B7D687A" w14:textId="3BDB9594" w:rsidR="00B739C3" w:rsidRPr="006C1C30" w:rsidRDefault="00B97ED5" w:rsidP="00BF5499">
      <w:pPr>
        <w:jc w:val="both"/>
        <w:rPr>
          <w:lang w:val="en-GB"/>
        </w:rPr>
      </w:pPr>
      <w:r>
        <w:rPr>
          <w:rFonts w:asciiTheme="majorHAnsi" w:hAnsiTheme="majorHAnsi"/>
          <w:sz w:val="21"/>
          <w:szCs w:val="21"/>
          <w:lang w:val="en-GB"/>
        </w:rPr>
        <w:t xml:space="preserve">The composition of the technical group is specified on article </w:t>
      </w:r>
      <w:r w:rsidR="00A231F5">
        <w:rPr>
          <w:rFonts w:asciiTheme="majorHAnsi" w:hAnsiTheme="majorHAnsi"/>
          <w:sz w:val="21"/>
          <w:szCs w:val="21"/>
          <w:lang w:val="en-GB"/>
        </w:rPr>
        <w:t>28.4 of the Law on MPMS/MPG,</w:t>
      </w:r>
      <w:r w:rsidR="00BF5499">
        <w:rPr>
          <w:rFonts w:asciiTheme="majorHAnsi" w:hAnsiTheme="majorHAnsi"/>
          <w:sz w:val="21"/>
          <w:szCs w:val="21"/>
          <w:lang w:val="en-GB"/>
        </w:rPr>
        <w:t xml:space="preserve"> </w:t>
      </w:r>
      <w:r>
        <w:rPr>
          <w:rFonts w:asciiTheme="majorHAnsi" w:hAnsiTheme="majorHAnsi"/>
          <w:sz w:val="21"/>
          <w:szCs w:val="21"/>
          <w:lang w:val="en-GB"/>
        </w:rPr>
        <w:t>while the</w:t>
      </w:r>
      <w:r w:rsidR="00690031">
        <w:rPr>
          <w:rFonts w:asciiTheme="majorHAnsi" w:hAnsiTheme="majorHAnsi"/>
          <w:sz w:val="21"/>
          <w:szCs w:val="21"/>
          <w:lang w:val="en-GB"/>
        </w:rPr>
        <w:t>ir</w:t>
      </w:r>
      <w:r>
        <w:rPr>
          <w:rFonts w:asciiTheme="majorHAnsi" w:hAnsiTheme="majorHAnsi"/>
          <w:sz w:val="21"/>
          <w:szCs w:val="21"/>
          <w:lang w:val="en-GB"/>
        </w:rPr>
        <w:t xml:space="preserve"> duties and responsibilities </w:t>
      </w:r>
      <w:r w:rsidR="00690031">
        <w:rPr>
          <w:rFonts w:asciiTheme="majorHAnsi" w:hAnsiTheme="majorHAnsi"/>
          <w:sz w:val="21"/>
          <w:szCs w:val="21"/>
          <w:lang w:val="en-GB"/>
        </w:rPr>
        <w:t xml:space="preserve">are specified on article 20.2 of the Administrative Instruction for </w:t>
      </w:r>
      <w:r w:rsidR="00EF1ADE">
        <w:rPr>
          <w:rFonts w:asciiTheme="majorHAnsi" w:hAnsiTheme="majorHAnsi"/>
          <w:sz w:val="21"/>
          <w:szCs w:val="21"/>
          <w:lang w:val="en-GB"/>
        </w:rPr>
        <w:t>M</w:t>
      </w:r>
      <w:r w:rsidR="00C217D4">
        <w:rPr>
          <w:rFonts w:asciiTheme="majorHAnsi" w:hAnsiTheme="majorHAnsi"/>
          <w:sz w:val="21"/>
          <w:szCs w:val="21"/>
          <w:lang w:val="en-GB"/>
        </w:rPr>
        <w:t>PMS/MPG.</w:t>
      </w:r>
    </w:p>
    <w:p w14:paraId="651DC13A" w14:textId="77777777" w:rsidR="00B739C3" w:rsidRPr="001E5747" w:rsidRDefault="00B739C3" w:rsidP="00B739C3">
      <w:pPr>
        <w:tabs>
          <w:tab w:val="left" w:pos="1710"/>
        </w:tabs>
        <w:spacing w:line="264" w:lineRule="auto"/>
        <w:jc w:val="both"/>
        <w:rPr>
          <w:rFonts w:asciiTheme="majorHAnsi" w:hAnsiTheme="majorHAnsi"/>
          <w:sz w:val="21"/>
          <w:szCs w:val="21"/>
          <w:lang w:val="en-GB"/>
        </w:rPr>
      </w:pPr>
    </w:p>
    <w:p w14:paraId="418AC736" w14:textId="60CD32D1" w:rsidR="00B739C3" w:rsidRDefault="00091613" w:rsidP="00B739C3">
      <w:pPr>
        <w:pStyle w:val="Heading1"/>
        <w:numPr>
          <w:ilvl w:val="2"/>
          <w:numId w:val="7"/>
        </w:numPr>
        <w:tabs>
          <w:tab w:val="left" w:pos="540"/>
        </w:tabs>
        <w:ind w:hanging="3600"/>
        <w:rPr>
          <w:rFonts w:asciiTheme="majorHAnsi" w:hAnsiTheme="majorHAnsi"/>
          <w:sz w:val="24"/>
          <w:szCs w:val="21"/>
          <w:lang w:val="en-GB"/>
        </w:rPr>
      </w:pPr>
      <w:bookmarkStart w:id="77" w:name="_Toc214024556"/>
      <w:r w:rsidRPr="001E5747">
        <w:rPr>
          <w:rFonts w:asciiTheme="majorHAnsi" w:hAnsiTheme="majorHAnsi"/>
          <w:sz w:val="24"/>
          <w:szCs w:val="21"/>
          <w:lang w:val="en-GB"/>
        </w:rPr>
        <w:t>Appeals Commission</w:t>
      </w:r>
      <w:bookmarkEnd w:id="77"/>
    </w:p>
    <w:p w14:paraId="0CC454B1" w14:textId="77777777" w:rsidR="00BF5499" w:rsidRPr="00BF5499" w:rsidRDefault="00BF5499" w:rsidP="00BF5499">
      <w:pPr>
        <w:rPr>
          <w:lang w:val="en-GB"/>
        </w:rPr>
      </w:pPr>
    </w:p>
    <w:p w14:paraId="70E86B9B" w14:textId="20B1EB73" w:rsidR="00B739C3" w:rsidRPr="001E5747" w:rsidRDefault="00B739C3" w:rsidP="00BF5499">
      <w:pPr>
        <w:jc w:val="both"/>
        <w:rPr>
          <w:rFonts w:asciiTheme="majorHAnsi" w:hAnsiTheme="majorHAnsi"/>
          <w:sz w:val="21"/>
          <w:szCs w:val="21"/>
          <w:lang w:val="en-GB"/>
        </w:rPr>
      </w:pPr>
      <w:r w:rsidRPr="001E5747">
        <w:rPr>
          <w:rFonts w:asciiTheme="majorHAnsi" w:hAnsiTheme="majorHAnsi"/>
          <w:sz w:val="21"/>
          <w:szCs w:val="21"/>
          <w:lang w:val="en-GB"/>
        </w:rPr>
        <w:t xml:space="preserve">The </w:t>
      </w:r>
      <w:r w:rsidR="00091613" w:rsidRPr="001E5747">
        <w:rPr>
          <w:rFonts w:asciiTheme="majorHAnsi" w:hAnsiTheme="majorHAnsi"/>
          <w:sz w:val="21"/>
          <w:szCs w:val="21"/>
          <w:lang w:val="en-GB"/>
        </w:rPr>
        <w:t>Appeals Commission</w:t>
      </w:r>
      <w:r w:rsidRPr="001E5747">
        <w:rPr>
          <w:rFonts w:asciiTheme="majorHAnsi" w:hAnsiTheme="majorHAnsi"/>
          <w:sz w:val="21"/>
          <w:szCs w:val="21"/>
          <w:lang w:val="en-GB"/>
        </w:rPr>
        <w:t xml:space="preserve"> reviews and decides on appeals submitted by municipalities regarding their performance appraisal to the MPG</w:t>
      </w:r>
    </w:p>
    <w:p w14:paraId="7D3A80A4" w14:textId="6CA2C5C5" w:rsidR="00912C92" w:rsidRDefault="00B739C3" w:rsidP="00BF5499">
      <w:pPr>
        <w:jc w:val="both"/>
        <w:rPr>
          <w:rFonts w:asciiTheme="majorHAnsi" w:hAnsiTheme="majorHAnsi"/>
          <w:sz w:val="21"/>
          <w:szCs w:val="21"/>
          <w:lang w:val="en-GB"/>
        </w:rPr>
      </w:pPr>
      <w:r w:rsidRPr="001E5747">
        <w:rPr>
          <w:rFonts w:asciiTheme="majorHAnsi" w:hAnsiTheme="majorHAnsi"/>
          <w:sz w:val="21"/>
          <w:szCs w:val="21"/>
          <w:lang w:val="en-GB"/>
        </w:rPr>
        <w:lastRenderedPageBreak/>
        <w:t xml:space="preserve">The </w:t>
      </w:r>
      <w:r w:rsidR="00091613" w:rsidRPr="001E5747">
        <w:rPr>
          <w:rFonts w:asciiTheme="majorHAnsi" w:hAnsiTheme="majorHAnsi"/>
          <w:sz w:val="21"/>
          <w:szCs w:val="21"/>
          <w:lang w:val="en-GB"/>
        </w:rPr>
        <w:t>Appeals Commission</w:t>
      </w:r>
      <w:r w:rsidRPr="001E5747">
        <w:rPr>
          <w:rFonts w:asciiTheme="majorHAnsi" w:hAnsiTheme="majorHAnsi"/>
          <w:sz w:val="21"/>
          <w:szCs w:val="21"/>
          <w:lang w:val="en-GB"/>
        </w:rPr>
        <w:t xml:space="preserve"> </w:t>
      </w:r>
      <w:r w:rsidR="00AC6EE3">
        <w:rPr>
          <w:rFonts w:asciiTheme="majorHAnsi" w:hAnsiTheme="majorHAnsi"/>
          <w:sz w:val="21"/>
          <w:szCs w:val="21"/>
          <w:lang w:val="en-GB"/>
        </w:rPr>
        <w:t>composition</w:t>
      </w:r>
      <w:r w:rsidRPr="001E5747">
        <w:rPr>
          <w:rFonts w:asciiTheme="majorHAnsi" w:hAnsiTheme="majorHAnsi"/>
          <w:sz w:val="21"/>
          <w:szCs w:val="21"/>
          <w:lang w:val="en-GB"/>
        </w:rPr>
        <w:t xml:space="preserve"> </w:t>
      </w:r>
      <w:r w:rsidR="00AC6EE3">
        <w:rPr>
          <w:rFonts w:asciiTheme="majorHAnsi" w:hAnsiTheme="majorHAnsi"/>
          <w:sz w:val="21"/>
          <w:szCs w:val="21"/>
          <w:lang w:val="en-GB"/>
        </w:rPr>
        <w:t>is specified on article 28.5 of the Law for</w:t>
      </w:r>
      <w:r w:rsidR="00C217D4">
        <w:rPr>
          <w:rFonts w:asciiTheme="majorHAnsi" w:hAnsiTheme="majorHAnsi"/>
          <w:sz w:val="21"/>
          <w:szCs w:val="21"/>
          <w:lang w:val="en-GB"/>
        </w:rPr>
        <w:t xml:space="preserve"> </w:t>
      </w:r>
      <w:r w:rsidR="00EF1ADE">
        <w:rPr>
          <w:rFonts w:asciiTheme="majorHAnsi" w:hAnsiTheme="majorHAnsi"/>
          <w:sz w:val="21"/>
          <w:szCs w:val="21"/>
          <w:lang w:val="en-GB"/>
        </w:rPr>
        <w:t>M</w:t>
      </w:r>
      <w:r w:rsidR="00C217D4">
        <w:rPr>
          <w:rFonts w:asciiTheme="majorHAnsi" w:hAnsiTheme="majorHAnsi"/>
          <w:sz w:val="21"/>
          <w:szCs w:val="21"/>
          <w:lang w:val="en-GB"/>
        </w:rPr>
        <w:t>PMS/MPG.</w:t>
      </w:r>
    </w:p>
    <w:p w14:paraId="631DC53A" w14:textId="3B8A0A1B" w:rsidR="00DD1A72" w:rsidRDefault="00912C92" w:rsidP="00BF5499">
      <w:pPr>
        <w:jc w:val="both"/>
        <w:rPr>
          <w:rFonts w:asciiTheme="majorHAnsi" w:hAnsiTheme="majorHAnsi"/>
          <w:sz w:val="21"/>
          <w:szCs w:val="21"/>
          <w:lang w:val="en-GB"/>
        </w:rPr>
      </w:pPr>
      <w:r>
        <w:rPr>
          <w:rFonts w:asciiTheme="majorHAnsi" w:hAnsiTheme="majorHAnsi"/>
          <w:sz w:val="21"/>
          <w:szCs w:val="21"/>
          <w:lang w:val="en-GB"/>
        </w:rPr>
        <w:t>The Appeals Commission will not review the complaints related to the data source used during the assessment.</w:t>
      </w:r>
    </w:p>
    <w:p w14:paraId="2DEB387E" w14:textId="77777777" w:rsidR="00B739C3" w:rsidRPr="001E5747" w:rsidRDefault="00B739C3" w:rsidP="00BF5499">
      <w:pPr>
        <w:jc w:val="both"/>
        <w:rPr>
          <w:rFonts w:asciiTheme="majorHAnsi" w:hAnsiTheme="majorHAnsi"/>
          <w:sz w:val="21"/>
          <w:szCs w:val="21"/>
          <w:lang w:val="en-GB"/>
        </w:rPr>
      </w:pPr>
      <w:r w:rsidRPr="001E5747">
        <w:rPr>
          <w:rFonts w:asciiTheme="majorHAnsi" w:hAnsiTheme="majorHAnsi"/>
          <w:sz w:val="21"/>
          <w:szCs w:val="21"/>
          <w:lang w:val="en-GB"/>
        </w:rPr>
        <w:t xml:space="preserve">Members of the grant commission or technical group may not be members of the </w:t>
      </w:r>
      <w:r w:rsidR="00091613" w:rsidRPr="001E5747">
        <w:rPr>
          <w:rFonts w:asciiTheme="majorHAnsi" w:hAnsiTheme="majorHAnsi"/>
          <w:sz w:val="21"/>
          <w:szCs w:val="21"/>
          <w:lang w:val="en-GB"/>
        </w:rPr>
        <w:t>Appeals Commission</w:t>
      </w:r>
      <w:r w:rsidRPr="001E5747">
        <w:rPr>
          <w:rFonts w:asciiTheme="majorHAnsi" w:hAnsiTheme="majorHAnsi"/>
          <w:sz w:val="21"/>
          <w:szCs w:val="21"/>
          <w:lang w:val="en-GB"/>
        </w:rPr>
        <w:t>.</w:t>
      </w:r>
    </w:p>
    <w:p w14:paraId="32496E66" w14:textId="77777777" w:rsidR="006547C8" w:rsidRDefault="006547C8" w:rsidP="00BF5499">
      <w:pPr>
        <w:tabs>
          <w:tab w:val="left" w:pos="1710"/>
        </w:tabs>
        <w:spacing w:before="20" w:line="264" w:lineRule="auto"/>
        <w:jc w:val="both"/>
        <w:rPr>
          <w:rFonts w:asciiTheme="majorHAnsi" w:hAnsiTheme="majorHAnsi"/>
          <w:sz w:val="21"/>
          <w:szCs w:val="21"/>
          <w:lang w:val="en-GB"/>
        </w:rPr>
      </w:pPr>
    </w:p>
    <w:p w14:paraId="6356F19F" w14:textId="77777777" w:rsidR="006547C8" w:rsidRPr="00BF5499" w:rsidRDefault="006547C8" w:rsidP="00BF5499">
      <w:pPr>
        <w:tabs>
          <w:tab w:val="left" w:pos="1710"/>
        </w:tabs>
        <w:spacing w:before="20" w:line="264" w:lineRule="auto"/>
        <w:jc w:val="both"/>
        <w:rPr>
          <w:rFonts w:asciiTheme="majorHAnsi" w:hAnsiTheme="majorHAnsi"/>
          <w:sz w:val="21"/>
          <w:szCs w:val="21"/>
          <w:lang w:val="en-GB"/>
        </w:rPr>
      </w:pPr>
    </w:p>
    <w:p w14:paraId="0924C808" w14:textId="77777777" w:rsidR="00B739C3" w:rsidRPr="001E5747" w:rsidRDefault="00CD626C" w:rsidP="00B739C3">
      <w:pPr>
        <w:pStyle w:val="Heading1"/>
        <w:numPr>
          <w:ilvl w:val="1"/>
          <w:numId w:val="7"/>
        </w:numPr>
        <w:tabs>
          <w:tab w:val="left" w:pos="540"/>
        </w:tabs>
        <w:ind w:hanging="1800"/>
        <w:rPr>
          <w:rFonts w:asciiTheme="majorHAnsi" w:hAnsiTheme="majorHAnsi"/>
          <w:color w:val="C0504D"/>
          <w:szCs w:val="28"/>
          <w:lang w:val="en-GB"/>
        </w:rPr>
      </w:pPr>
      <w:bookmarkStart w:id="78" w:name="_Toc214024557"/>
      <w:r w:rsidRPr="001E5747">
        <w:rPr>
          <w:rFonts w:asciiTheme="majorHAnsi" w:hAnsiTheme="majorHAnsi"/>
          <w:color w:val="C0504D"/>
          <w:szCs w:val="28"/>
          <w:lang w:val="en-GB"/>
        </w:rPr>
        <w:t>Timeline</w:t>
      </w:r>
      <w:bookmarkEnd w:id="78"/>
    </w:p>
    <w:p w14:paraId="39267E29" w14:textId="36BCB762" w:rsidR="006547C8" w:rsidRDefault="006C1C30" w:rsidP="00BF5499">
      <w:pPr>
        <w:jc w:val="both"/>
        <w:rPr>
          <w:rFonts w:asciiTheme="majorHAnsi" w:hAnsiTheme="majorHAnsi"/>
          <w:sz w:val="21"/>
          <w:szCs w:val="21"/>
          <w:lang w:val="en-GB"/>
        </w:rPr>
      </w:pPr>
      <w:r w:rsidRPr="00BF5499">
        <w:rPr>
          <w:rFonts w:asciiTheme="majorHAnsi" w:hAnsiTheme="majorHAnsi"/>
          <w:sz w:val="21"/>
          <w:szCs w:val="21"/>
          <w:lang w:val="en-GB"/>
        </w:rPr>
        <w:t xml:space="preserve">The evaluation of </w:t>
      </w:r>
      <w:r w:rsidR="006F03BA" w:rsidRPr="00BF5499">
        <w:rPr>
          <w:rFonts w:asciiTheme="majorHAnsi" w:hAnsiTheme="majorHAnsi"/>
          <w:sz w:val="21"/>
          <w:szCs w:val="21"/>
          <w:lang w:val="en-GB"/>
        </w:rPr>
        <w:t>MPG</w:t>
      </w:r>
      <w:r w:rsidRPr="00BF5499">
        <w:rPr>
          <w:rFonts w:asciiTheme="majorHAnsi" w:hAnsiTheme="majorHAnsi"/>
          <w:sz w:val="21"/>
          <w:szCs w:val="21"/>
          <w:lang w:val="en-GB"/>
        </w:rPr>
        <w:t xml:space="preserve"> shall begin after the publication of the annual municipal performance report for the previous </w:t>
      </w:r>
      <w:proofErr w:type="spellStart"/>
      <w:proofErr w:type="gramStart"/>
      <w:r w:rsidRPr="00BF5499">
        <w:rPr>
          <w:rFonts w:asciiTheme="majorHAnsi" w:hAnsiTheme="majorHAnsi"/>
          <w:sz w:val="21"/>
          <w:szCs w:val="21"/>
          <w:lang w:val="en-GB"/>
        </w:rPr>
        <w:t>year</w:t>
      </w:r>
      <w:r w:rsidR="006F03BA" w:rsidRPr="00BF5499">
        <w:rPr>
          <w:rFonts w:asciiTheme="majorHAnsi" w:hAnsiTheme="majorHAnsi"/>
          <w:sz w:val="21"/>
          <w:szCs w:val="21"/>
          <w:lang w:val="en-GB"/>
        </w:rPr>
        <w:t>.</w:t>
      </w:r>
      <w:r w:rsidR="00B739C3" w:rsidRPr="00BF5499">
        <w:rPr>
          <w:rFonts w:asciiTheme="majorHAnsi" w:hAnsiTheme="majorHAnsi"/>
          <w:sz w:val="21"/>
          <w:szCs w:val="21"/>
          <w:lang w:val="en-GB"/>
        </w:rPr>
        <w:t>The</w:t>
      </w:r>
      <w:proofErr w:type="spellEnd"/>
      <w:proofErr w:type="gramEnd"/>
      <w:r w:rsidR="00B739C3" w:rsidRPr="00BF5499">
        <w:rPr>
          <w:rFonts w:asciiTheme="majorHAnsi" w:hAnsiTheme="majorHAnsi"/>
          <w:sz w:val="21"/>
          <w:szCs w:val="21"/>
          <w:lang w:val="en-GB"/>
        </w:rPr>
        <w:t xml:space="preserve"> table below shows grant allocation timeline for </w:t>
      </w:r>
      <w:r w:rsidR="00AC6EE3" w:rsidRPr="00BF5499">
        <w:rPr>
          <w:rFonts w:asciiTheme="majorHAnsi" w:hAnsiTheme="majorHAnsi"/>
          <w:sz w:val="21"/>
          <w:szCs w:val="21"/>
          <w:lang w:val="en-GB"/>
        </w:rPr>
        <w:t>202</w:t>
      </w:r>
      <w:r w:rsidR="002D5AB7">
        <w:rPr>
          <w:rFonts w:asciiTheme="majorHAnsi" w:hAnsiTheme="majorHAnsi"/>
          <w:sz w:val="21"/>
          <w:szCs w:val="21"/>
          <w:lang w:val="en-GB"/>
        </w:rPr>
        <w:t>6</w:t>
      </w:r>
      <w:r w:rsidR="00AC6EE3" w:rsidRPr="00BF5499">
        <w:rPr>
          <w:rFonts w:asciiTheme="majorHAnsi" w:hAnsiTheme="majorHAnsi"/>
          <w:sz w:val="21"/>
          <w:szCs w:val="21"/>
          <w:lang w:val="en-GB"/>
        </w:rPr>
        <w:t xml:space="preserve"> </w:t>
      </w:r>
      <w:r w:rsidR="00B739C3" w:rsidRPr="00BF5499">
        <w:rPr>
          <w:rFonts w:asciiTheme="majorHAnsi" w:hAnsiTheme="majorHAnsi"/>
          <w:sz w:val="21"/>
          <w:szCs w:val="21"/>
          <w:lang w:val="en-GB"/>
        </w:rPr>
        <w:t xml:space="preserve">according to </w:t>
      </w:r>
      <w:r w:rsidR="00AC6EE3" w:rsidRPr="00BF5499">
        <w:rPr>
          <w:rFonts w:asciiTheme="majorHAnsi" w:hAnsiTheme="majorHAnsi"/>
          <w:sz w:val="21"/>
          <w:szCs w:val="21"/>
          <w:lang w:val="en-GB"/>
        </w:rPr>
        <w:t>20</w:t>
      </w:r>
      <w:r w:rsidR="00BF5499">
        <w:rPr>
          <w:rFonts w:asciiTheme="majorHAnsi" w:hAnsiTheme="majorHAnsi"/>
          <w:sz w:val="21"/>
          <w:szCs w:val="21"/>
          <w:lang w:val="en-GB"/>
        </w:rPr>
        <w:t>2</w:t>
      </w:r>
      <w:r w:rsidR="002D5AB7">
        <w:rPr>
          <w:rFonts w:asciiTheme="majorHAnsi" w:hAnsiTheme="majorHAnsi"/>
          <w:sz w:val="21"/>
          <w:szCs w:val="21"/>
          <w:lang w:val="en-GB"/>
        </w:rPr>
        <w:t>4</w:t>
      </w:r>
      <w:r w:rsidR="00AC6EE3" w:rsidRPr="00BF5499">
        <w:rPr>
          <w:rFonts w:asciiTheme="majorHAnsi" w:hAnsiTheme="majorHAnsi"/>
          <w:sz w:val="21"/>
          <w:szCs w:val="21"/>
          <w:lang w:val="en-GB"/>
        </w:rPr>
        <w:t xml:space="preserve"> </w:t>
      </w:r>
      <w:r w:rsidR="00B739C3" w:rsidRPr="00BF5499">
        <w:rPr>
          <w:rFonts w:asciiTheme="majorHAnsi" w:hAnsiTheme="majorHAnsi"/>
          <w:sz w:val="21"/>
          <w:szCs w:val="21"/>
          <w:lang w:val="en-GB"/>
        </w:rPr>
        <w:t>performance</w:t>
      </w:r>
      <w:r w:rsidR="007852A6" w:rsidRPr="00BF5499">
        <w:rPr>
          <w:rFonts w:asciiTheme="majorHAnsi" w:hAnsiTheme="majorHAnsi"/>
          <w:sz w:val="21"/>
          <w:szCs w:val="21"/>
          <w:lang w:val="en-GB"/>
        </w:rPr>
        <w:t xml:space="preserve"> assessment</w:t>
      </w:r>
      <w:r w:rsidR="00B739C3" w:rsidRPr="00BF5499">
        <w:rPr>
          <w:rFonts w:asciiTheme="majorHAnsi" w:hAnsiTheme="majorHAnsi"/>
          <w:sz w:val="21"/>
          <w:szCs w:val="21"/>
          <w:lang w:val="en-GB"/>
        </w:rPr>
        <w:t>.</w:t>
      </w:r>
    </w:p>
    <w:p w14:paraId="42FF01D6" w14:textId="77777777" w:rsidR="006547C8" w:rsidRPr="00BF5499" w:rsidRDefault="006547C8" w:rsidP="00BF5499">
      <w:pPr>
        <w:jc w:val="both"/>
        <w:rPr>
          <w:rFonts w:asciiTheme="majorHAnsi" w:hAnsiTheme="majorHAnsi"/>
          <w:sz w:val="21"/>
          <w:szCs w:val="21"/>
          <w:lang w:val="en-GB"/>
        </w:rPr>
      </w:pPr>
    </w:p>
    <w:p w14:paraId="0C901A61" w14:textId="1BA91B63" w:rsidR="00B739C3" w:rsidRPr="001E5747" w:rsidRDefault="00B739C3" w:rsidP="00B739C3">
      <w:pPr>
        <w:spacing w:before="120" w:line="264" w:lineRule="auto"/>
        <w:jc w:val="both"/>
        <w:rPr>
          <w:rFonts w:asciiTheme="majorHAnsi" w:hAnsiTheme="majorHAnsi"/>
          <w:b/>
          <w:sz w:val="21"/>
          <w:szCs w:val="21"/>
          <w:lang w:val="en-GB"/>
        </w:rPr>
      </w:pPr>
      <w:r w:rsidRPr="001E5747">
        <w:rPr>
          <w:rFonts w:asciiTheme="majorHAnsi" w:hAnsiTheme="majorHAnsi"/>
          <w:b/>
          <w:sz w:val="21"/>
          <w:szCs w:val="21"/>
          <w:lang w:val="en-GB"/>
        </w:rPr>
        <w:t xml:space="preserve">Table 4: </w:t>
      </w:r>
      <w:r w:rsidR="006F03BA">
        <w:rPr>
          <w:rFonts w:asciiTheme="majorHAnsi" w:hAnsiTheme="majorHAnsi"/>
          <w:b/>
          <w:sz w:val="21"/>
          <w:szCs w:val="21"/>
          <w:lang w:val="en-GB"/>
        </w:rPr>
        <w:t>T</w:t>
      </w:r>
      <w:r w:rsidRPr="001E5747">
        <w:rPr>
          <w:rFonts w:asciiTheme="majorHAnsi" w:hAnsiTheme="majorHAnsi"/>
          <w:b/>
          <w:sz w:val="21"/>
          <w:szCs w:val="21"/>
          <w:lang w:val="en-GB"/>
        </w:rPr>
        <w:t xml:space="preserve">imeline of the </w:t>
      </w:r>
      <w:r w:rsidR="009767E2">
        <w:rPr>
          <w:rFonts w:asciiTheme="majorHAnsi" w:hAnsiTheme="majorHAnsi"/>
          <w:b/>
          <w:sz w:val="21"/>
          <w:szCs w:val="21"/>
          <w:lang w:val="en-GB"/>
        </w:rPr>
        <w:t>assessment</w:t>
      </w:r>
      <w:r w:rsidRPr="001E5747">
        <w:rPr>
          <w:rFonts w:asciiTheme="majorHAnsi" w:hAnsiTheme="majorHAnsi"/>
          <w:b/>
          <w:sz w:val="21"/>
          <w:szCs w:val="21"/>
          <w:lang w:val="en-GB"/>
        </w:rPr>
        <w:t xml:space="preserve"> process </w:t>
      </w:r>
    </w:p>
    <w:tbl>
      <w:tblPr>
        <w:tblStyle w:val="TableGrid"/>
        <w:tblW w:w="7285" w:type="dxa"/>
        <w:jc w:val="center"/>
        <w:tblLayout w:type="fixed"/>
        <w:tblLook w:val="04A0" w:firstRow="1" w:lastRow="0" w:firstColumn="1" w:lastColumn="0" w:noHBand="0" w:noVBand="1"/>
      </w:tblPr>
      <w:tblGrid>
        <w:gridCol w:w="4787"/>
        <w:gridCol w:w="2498"/>
      </w:tblGrid>
      <w:tr w:rsidR="00B739C3" w:rsidRPr="001E5747" w14:paraId="4677C9DA" w14:textId="77777777" w:rsidTr="00352C4A">
        <w:trPr>
          <w:jc w:val="center"/>
        </w:trPr>
        <w:tc>
          <w:tcPr>
            <w:tcW w:w="4787" w:type="dxa"/>
            <w:shd w:val="clear" w:color="auto" w:fill="365F91" w:themeFill="accent1" w:themeFillShade="BF"/>
          </w:tcPr>
          <w:p w14:paraId="0F50C472" w14:textId="77777777" w:rsidR="00B739C3" w:rsidRPr="001E5747" w:rsidRDefault="00B739C3" w:rsidP="00B739C3">
            <w:pPr>
              <w:spacing w:before="120" w:line="264" w:lineRule="auto"/>
              <w:jc w:val="both"/>
              <w:rPr>
                <w:rFonts w:asciiTheme="majorHAnsi" w:hAnsiTheme="majorHAnsi"/>
                <w:b/>
                <w:color w:val="FFFFFF" w:themeColor="background1"/>
                <w:sz w:val="21"/>
                <w:szCs w:val="21"/>
                <w:lang w:val="en-GB"/>
              </w:rPr>
            </w:pPr>
            <w:r w:rsidRPr="001E5747">
              <w:rPr>
                <w:rFonts w:asciiTheme="majorHAnsi" w:hAnsiTheme="majorHAnsi"/>
                <w:b/>
                <w:color w:val="FFFFFF" w:themeColor="background1"/>
                <w:sz w:val="21"/>
                <w:szCs w:val="21"/>
                <w:lang w:val="en-GB"/>
              </w:rPr>
              <w:t>Activity</w:t>
            </w:r>
          </w:p>
        </w:tc>
        <w:tc>
          <w:tcPr>
            <w:tcW w:w="2498" w:type="dxa"/>
            <w:shd w:val="clear" w:color="auto" w:fill="365F91" w:themeFill="accent1" w:themeFillShade="BF"/>
          </w:tcPr>
          <w:p w14:paraId="288D0EA6" w14:textId="4DDFB71E" w:rsidR="00B739C3" w:rsidRPr="001E5747" w:rsidRDefault="00C06C3E" w:rsidP="00AC6EE3">
            <w:pPr>
              <w:spacing w:before="120" w:line="264" w:lineRule="auto"/>
              <w:jc w:val="center"/>
              <w:rPr>
                <w:rFonts w:asciiTheme="majorHAnsi" w:hAnsiTheme="majorHAnsi"/>
                <w:b/>
                <w:color w:val="FFFFFF" w:themeColor="background1"/>
                <w:sz w:val="21"/>
                <w:szCs w:val="21"/>
                <w:lang w:val="en-GB"/>
              </w:rPr>
            </w:pPr>
            <w:r>
              <w:rPr>
                <w:rFonts w:asciiTheme="majorHAnsi" w:hAnsiTheme="majorHAnsi"/>
                <w:b/>
                <w:color w:val="FFFFFF" w:themeColor="background1"/>
                <w:sz w:val="21"/>
                <w:szCs w:val="21"/>
                <w:lang w:val="en-GB"/>
              </w:rPr>
              <w:t>MPG</w:t>
            </w:r>
            <w:r w:rsidR="00B739C3" w:rsidRPr="001E5747">
              <w:rPr>
                <w:rFonts w:asciiTheme="majorHAnsi" w:hAnsiTheme="majorHAnsi"/>
                <w:b/>
                <w:color w:val="FFFFFF" w:themeColor="background1"/>
                <w:sz w:val="21"/>
                <w:szCs w:val="21"/>
                <w:lang w:val="en-GB"/>
              </w:rPr>
              <w:t xml:space="preserve"> </w:t>
            </w:r>
            <w:r w:rsidR="00AC6EE3" w:rsidRPr="001E5747">
              <w:rPr>
                <w:rFonts w:asciiTheme="majorHAnsi" w:hAnsiTheme="majorHAnsi"/>
                <w:b/>
                <w:color w:val="FFFFFF" w:themeColor="background1"/>
                <w:sz w:val="21"/>
                <w:szCs w:val="21"/>
                <w:lang w:val="en-GB"/>
              </w:rPr>
              <w:t>202</w:t>
            </w:r>
            <w:r w:rsidR="00DD795C">
              <w:rPr>
                <w:rFonts w:asciiTheme="majorHAnsi" w:hAnsiTheme="majorHAnsi"/>
                <w:b/>
                <w:color w:val="FFFFFF" w:themeColor="background1"/>
                <w:sz w:val="21"/>
                <w:szCs w:val="21"/>
                <w:lang w:val="en-GB"/>
              </w:rPr>
              <w:t>6</w:t>
            </w:r>
          </w:p>
        </w:tc>
      </w:tr>
      <w:tr w:rsidR="00B739C3" w:rsidRPr="001E5747" w14:paraId="0695E35F" w14:textId="77777777" w:rsidTr="00352C4A">
        <w:trPr>
          <w:trHeight w:val="227"/>
          <w:jc w:val="center"/>
        </w:trPr>
        <w:tc>
          <w:tcPr>
            <w:tcW w:w="4787" w:type="dxa"/>
          </w:tcPr>
          <w:p w14:paraId="7C8777F9" w14:textId="6B4E1453" w:rsidR="00B739C3" w:rsidRPr="001E5747" w:rsidRDefault="00B739C3" w:rsidP="00B739C3">
            <w:pPr>
              <w:spacing w:before="40" w:after="40"/>
              <w:rPr>
                <w:rFonts w:asciiTheme="majorHAnsi" w:hAnsiTheme="majorHAnsi"/>
                <w:sz w:val="21"/>
                <w:szCs w:val="21"/>
                <w:lang w:val="en-GB"/>
              </w:rPr>
            </w:pPr>
            <w:r w:rsidRPr="001E5747">
              <w:rPr>
                <w:rFonts w:asciiTheme="majorHAnsi" w:hAnsiTheme="majorHAnsi"/>
                <w:sz w:val="18"/>
                <w:szCs w:val="21"/>
                <w:lang w:val="en-GB"/>
              </w:rPr>
              <w:t>Adoption of rules</w:t>
            </w:r>
            <w:r w:rsidR="004B78F4">
              <w:rPr>
                <w:rStyle w:val="FootnoteReference"/>
                <w:rFonts w:asciiTheme="majorHAnsi" w:hAnsiTheme="majorHAnsi"/>
                <w:sz w:val="18"/>
                <w:szCs w:val="21"/>
                <w:lang w:val="en-GB"/>
              </w:rPr>
              <w:footnoteReference w:id="14"/>
            </w:r>
          </w:p>
        </w:tc>
        <w:tc>
          <w:tcPr>
            <w:tcW w:w="2498" w:type="dxa"/>
            <w:vAlign w:val="center"/>
          </w:tcPr>
          <w:p w14:paraId="74128C1B" w14:textId="60AAE75C" w:rsidR="00B739C3" w:rsidRPr="001E5747" w:rsidRDefault="00DD795C" w:rsidP="00C06C3E">
            <w:pPr>
              <w:spacing w:before="40" w:after="40"/>
              <w:ind w:right="-108" w:hanging="108"/>
              <w:jc w:val="center"/>
              <w:rPr>
                <w:rFonts w:asciiTheme="majorHAnsi" w:hAnsiTheme="majorHAnsi"/>
                <w:sz w:val="17"/>
                <w:szCs w:val="17"/>
                <w:lang w:val="en-GB"/>
              </w:rPr>
            </w:pPr>
            <w:r>
              <w:rPr>
                <w:rFonts w:asciiTheme="majorHAnsi" w:hAnsiTheme="majorHAnsi"/>
                <w:sz w:val="17"/>
                <w:szCs w:val="17"/>
                <w:lang w:val="en-GB"/>
              </w:rPr>
              <w:t>November</w:t>
            </w:r>
            <w:r w:rsidR="00555374">
              <w:rPr>
                <w:rFonts w:asciiTheme="majorHAnsi" w:hAnsiTheme="majorHAnsi"/>
                <w:sz w:val="17"/>
                <w:szCs w:val="17"/>
                <w:lang w:val="en-GB"/>
              </w:rPr>
              <w:t xml:space="preserve"> </w:t>
            </w:r>
            <w:r w:rsidR="00AC6EE3">
              <w:rPr>
                <w:rFonts w:asciiTheme="majorHAnsi" w:hAnsiTheme="majorHAnsi"/>
                <w:sz w:val="17"/>
                <w:szCs w:val="17"/>
                <w:lang w:val="en-GB"/>
              </w:rPr>
              <w:t>202</w:t>
            </w:r>
            <w:r>
              <w:rPr>
                <w:rFonts w:asciiTheme="majorHAnsi" w:hAnsiTheme="majorHAnsi"/>
                <w:sz w:val="17"/>
                <w:szCs w:val="17"/>
                <w:lang w:val="en-GB"/>
              </w:rPr>
              <w:t>5</w:t>
            </w:r>
          </w:p>
        </w:tc>
      </w:tr>
      <w:tr w:rsidR="00DD795C" w:rsidRPr="001E5747" w14:paraId="14A118FB" w14:textId="77777777" w:rsidTr="00023C23">
        <w:trPr>
          <w:trHeight w:val="227"/>
          <w:jc w:val="center"/>
        </w:trPr>
        <w:tc>
          <w:tcPr>
            <w:tcW w:w="4787" w:type="dxa"/>
          </w:tcPr>
          <w:p w14:paraId="3F4054DB" w14:textId="77777777" w:rsidR="00DD795C" w:rsidRPr="001E5747" w:rsidRDefault="00DD795C" w:rsidP="00DD795C">
            <w:pPr>
              <w:spacing w:before="40" w:after="40"/>
              <w:rPr>
                <w:rFonts w:asciiTheme="majorHAnsi" w:hAnsiTheme="majorHAnsi"/>
                <w:sz w:val="21"/>
                <w:szCs w:val="21"/>
                <w:lang w:val="en-GB"/>
              </w:rPr>
            </w:pPr>
            <w:r w:rsidRPr="001E5747">
              <w:rPr>
                <w:rFonts w:asciiTheme="majorHAnsi" w:hAnsiTheme="majorHAnsi"/>
                <w:sz w:val="18"/>
                <w:szCs w:val="21"/>
                <w:lang w:val="en-GB"/>
              </w:rPr>
              <w:t>Data collection</w:t>
            </w:r>
          </w:p>
        </w:tc>
        <w:tc>
          <w:tcPr>
            <w:tcW w:w="2498" w:type="dxa"/>
          </w:tcPr>
          <w:p w14:paraId="220428E2" w14:textId="4A292555" w:rsidR="00DD795C" w:rsidRPr="001E5747" w:rsidRDefault="00DD795C" w:rsidP="00DD795C">
            <w:pPr>
              <w:spacing w:before="40" w:after="40"/>
              <w:ind w:right="-108" w:hanging="108"/>
              <w:jc w:val="center"/>
              <w:rPr>
                <w:rFonts w:asciiTheme="majorHAnsi" w:hAnsiTheme="majorHAnsi"/>
                <w:sz w:val="17"/>
                <w:szCs w:val="17"/>
                <w:lang w:val="en-GB"/>
              </w:rPr>
            </w:pPr>
            <w:r w:rsidRPr="00746BED">
              <w:rPr>
                <w:rFonts w:asciiTheme="majorHAnsi" w:hAnsiTheme="majorHAnsi"/>
                <w:sz w:val="17"/>
                <w:szCs w:val="17"/>
                <w:lang w:val="en-GB"/>
              </w:rPr>
              <w:t>November 2025</w:t>
            </w:r>
          </w:p>
        </w:tc>
      </w:tr>
      <w:tr w:rsidR="00DD795C" w:rsidRPr="001E5747" w14:paraId="03E7D9E0" w14:textId="77777777" w:rsidTr="00023C23">
        <w:trPr>
          <w:jc w:val="center"/>
        </w:trPr>
        <w:tc>
          <w:tcPr>
            <w:tcW w:w="4787" w:type="dxa"/>
          </w:tcPr>
          <w:p w14:paraId="0348157A" w14:textId="77777777" w:rsidR="00DD795C" w:rsidRPr="001E5747" w:rsidRDefault="00DD795C" w:rsidP="00DD795C">
            <w:pPr>
              <w:spacing w:before="40" w:after="40"/>
              <w:rPr>
                <w:rFonts w:asciiTheme="majorHAnsi" w:hAnsiTheme="majorHAnsi"/>
                <w:sz w:val="21"/>
                <w:szCs w:val="21"/>
                <w:lang w:val="en-GB"/>
              </w:rPr>
            </w:pPr>
            <w:r w:rsidRPr="001E5747">
              <w:rPr>
                <w:rFonts w:asciiTheme="majorHAnsi" w:hAnsiTheme="majorHAnsi"/>
                <w:sz w:val="18"/>
                <w:szCs w:val="21"/>
                <w:lang w:val="en-GB"/>
              </w:rPr>
              <w:t>Assessment / scoring process</w:t>
            </w:r>
          </w:p>
        </w:tc>
        <w:tc>
          <w:tcPr>
            <w:tcW w:w="2498" w:type="dxa"/>
          </w:tcPr>
          <w:p w14:paraId="7F6C96F3" w14:textId="757F2DB4" w:rsidR="00DD795C" w:rsidRPr="001E5747" w:rsidRDefault="00DD795C" w:rsidP="00DD795C">
            <w:pPr>
              <w:spacing w:before="40" w:after="40"/>
              <w:ind w:right="-108" w:hanging="108"/>
              <w:jc w:val="center"/>
              <w:rPr>
                <w:rFonts w:asciiTheme="majorHAnsi" w:hAnsiTheme="majorHAnsi"/>
                <w:sz w:val="17"/>
                <w:szCs w:val="17"/>
                <w:lang w:val="en-GB"/>
              </w:rPr>
            </w:pPr>
            <w:r w:rsidRPr="00746BED">
              <w:rPr>
                <w:rFonts w:asciiTheme="majorHAnsi" w:hAnsiTheme="majorHAnsi"/>
                <w:sz w:val="17"/>
                <w:szCs w:val="17"/>
                <w:lang w:val="en-GB"/>
              </w:rPr>
              <w:t>November 2025</w:t>
            </w:r>
          </w:p>
        </w:tc>
      </w:tr>
      <w:tr w:rsidR="00DD795C" w:rsidRPr="001E5747" w14:paraId="224C2CF0" w14:textId="77777777" w:rsidTr="00023C23">
        <w:trPr>
          <w:jc w:val="center"/>
        </w:trPr>
        <w:tc>
          <w:tcPr>
            <w:tcW w:w="4787" w:type="dxa"/>
          </w:tcPr>
          <w:p w14:paraId="709E18A6" w14:textId="77777777" w:rsidR="00DD795C" w:rsidRPr="001E5747" w:rsidRDefault="00DD795C" w:rsidP="00DD795C">
            <w:pPr>
              <w:spacing w:before="40" w:after="40"/>
              <w:rPr>
                <w:rFonts w:asciiTheme="majorHAnsi" w:hAnsiTheme="majorHAnsi"/>
                <w:sz w:val="21"/>
                <w:szCs w:val="21"/>
                <w:lang w:val="en-GB"/>
              </w:rPr>
            </w:pPr>
            <w:r w:rsidRPr="001E5747">
              <w:rPr>
                <w:rFonts w:asciiTheme="majorHAnsi" w:hAnsiTheme="majorHAnsi"/>
                <w:sz w:val="18"/>
                <w:szCs w:val="21"/>
                <w:lang w:val="en-GB"/>
              </w:rPr>
              <w:t>Approval of assessment results</w:t>
            </w:r>
          </w:p>
        </w:tc>
        <w:tc>
          <w:tcPr>
            <w:tcW w:w="2498" w:type="dxa"/>
          </w:tcPr>
          <w:p w14:paraId="7C2493EF" w14:textId="1CBB851C" w:rsidR="00DD795C" w:rsidRPr="001E5747" w:rsidRDefault="00DD795C" w:rsidP="00DD795C">
            <w:pPr>
              <w:spacing w:before="40" w:after="40"/>
              <w:ind w:right="-108" w:hanging="108"/>
              <w:jc w:val="center"/>
              <w:rPr>
                <w:rFonts w:asciiTheme="majorHAnsi" w:hAnsiTheme="majorHAnsi"/>
                <w:sz w:val="17"/>
                <w:szCs w:val="17"/>
                <w:lang w:val="en-GB"/>
              </w:rPr>
            </w:pPr>
            <w:r w:rsidRPr="00746BED">
              <w:rPr>
                <w:rFonts w:asciiTheme="majorHAnsi" w:hAnsiTheme="majorHAnsi"/>
                <w:sz w:val="17"/>
                <w:szCs w:val="17"/>
                <w:lang w:val="en-GB"/>
              </w:rPr>
              <w:t>November 2025</w:t>
            </w:r>
          </w:p>
        </w:tc>
      </w:tr>
      <w:tr w:rsidR="00DD795C" w:rsidRPr="001E5747" w14:paraId="155CD79F" w14:textId="77777777" w:rsidTr="00023C23">
        <w:trPr>
          <w:jc w:val="center"/>
        </w:trPr>
        <w:tc>
          <w:tcPr>
            <w:tcW w:w="4787" w:type="dxa"/>
          </w:tcPr>
          <w:p w14:paraId="5F64C96E" w14:textId="77777777" w:rsidR="00DD795C" w:rsidRPr="001E5747" w:rsidRDefault="00DD795C" w:rsidP="00DD795C">
            <w:pPr>
              <w:spacing w:before="40" w:after="40"/>
              <w:ind w:right="-108"/>
              <w:rPr>
                <w:rFonts w:asciiTheme="majorHAnsi" w:hAnsiTheme="majorHAnsi"/>
                <w:sz w:val="21"/>
                <w:szCs w:val="21"/>
                <w:lang w:val="en-GB"/>
              </w:rPr>
            </w:pPr>
            <w:r w:rsidRPr="001E5747">
              <w:rPr>
                <w:rFonts w:asciiTheme="majorHAnsi" w:hAnsiTheme="majorHAnsi"/>
                <w:sz w:val="18"/>
                <w:szCs w:val="21"/>
                <w:lang w:val="en-GB"/>
              </w:rPr>
              <w:t>Communication of results to municipalities</w:t>
            </w:r>
          </w:p>
        </w:tc>
        <w:tc>
          <w:tcPr>
            <w:tcW w:w="2498" w:type="dxa"/>
          </w:tcPr>
          <w:p w14:paraId="38905D6C" w14:textId="30BE4CEE" w:rsidR="00DD795C" w:rsidRPr="001E5747" w:rsidRDefault="00DD795C" w:rsidP="00DD795C">
            <w:pPr>
              <w:spacing w:before="40" w:after="40"/>
              <w:ind w:right="-108" w:hanging="108"/>
              <w:jc w:val="center"/>
              <w:rPr>
                <w:rFonts w:asciiTheme="majorHAnsi" w:hAnsiTheme="majorHAnsi"/>
                <w:sz w:val="17"/>
                <w:szCs w:val="17"/>
                <w:lang w:val="en-GB"/>
              </w:rPr>
            </w:pPr>
            <w:r w:rsidRPr="00746BED">
              <w:rPr>
                <w:rFonts w:asciiTheme="majorHAnsi" w:hAnsiTheme="majorHAnsi"/>
                <w:sz w:val="17"/>
                <w:szCs w:val="17"/>
                <w:lang w:val="en-GB"/>
              </w:rPr>
              <w:t>November 2025</w:t>
            </w:r>
          </w:p>
        </w:tc>
      </w:tr>
      <w:tr w:rsidR="00B739C3" w:rsidRPr="001E5747" w14:paraId="42D45CFA" w14:textId="77777777" w:rsidTr="00352C4A">
        <w:trPr>
          <w:jc w:val="center"/>
        </w:trPr>
        <w:tc>
          <w:tcPr>
            <w:tcW w:w="4787" w:type="dxa"/>
          </w:tcPr>
          <w:p w14:paraId="25C8AB02" w14:textId="77777777" w:rsidR="00B739C3" w:rsidRPr="001E5747" w:rsidRDefault="00CD626C" w:rsidP="00B739C3">
            <w:pPr>
              <w:spacing w:before="40" w:after="40"/>
              <w:rPr>
                <w:rFonts w:asciiTheme="majorHAnsi" w:hAnsiTheme="majorHAnsi"/>
                <w:sz w:val="21"/>
                <w:szCs w:val="21"/>
                <w:lang w:val="en-GB"/>
              </w:rPr>
            </w:pPr>
            <w:r w:rsidRPr="001E5747">
              <w:rPr>
                <w:rFonts w:asciiTheme="majorHAnsi" w:hAnsiTheme="majorHAnsi"/>
                <w:sz w:val="18"/>
                <w:szCs w:val="21"/>
                <w:lang w:val="en-GB"/>
              </w:rPr>
              <w:t>Period for complaints</w:t>
            </w:r>
          </w:p>
        </w:tc>
        <w:tc>
          <w:tcPr>
            <w:tcW w:w="2498" w:type="dxa"/>
            <w:vAlign w:val="center"/>
          </w:tcPr>
          <w:p w14:paraId="1E5520B4" w14:textId="3E880627" w:rsidR="00B739C3" w:rsidRPr="001E5747" w:rsidRDefault="00DD795C" w:rsidP="00C06C3E">
            <w:pPr>
              <w:spacing w:before="40" w:after="40"/>
              <w:ind w:right="-108" w:hanging="108"/>
              <w:jc w:val="center"/>
              <w:rPr>
                <w:rFonts w:asciiTheme="majorHAnsi" w:hAnsiTheme="majorHAnsi"/>
                <w:sz w:val="17"/>
                <w:szCs w:val="17"/>
                <w:lang w:val="en-GB"/>
              </w:rPr>
            </w:pPr>
            <w:r>
              <w:rPr>
                <w:rFonts w:asciiTheme="majorHAnsi" w:hAnsiTheme="majorHAnsi"/>
                <w:sz w:val="17"/>
                <w:szCs w:val="17"/>
                <w:lang w:val="en-GB"/>
              </w:rPr>
              <w:t>November-December 2025</w:t>
            </w:r>
            <w:r w:rsidR="00AC6EE3">
              <w:rPr>
                <w:rFonts w:asciiTheme="majorHAnsi" w:hAnsiTheme="majorHAnsi"/>
                <w:sz w:val="17"/>
                <w:szCs w:val="17"/>
                <w:lang w:val="en-GB"/>
              </w:rPr>
              <w:t xml:space="preserve"> </w:t>
            </w:r>
          </w:p>
        </w:tc>
      </w:tr>
      <w:tr w:rsidR="00B739C3" w:rsidRPr="001E5747" w14:paraId="08718789" w14:textId="77777777" w:rsidTr="00352C4A">
        <w:trPr>
          <w:jc w:val="center"/>
        </w:trPr>
        <w:tc>
          <w:tcPr>
            <w:tcW w:w="4787" w:type="dxa"/>
          </w:tcPr>
          <w:p w14:paraId="67FFB683" w14:textId="77777777" w:rsidR="00B739C3" w:rsidRPr="001E5747" w:rsidRDefault="00CD626C" w:rsidP="00B739C3">
            <w:pPr>
              <w:spacing w:before="40" w:after="40"/>
              <w:rPr>
                <w:rFonts w:asciiTheme="majorHAnsi" w:hAnsiTheme="majorHAnsi"/>
                <w:sz w:val="21"/>
                <w:szCs w:val="21"/>
                <w:lang w:val="en-GB"/>
              </w:rPr>
            </w:pPr>
            <w:r w:rsidRPr="001E5747">
              <w:rPr>
                <w:rFonts w:asciiTheme="majorHAnsi" w:hAnsiTheme="majorHAnsi"/>
                <w:sz w:val="18"/>
                <w:szCs w:val="21"/>
                <w:lang w:val="en-GB"/>
              </w:rPr>
              <w:t>Confirmation of final results and of grant amounts</w:t>
            </w:r>
          </w:p>
        </w:tc>
        <w:tc>
          <w:tcPr>
            <w:tcW w:w="2498" w:type="dxa"/>
            <w:vAlign w:val="center"/>
          </w:tcPr>
          <w:p w14:paraId="5809BBAC" w14:textId="4CD31DBE" w:rsidR="00B739C3" w:rsidRPr="001E5747" w:rsidRDefault="00DD795C" w:rsidP="00C06C3E">
            <w:pPr>
              <w:spacing w:before="40" w:after="40"/>
              <w:ind w:right="-108" w:hanging="108"/>
              <w:jc w:val="center"/>
              <w:rPr>
                <w:rFonts w:asciiTheme="majorHAnsi" w:hAnsiTheme="majorHAnsi"/>
                <w:sz w:val="17"/>
                <w:szCs w:val="17"/>
                <w:lang w:val="en-GB"/>
              </w:rPr>
            </w:pPr>
            <w:r>
              <w:rPr>
                <w:rFonts w:asciiTheme="majorHAnsi" w:hAnsiTheme="majorHAnsi"/>
                <w:sz w:val="17"/>
                <w:szCs w:val="17"/>
                <w:lang w:val="en-GB"/>
              </w:rPr>
              <w:t>December 2025</w:t>
            </w:r>
          </w:p>
        </w:tc>
      </w:tr>
      <w:tr w:rsidR="00B739C3" w:rsidRPr="001E5747" w14:paraId="66C64B22" w14:textId="77777777" w:rsidTr="00352C4A">
        <w:trPr>
          <w:jc w:val="center"/>
        </w:trPr>
        <w:tc>
          <w:tcPr>
            <w:tcW w:w="4787" w:type="dxa"/>
          </w:tcPr>
          <w:p w14:paraId="06694247" w14:textId="77777777" w:rsidR="00B739C3" w:rsidRPr="001E5747" w:rsidRDefault="00B739C3" w:rsidP="00B739C3">
            <w:pPr>
              <w:spacing w:before="40" w:after="40"/>
              <w:rPr>
                <w:rFonts w:asciiTheme="majorHAnsi" w:hAnsiTheme="majorHAnsi"/>
                <w:sz w:val="21"/>
                <w:szCs w:val="21"/>
                <w:lang w:val="en-GB"/>
              </w:rPr>
            </w:pPr>
            <w:r w:rsidRPr="001E5747">
              <w:rPr>
                <w:rFonts w:asciiTheme="majorHAnsi" w:hAnsiTheme="majorHAnsi"/>
                <w:sz w:val="18"/>
                <w:szCs w:val="21"/>
                <w:lang w:val="en-GB"/>
              </w:rPr>
              <w:t>Transfer of funds</w:t>
            </w:r>
          </w:p>
        </w:tc>
        <w:tc>
          <w:tcPr>
            <w:tcW w:w="2498" w:type="dxa"/>
            <w:vAlign w:val="center"/>
          </w:tcPr>
          <w:p w14:paraId="0F20576B" w14:textId="6ACCD2DF" w:rsidR="00B739C3" w:rsidRPr="001E5747" w:rsidRDefault="0086283D" w:rsidP="00AC6EE3">
            <w:pPr>
              <w:spacing w:before="40" w:after="40"/>
              <w:ind w:right="-108" w:hanging="108"/>
              <w:jc w:val="center"/>
              <w:rPr>
                <w:rFonts w:asciiTheme="majorHAnsi" w:hAnsiTheme="majorHAnsi"/>
                <w:sz w:val="17"/>
                <w:szCs w:val="17"/>
                <w:lang w:val="en-GB"/>
              </w:rPr>
            </w:pPr>
            <w:r>
              <w:rPr>
                <w:rFonts w:asciiTheme="majorHAnsi" w:hAnsiTheme="majorHAnsi"/>
                <w:sz w:val="17"/>
                <w:szCs w:val="17"/>
                <w:lang w:val="en-GB"/>
              </w:rPr>
              <w:t>January-February</w:t>
            </w:r>
            <w:r w:rsidRPr="001E5747">
              <w:rPr>
                <w:rFonts w:asciiTheme="majorHAnsi" w:hAnsiTheme="majorHAnsi"/>
                <w:sz w:val="17"/>
                <w:szCs w:val="17"/>
                <w:lang w:val="en-GB"/>
              </w:rPr>
              <w:t xml:space="preserve"> </w:t>
            </w:r>
            <w:r w:rsidR="00AC6EE3" w:rsidRPr="001E5747">
              <w:rPr>
                <w:rFonts w:asciiTheme="majorHAnsi" w:hAnsiTheme="majorHAnsi"/>
                <w:sz w:val="17"/>
                <w:szCs w:val="17"/>
                <w:lang w:val="en-GB"/>
              </w:rPr>
              <w:t>202</w:t>
            </w:r>
            <w:r w:rsidR="00DD795C">
              <w:rPr>
                <w:rFonts w:asciiTheme="majorHAnsi" w:hAnsiTheme="majorHAnsi"/>
                <w:sz w:val="17"/>
                <w:szCs w:val="17"/>
                <w:lang w:val="en-GB"/>
              </w:rPr>
              <w:t>6</w:t>
            </w:r>
          </w:p>
        </w:tc>
      </w:tr>
      <w:tr w:rsidR="00B739C3" w:rsidRPr="001E5747" w14:paraId="5D0E6749" w14:textId="77777777" w:rsidTr="00352C4A">
        <w:trPr>
          <w:jc w:val="center"/>
        </w:trPr>
        <w:tc>
          <w:tcPr>
            <w:tcW w:w="4787" w:type="dxa"/>
          </w:tcPr>
          <w:p w14:paraId="603D3815" w14:textId="77777777" w:rsidR="00B739C3" w:rsidRPr="001E5747" w:rsidRDefault="00B739C3" w:rsidP="00B739C3">
            <w:pPr>
              <w:spacing w:before="40" w:after="40"/>
              <w:rPr>
                <w:rFonts w:asciiTheme="majorHAnsi" w:hAnsiTheme="majorHAnsi"/>
                <w:sz w:val="21"/>
                <w:szCs w:val="21"/>
                <w:lang w:val="en-GB"/>
              </w:rPr>
            </w:pPr>
            <w:r w:rsidRPr="001E5747">
              <w:rPr>
                <w:rFonts w:asciiTheme="majorHAnsi" w:hAnsiTheme="majorHAnsi"/>
                <w:sz w:val="18"/>
                <w:szCs w:val="21"/>
                <w:lang w:val="en-GB"/>
              </w:rPr>
              <w:t>Use of funds</w:t>
            </w:r>
          </w:p>
        </w:tc>
        <w:tc>
          <w:tcPr>
            <w:tcW w:w="2498" w:type="dxa"/>
            <w:vAlign w:val="center"/>
          </w:tcPr>
          <w:p w14:paraId="279D6A94" w14:textId="0DD63AC0" w:rsidR="00B739C3" w:rsidRPr="001E5747" w:rsidRDefault="00B739C3" w:rsidP="00AC6EE3">
            <w:pPr>
              <w:spacing w:before="40" w:after="40"/>
              <w:ind w:right="-108" w:hanging="108"/>
              <w:jc w:val="center"/>
              <w:rPr>
                <w:rFonts w:asciiTheme="majorHAnsi" w:hAnsiTheme="majorHAnsi"/>
                <w:sz w:val="17"/>
                <w:szCs w:val="17"/>
                <w:lang w:val="en-GB"/>
              </w:rPr>
            </w:pPr>
            <w:r w:rsidRPr="001E5747">
              <w:rPr>
                <w:rFonts w:asciiTheme="majorHAnsi" w:hAnsiTheme="majorHAnsi"/>
                <w:sz w:val="17"/>
                <w:szCs w:val="17"/>
                <w:lang w:val="en-GB"/>
              </w:rPr>
              <w:t xml:space="preserve">FY </w:t>
            </w:r>
            <w:r w:rsidR="00AC6EE3" w:rsidRPr="001E5747">
              <w:rPr>
                <w:rFonts w:asciiTheme="majorHAnsi" w:hAnsiTheme="majorHAnsi"/>
                <w:sz w:val="17"/>
                <w:szCs w:val="17"/>
                <w:lang w:val="en-GB"/>
              </w:rPr>
              <w:t>2</w:t>
            </w:r>
            <w:r w:rsidR="00DD795C">
              <w:rPr>
                <w:rFonts w:asciiTheme="majorHAnsi" w:hAnsiTheme="majorHAnsi"/>
                <w:sz w:val="17"/>
                <w:szCs w:val="17"/>
                <w:lang w:val="en-GB"/>
              </w:rPr>
              <w:t>026</w:t>
            </w:r>
            <w:r w:rsidR="00D3558A">
              <w:rPr>
                <w:rStyle w:val="FootnoteReference"/>
                <w:rFonts w:asciiTheme="majorHAnsi" w:hAnsiTheme="majorHAnsi"/>
                <w:sz w:val="17"/>
                <w:szCs w:val="17"/>
                <w:lang w:val="en-GB"/>
              </w:rPr>
              <w:footnoteReference w:id="15"/>
            </w:r>
          </w:p>
        </w:tc>
      </w:tr>
    </w:tbl>
    <w:p w14:paraId="0C9D4C37" w14:textId="77777777" w:rsidR="00B739C3" w:rsidRPr="001E5747" w:rsidRDefault="00B739C3" w:rsidP="00352C4A">
      <w:pPr>
        <w:jc w:val="both"/>
        <w:rPr>
          <w:rFonts w:asciiTheme="majorHAnsi" w:hAnsiTheme="majorHAnsi"/>
          <w:b/>
          <w:sz w:val="12"/>
          <w:szCs w:val="12"/>
          <w:lang w:val="en-GB"/>
        </w:rPr>
      </w:pPr>
    </w:p>
    <w:p w14:paraId="098194A7" w14:textId="77777777" w:rsidR="00B739C3" w:rsidRPr="001E5747" w:rsidRDefault="00B739C3" w:rsidP="00B739C3">
      <w:pPr>
        <w:ind w:left="567"/>
        <w:jc w:val="both"/>
        <w:rPr>
          <w:rFonts w:asciiTheme="majorHAnsi" w:hAnsiTheme="majorHAnsi"/>
          <w:b/>
          <w:sz w:val="12"/>
          <w:szCs w:val="12"/>
          <w:lang w:val="en-GB"/>
        </w:rPr>
      </w:pPr>
    </w:p>
    <w:p w14:paraId="4B3086C3" w14:textId="77777777" w:rsidR="00B739C3" w:rsidRPr="001E5747" w:rsidRDefault="00CD626C" w:rsidP="00B739C3">
      <w:pPr>
        <w:pStyle w:val="Heading1"/>
        <w:numPr>
          <w:ilvl w:val="1"/>
          <w:numId w:val="7"/>
        </w:numPr>
        <w:tabs>
          <w:tab w:val="left" w:pos="540"/>
        </w:tabs>
        <w:ind w:hanging="1800"/>
        <w:rPr>
          <w:rFonts w:asciiTheme="majorHAnsi" w:hAnsiTheme="majorHAnsi"/>
          <w:color w:val="C0504D"/>
          <w:szCs w:val="28"/>
          <w:lang w:val="en-GB"/>
        </w:rPr>
      </w:pPr>
      <w:bookmarkStart w:id="79" w:name="_Toc61062535"/>
      <w:bookmarkStart w:id="80" w:name="_Toc214024558"/>
      <w:r w:rsidRPr="001E5747">
        <w:rPr>
          <w:rFonts w:asciiTheme="majorHAnsi" w:hAnsiTheme="majorHAnsi"/>
          <w:color w:val="C0504D"/>
          <w:szCs w:val="28"/>
          <w:lang w:val="en-GB"/>
        </w:rPr>
        <w:t>Assessment</w:t>
      </w:r>
      <w:r w:rsidR="00B739C3" w:rsidRPr="001E5747">
        <w:rPr>
          <w:rFonts w:asciiTheme="majorHAnsi" w:hAnsiTheme="majorHAnsi"/>
          <w:color w:val="C0504D"/>
          <w:szCs w:val="28"/>
          <w:lang w:val="en-GB"/>
        </w:rPr>
        <w:t xml:space="preserve"> procedures</w:t>
      </w:r>
      <w:bookmarkEnd w:id="79"/>
      <w:bookmarkEnd w:id="80"/>
    </w:p>
    <w:p w14:paraId="1FAEB43E" w14:textId="77777777" w:rsidR="00B739C3" w:rsidRPr="001E5747" w:rsidRDefault="00B739C3" w:rsidP="00B739C3">
      <w:pPr>
        <w:jc w:val="both"/>
        <w:rPr>
          <w:lang w:val="en-GB"/>
        </w:rPr>
      </w:pPr>
    </w:p>
    <w:p w14:paraId="0C457A5B" w14:textId="77777777" w:rsidR="00B739C3" w:rsidRPr="001E5747" w:rsidRDefault="00B739C3" w:rsidP="00B739C3">
      <w:pPr>
        <w:pStyle w:val="Heading1"/>
        <w:tabs>
          <w:tab w:val="left" w:pos="540"/>
        </w:tabs>
        <w:rPr>
          <w:rFonts w:asciiTheme="majorHAnsi" w:hAnsiTheme="majorHAnsi"/>
          <w:sz w:val="24"/>
          <w:szCs w:val="21"/>
          <w:lang w:val="en-GB"/>
        </w:rPr>
      </w:pPr>
      <w:bookmarkStart w:id="81" w:name="_Toc214024559"/>
      <w:r w:rsidRPr="001E5747">
        <w:rPr>
          <w:rFonts w:asciiTheme="majorHAnsi" w:hAnsiTheme="majorHAnsi"/>
          <w:sz w:val="24"/>
          <w:szCs w:val="21"/>
          <w:lang w:val="en-GB"/>
        </w:rPr>
        <w:t xml:space="preserve">3.3.1 </w:t>
      </w:r>
      <w:r w:rsidR="009767E2">
        <w:rPr>
          <w:rFonts w:asciiTheme="majorHAnsi" w:hAnsiTheme="majorHAnsi"/>
          <w:sz w:val="24"/>
          <w:szCs w:val="21"/>
          <w:lang w:val="en-GB"/>
        </w:rPr>
        <w:t>Assessment</w:t>
      </w:r>
      <w:r w:rsidRPr="001E5747">
        <w:rPr>
          <w:rFonts w:asciiTheme="majorHAnsi" w:hAnsiTheme="majorHAnsi"/>
          <w:sz w:val="24"/>
          <w:szCs w:val="21"/>
          <w:lang w:val="en-GB"/>
        </w:rPr>
        <w:t xml:space="preserve"> Period for Municipal Performance Grant (Grant Management Cycles)</w:t>
      </w:r>
      <w:bookmarkEnd w:id="81"/>
    </w:p>
    <w:p w14:paraId="6073A1A4" w14:textId="77777777" w:rsidR="00B739C3" w:rsidRPr="001E5747" w:rsidRDefault="00B739C3" w:rsidP="00B739C3">
      <w:pPr>
        <w:ind w:left="567"/>
        <w:jc w:val="both"/>
        <w:rPr>
          <w:rFonts w:asciiTheme="majorHAnsi" w:hAnsiTheme="majorHAnsi"/>
          <w:b/>
          <w:sz w:val="12"/>
          <w:szCs w:val="12"/>
          <w:lang w:val="en-GB"/>
        </w:rPr>
      </w:pPr>
    </w:p>
    <w:p w14:paraId="4F0CED57" w14:textId="7777777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The </w:t>
      </w:r>
      <w:r w:rsidR="009767E2">
        <w:rPr>
          <w:rFonts w:asciiTheme="majorHAnsi" w:hAnsiTheme="majorHAnsi"/>
          <w:sz w:val="21"/>
          <w:szCs w:val="21"/>
          <w:lang w:val="en-GB"/>
        </w:rPr>
        <w:t>assessment</w:t>
      </w:r>
      <w:r w:rsidRPr="001E5747">
        <w:rPr>
          <w:rFonts w:asciiTheme="majorHAnsi" w:hAnsiTheme="majorHAnsi"/>
          <w:sz w:val="21"/>
          <w:szCs w:val="21"/>
          <w:lang w:val="en-GB"/>
        </w:rPr>
        <w:t xml:space="preserve"> period for the municipal performance grant is divided into 3 main stages: </w:t>
      </w:r>
    </w:p>
    <w:p w14:paraId="3DF9F780" w14:textId="4B841B80" w:rsidR="00B739C3" w:rsidRPr="001E5747" w:rsidRDefault="00B739C3" w:rsidP="00B739C3">
      <w:pPr>
        <w:spacing w:before="60" w:line="264" w:lineRule="auto"/>
        <w:ind w:left="540" w:hanging="540"/>
        <w:jc w:val="both"/>
        <w:rPr>
          <w:rFonts w:asciiTheme="majorHAnsi" w:hAnsiTheme="majorHAnsi"/>
          <w:sz w:val="21"/>
          <w:szCs w:val="21"/>
          <w:lang w:val="en-GB"/>
        </w:rPr>
      </w:pPr>
      <w:r w:rsidRPr="001E5747">
        <w:rPr>
          <w:rFonts w:asciiTheme="majorHAnsi" w:hAnsiTheme="majorHAnsi"/>
          <w:b/>
          <w:bCs/>
          <w:sz w:val="21"/>
          <w:szCs w:val="21"/>
          <w:lang w:val="en-GB"/>
        </w:rPr>
        <w:t>1.1.</w:t>
      </w:r>
      <w:r w:rsidRPr="001E5747">
        <w:rPr>
          <w:rFonts w:asciiTheme="majorHAnsi" w:hAnsiTheme="majorHAnsi"/>
          <w:b/>
          <w:bCs/>
          <w:sz w:val="21"/>
          <w:szCs w:val="21"/>
          <w:lang w:val="en-GB"/>
        </w:rPr>
        <w:tab/>
        <w:t xml:space="preserve">Performance period - </w:t>
      </w:r>
      <w:r w:rsidRPr="001E5747">
        <w:rPr>
          <w:rFonts w:asciiTheme="majorHAnsi" w:hAnsiTheme="majorHAnsi"/>
          <w:sz w:val="21"/>
          <w:szCs w:val="21"/>
          <w:lang w:val="en-GB"/>
        </w:rPr>
        <w:t xml:space="preserve">which means the year for which the performance of the municipality is evaluated. Based on these rules of MPG </w:t>
      </w:r>
      <w:r w:rsidR="00AC6EE3" w:rsidRPr="001E5747">
        <w:rPr>
          <w:rFonts w:asciiTheme="majorHAnsi" w:hAnsiTheme="majorHAnsi"/>
          <w:sz w:val="21"/>
          <w:szCs w:val="21"/>
          <w:lang w:val="en-GB"/>
        </w:rPr>
        <w:t>202</w:t>
      </w:r>
      <w:r w:rsidR="002D5AB7">
        <w:rPr>
          <w:rFonts w:asciiTheme="majorHAnsi" w:hAnsiTheme="majorHAnsi"/>
          <w:sz w:val="21"/>
          <w:szCs w:val="21"/>
          <w:lang w:val="en-GB"/>
        </w:rPr>
        <w:t>6</w:t>
      </w:r>
      <w:r w:rsidRPr="001E5747">
        <w:rPr>
          <w:rFonts w:asciiTheme="majorHAnsi" w:hAnsiTheme="majorHAnsi"/>
          <w:sz w:val="21"/>
          <w:szCs w:val="21"/>
          <w:lang w:val="en-GB"/>
        </w:rPr>
        <w:t xml:space="preserve">, the municipal performance of </w:t>
      </w:r>
      <w:r w:rsidR="00AC6EE3" w:rsidRPr="001E5747">
        <w:rPr>
          <w:rFonts w:asciiTheme="majorHAnsi" w:hAnsiTheme="majorHAnsi"/>
          <w:sz w:val="21"/>
          <w:szCs w:val="21"/>
          <w:lang w:val="en-GB"/>
        </w:rPr>
        <w:t>20</w:t>
      </w:r>
      <w:r w:rsidR="00AC6EE3">
        <w:rPr>
          <w:rFonts w:asciiTheme="majorHAnsi" w:hAnsiTheme="majorHAnsi"/>
          <w:sz w:val="21"/>
          <w:szCs w:val="21"/>
          <w:lang w:val="en-GB"/>
        </w:rPr>
        <w:t>2</w:t>
      </w:r>
      <w:r w:rsidR="002D5AB7">
        <w:rPr>
          <w:rFonts w:asciiTheme="majorHAnsi" w:hAnsiTheme="majorHAnsi"/>
          <w:sz w:val="21"/>
          <w:szCs w:val="21"/>
          <w:lang w:val="en-GB"/>
        </w:rPr>
        <w:t>4</w:t>
      </w:r>
      <w:r w:rsidR="00AC6EE3" w:rsidRPr="001E5747">
        <w:rPr>
          <w:rFonts w:asciiTheme="majorHAnsi" w:hAnsiTheme="majorHAnsi"/>
          <w:sz w:val="21"/>
          <w:szCs w:val="21"/>
          <w:lang w:val="en-GB"/>
        </w:rPr>
        <w:t xml:space="preserve"> </w:t>
      </w:r>
      <w:r w:rsidRPr="001E5747">
        <w:rPr>
          <w:rFonts w:asciiTheme="majorHAnsi" w:hAnsiTheme="majorHAnsi"/>
          <w:sz w:val="21"/>
          <w:szCs w:val="21"/>
          <w:lang w:val="en-GB"/>
        </w:rPr>
        <w:t xml:space="preserve">is </w:t>
      </w:r>
      <w:r w:rsidR="00E77FB0">
        <w:rPr>
          <w:rFonts w:asciiTheme="majorHAnsi" w:hAnsiTheme="majorHAnsi"/>
          <w:sz w:val="21"/>
          <w:szCs w:val="21"/>
          <w:lang w:val="en-GB"/>
        </w:rPr>
        <w:t>assessed</w:t>
      </w:r>
      <w:r w:rsidRPr="001E5747">
        <w:rPr>
          <w:rFonts w:asciiTheme="majorHAnsi" w:hAnsiTheme="majorHAnsi"/>
          <w:sz w:val="21"/>
          <w:szCs w:val="21"/>
          <w:lang w:val="en-GB"/>
        </w:rPr>
        <w:t>;</w:t>
      </w:r>
    </w:p>
    <w:p w14:paraId="3998BB9F" w14:textId="39B6FAF9" w:rsidR="00B739C3" w:rsidRPr="001E5747" w:rsidRDefault="00B739C3" w:rsidP="00B739C3">
      <w:pPr>
        <w:spacing w:before="60" w:line="264" w:lineRule="auto"/>
        <w:ind w:left="540" w:hanging="540"/>
        <w:jc w:val="both"/>
        <w:rPr>
          <w:rFonts w:asciiTheme="majorHAnsi" w:hAnsiTheme="majorHAnsi"/>
          <w:sz w:val="21"/>
          <w:szCs w:val="21"/>
          <w:lang w:val="en-GB"/>
        </w:rPr>
      </w:pPr>
      <w:r w:rsidRPr="001E5747">
        <w:rPr>
          <w:rFonts w:asciiTheme="majorHAnsi" w:hAnsiTheme="majorHAnsi"/>
          <w:b/>
          <w:bCs/>
          <w:sz w:val="21"/>
          <w:szCs w:val="21"/>
          <w:lang w:val="en-GB"/>
        </w:rPr>
        <w:t>1.2.</w:t>
      </w:r>
      <w:r w:rsidRPr="001E5747">
        <w:rPr>
          <w:rFonts w:asciiTheme="majorHAnsi" w:hAnsiTheme="majorHAnsi"/>
          <w:b/>
          <w:bCs/>
          <w:sz w:val="21"/>
          <w:szCs w:val="21"/>
          <w:lang w:val="en-GB"/>
        </w:rPr>
        <w:tab/>
      </w:r>
      <w:r w:rsidR="00E77FB0">
        <w:rPr>
          <w:rFonts w:asciiTheme="majorHAnsi" w:hAnsiTheme="majorHAnsi"/>
          <w:b/>
          <w:bCs/>
          <w:sz w:val="21"/>
          <w:szCs w:val="21"/>
          <w:lang w:val="en-GB"/>
        </w:rPr>
        <w:t>Assessment</w:t>
      </w:r>
      <w:r w:rsidRPr="001E5747">
        <w:rPr>
          <w:rFonts w:asciiTheme="majorHAnsi" w:hAnsiTheme="majorHAnsi"/>
          <w:b/>
          <w:bCs/>
          <w:sz w:val="21"/>
          <w:szCs w:val="21"/>
          <w:lang w:val="en-GB"/>
        </w:rPr>
        <w:t xml:space="preserve"> period -</w:t>
      </w:r>
      <w:r w:rsidRPr="001E5747">
        <w:rPr>
          <w:rFonts w:asciiTheme="majorHAnsi" w:hAnsiTheme="majorHAnsi"/>
          <w:sz w:val="21"/>
          <w:szCs w:val="21"/>
          <w:lang w:val="en-GB"/>
        </w:rPr>
        <w:t xml:space="preserve"> means the period in which the performance appraisal for the MPG is performed</w:t>
      </w:r>
      <w:r w:rsidR="007852A6">
        <w:rPr>
          <w:rFonts w:asciiTheme="majorHAnsi" w:hAnsiTheme="majorHAnsi"/>
          <w:sz w:val="21"/>
          <w:szCs w:val="21"/>
          <w:lang w:val="en-GB"/>
        </w:rPr>
        <w:t xml:space="preserve"> i.e. the municipal performance </w:t>
      </w:r>
      <w:r w:rsidR="000E7915">
        <w:rPr>
          <w:rFonts w:asciiTheme="majorHAnsi" w:hAnsiTheme="majorHAnsi"/>
          <w:sz w:val="21"/>
          <w:szCs w:val="21"/>
          <w:lang w:val="en-GB"/>
        </w:rPr>
        <w:t xml:space="preserve">for the MPG </w:t>
      </w:r>
      <w:r w:rsidR="007852A6">
        <w:rPr>
          <w:rFonts w:asciiTheme="majorHAnsi" w:hAnsiTheme="majorHAnsi"/>
          <w:sz w:val="21"/>
          <w:szCs w:val="21"/>
          <w:lang w:val="en-GB"/>
        </w:rPr>
        <w:t xml:space="preserve">is assessed in </w:t>
      </w:r>
      <w:r w:rsidR="00C217D4">
        <w:rPr>
          <w:rFonts w:asciiTheme="majorHAnsi" w:hAnsiTheme="majorHAnsi"/>
          <w:sz w:val="21"/>
          <w:szCs w:val="21"/>
          <w:lang w:val="en-GB"/>
        </w:rPr>
        <w:t>202</w:t>
      </w:r>
      <w:r w:rsidR="002D5AB7">
        <w:rPr>
          <w:rFonts w:asciiTheme="majorHAnsi" w:hAnsiTheme="majorHAnsi"/>
          <w:sz w:val="21"/>
          <w:szCs w:val="21"/>
          <w:lang w:val="en-GB"/>
        </w:rPr>
        <w:t>6</w:t>
      </w:r>
      <w:r w:rsidR="00C217D4">
        <w:rPr>
          <w:rFonts w:asciiTheme="majorHAnsi" w:hAnsiTheme="majorHAnsi"/>
          <w:sz w:val="21"/>
          <w:szCs w:val="21"/>
          <w:lang w:val="en-GB"/>
        </w:rPr>
        <w:t xml:space="preserve"> </w:t>
      </w:r>
      <w:r w:rsidR="007852A6">
        <w:rPr>
          <w:rFonts w:asciiTheme="majorHAnsi" w:hAnsiTheme="majorHAnsi"/>
          <w:sz w:val="21"/>
          <w:szCs w:val="21"/>
          <w:lang w:val="en-GB"/>
        </w:rPr>
        <w:t xml:space="preserve">for the performance assessment of the year </w:t>
      </w:r>
      <w:r w:rsidR="00C217D4">
        <w:rPr>
          <w:rFonts w:asciiTheme="majorHAnsi" w:hAnsiTheme="majorHAnsi"/>
          <w:sz w:val="21"/>
          <w:szCs w:val="21"/>
          <w:lang w:val="en-GB"/>
        </w:rPr>
        <w:t>202</w:t>
      </w:r>
      <w:r w:rsidR="002D5AB7">
        <w:rPr>
          <w:rFonts w:asciiTheme="majorHAnsi" w:hAnsiTheme="majorHAnsi"/>
          <w:sz w:val="21"/>
          <w:szCs w:val="21"/>
          <w:lang w:val="en-GB"/>
        </w:rPr>
        <w:t>4</w:t>
      </w:r>
    </w:p>
    <w:p w14:paraId="69918C71" w14:textId="5B6AE58C" w:rsidR="00B739C3" w:rsidRPr="00DD795C" w:rsidRDefault="00B739C3" w:rsidP="00DD795C">
      <w:pPr>
        <w:spacing w:before="60" w:line="264" w:lineRule="auto"/>
        <w:ind w:left="540" w:hanging="540"/>
        <w:jc w:val="both"/>
        <w:rPr>
          <w:rFonts w:asciiTheme="majorHAnsi" w:hAnsiTheme="majorHAnsi"/>
          <w:sz w:val="21"/>
          <w:szCs w:val="21"/>
          <w:lang w:val="en-GB"/>
        </w:rPr>
      </w:pPr>
      <w:r w:rsidRPr="001E5747">
        <w:rPr>
          <w:rFonts w:asciiTheme="majorHAnsi" w:hAnsiTheme="majorHAnsi"/>
          <w:b/>
          <w:bCs/>
          <w:sz w:val="21"/>
          <w:szCs w:val="21"/>
          <w:lang w:val="en-GB"/>
        </w:rPr>
        <w:t xml:space="preserve">1.3. </w:t>
      </w:r>
      <w:r w:rsidRPr="001E5747">
        <w:rPr>
          <w:rFonts w:asciiTheme="majorHAnsi" w:hAnsiTheme="majorHAnsi"/>
          <w:b/>
          <w:bCs/>
          <w:sz w:val="21"/>
          <w:szCs w:val="21"/>
          <w:lang w:val="en-GB"/>
        </w:rPr>
        <w:tab/>
      </w:r>
      <w:r w:rsidR="00E77FB0">
        <w:rPr>
          <w:rFonts w:asciiTheme="majorHAnsi" w:hAnsiTheme="majorHAnsi"/>
          <w:b/>
          <w:bCs/>
          <w:sz w:val="21"/>
          <w:szCs w:val="21"/>
          <w:lang w:val="en-GB"/>
        </w:rPr>
        <w:t>Allocation</w:t>
      </w:r>
      <w:r w:rsidRPr="001E5747">
        <w:rPr>
          <w:rFonts w:asciiTheme="majorHAnsi" w:hAnsiTheme="majorHAnsi"/>
          <w:b/>
          <w:bCs/>
          <w:sz w:val="21"/>
          <w:szCs w:val="21"/>
          <w:lang w:val="en-GB"/>
        </w:rPr>
        <w:t xml:space="preserve"> period and utilization of grant -</w:t>
      </w:r>
      <w:r w:rsidRPr="001E5747">
        <w:rPr>
          <w:rFonts w:asciiTheme="majorHAnsi" w:hAnsiTheme="majorHAnsi"/>
          <w:sz w:val="21"/>
          <w:szCs w:val="21"/>
          <w:lang w:val="en-GB"/>
        </w:rPr>
        <w:t xml:space="preserve">means the year in which the grant is made available for use by municipalities. Under these rules the grant will be available to municipalities in </w:t>
      </w:r>
      <w:r w:rsidR="00C217D4" w:rsidRPr="001E5747">
        <w:rPr>
          <w:rFonts w:asciiTheme="majorHAnsi" w:hAnsiTheme="majorHAnsi"/>
          <w:sz w:val="21"/>
          <w:szCs w:val="21"/>
          <w:lang w:val="en-GB"/>
        </w:rPr>
        <w:t>202</w:t>
      </w:r>
      <w:r w:rsidR="002D5AB7">
        <w:rPr>
          <w:rFonts w:asciiTheme="majorHAnsi" w:hAnsiTheme="majorHAnsi"/>
          <w:sz w:val="21"/>
          <w:szCs w:val="21"/>
          <w:lang w:val="en-GB"/>
        </w:rPr>
        <w:t>6</w:t>
      </w:r>
      <w:r w:rsidRPr="001E5747">
        <w:rPr>
          <w:rFonts w:asciiTheme="majorHAnsi" w:hAnsiTheme="majorHAnsi"/>
          <w:sz w:val="21"/>
          <w:szCs w:val="21"/>
          <w:lang w:val="en-GB"/>
        </w:rPr>
        <w:t xml:space="preserve">. </w:t>
      </w:r>
    </w:p>
    <w:p w14:paraId="0FC5BF6B" w14:textId="77777777" w:rsidR="00B739C3" w:rsidRPr="001E5747" w:rsidRDefault="00B739C3" w:rsidP="00B739C3">
      <w:pPr>
        <w:ind w:left="567"/>
        <w:jc w:val="both"/>
        <w:rPr>
          <w:rFonts w:asciiTheme="majorHAnsi" w:hAnsiTheme="majorHAnsi"/>
          <w:sz w:val="14"/>
          <w:szCs w:val="12"/>
          <w:lang w:val="en-GB"/>
        </w:rPr>
      </w:pPr>
    </w:p>
    <w:p w14:paraId="304D22B8" w14:textId="77777777" w:rsidR="00B739C3" w:rsidRPr="001E5747" w:rsidRDefault="00B739C3" w:rsidP="00B739C3">
      <w:pPr>
        <w:pStyle w:val="Heading1"/>
        <w:numPr>
          <w:ilvl w:val="2"/>
          <w:numId w:val="29"/>
        </w:numPr>
        <w:tabs>
          <w:tab w:val="left" w:pos="540"/>
        </w:tabs>
        <w:rPr>
          <w:rFonts w:asciiTheme="majorHAnsi" w:hAnsiTheme="majorHAnsi"/>
          <w:sz w:val="24"/>
          <w:szCs w:val="21"/>
          <w:lang w:val="en-GB"/>
        </w:rPr>
      </w:pPr>
      <w:bookmarkStart w:id="82" w:name="_Toc214024560"/>
      <w:r w:rsidRPr="001E5747">
        <w:rPr>
          <w:rFonts w:asciiTheme="majorHAnsi" w:hAnsiTheme="majorHAnsi"/>
          <w:sz w:val="24"/>
          <w:szCs w:val="21"/>
          <w:lang w:val="en-GB"/>
        </w:rPr>
        <w:t>Preparations for assessment of MPG</w:t>
      </w:r>
      <w:bookmarkEnd w:id="82"/>
      <w:r w:rsidRPr="001E5747">
        <w:rPr>
          <w:rFonts w:asciiTheme="majorHAnsi" w:hAnsiTheme="majorHAnsi"/>
          <w:sz w:val="24"/>
          <w:szCs w:val="21"/>
          <w:lang w:val="en-GB"/>
        </w:rPr>
        <w:t xml:space="preserve"> </w:t>
      </w:r>
    </w:p>
    <w:p w14:paraId="1A39C530" w14:textId="77777777" w:rsidR="00B739C3" w:rsidRPr="001E5747" w:rsidRDefault="00B739C3" w:rsidP="00B739C3">
      <w:pPr>
        <w:spacing w:line="264" w:lineRule="auto"/>
        <w:jc w:val="both"/>
        <w:rPr>
          <w:rFonts w:asciiTheme="majorHAnsi" w:hAnsiTheme="majorHAnsi"/>
          <w:sz w:val="12"/>
          <w:szCs w:val="12"/>
          <w:lang w:val="en-GB"/>
        </w:rPr>
      </w:pPr>
    </w:p>
    <w:p w14:paraId="354E7BD5" w14:textId="77777777" w:rsidR="00B739C3" w:rsidRPr="001E5747" w:rsidRDefault="00B739C3" w:rsidP="00B739C3">
      <w:pPr>
        <w:spacing w:line="264" w:lineRule="auto"/>
        <w:jc w:val="both"/>
        <w:rPr>
          <w:rFonts w:asciiTheme="majorHAnsi" w:hAnsiTheme="majorHAnsi"/>
          <w:sz w:val="21"/>
          <w:szCs w:val="21"/>
          <w:lang w:val="en-GB"/>
        </w:rPr>
      </w:pPr>
      <w:r w:rsidRPr="001E5747">
        <w:rPr>
          <w:rFonts w:asciiTheme="majorHAnsi" w:hAnsiTheme="majorHAnsi"/>
          <w:sz w:val="21"/>
          <w:szCs w:val="21"/>
          <w:lang w:val="en-GB"/>
        </w:rPr>
        <w:t>The preparatory procedures for the assessment of MPG are as follows:</w:t>
      </w:r>
    </w:p>
    <w:p w14:paraId="1EF17977" w14:textId="4854B774" w:rsidR="00B739C3" w:rsidRPr="001E5747" w:rsidRDefault="00EA7257" w:rsidP="00B739C3">
      <w:pPr>
        <w:pStyle w:val="ListParagraph"/>
        <w:numPr>
          <w:ilvl w:val="0"/>
          <w:numId w:val="38"/>
        </w:numPr>
        <w:spacing w:after="0" w:line="264" w:lineRule="auto"/>
        <w:ind w:left="734" w:hanging="446"/>
        <w:jc w:val="both"/>
        <w:rPr>
          <w:rFonts w:asciiTheme="majorHAnsi" w:hAnsiTheme="majorHAnsi"/>
          <w:sz w:val="21"/>
          <w:szCs w:val="21"/>
          <w:lang w:val="en-GB"/>
        </w:rPr>
      </w:pPr>
      <w:r>
        <w:rPr>
          <w:rFonts w:asciiTheme="majorHAnsi" w:hAnsiTheme="majorHAnsi"/>
          <w:sz w:val="21"/>
          <w:szCs w:val="21"/>
          <w:lang w:val="en-GB"/>
        </w:rPr>
        <w:t xml:space="preserve">The </w:t>
      </w:r>
      <w:r w:rsidR="00A231F5">
        <w:rPr>
          <w:rFonts w:asciiTheme="majorHAnsi" w:hAnsiTheme="majorHAnsi"/>
          <w:sz w:val="21"/>
          <w:szCs w:val="21"/>
          <w:lang w:val="en-GB"/>
        </w:rPr>
        <w:t>technical g</w:t>
      </w:r>
      <w:r w:rsidR="00B739C3" w:rsidRPr="001E5747">
        <w:rPr>
          <w:rFonts w:asciiTheme="majorHAnsi" w:hAnsiTheme="majorHAnsi"/>
          <w:sz w:val="21"/>
          <w:szCs w:val="21"/>
          <w:lang w:val="en-GB"/>
        </w:rPr>
        <w:t xml:space="preserve">roup prepares the MPG rules for the fiscal year </w:t>
      </w:r>
      <w:r w:rsidR="00B92BD1" w:rsidRPr="001E5747">
        <w:rPr>
          <w:rFonts w:asciiTheme="majorHAnsi" w:hAnsiTheme="majorHAnsi"/>
          <w:sz w:val="21"/>
          <w:szCs w:val="21"/>
          <w:lang w:val="en-GB"/>
        </w:rPr>
        <w:t>202</w:t>
      </w:r>
      <w:r w:rsidR="002D5AB7">
        <w:rPr>
          <w:rFonts w:asciiTheme="majorHAnsi" w:hAnsiTheme="majorHAnsi"/>
          <w:sz w:val="21"/>
          <w:szCs w:val="21"/>
          <w:lang w:val="en-GB"/>
        </w:rPr>
        <w:t>6</w:t>
      </w:r>
      <w:r w:rsidR="00B92BD1" w:rsidRPr="001E5747">
        <w:rPr>
          <w:rFonts w:asciiTheme="majorHAnsi" w:hAnsiTheme="majorHAnsi"/>
          <w:sz w:val="21"/>
          <w:szCs w:val="21"/>
          <w:lang w:val="en-GB"/>
        </w:rPr>
        <w:t xml:space="preserve"> </w:t>
      </w:r>
      <w:r w:rsidR="00B739C3" w:rsidRPr="001E5747">
        <w:rPr>
          <w:rFonts w:asciiTheme="majorHAnsi" w:hAnsiTheme="majorHAnsi"/>
          <w:sz w:val="21"/>
          <w:szCs w:val="21"/>
          <w:lang w:val="en-GB"/>
        </w:rPr>
        <w:t xml:space="preserve">(year of allocation) </w:t>
      </w:r>
      <w:r>
        <w:rPr>
          <w:rFonts w:asciiTheme="majorHAnsi" w:hAnsiTheme="majorHAnsi"/>
          <w:sz w:val="21"/>
          <w:szCs w:val="21"/>
          <w:lang w:val="en-GB"/>
        </w:rPr>
        <w:t xml:space="preserve">for </w:t>
      </w:r>
      <w:r w:rsidR="00B739C3" w:rsidRPr="001E5747">
        <w:rPr>
          <w:rFonts w:asciiTheme="majorHAnsi" w:hAnsiTheme="majorHAnsi"/>
          <w:sz w:val="21"/>
          <w:szCs w:val="21"/>
          <w:lang w:val="en-GB"/>
        </w:rPr>
        <w:t xml:space="preserve">the performance of municipalities of </w:t>
      </w:r>
      <w:r w:rsidR="00C217D4" w:rsidRPr="001E5747">
        <w:rPr>
          <w:rFonts w:asciiTheme="majorHAnsi" w:hAnsiTheme="majorHAnsi"/>
          <w:sz w:val="21"/>
          <w:szCs w:val="21"/>
          <w:lang w:val="en-GB"/>
        </w:rPr>
        <w:t>20</w:t>
      </w:r>
      <w:r w:rsidR="00C217D4">
        <w:rPr>
          <w:rFonts w:asciiTheme="majorHAnsi" w:hAnsiTheme="majorHAnsi"/>
          <w:sz w:val="21"/>
          <w:szCs w:val="21"/>
          <w:lang w:val="en-GB"/>
        </w:rPr>
        <w:t>2</w:t>
      </w:r>
      <w:r w:rsidR="002D5AB7">
        <w:rPr>
          <w:rFonts w:asciiTheme="majorHAnsi" w:hAnsiTheme="majorHAnsi"/>
          <w:sz w:val="21"/>
          <w:szCs w:val="21"/>
          <w:lang w:val="en-GB"/>
        </w:rPr>
        <w:t>4</w:t>
      </w:r>
      <w:r w:rsidR="00B739C3" w:rsidRPr="001E5747">
        <w:rPr>
          <w:rFonts w:asciiTheme="majorHAnsi" w:hAnsiTheme="majorHAnsi"/>
          <w:sz w:val="21"/>
          <w:szCs w:val="21"/>
          <w:lang w:val="en-GB"/>
        </w:rPr>
        <w:t>.</w:t>
      </w:r>
    </w:p>
    <w:p w14:paraId="30CD90F7" w14:textId="77777777" w:rsidR="00B739C3" w:rsidRPr="001E5747" w:rsidRDefault="00B739C3" w:rsidP="00B739C3">
      <w:pPr>
        <w:pStyle w:val="ListParagraph"/>
        <w:numPr>
          <w:ilvl w:val="0"/>
          <w:numId w:val="38"/>
        </w:numPr>
        <w:spacing w:after="0" w:line="264" w:lineRule="auto"/>
        <w:ind w:left="734" w:hanging="446"/>
        <w:jc w:val="both"/>
        <w:rPr>
          <w:rFonts w:asciiTheme="majorHAnsi" w:hAnsiTheme="majorHAnsi"/>
          <w:sz w:val="21"/>
          <w:szCs w:val="21"/>
          <w:lang w:val="en-GB"/>
        </w:rPr>
      </w:pPr>
      <w:r w:rsidRPr="001E5747">
        <w:rPr>
          <w:rFonts w:asciiTheme="majorHAnsi" w:hAnsiTheme="majorHAnsi"/>
          <w:sz w:val="21"/>
          <w:szCs w:val="21"/>
          <w:lang w:val="en-GB"/>
        </w:rPr>
        <w:t>The drafted rules are submitted to the Secretary General of the MLG</w:t>
      </w:r>
      <w:r w:rsidR="00FA59F6">
        <w:rPr>
          <w:rFonts w:asciiTheme="majorHAnsi" w:hAnsiTheme="majorHAnsi"/>
          <w:sz w:val="21"/>
          <w:szCs w:val="21"/>
          <w:lang w:val="en-GB"/>
        </w:rPr>
        <w:t>A</w:t>
      </w:r>
      <w:r w:rsidRPr="001E5747">
        <w:rPr>
          <w:rFonts w:asciiTheme="majorHAnsi" w:hAnsiTheme="majorHAnsi"/>
          <w:sz w:val="21"/>
          <w:szCs w:val="21"/>
          <w:lang w:val="en-GB"/>
        </w:rPr>
        <w:t xml:space="preserve"> and to </w:t>
      </w:r>
      <w:r w:rsidR="002A60FA" w:rsidRPr="001E5747">
        <w:rPr>
          <w:rFonts w:asciiTheme="majorHAnsi" w:hAnsiTheme="majorHAnsi"/>
          <w:sz w:val="21"/>
          <w:szCs w:val="21"/>
          <w:lang w:val="en-GB"/>
        </w:rPr>
        <w:t>donors</w:t>
      </w:r>
      <w:r w:rsidRPr="001E5747">
        <w:rPr>
          <w:rFonts w:asciiTheme="majorHAnsi" w:hAnsiTheme="majorHAnsi"/>
          <w:sz w:val="21"/>
          <w:szCs w:val="21"/>
          <w:lang w:val="en-GB"/>
        </w:rPr>
        <w:t>.</w:t>
      </w:r>
    </w:p>
    <w:p w14:paraId="593F1930" w14:textId="0BB55789" w:rsidR="00B739C3" w:rsidRPr="001E5747" w:rsidRDefault="002A60FA" w:rsidP="00B739C3">
      <w:pPr>
        <w:pStyle w:val="ListParagraph"/>
        <w:numPr>
          <w:ilvl w:val="0"/>
          <w:numId w:val="38"/>
        </w:numPr>
        <w:spacing w:after="0" w:line="264" w:lineRule="auto"/>
        <w:ind w:left="734" w:hanging="446"/>
        <w:jc w:val="both"/>
        <w:rPr>
          <w:rFonts w:asciiTheme="majorHAnsi" w:hAnsiTheme="majorHAnsi"/>
          <w:sz w:val="21"/>
          <w:szCs w:val="21"/>
          <w:lang w:val="en-GB"/>
        </w:rPr>
      </w:pPr>
      <w:r w:rsidRPr="001E5747">
        <w:rPr>
          <w:rFonts w:asciiTheme="majorHAnsi" w:hAnsiTheme="majorHAnsi"/>
          <w:sz w:val="21"/>
          <w:szCs w:val="21"/>
          <w:lang w:val="en-GB"/>
        </w:rPr>
        <w:lastRenderedPageBreak/>
        <w:t xml:space="preserve">The </w:t>
      </w:r>
      <w:r w:rsidR="00B739C3" w:rsidRPr="001E5747">
        <w:rPr>
          <w:rFonts w:asciiTheme="majorHAnsi" w:hAnsiTheme="majorHAnsi"/>
          <w:sz w:val="21"/>
          <w:szCs w:val="21"/>
          <w:lang w:val="en-GB"/>
        </w:rPr>
        <w:t xml:space="preserve">MPG rules prior to </w:t>
      </w:r>
      <w:r w:rsidR="00E77FB0">
        <w:rPr>
          <w:rFonts w:asciiTheme="majorHAnsi" w:hAnsiTheme="majorHAnsi"/>
          <w:sz w:val="21"/>
          <w:szCs w:val="21"/>
          <w:lang w:val="en-GB"/>
        </w:rPr>
        <w:t>assessment process</w:t>
      </w:r>
      <w:r w:rsidR="00B739C3" w:rsidRPr="001E5747">
        <w:rPr>
          <w:rFonts w:asciiTheme="majorHAnsi" w:hAnsiTheme="majorHAnsi"/>
          <w:sz w:val="21"/>
          <w:szCs w:val="21"/>
          <w:lang w:val="en-GB"/>
        </w:rPr>
        <w:t xml:space="preserve"> are approved by </w:t>
      </w:r>
      <w:proofErr w:type="gramStart"/>
      <w:r w:rsidR="00B739C3" w:rsidRPr="001E5747">
        <w:rPr>
          <w:rFonts w:asciiTheme="majorHAnsi" w:hAnsiTheme="majorHAnsi"/>
          <w:sz w:val="21"/>
          <w:szCs w:val="21"/>
          <w:lang w:val="en-GB"/>
        </w:rPr>
        <w:t xml:space="preserve">the </w:t>
      </w:r>
      <w:r w:rsidR="00C217D4">
        <w:rPr>
          <w:rFonts w:asciiTheme="majorHAnsi" w:hAnsiTheme="majorHAnsi"/>
          <w:sz w:val="21"/>
          <w:szCs w:val="21"/>
          <w:lang w:val="en-GB"/>
        </w:rPr>
        <w:t xml:space="preserve"> Ministry</w:t>
      </w:r>
      <w:proofErr w:type="gramEnd"/>
      <w:r w:rsidR="00C217D4">
        <w:rPr>
          <w:rFonts w:asciiTheme="majorHAnsi" w:hAnsiTheme="majorHAnsi"/>
          <w:sz w:val="21"/>
          <w:szCs w:val="21"/>
          <w:lang w:val="en-GB"/>
        </w:rPr>
        <w:t xml:space="preserve">, according to article 28.2 of the Administrative Instruction for </w:t>
      </w:r>
      <w:r w:rsidR="00EF1ADE">
        <w:rPr>
          <w:rFonts w:asciiTheme="majorHAnsi" w:hAnsiTheme="majorHAnsi"/>
          <w:sz w:val="21"/>
          <w:szCs w:val="21"/>
          <w:lang w:val="en-GB"/>
        </w:rPr>
        <w:t>M</w:t>
      </w:r>
      <w:r w:rsidR="00C217D4">
        <w:rPr>
          <w:rFonts w:asciiTheme="majorHAnsi" w:hAnsiTheme="majorHAnsi"/>
          <w:sz w:val="21"/>
          <w:szCs w:val="21"/>
          <w:lang w:val="en-GB"/>
        </w:rPr>
        <w:t>PMS/MPG.</w:t>
      </w:r>
    </w:p>
    <w:p w14:paraId="64B62EE3" w14:textId="77777777" w:rsidR="00B739C3" w:rsidRPr="001E5747" w:rsidRDefault="00B739C3" w:rsidP="00B739C3">
      <w:pPr>
        <w:pStyle w:val="ListParagraph"/>
        <w:numPr>
          <w:ilvl w:val="0"/>
          <w:numId w:val="38"/>
        </w:numPr>
        <w:spacing w:after="0" w:line="264" w:lineRule="auto"/>
        <w:ind w:left="734" w:hanging="446"/>
        <w:jc w:val="both"/>
        <w:rPr>
          <w:rFonts w:asciiTheme="majorHAnsi" w:hAnsiTheme="majorHAnsi"/>
          <w:sz w:val="21"/>
          <w:szCs w:val="21"/>
          <w:lang w:val="en-GB"/>
        </w:rPr>
      </w:pPr>
      <w:r w:rsidRPr="001E5747">
        <w:rPr>
          <w:rFonts w:asciiTheme="majorHAnsi" w:hAnsiTheme="majorHAnsi"/>
          <w:sz w:val="21"/>
          <w:szCs w:val="21"/>
          <w:lang w:val="en-GB"/>
        </w:rPr>
        <w:t xml:space="preserve">Upon approval, the MPG Rules are distributed to municipalities and published on the website of the </w:t>
      </w:r>
      <w:r w:rsidR="000E4478">
        <w:rPr>
          <w:rFonts w:asciiTheme="majorHAnsi" w:hAnsiTheme="majorHAnsi"/>
          <w:sz w:val="21"/>
          <w:szCs w:val="21"/>
          <w:lang w:val="en-GB"/>
        </w:rPr>
        <w:t>MLGA</w:t>
      </w:r>
      <w:r w:rsidRPr="001E5747">
        <w:rPr>
          <w:rFonts w:asciiTheme="majorHAnsi" w:hAnsiTheme="majorHAnsi"/>
          <w:sz w:val="21"/>
          <w:szCs w:val="21"/>
          <w:lang w:val="en-GB"/>
        </w:rPr>
        <w:t xml:space="preserve">. </w:t>
      </w:r>
    </w:p>
    <w:p w14:paraId="3C319C3F" w14:textId="77777777" w:rsidR="00B739C3" w:rsidRPr="001E5747" w:rsidRDefault="00B739C3" w:rsidP="00B739C3">
      <w:pPr>
        <w:pStyle w:val="ListParagraph"/>
        <w:numPr>
          <w:ilvl w:val="0"/>
          <w:numId w:val="38"/>
        </w:numPr>
        <w:spacing w:after="0" w:line="264" w:lineRule="auto"/>
        <w:ind w:left="734" w:hanging="446"/>
        <w:jc w:val="both"/>
        <w:rPr>
          <w:rFonts w:asciiTheme="majorHAnsi" w:hAnsiTheme="majorHAnsi"/>
          <w:sz w:val="21"/>
          <w:szCs w:val="21"/>
          <w:lang w:val="en-GB"/>
        </w:rPr>
      </w:pPr>
      <w:r w:rsidRPr="001E5747">
        <w:rPr>
          <w:rFonts w:asciiTheme="majorHAnsi" w:hAnsiTheme="majorHAnsi"/>
          <w:sz w:val="21"/>
          <w:szCs w:val="21"/>
          <w:lang w:val="en-GB"/>
        </w:rPr>
        <w:t>The assessment process starts according to the time</w:t>
      </w:r>
      <w:r w:rsidR="000E4478">
        <w:rPr>
          <w:rFonts w:asciiTheme="majorHAnsi" w:hAnsiTheme="majorHAnsi"/>
          <w:sz w:val="21"/>
          <w:szCs w:val="21"/>
          <w:lang w:val="en-GB"/>
        </w:rPr>
        <w:t>lines</w:t>
      </w:r>
      <w:r w:rsidRPr="001E5747">
        <w:rPr>
          <w:rFonts w:asciiTheme="majorHAnsi" w:hAnsiTheme="majorHAnsi"/>
          <w:sz w:val="21"/>
          <w:szCs w:val="21"/>
          <w:lang w:val="en-GB"/>
        </w:rPr>
        <w:t xml:space="preserve"> defined in table 4 of these rules. </w:t>
      </w:r>
    </w:p>
    <w:p w14:paraId="08996C88" w14:textId="77777777" w:rsidR="00B739C3" w:rsidRPr="001E5747" w:rsidRDefault="00B739C3" w:rsidP="00DD795C">
      <w:pPr>
        <w:jc w:val="both"/>
        <w:rPr>
          <w:rFonts w:asciiTheme="majorHAnsi" w:hAnsiTheme="majorHAnsi"/>
          <w:sz w:val="12"/>
          <w:szCs w:val="12"/>
          <w:lang w:val="en-GB"/>
        </w:rPr>
      </w:pPr>
    </w:p>
    <w:p w14:paraId="00E5469F" w14:textId="77777777" w:rsidR="00B739C3" w:rsidRPr="001E5747" w:rsidRDefault="00B739C3" w:rsidP="00B739C3">
      <w:pPr>
        <w:pStyle w:val="Heading1"/>
        <w:numPr>
          <w:ilvl w:val="2"/>
          <w:numId w:val="29"/>
        </w:numPr>
        <w:tabs>
          <w:tab w:val="left" w:pos="540"/>
        </w:tabs>
        <w:rPr>
          <w:rFonts w:asciiTheme="majorHAnsi" w:hAnsiTheme="majorHAnsi"/>
          <w:sz w:val="24"/>
          <w:lang w:val="en-GB"/>
        </w:rPr>
      </w:pPr>
      <w:bookmarkStart w:id="83" w:name="_Toc214024561"/>
      <w:r w:rsidRPr="001E5747">
        <w:rPr>
          <w:rFonts w:asciiTheme="majorHAnsi" w:hAnsiTheme="majorHAnsi"/>
          <w:sz w:val="24"/>
          <w:lang w:val="en-GB"/>
        </w:rPr>
        <w:t>Data collection and assessment</w:t>
      </w:r>
      <w:bookmarkEnd w:id="83"/>
    </w:p>
    <w:p w14:paraId="76D2F17D" w14:textId="7777777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The Technical Group collects the data for the assessment of the municipal performance grant. This data is derived from the following documents: </w:t>
      </w:r>
    </w:p>
    <w:p w14:paraId="15873D4D" w14:textId="7854275A" w:rsidR="00B739C3" w:rsidRDefault="00B739C3" w:rsidP="00B739C3">
      <w:pPr>
        <w:pStyle w:val="ListParagraph"/>
        <w:numPr>
          <w:ilvl w:val="0"/>
          <w:numId w:val="28"/>
        </w:numPr>
        <w:spacing w:after="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Municipal Performance Management System (MPMS) Report </w:t>
      </w:r>
      <w:r w:rsidR="0086283D" w:rsidRPr="001E5747">
        <w:rPr>
          <w:rFonts w:asciiTheme="majorHAnsi" w:hAnsiTheme="majorHAnsi"/>
          <w:sz w:val="21"/>
          <w:szCs w:val="21"/>
          <w:lang w:val="en-GB"/>
        </w:rPr>
        <w:t>20</w:t>
      </w:r>
      <w:r w:rsidR="0086283D">
        <w:rPr>
          <w:rFonts w:asciiTheme="majorHAnsi" w:hAnsiTheme="majorHAnsi"/>
          <w:sz w:val="21"/>
          <w:szCs w:val="21"/>
          <w:lang w:val="en-GB"/>
        </w:rPr>
        <w:t>2</w:t>
      </w:r>
      <w:r w:rsidR="00DD795C">
        <w:rPr>
          <w:rFonts w:asciiTheme="majorHAnsi" w:hAnsiTheme="majorHAnsi"/>
          <w:sz w:val="21"/>
          <w:szCs w:val="21"/>
          <w:lang w:val="en-GB"/>
        </w:rPr>
        <w:t>4</w:t>
      </w:r>
      <w:r w:rsidR="0086283D" w:rsidRPr="001E5747">
        <w:rPr>
          <w:rFonts w:asciiTheme="majorHAnsi" w:hAnsiTheme="majorHAnsi"/>
          <w:sz w:val="21"/>
          <w:szCs w:val="21"/>
          <w:lang w:val="en-GB"/>
        </w:rPr>
        <w:t xml:space="preserve"> </w:t>
      </w:r>
      <w:r w:rsidR="00FA59F6">
        <w:rPr>
          <w:rFonts w:asciiTheme="majorHAnsi" w:hAnsiTheme="majorHAnsi"/>
          <w:sz w:val="21"/>
          <w:szCs w:val="21"/>
          <w:lang w:val="en-GB"/>
        </w:rPr>
        <w:t xml:space="preserve">of MLGA, published </w:t>
      </w:r>
      <w:r w:rsidRPr="001E5747">
        <w:rPr>
          <w:rFonts w:asciiTheme="majorHAnsi" w:hAnsiTheme="majorHAnsi"/>
          <w:sz w:val="21"/>
          <w:szCs w:val="21"/>
          <w:lang w:val="en-GB"/>
        </w:rPr>
        <w:t xml:space="preserve">by MLGA; </w:t>
      </w:r>
    </w:p>
    <w:p w14:paraId="00477FC7" w14:textId="14CC430C" w:rsidR="00603525" w:rsidRPr="00C96E3F" w:rsidRDefault="0071124B" w:rsidP="00603525">
      <w:pPr>
        <w:pStyle w:val="ListParagraph"/>
        <w:numPr>
          <w:ilvl w:val="0"/>
          <w:numId w:val="28"/>
        </w:numPr>
        <w:spacing w:after="0" w:line="264" w:lineRule="auto"/>
        <w:jc w:val="both"/>
        <w:rPr>
          <w:rFonts w:asciiTheme="majorHAnsi" w:hAnsiTheme="majorHAnsi"/>
          <w:sz w:val="21"/>
          <w:szCs w:val="21"/>
          <w:lang w:val="en-GB"/>
        </w:rPr>
      </w:pPr>
      <w:r>
        <w:rPr>
          <w:rFonts w:asciiTheme="majorHAnsi" w:hAnsiTheme="majorHAnsi"/>
          <w:sz w:val="21"/>
          <w:szCs w:val="21"/>
          <w:lang w:val="en-GB"/>
        </w:rPr>
        <w:t>R</w:t>
      </w:r>
      <w:r w:rsidR="008428CD">
        <w:rPr>
          <w:rFonts w:asciiTheme="majorHAnsi" w:hAnsiTheme="majorHAnsi"/>
          <w:sz w:val="21"/>
          <w:szCs w:val="21"/>
          <w:lang w:val="en-GB"/>
        </w:rPr>
        <w:t>eport on assessment of legality of municipal assembly acts</w:t>
      </w:r>
      <w:r>
        <w:rPr>
          <w:rFonts w:asciiTheme="majorHAnsi" w:hAnsiTheme="majorHAnsi"/>
          <w:sz w:val="21"/>
          <w:szCs w:val="21"/>
          <w:lang w:val="en-GB"/>
        </w:rPr>
        <w:t xml:space="preserve"> 202</w:t>
      </w:r>
      <w:r w:rsidR="00DD795C">
        <w:rPr>
          <w:rFonts w:asciiTheme="majorHAnsi" w:hAnsiTheme="majorHAnsi"/>
          <w:sz w:val="21"/>
          <w:szCs w:val="21"/>
          <w:lang w:val="en-GB"/>
        </w:rPr>
        <w:t>4</w:t>
      </w:r>
      <w:r w:rsidR="00AF7666">
        <w:rPr>
          <w:rFonts w:asciiTheme="majorHAnsi" w:hAnsiTheme="majorHAnsi"/>
          <w:sz w:val="21"/>
          <w:szCs w:val="21"/>
          <w:lang w:val="en-GB"/>
        </w:rPr>
        <w:t xml:space="preserve">, </w:t>
      </w:r>
      <w:r w:rsidR="00BB76E5">
        <w:rPr>
          <w:rFonts w:asciiTheme="majorHAnsi" w:hAnsiTheme="majorHAnsi"/>
          <w:sz w:val="21"/>
          <w:szCs w:val="21"/>
          <w:lang w:val="en-GB"/>
        </w:rPr>
        <w:t xml:space="preserve">published by </w:t>
      </w:r>
      <w:proofErr w:type="gramStart"/>
      <w:r w:rsidR="00AF7666">
        <w:rPr>
          <w:rFonts w:asciiTheme="majorHAnsi" w:hAnsiTheme="majorHAnsi"/>
          <w:sz w:val="21"/>
          <w:szCs w:val="21"/>
          <w:lang w:val="en-GB"/>
        </w:rPr>
        <w:t>MLGA</w:t>
      </w:r>
      <w:r w:rsidR="008428CD">
        <w:rPr>
          <w:rFonts w:asciiTheme="majorHAnsi" w:hAnsiTheme="majorHAnsi"/>
          <w:sz w:val="21"/>
          <w:szCs w:val="21"/>
          <w:lang w:val="en-GB"/>
        </w:rPr>
        <w:t>;</w:t>
      </w:r>
      <w:r w:rsidR="00E67CD5">
        <w:rPr>
          <w:rFonts w:asciiTheme="majorHAnsi" w:hAnsiTheme="majorHAnsi"/>
          <w:sz w:val="21"/>
          <w:szCs w:val="21"/>
          <w:lang w:val="en-GB"/>
        </w:rPr>
        <w:t>.</w:t>
      </w:r>
      <w:proofErr w:type="gramEnd"/>
    </w:p>
    <w:p w14:paraId="51FDAFBC" w14:textId="3786E5DE" w:rsidR="00B739C3" w:rsidRPr="001E5747" w:rsidRDefault="00B739C3" w:rsidP="00B739C3">
      <w:pPr>
        <w:pStyle w:val="ListParagraph"/>
        <w:numPr>
          <w:ilvl w:val="0"/>
          <w:numId w:val="28"/>
        </w:numPr>
        <w:spacing w:after="0" w:line="264" w:lineRule="auto"/>
        <w:jc w:val="both"/>
        <w:rPr>
          <w:rFonts w:asciiTheme="majorHAnsi" w:hAnsiTheme="majorHAnsi"/>
          <w:sz w:val="21"/>
          <w:szCs w:val="21"/>
          <w:lang w:val="en-GB"/>
        </w:rPr>
      </w:pPr>
      <w:r w:rsidRPr="001E5747">
        <w:rPr>
          <w:rFonts w:asciiTheme="majorHAnsi" w:hAnsiTheme="majorHAnsi"/>
          <w:sz w:val="21"/>
          <w:szCs w:val="21"/>
          <w:lang w:val="en-GB"/>
        </w:rPr>
        <w:t>Regularity</w:t>
      </w:r>
      <w:r w:rsidR="00373598">
        <w:rPr>
          <w:rFonts w:asciiTheme="majorHAnsi" w:hAnsiTheme="majorHAnsi"/>
          <w:sz w:val="21"/>
          <w:szCs w:val="21"/>
          <w:lang w:val="en-GB"/>
        </w:rPr>
        <w:t xml:space="preserve"> (financial and compliance)</w:t>
      </w:r>
      <w:r w:rsidRPr="001E5747">
        <w:rPr>
          <w:rFonts w:asciiTheme="majorHAnsi" w:hAnsiTheme="majorHAnsi"/>
          <w:sz w:val="21"/>
          <w:szCs w:val="21"/>
          <w:lang w:val="en-GB"/>
        </w:rPr>
        <w:t xml:space="preserve"> audit reports for</w:t>
      </w:r>
      <w:r w:rsidR="0086283D">
        <w:rPr>
          <w:rFonts w:asciiTheme="majorHAnsi" w:hAnsiTheme="majorHAnsi"/>
          <w:sz w:val="21"/>
          <w:szCs w:val="21"/>
          <w:lang w:val="en-GB"/>
        </w:rPr>
        <w:t xml:space="preserve"> the year </w:t>
      </w:r>
      <w:r w:rsidR="00E67CD5">
        <w:rPr>
          <w:rFonts w:asciiTheme="majorHAnsi" w:hAnsiTheme="majorHAnsi"/>
          <w:sz w:val="21"/>
          <w:szCs w:val="21"/>
          <w:lang w:val="en-GB"/>
        </w:rPr>
        <w:t>202</w:t>
      </w:r>
      <w:r w:rsidR="00DD795C">
        <w:rPr>
          <w:rFonts w:asciiTheme="majorHAnsi" w:hAnsiTheme="majorHAnsi"/>
          <w:sz w:val="21"/>
          <w:szCs w:val="21"/>
          <w:lang w:val="en-GB"/>
        </w:rPr>
        <w:t>4</w:t>
      </w:r>
      <w:r w:rsidR="00E67CD5">
        <w:rPr>
          <w:rFonts w:asciiTheme="majorHAnsi" w:hAnsiTheme="majorHAnsi"/>
          <w:sz w:val="21"/>
          <w:szCs w:val="21"/>
          <w:lang w:val="en-GB"/>
        </w:rPr>
        <w:t xml:space="preserve"> </w:t>
      </w:r>
      <w:r w:rsidR="0086283D">
        <w:rPr>
          <w:rFonts w:asciiTheme="majorHAnsi" w:hAnsiTheme="majorHAnsi"/>
          <w:sz w:val="21"/>
          <w:szCs w:val="21"/>
          <w:lang w:val="en-GB"/>
        </w:rPr>
        <w:t>for</w:t>
      </w:r>
      <w:r w:rsidRPr="001E5747">
        <w:rPr>
          <w:rFonts w:asciiTheme="majorHAnsi" w:hAnsiTheme="majorHAnsi"/>
          <w:sz w:val="21"/>
          <w:szCs w:val="21"/>
          <w:lang w:val="en-GB"/>
        </w:rPr>
        <w:t xml:space="preserve"> each of the 38 municipalities, published by the NAO; </w:t>
      </w:r>
    </w:p>
    <w:p w14:paraId="31DFF6DA" w14:textId="4BF63673" w:rsidR="00A25A8C" w:rsidRPr="001E5747" w:rsidRDefault="002A60FA"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D</w:t>
      </w:r>
      <w:r w:rsidR="00B739C3" w:rsidRPr="001E5747">
        <w:rPr>
          <w:rFonts w:asciiTheme="majorHAnsi" w:hAnsiTheme="majorHAnsi"/>
          <w:sz w:val="21"/>
          <w:szCs w:val="21"/>
          <w:lang w:val="en-GB"/>
        </w:rPr>
        <w:t xml:space="preserve">ata used from these sources </w:t>
      </w:r>
      <w:r w:rsidRPr="001E5747">
        <w:rPr>
          <w:rFonts w:asciiTheme="majorHAnsi" w:hAnsiTheme="majorHAnsi"/>
          <w:sz w:val="21"/>
          <w:szCs w:val="21"/>
          <w:lang w:val="en-GB"/>
        </w:rPr>
        <w:t xml:space="preserve">allow for </w:t>
      </w:r>
      <w:r w:rsidR="00B739C3" w:rsidRPr="001E5747">
        <w:rPr>
          <w:rFonts w:asciiTheme="majorHAnsi" w:hAnsiTheme="majorHAnsi"/>
          <w:sz w:val="21"/>
          <w:szCs w:val="21"/>
          <w:lang w:val="en-GB"/>
        </w:rPr>
        <w:t xml:space="preserve">identification of municipalities that </w:t>
      </w:r>
      <w:r w:rsidRPr="001E5747">
        <w:rPr>
          <w:rFonts w:asciiTheme="majorHAnsi" w:hAnsiTheme="majorHAnsi"/>
          <w:sz w:val="21"/>
          <w:szCs w:val="21"/>
          <w:lang w:val="en-GB"/>
        </w:rPr>
        <w:t xml:space="preserve">fulfil </w:t>
      </w:r>
      <w:r w:rsidR="00FA59F6">
        <w:rPr>
          <w:rFonts w:asciiTheme="majorHAnsi" w:hAnsiTheme="majorHAnsi"/>
          <w:sz w:val="21"/>
          <w:szCs w:val="21"/>
          <w:lang w:val="en-GB"/>
        </w:rPr>
        <w:t>4</w:t>
      </w:r>
      <w:r w:rsidR="00B739C3" w:rsidRPr="001E5747">
        <w:rPr>
          <w:rFonts w:asciiTheme="majorHAnsi" w:hAnsiTheme="majorHAnsi"/>
          <w:sz w:val="21"/>
          <w:szCs w:val="21"/>
          <w:lang w:val="en-GB"/>
        </w:rPr>
        <w:t xml:space="preserve"> minimum conditions for the </w:t>
      </w:r>
      <w:r w:rsidR="00FA59F6">
        <w:rPr>
          <w:rFonts w:asciiTheme="majorHAnsi" w:hAnsiTheme="majorHAnsi"/>
          <w:sz w:val="21"/>
          <w:szCs w:val="21"/>
          <w:lang w:val="en-GB"/>
        </w:rPr>
        <w:t xml:space="preserve">municipal </w:t>
      </w:r>
      <w:r w:rsidR="00B739C3" w:rsidRPr="001E5747">
        <w:rPr>
          <w:rFonts w:asciiTheme="majorHAnsi" w:hAnsiTheme="majorHAnsi"/>
          <w:sz w:val="21"/>
          <w:szCs w:val="21"/>
          <w:lang w:val="en-GB"/>
        </w:rPr>
        <w:t>performance grant (see Annex 1). T</w:t>
      </w:r>
      <w:r w:rsidRPr="001E5747">
        <w:rPr>
          <w:rFonts w:asciiTheme="majorHAnsi" w:hAnsiTheme="majorHAnsi"/>
          <w:sz w:val="21"/>
          <w:szCs w:val="21"/>
          <w:lang w:val="en-GB"/>
        </w:rPr>
        <w:t>he</w:t>
      </w:r>
      <w:r w:rsidR="000F3D96">
        <w:rPr>
          <w:rFonts w:asciiTheme="majorHAnsi" w:hAnsiTheme="majorHAnsi"/>
          <w:sz w:val="21"/>
          <w:szCs w:val="21"/>
          <w:lang w:val="en-GB"/>
        </w:rPr>
        <w:t xml:space="preserve"> data</w:t>
      </w:r>
      <w:r w:rsidR="00B739C3" w:rsidRPr="001E5747">
        <w:rPr>
          <w:rFonts w:asciiTheme="majorHAnsi" w:hAnsiTheme="majorHAnsi"/>
          <w:sz w:val="21"/>
          <w:szCs w:val="21"/>
          <w:lang w:val="en-GB"/>
        </w:rPr>
        <w:t xml:space="preserve"> are also used to assess MPG indicators (see Annex 2). Once that is done, the scorecard (see template in Annex 3) will be filled in with scores for each municipality. The total score will be entered in the grant allocation table, which will calculate the </w:t>
      </w:r>
      <w:r w:rsidRPr="001E5747">
        <w:rPr>
          <w:rFonts w:asciiTheme="majorHAnsi" w:hAnsiTheme="majorHAnsi"/>
          <w:sz w:val="21"/>
          <w:szCs w:val="21"/>
          <w:lang w:val="en-GB"/>
        </w:rPr>
        <w:t xml:space="preserve">amount </w:t>
      </w:r>
      <w:r w:rsidR="00B739C3" w:rsidRPr="001E5747">
        <w:rPr>
          <w:rFonts w:asciiTheme="majorHAnsi" w:hAnsiTheme="majorHAnsi"/>
          <w:sz w:val="21"/>
          <w:szCs w:val="21"/>
          <w:lang w:val="en-GB"/>
        </w:rPr>
        <w:t xml:space="preserve">of the municipal performance grant for each municipality that </w:t>
      </w:r>
      <w:r w:rsidRPr="001E5747">
        <w:rPr>
          <w:rFonts w:asciiTheme="majorHAnsi" w:hAnsiTheme="majorHAnsi"/>
          <w:sz w:val="21"/>
          <w:szCs w:val="21"/>
          <w:lang w:val="en-GB"/>
        </w:rPr>
        <w:t>is</w:t>
      </w:r>
      <w:r w:rsidR="00B739C3" w:rsidRPr="001E5747">
        <w:rPr>
          <w:rFonts w:asciiTheme="majorHAnsi" w:hAnsiTheme="majorHAnsi"/>
          <w:sz w:val="21"/>
          <w:szCs w:val="21"/>
          <w:lang w:val="en-GB"/>
        </w:rPr>
        <w:t xml:space="preserve"> eligible (Annex 4).</w:t>
      </w:r>
    </w:p>
    <w:p w14:paraId="273B797A" w14:textId="77777777" w:rsidR="00B739C3" w:rsidRDefault="00B739C3" w:rsidP="00B739C3">
      <w:pPr>
        <w:pStyle w:val="Heading1"/>
        <w:numPr>
          <w:ilvl w:val="2"/>
          <w:numId w:val="29"/>
        </w:numPr>
        <w:tabs>
          <w:tab w:val="left" w:pos="540"/>
        </w:tabs>
        <w:rPr>
          <w:rFonts w:asciiTheme="majorHAnsi" w:hAnsiTheme="majorHAnsi"/>
          <w:sz w:val="24"/>
          <w:lang w:val="en-GB"/>
        </w:rPr>
      </w:pPr>
      <w:bookmarkStart w:id="84" w:name="_Toc214024562"/>
      <w:r w:rsidRPr="001E5747">
        <w:rPr>
          <w:rFonts w:asciiTheme="majorHAnsi" w:hAnsiTheme="majorHAnsi"/>
          <w:sz w:val="24"/>
          <w:lang w:val="en-GB"/>
        </w:rPr>
        <w:t xml:space="preserve">Communication of results to municipalities and the </w:t>
      </w:r>
      <w:r w:rsidR="002A60FA" w:rsidRPr="001E5747">
        <w:rPr>
          <w:rFonts w:asciiTheme="majorHAnsi" w:hAnsiTheme="majorHAnsi"/>
          <w:sz w:val="24"/>
          <w:lang w:val="en-GB"/>
        </w:rPr>
        <w:t xml:space="preserve">complaint </w:t>
      </w:r>
      <w:r w:rsidRPr="001E5747">
        <w:rPr>
          <w:rFonts w:asciiTheme="majorHAnsi" w:hAnsiTheme="majorHAnsi"/>
          <w:sz w:val="24"/>
          <w:lang w:val="en-GB"/>
        </w:rPr>
        <w:t>procedure</w:t>
      </w:r>
      <w:bookmarkEnd w:id="84"/>
      <w:r w:rsidRPr="001E5747">
        <w:rPr>
          <w:rFonts w:asciiTheme="majorHAnsi" w:hAnsiTheme="majorHAnsi"/>
          <w:sz w:val="24"/>
          <w:lang w:val="en-GB"/>
        </w:rPr>
        <w:t xml:space="preserve"> </w:t>
      </w:r>
    </w:p>
    <w:p w14:paraId="6FF7A37F" w14:textId="77777777" w:rsidR="00BF5499" w:rsidRPr="00BF5499" w:rsidRDefault="00BF5499" w:rsidP="00BF5499">
      <w:pPr>
        <w:rPr>
          <w:lang w:val="en-GB"/>
        </w:rPr>
      </w:pPr>
    </w:p>
    <w:p w14:paraId="2FB002DB" w14:textId="77777777" w:rsidR="00B739C3" w:rsidRPr="001E5747" w:rsidRDefault="00B739C3" w:rsidP="00B739C3">
      <w:pPr>
        <w:spacing w:before="60" w:line="264" w:lineRule="auto"/>
        <w:jc w:val="both"/>
        <w:rPr>
          <w:rFonts w:ascii="Courier New" w:hAnsi="Courier New" w:cs="Courier New"/>
          <w:sz w:val="21"/>
          <w:szCs w:val="21"/>
          <w:lang w:val="en-GB"/>
        </w:rPr>
      </w:pPr>
      <w:r w:rsidRPr="001E5747">
        <w:rPr>
          <w:rFonts w:asciiTheme="majorHAnsi" w:hAnsiTheme="majorHAnsi"/>
          <w:sz w:val="21"/>
          <w:szCs w:val="21"/>
          <w:lang w:val="en-GB"/>
        </w:rPr>
        <w:t>After the MPG Commission approve</w:t>
      </w:r>
      <w:r w:rsidR="002A60FA" w:rsidRPr="001E5747">
        <w:rPr>
          <w:rFonts w:asciiTheme="majorHAnsi" w:hAnsiTheme="majorHAnsi"/>
          <w:sz w:val="21"/>
          <w:szCs w:val="21"/>
          <w:lang w:val="en-GB"/>
        </w:rPr>
        <w:t>s</w:t>
      </w:r>
      <w:r w:rsidRPr="001E5747">
        <w:rPr>
          <w:rFonts w:asciiTheme="majorHAnsi" w:hAnsiTheme="majorHAnsi"/>
          <w:sz w:val="21"/>
          <w:szCs w:val="21"/>
          <w:lang w:val="en-GB"/>
        </w:rPr>
        <w:t xml:space="preserve"> the results for </w:t>
      </w:r>
      <w:r w:rsidR="002A60FA" w:rsidRPr="001E5747">
        <w:rPr>
          <w:rFonts w:asciiTheme="majorHAnsi" w:hAnsiTheme="majorHAnsi"/>
          <w:sz w:val="21"/>
          <w:szCs w:val="21"/>
          <w:lang w:val="en-GB"/>
        </w:rPr>
        <w:t xml:space="preserve">the </w:t>
      </w:r>
      <w:r w:rsidRPr="001E5747">
        <w:rPr>
          <w:rFonts w:asciiTheme="majorHAnsi" w:hAnsiTheme="majorHAnsi"/>
          <w:sz w:val="21"/>
          <w:szCs w:val="21"/>
          <w:lang w:val="en-GB"/>
        </w:rPr>
        <w:t xml:space="preserve">MPG, within 7 days, it shall communicate the scorecards to the municipalities. The communication of the performance results of the respective municipality </w:t>
      </w:r>
      <w:r w:rsidR="002A60FA" w:rsidRPr="001E5747">
        <w:rPr>
          <w:rFonts w:asciiTheme="majorHAnsi" w:hAnsiTheme="majorHAnsi"/>
          <w:sz w:val="21"/>
          <w:szCs w:val="21"/>
          <w:lang w:val="en-GB"/>
        </w:rPr>
        <w:t>is</w:t>
      </w:r>
      <w:r w:rsidRPr="001E5747">
        <w:rPr>
          <w:rFonts w:asciiTheme="majorHAnsi" w:hAnsiTheme="majorHAnsi"/>
          <w:sz w:val="21"/>
          <w:szCs w:val="21"/>
          <w:lang w:val="en-GB"/>
        </w:rPr>
        <w:t xml:space="preserve"> done only </w:t>
      </w:r>
      <w:r w:rsidR="002A60FA" w:rsidRPr="001E5747">
        <w:rPr>
          <w:rFonts w:asciiTheme="majorHAnsi" w:hAnsiTheme="majorHAnsi"/>
          <w:sz w:val="21"/>
          <w:szCs w:val="21"/>
          <w:lang w:val="en-GB"/>
        </w:rPr>
        <w:t>by</w:t>
      </w:r>
      <w:r w:rsidRPr="001E5747">
        <w:rPr>
          <w:rFonts w:asciiTheme="majorHAnsi" w:hAnsiTheme="majorHAnsi"/>
          <w:sz w:val="21"/>
          <w:szCs w:val="21"/>
          <w:lang w:val="en-GB"/>
        </w:rPr>
        <w:t xml:space="preserve"> providing information on whether the municipality </w:t>
      </w:r>
      <w:r w:rsidR="002A60FA" w:rsidRPr="001E5747">
        <w:rPr>
          <w:rFonts w:asciiTheme="majorHAnsi" w:hAnsiTheme="majorHAnsi"/>
          <w:sz w:val="21"/>
          <w:szCs w:val="21"/>
          <w:lang w:val="en-GB"/>
        </w:rPr>
        <w:t xml:space="preserve">has </w:t>
      </w:r>
      <w:r w:rsidRPr="001E5747">
        <w:rPr>
          <w:rFonts w:asciiTheme="majorHAnsi" w:hAnsiTheme="majorHAnsi"/>
          <w:sz w:val="21"/>
          <w:szCs w:val="21"/>
          <w:lang w:val="en-GB"/>
        </w:rPr>
        <w:t xml:space="preserve">qualified or not, as well as the performance points for the MPG. The amounts and ranking of the municipalities will be communicated </w:t>
      </w:r>
      <w:r w:rsidR="000E4478">
        <w:rPr>
          <w:rFonts w:asciiTheme="majorHAnsi" w:hAnsiTheme="majorHAnsi"/>
          <w:sz w:val="21"/>
          <w:szCs w:val="21"/>
          <w:lang w:val="en-GB"/>
        </w:rPr>
        <w:t xml:space="preserve">only </w:t>
      </w:r>
      <w:r w:rsidRPr="001E5747">
        <w:rPr>
          <w:rFonts w:asciiTheme="majorHAnsi" w:hAnsiTheme="majorHAnsi"/>
          <w:sz w:val="21"/>
          <w:szCs w:val="21"/>
          <w:lang w:val="en-GB"/>
        </w:rPr>
        <w:t xml:space="preserve">after the completion of the </w:t>
      </w:r>
      <w:r w:rsidR="004734E7">
        <w:rPr>
          <w:rFonts w:asciiTheme="majorHAnsi" w:hAnsiTheme="majorHAnsi"/>
          <w:sz w:val="21"/>
          <w:szCs w:val="21"/>
          <w:lang w:val="en-GB"/>
        </w:rPr>
        <w:t>appeal</w:t>
      </w:r>
      <w:r w:rsidRPr="001E5747">
        <w:rPr>
          <w:rFonts w:asciiTheme="majorHAnsi" w:hAnsiTheme="majorHAnsi"/>
          <w:sz w:val="21"/>
          <w:szCs w:val="21"/>
          <w:lang w:val="en-GB"/>
        </w:rPr>
        <w:t xml:space="preserve">s process. </w:t>
      </w:r>
    </w:p>
    <w:p w14:paraId="0E6A549E" w14:textId="77777777" w:rsidR="00B739C3" w:rsidRPr="001E5747" w:rsidRDefault="002A60FA"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After</w:t>
      </w:r>
      <w:r w:rsidR="00B739C3" w:rsidRPr="001E5747">
        <w:rPr>
          <w:rFonts w:asciiTheme="majorHAnsi" w:hAnsiTheme="majorHAnsi"/>
          <w:sz w:val="21"/>
          <w:szCs w:val="21"/>
          <w:lang w:val="en-GB"/>
        </w:rPr>
        <w:t xml:space="preserve"> communication of results, municipalities have the right to </w:t>
      </w:r>
      <w:r w:rsidRPr="001E5747">
        <w:rPr>
          <w:rFonts w:asciiTheme="majorHAnsi" w:hAnsiTheme="majorHAnsi"/>
          <w:sz w:val="21"/>
          <w:szCs w:val="21"/>
          <w:lang w:val="en-GB"/>
        </w:rPr>
        <w:t>appeal</w:t>
      </w:r>
      <w:r w:rsidR="00B739C3" w:rsidRPr="001E5747">
        <w:rPr>
          <w:rFonts w:asciiTheme="majorHAnsi" w:hAnsiTheme="majorHAnsi"/>
          <w:sz w:val="21"/>
          <w:szCs w:val="21"/>
          <w:lang w:val="en-GB"/>
        </w:rPr>
        <w:t xml:space="preserve"> within </w:t>
      </w:r>
      <w:r w:rsidR="00F41037">
        <w:rPr>
          <w:rFonts w:asciiTheme="majorHAnsi" w:hAnsiTheme="majorHAnsi"/>
          <w:b/>
          <w:bCs/>
          <w:sz w:val="21"/>
          <w:szCs w:val="21"/>
          <w:lang w:val="en-GB"/>
        </w:rPr>
        <w:t>7</w:t>
      </w:r>
      <w:r w:rsidR="00B739C3" w:rsidRPr="001E5747">
        <w:rPr>
          <w:rFonts w:asciiTheme="majorHAnsi" w:hAnsiTheme="majorHAnsi"/>
          <w:b/>
          <w:bCs/>
          <w:sz w:val="21"/>
          <w:szCs w:val="21"/>
          <w:lang w:val="en-GB"/>
        </w:rPr>
        <w:t xml:space="preserve"> days from the moment of receiving the scorecard from the ministry</w:t>
      </w:r>
      <w:r w:rsidR="00B739C3" w:rsidRPr="001E5747">
        <w:rPr>
          <w:rFonts w:asciiTheme="majorHAnsi" w:hAnsiTheme="majorHAnsi"/>
          <w:sz w:val="21"/>
          <w:szCs w:val="21"/>
          <w:lang w:val="en-GB"/>
        </w:rPr>
        <w:t>, if they do not agree with the assessment results.</w:t>
      </w:r>
    </w:p>
    <w:p w14:paraId="203CE8B3" w14:textId="7777777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The complaint can be filed by the municipalities for procedural and material reasons of the MPG assessment. </w:t>
      </w:r>
    </w:p>
    <w:p w14:paraId="5BB7D073" w14:textId="7777777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The </w:t>
      </w:r>
      <w:proofErr w:type="gramStart"/>
      <w:r w:rsidRPr="001E5747">
        <w:rPr>
          <w:rFonts w:asciiTheme="majorHAnsi" w:hAnsiTheme="majorHAnsi"/>
          <w:sz w:val="21"/>
          <w:szCs w:val="21"/>
          <w:lang w:val="en-GB"/>
        </w:rPr>
        <w:t xml:space="preserve">complaint </w:t>
      </w:r>
      <w:r w:rsidR="004734E7" w:rsidRPr="001E5747">
        <w:rPr>
          <w:rFonts w:asciiTheme="majorHAnsi" w:hAnsiTheme="majorHAnsi"/>
          <w:sz w:val="21"/>
          <w:szCs w:val="21"/>
          <w:lang w:val="en-GB"/>
        </w:rPr>
        <w:t xml:space="preserve"> </w:t>
      </w:r>
      <w:r w:rsidRPr="001E5747">
        <w:rPr>
          <w:rFonts w:asciiTheme="majorHAnsi" w:hAnsiTheme="majorHAnsi"/>
          <w:sz w:val="21"/>
          <w:szCs w:val="21"/>
          <w:lang w:val="en-GB"/>
        </w:rPr>
        <w:t>cannot</w:t>
      </w:r>
      <w:proofErr w:type="gramEnd"/>
      <w:r w:rsidRPr="001E5747">
        <w:rPr>
          <w:rFonts w:asciiTheme="majorHAnsi" w:hAnsiTheme="majorHAnsi"/>
          <w:sz w:val="21"/>
          <w:szCs w:val="21"/>
          <w:lang w:val="en-GB"/>
        </w:rPr>
        <w:t xml:space="preserve"> </w:t>
      </w:r>
      <w:r w:rsidR="004734E7">
        <w:rPr>
          <w:rFonts w:asciiTheme="majorHAnsi" w:hAnsiTheme="majorHAnsi"/>
          <w:sz w:val="21"/>
          <w:szCs w:val="21"/>
          <w:lang w:val="en-GB"/>
        </w:rPr>
        <w:t>dispute</w:t>
      </w:r>
      <w:r w:rsidRPr="001E5747">
        <w:rPr>
          <w:rFonts w:asciiTheme="majorHAnsi" w:hAnsiTheme="majorHAnsi"/>
          <w:sz w:val="21"/>
          <w:szCs w:val="21"/>
          <w:lang w:val="en-GB"/>
        </w:rPr>
        <w:t xml:space="preserve"> the source of the official data used during the assessment. </w:t>
      </w:r>
    </w:p>
    <w:p w14:paraId="35C4B92C" w14:textId="7777777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If a municipality claims that the </w:t>
      </w:r>
      <w:r w:rsidR="002A60FA" w:rsidRPr="001E5747">
        <w:rPr>
          <w:rFonts w:asciiTheme="majorHAnsi" w:hAnsiTheme="majorHAnsi"/>
          <w:sz w:val="21"/>
          <w:szCs w:val="21"/>
          <w:lang w:val="en-GB"/>
        </w:rPr>
        <w:t>assessors</w:t>
      </w:r>
      <w:r w:rsidRPr="001E5747">
        <w:rPr>
          <w:rFonts w:asciiTheme="majorHAnsi" w:hAnsiTheme="majorHAnsi"/>
          <w:sz w:val="21"/>
          <w:szCs w:val="21"/>
          <w:lang w:val="en-GB"/>
        </w:rPr>
        <w:t xml:space="preserve"> </w:t>
      </w:r>
      <w:r w:rsidR="002A60FA" w:rsidRPr="001E5747">
        <w:rPr>
          <w:rFonts w:asciiTheme="majorHAnsi" w:hAnsiTheme="majorHAnsi"/>
          <w:sz w:val="21"/>
          <w:szCs w:val="21"/>
          <w:lang w:val="en-GB"/>
        </w:rPr>
        <w:t>of</w:t>
      </w:r>
      <w:r w:rsidRPr="001E5747">
        <w:rPr>
          <w:rFonts w:asciiTheme="majorHAnsi" w:hAnsiTheme="majorHAnsi"/>
          <w:sz w:val="21"/>
          <w:szCs w:val="21"/>
          <w:lang w:val="en-GB"/>
        </w:rPr>
        <w:t xml:space="preserve"> the MPG have made errors in the assessment of its performance, it can exercise its right of appeal under the following procedures:</w:t>
      </w:r>
    </w:p>
    <w:p w14:paraId="5700AE51" w14:textId="77777777" w:rsidR="002E08B9" w:rsidRPr="001E5747" w:rsidRDefault="002E08B9" w:rsidP="00B739C3">
      <w:pPr>
        <w:ind w:left="567"/>
        <w:jc w:val="both"/>
        <w:rPr>
          <w:rFonts w:asciiTheme="majorHAnsi" w:hAnsiTheme="majorHAnsi"/>
          <w:sz w:val="21"/>
          <w:szCs w:val="21"/>
          <w:lang w:val="en-GB"/>
        </w:rPr>
      </w:pPr>
    </w:p>
    <w:tbl>
      <w:tblPr>
        <w:tblStyle w:val="TableGrid1"/>
        <w:tblW w:w="8222" w:type="dxa"/>
        <w:tblInd w:w="675" w:type="dxa"/>
        <w:tblLayout w:type="fixed"/>
        <w:tblLook w:val="04A0" w:firstRow="1" w:lastRow="0" w:firstColumn="1" w:lastColumn="0" w:noHBand="0" w:noVBand="1"/>
      </w:tblPr>
      <w:tblGrid>
        <w:gridCol w:w="709"/>
        <w:gridCol w:w="5245"/>
        <w:gridCol w:w="2268"/>
      </w:tblGrid>
      <w:tr w:rsidR="00B739C3" w:rsidRPr="001E5747" w14:paraId="4A6FAC9C" w14:textId="77777777" w:rsidTr="00B739C3">
        <w:trPr>
          <w:trHeight w:val="278"/>
        </w:trPr>
        <w:tc>
          <w:tcPr>
            <w:tcW w:w="8222" w:type="dxa"/>
            <w:gridSpan w:val="3"/>
            <w:shd w:val="clear" w:color="auto" w:fill="808080"/>
          </w:tcPr>
          <w:p w14:paraId="502C3164" w14:textId="77777777" w:rsidR="00B739C3" w:rsidRPr="001E5747" w:rsidRDefault="00B739C3" w:rsidP="00B739C3">
            <w:pPr>
              <w:spacing w:before="120"/>
              <w:rPr>
                <w:rFonts w:asciiTheme="majorHAnsi" w:hAnsiTheme="majorHAnsi"/>
                <w:sz w:val="21"/>
                <w:szCs w:val="21"/>
                <w:lang w:val="en-GB"/>
              </w:rPr>
            </w:pPr>
            <w:r w:rsidRPr="001E5747">
              <w:rPr>
                <w:rFonts w:asciiTheme="majorHAnsi" w:hAnsiTheme="majorHAnsi"/>
                <w:b/>
                <w:color w:val="FFFFFF" w:themeColor="background1"/>
                <w:sz w:val="21"/>
                <w:szCs w:val="21"/>
                <w:lang w:val="en-GB"/>
              </w:rPr>
              <w:t>Steps and timelines in a complaint process</w:t>
            </w:r>
          </w:p>
        </w:tc>
      </w:tr>
      <w:tr w:rsidR="00B739C3" w:rsidRPr="001E5747" w14:paraId="0318D12D" w14:textId="77777777" w:rsidTr="00B739C3">
        <w:trPr>
          <w:trHeight w:val="278"/>
        </w:trPr>
        <w:tc>
          <w:tcPr>
            <w:tcW w:w="709" w:type="dxa"/>
            <w:shd w:val="clear" w:color="auto" w:fill="DBE5F1" w:themeFill="accent1" w:themeFillTint="33"/>
          </w:tcPr>
          <w:p w14:paraId="393DAA00" w14:textId="77777777" w:rsidR="00B739C3" w:rsidRPr="001E5747" w:rsidRDefault="00B739C3" w:rsidP="00B739C3">
            <w:pPr>
              <w:spacing w:before="120"/>
              <w:rPr>
                <w:rFonts w:asciiTheme="majorHAnsi" w:hAnsiTheme="majorHAnsi"/>
                <w:sz w:val="21"/>
                <w:szCs w:val="21"/>
                <w:lang w:val="en-GB"/>
              </w:rPr>
            </w:pPr>
            <w:r w:rsidRPr="001E5747">
              <w:rPr>
                <w:rFonts w:asciiTheme="majorHAnsi" w:hAnsiTheme="majorHAnsi"/>
                <w:sz w:val="21"/>
                <w:szCs w:val="21"/>
                <w:lang w:val="en-GB"/>
              </w:rPr>
              <w:t>1.</w:t>
            </w:r>
          </w:p>
        </w:tc>
        <w:tc>
          <w:tcPr>
            <w:tcW w:w="5245" w:type="dxa"/>
            <w:shd w:val="clear" w:color="auto" w:fill="DBE5F1" w:themeFill="accent1" w:themeFillTint="33"/>
          </w:tcPr>
          <w:p w14:paraId="0DAF86DD" w14:textId="77777777" w:rsidR="00B739C3" w:rsidRPr="001E5747" w:rsidRDefault="00B739C3" w:rsidP="00B739C3">
            <w:pPr>
              <w:spacing w:before="120"/>
              <w:rPr>
                <w:rFonts w:asciiTheme="majorHAnsi" w:hAnsiTheme="majorHAnsi"/>
                <w:sz w:val="21"/>
                <w:szCs w:val="21"/>
                <w:lang w:val="en-GB"/>
              </w:rPr>
            </w:pPr>
            <w:r w:rsidRPr="001E5747">
              <w:rPr>
                <w:rFonts w:asciiTheme="majorHAnsi" w:hAnsiTheme="majorHAnsi"/>
                <w:sz w:val="21"/>
                <w:szCs w:val="21"/>
                <w:lang w:val="en-GB"/>
              </w:rPr>
              <w:t xml:space="preserve">If, after receiving the scorecard, a municipality is of the opinion that procedural or material mistakes have been made in the performance grant assessment, the municipality has the right to file a complaint to the </w:t>
            </w:r>
            <w:r w:rsidR="00091613" w:rsidRPr="001E5747">
              <w:rPr>
                <w:rFonts w:asciiTheme="majorHAnsi" w:hAnsiTheme="majorHAnsi"/>
                <w:sz w:val="21"/>
                <w:szCs w:val="21"/>
                <w:lang w:val="en-GB"/>
              </w:rPr>
              <w:t>appeal commission</w:t>
            </w:r>
            <w:r w:rsidRPr="001E5747">
              <w:rPr>
                <w:rFonts w:asciiTheme="majorHAnsi" w:hAnsiTheme="majorHAnsi"/>
                <w:sz w:val="21"/>
                <w:szCs w:val="21"/>
                <w:lang w:val="en-GB"/>
              </w:rPr>
              <w:t>.</w:t>
            </w:r>
          </w:p>
          <w:p w14:paraId="21D57CFE" w14:textId="77777777" w:rsidR="00B739C3" w:rsidRPr="001E5747" w:rsidRDefault="00B739C3" w:rsidP="00B739C3">
            <w:pPr>
              <w:spacing w:before="60"/>
              <w:rPr>
                <w:rFonts w:asciiTheme="majorHAnsi" w:hAnsiTheme="majorHAnsi"/>
                <w:sz w:val="21"/>
                <w:szCs w:val="21"/>
                <w:lang w:val="en-GB"/>
              </w:rPr>
            </w:pPr>
            <w:r w:rsidRPr="001E5747">
              <w:rPr>
                <w:rFonts w:asciiTheme="majorHAnsi" w:hAnsiTheme="majorHAnsi"/>
                <w:sz w:val="21"/>
                <w:szCs w:val="21"/>
                <w:lang w:val="en-GB"/>
              </w:rPr>
              <w:t>The complaint should:</w:t>
            </w:r>
          </w:p>
          <w:p w14:paraId="1628D24D" w14:textId="77777777" w:rsidR="00B739C3" w:rsidRPr="001E5747" w:rsidRDefault="00B739C3" w:rsidP="00B739C3">
            <w:pPr>
              <w:pStyle w:val="ListParagraph"/>
              <w:numPr>
                <w:ilvl w:val="0"/>
                <w:numId w:val="18"/>
              </w:numPr>
              <w:spacing w:before="40" w:after="0" w:line="240" w:lineRule="auto"/>
              <w:ind w:left="326" w:hanging="326"/>
              <w:rPr>
                <w:rFonts w:asciiTheme="majorHAnsi" w:hAnsiTheme="majorHAnsi"/>
                <w:sz w:val="21"/>
                <w:szCs w:val="21"/>
                <w:lang w:val="en-GB" w:eastAsia="de-CH"/>
              </w:rPr>
            </w:pPr>
            <w:r w:rsidRPr="001E5747">
              <w:rPr>
                <w:rFonts w:asciiTheme="majorHAnsi" w:hAnsiTheme="majorHAnsi"/>
                <w:sz w:val="21"/>
                <w:szCs w:val="21"/>
                <w:lang w:val="en-GB" w:eastAsia="de-CH"/>
              </w:rPr>
              <w:t xml:space="preserve">Be justified with factual data; </w:t>
            </w:r>
          </w:p>
          <w:p w14:paraId="37188607" w14:textId="77777777" w:rsidR="00B739C3" w:rsidRPr="001E5747" w:rsidRDefault="00B739C3" w:rsidP="00B739C3">
            <w:pPr>
              <w:pStyle w:val="ListParagraph"/>
              <w:numPr>
                <w:ilvl w:val="0"/>
                <w:numId w:val="18"/>
              </w:numPr>
              <w:spacing w:before="40" w:after="0" w:line="240" w:lineRule="auto"/>
              <w:ind w:left="326" w:hanging="326"/>
              <w:rPr>
                <w:rFonts w:asciiTheme="majorHAnsi" w:hAnsiTheme="majorHAnsi"/>
                <w:sz w:val="21"/>
                <w:szCs w:val="21"/>
                <w:lang w:val="en-GB" w:eastAsia="de-CH"/>
              </w:rPr>
            </w:pPr>
            <w:r w:rsidRPr="001E5747">
              <w:rPr>
                <w:rFonts w:asciiTheme="majorHAnsi" w:hAnsiTheme="majorHAnsi"/>
                <w:sz w:val="21"/>
                <w:szCs w:val="21"/>
                <w:lang w:val="en-GB" w:eastAsia="de-CH"/>
              </w:rPr>
              <w:t xml:space="preserve">Be signed by the mayor and be protocolled; </w:t>
            </w:r>
          </w:p>
          <w:p w14:paraId="42DA7AE8" w14:textId="77777777" w:rsidR="00B739C3" w:rsidRPr="001E5747" w:rsidRDefault="00B739C3" w:rsidP="00B739C3">
            <w:pPr>
              <w:pStyle w:val="ListParagraph"/>
              <w:numPr>
                <w:ilvl w:val="0"/>
                <w:numId w:val="18"/>
              </w:numPr>
              <w:spacing w:before="40" w:after="0" w:line="240" w:lineRule="auto"/>
              <w:ind w:left="326" w:hanging="326"/>
              <w:rPr>
                <w:rFonts w:asciiTheme="majorHAnsi" w:hAnsiTheme="majorHAnsi"/>
                <w:sz w:val="21"/>
                <w:szCs w:val="21"/>
                <w:lang w:val="en-GB" w:eastAsia="de-CH"/>
              </w:rPr>
            </w:pPr>
            <w:r w:rsidRPr="001E5747">
              <w:rPr>
                <w:rFonts w:asciiTheme="majorHAnsi" w:hAnsiTheme="majorHAnsi"/>
                <w:sz w:val="21"/>
                <w:szCs w:val="21"/>
                <w:lang w:val="en-GB" w:eastAsia="de-CH"/>
              </w:rPr>
              <w:t>Be submitted in writing to:</w:t>
            </w:r>
          </w:p>
          <w:p w14:paraId="52A9F13E" w14:textId="77777777" w:rsidR="00B739C3" w:rsidRPr="001E5747" w:rsidRDefault="00B739C3" w:rsidP="00B739C3">
            <w:pPr>
              <w:ind w:firstLine="601"/>
              <w:rPr>
                <w:rFonts w:asciiTheme="majorHAnsi" w:hAnsiTheme="majorHAnsi"/>
                <w:sz w:val="21"/>
                <w:szCs w:val="21"/>
                <w:lang w:val="en-GB"/>
              </w:rPr>
            </w:pPr>
            <w:r w:rsidRPr="001E5747">
              <w:rPr>
                <w:rFonts w:asciiTheme="majorHAnsi" w:hAnsiTheme="majorHAnsi"/>
                <w:sz w:val="21"/>
                <w:szCs w:val="21"/>
                <w:lang w:val="en-GB"/>
              </w:rPr>
              <w:t>Appeals Commission</w:t>
            </w:r>
          </w:p>
          <w:p w14:paraId="5C98C4FE" w14:textId="77777777" w:rsidR="00B739C3" w:rsidRPr="001E5747" w:rsidRDefault="00B739C3" w:rsidP="00B739C3">
            <w:pPr>
              <w:ind w:firstLine="601"/>
              <w:rPr>
                <w:rFonts w:asciiTheme="majorHAnsi" w:hAnsiTheme="majorHAnsi"/>
                <w:sz w:val="21"/>
                <w:szCs w:val="21"/>
                <w:lang w:val="en-GB"/>
              </w:rPr>
            </w:pPr>
            <w:r w:rsidRPr="001E5747">
              <w:rPr>
                <w:rFonts w:asciiTheme="majorHAnsi" w:hAnsiTheme="majorHAnsi"/>
                <w:sz w:val="21"/>
                <w:szCs w:val="21"/>
                <w:lang w:val="en-GB"/>
              </w:rPr>
              <w:t>Ministry of Local Government</w:t>
            </w:r>
            <w:r w:rsidR="0078029C">
              <w:rPr>
                <w:rFonts w:asciiTheme="majorHAnsi" w:hAnsiTheme="majorHAnsi"/>
                <w:sz w:val="21"/>
                <w:szCs w:val="21"/>
                <w:lang w:val="en-GB"/>
              </w:rPr>
              <w:t xml:space="preserve"> Administration</w:t>
            </w:r>
          </w:p>
          <w:p w14:paraId="6BCA2C92" w14:textId="77777777" w:rsidR="00B739C3" w:rsidRPr="0028141A" w:rsidRDefault="00B739C3" w:rsidP="00B739C3">
            <w:pPr>
              <w:ind w:firstLine="601"/>
              <w:rPr>
                <w:rFonts w:asciiTheme="majorHAnsi" w:hAnsiTheme="majorHAnsi"/>
                <w:sz w:val="21"/>
                <w:lang w:val="it-CH"/>
              </w:rPr>
            </w:pPr>
            <w:r w:rsidRPr="0028141A">
              <w:rPr>
                <w:rFonts w:asciiTheme="majorHAnsi" w:hAnsiTheme="majorHAnsi"/>
                <w:sz w:val="21"/>
                <w:lang w:val="it-CH"/>
              </w:rPr>
              <w:lastRenderedPageBreak/>
              <w:t>E-mail: info.m</w:t>
            </w:r>
            <w:r w:rsidR="00FA59F6" w:rsidRPr="0028141A">
              <w:rPr>
                <w:rFonts w:asciiTheme="majorHAnsi" w:hAnsiTheme="majorHAnsi"/>
                <w:sz w:val="21"/>
                <w:lang w:val="it-CH"/>
              </w:rPr>
              <w:t>a</w:t>
            </w:r>
            <w:r w:rsidRPr="0028141A">
              <w:rPr>
                <w:rFonts w:asciiTheme="majorHAnsi" w:hAnsiTheme="majorHAnsi"/>
                <w:sz w:val="21"/>
                <w:lang w:val="it-CH"/>
              </w:rPr>
              <w:t>pl@rks-gov.net</w:t>
            </w:r>
            <w:hyperlink r:id="rId14" w:history="1"/>
            <w:r w:rsidRPr="0028141A">
              <w:rPr>
                <w:rFonts w:asciiTheme="majorHAnsi" w:hAnsiTheme="majorHAnsi"/>
                <w:sz w:val="21"/>
                <w:lang w:val="it-CH"/>
              </w:rPr>
              <w:t xml:space="preserve"> </w:t>
            </w:r>
          </w:p>
          <w:p w14:paraId="461CD73F" w14:textId="77777777" w:rsidR="00B739C3" w:rsidRPr="001E5747" w:rsidRDefault="00B739C3" w:rsidP="00B739C3">
            <w:pPr>
              <w:spacing w:before="60"/>
              <w:rPr>
                <w:rFonts w:asciiTheme="majorHAnsi" w:hAnsiTheme="majorHAnsi"/>
                <w:sz w:val="21"/>
                <w:szCs w:val="21"/>
                <w:lang w:val="en-GB"/>
              </w:rPr>
            </w:pPr>
            <w:r w:rsidRPr="001E5747">
              <w:rPr>
                <w:rFonts w:asciiTheme="majorHAnsi" w:hAnsiTheme="majorHAnsi"/>
                <w:sz w:val="21"/>
                <w:szCs w:val="21"/>
                <w:lang w:val="en-GB"/>
              </w:rPr>
              <w:t>After submitting the complaint, the MLG</w:t>
            </w:r>
            <w:r w:rsidR="00FA59F6">
              <w:rPr>
                <w:rFonts w:asciiTheme="majorHAnsi" w:hAnsiTheme="majorHAnsi"/>
                <w:sz w:val="21"/>
                <w:szCs w:val="21"/>
                <w:lang w:val="en-GB"/>
              </w:rPr>
              <w:t>A</w:t>
            </w:r>
            <w:r w:rsidRPr="001E5747">
              <w:rPr>
                <w:rFonts w:asciiTheme="majorHAnsi" w:hAnsiTheme="majorHAnsi"/>
                <w:sz w:val="21"/>
                <w:szCs w:val="21"/>
                <w:lang w:val="en-GB"/>
              </w:rPr>
              <w:t xml:space="preserve"> confirms in writing the receipt of the complaint.</w:t>
            </w:r>
            <w:r w:rsidRPr="001E5747">
              <w:rPr>
                <w:rFonts w:asciiTheme="majorHAnsi" w:hAnsiTheme="majorHAnsi"/>
                <w:sz w:val="21"/>
                <w:szCs w:val="21"/>
                <w:lang w:val="en-GB" w:eastAsia="en-GB"/>
              </w:rPr>
              <w:t xml:space="preserve">  </w:t>
            </w:r>
          </w:p>
        </w:tc>
        <w:tc>
          <w:tcPr>
            <w:tcW w:w="2268" w:type="dxa"/>
            <w:shd w:val="clear" w:color="auto" w:fill="DBE5F1" w:themeFill="accent1" w:themeFillTint="33"/>
          </w:tcPr>
          <w:p w14:paraId="5B7A6F9D" w14:textId="77777777" w:rsidR="00B739C3" w:rsidRPr="001E5747" w:rsidRDefault="00B739C3" w:rsidP="00B739C3">
            <w:pPr>
              <w:spacing w:before="120"/>
              <w:rPr>
                <w:rFonts w:asciiTheme="majorHAnsi" w:hAnsiTheme="majorHAnsi"/>
                <w:sz w:val="21"/>
                <w:szCs w:val="21"/>
                <w:lang w:val="en-GB"/>
              </w:rPr>
            </w:pPr>
            <w:r w:rsidRPr="001E5747">
              <w:rPr>
                <w:rFonts w:asciiTheme="majorHAnsi" w:hAnsiTheme="majorHAnsi"/>
                <w:sz w:val="21"/>
                <w:szCs w:val="21"/>
                <w:lang w:val="en-GB"/>
              </w:rPr>
              <w:lastRenderedPageBreak/>
              <w:t>Within 7 days from the receipt of the scorecard, before 16:00</w:t>
            </w:r>
          </w:p>
        </w:tc>
      </w:tr>
      <w:tr w:rsidR="00B739C3" w:rsidRPr="001E5747" w14:paraId="26F9B227" w14:textId="77777777" w:rsidTr="000E4478">
        <w:trPr>
          <w:trHeight w:val="980"/>
        </w:trPr>
        <w:tc>
          <w:tcPr>
            <w:tcW w:w="709" w:type="dxa"/>
          </w:tcPr>
          <w:p w14:paraId="6A1D577A" w14:textId="77777777" w:rsidR="00B739C3" w:rsidRPr="001E5747" w:rsidRDefault="00B739C3" w:rsidP="00B739C3">
            <w:pPr>
              <w:spacing w:before="80"/>
              <w:jc w:val="center"/>
              <w:rPr>
                <w:rFonts w:asciiTheme="majorHAnsi" w:hAnsiTheme="majorHAnsi"/>
                <w:sz w:val="21"/>
                <w:szCs w:val="21"/>
                <w:lang w:val="en-GB"/>
              </w:rPr>
            </w:pPr>
            <w:r w:rsidRPr="001E5747">
              <w:rPr>
                <w:rFonts w:asciiTheme="majorHAnsi" w:hAnsiTheme="majorHAnsi"/>
                <w:sz w:val="21"/>
                <w:szCs w:val="21"/>
                <w:lang w:val="en-GB"/>
              </w:rPr>
              <w:t>2.</w:t>
            </w:r>
          </w:p>
        </w:tc>
        <w:tc>
          <w:tcPr>
            <w:tcW w:w="5245" w:type="dxa"/>
          </w:tcPr>
          <w:p w14:paraId="02B1E301" w14:textId="77777777" w:rsidR="00B739C3" w:rsidRPr="001E5747" w:rsidRDefault="00B739C3" w:rsidP="00B739C3">
            <w:pPr>
              <w:shd w:val="clear" w:color="auto" w:fill="FFFFFF"/>
              <w:spacing w:before="80"/>
              <w:textAlignment w:val="baseline"/>
              <w:rPr>
                <w:rFonts w:asciiTheme="majorHAnsi" w:hAnsiTheme="majorHAnsi"/>
                <w:sz w:val="21"/>
                <w:szCs w:val="21"/>
                <w:lang w:val="en-GB" w:eastAsia="en-GB"/>
              </w:rPr>
            </w:pPr>
            <w:r w:rsidRPr="001E5747">
              <w:rPr>
                <w:rFonts w:asciiTheme="majorHAnsi" w:hAnsiTheme="majorHAnsi"/>
                <w:sz w:val="21"/>
                <w:szCs w:val="21"/>
                <w:lang w:val="en-GB"/>
              </w:rPr>
              <w:t xml:space="preserve">The Appeals Commission reviews the complaints and </w:t>
            </w:r>
            <w:proofErr w:type="gramStart"/>
            <w:r w:rsidRPr="001E5747">
              <w:rPr>
                <w:rFonts w:asciiTheme="majorHAnsi" w:hAnsiTheme="majorHAnsi"/>
                <w:sz w:val="21"/>
                <w:szCs w:val="21"/>
                <w:lang w:val="en-GB"/>
              </w:rPr>
              <w:t>makes a decision</w:t>
            </w:r>
            <w:proofErr w:type="gramEnd"/>
            <w:r w:rsidRPr="001E5747">
              <w:rPr>
                <w:rFonts w:asciiTheme="majorHAnsi" w:hAnsiTheme="majorHAnsi"/>
                <w:sz w:val="21"/>
                <w:szCs w:val="21"/>
                <w:lang w:val="en-GB"/>
              </w:rPr>
              <w:t xml:space="preserve"> on the complaints filed. </w:t>
            </w:r>
          </w:p>
        </w:tc>
        <w:tc>
          <w:tcPr>
            <w:tcW w:w="2268" w:type="dxa"/>
          </w:tcPr>
          <w:p w14:paraId="7D5E5542" w14:textId="77777777" w:rsidR="00B739C3" w:rsidRPr="001E5747" w:rsidRDefault="00B739C3" w:rsidP="00B739C3">
            <w:pPr>
              <w:spacing w:before="80"/>
              <w:rPr>
                <w:rFonts w:asciiTheme="majorHAnsi" w:hAnsiTheme="majorHAnsi"/>
                <w:sz w:val="21"/>
                <w:szCs w:val="21"/>
                <w:lang w:val="en-GB"/>
              </w:rPr>
            </w:pPr>
            <w:r w:rsidRPr="001E5747">
              <w:rPr>
                <w:rFonts w:asciiTheme="majorHAnsi" w:hAnsiTheme="majorHAnsi"/>
                <w:sz w:val="21"/>
                <w:szCs w:val="21"/>
                <w:lang w:val="en-GB"/>
              </w:rPr>
              <w:t>Within 7 days after complaint period closure</w:t>
            </w:r>
          </w:p>
        </w:tc>
      </w:tr>
      <w:tr w:rsidR="00B739C3" w:rsidRPr="001E5747" w14:paraId="5E4249DA" w14:textId="77777777" w:rsidTr="000E4478">
        <w:trPr>
          <w:trHeight w:val="980"/>
        </w:trPr>
        <w:tc>
          <w:tcPr>
            <w:tcW w:w="709" w:type="dxa"/>
            <w:shd w:val="clear" w:color="auto" w:fill="DBE5F1" w:themeFill="accent1" w:themeFillTint="33"/>
          </w:tcPr>
          <w:p w14:paraId="54343F3C" w14:textId="77777777" w:rsidR="00B739C3" w:rsidRPr="001E5747" w:rsidRDefault="00B739C3" w:rsidP="00B739C3">
            <w:pPr>
              <w:spacing w:before="80"/>
              <w:jc w:val="center"/>
              <w:rPr>
                <w:rFonts w:asciiTheme="majorHAnsi" w:hAnsiTheme="majorHAnsi"/>
                <w:sz w:val="21"/>
                <w:szCs w:val="21"/>
                <w:lang w:val="en-GB"/>
              </w:rPr>
            </w:pPr>
            <w:r w:rsidRPr="001E5747">
              <w:rPr>
                <w:rFonts w:asciiTheme="majorHAnsi" w:hAnsiTheme="majorHAnsi"/>
                <w:sz w:val="21"/>
                <w:szCs w:val="21"/>
                <w:lang w:val="en-GB"/>
              </w:rPr>
              <w:t>3</w:t>
            </w:r>
          </w:p>
        </w:tc>
        <w:tc>
          <w:tcPr>
            <w:tcW w:w="5245" w:type="dxa"/>
            <w:shd w:val="clear" w:color="auto" w:fill="DBE5F1" w:themeFill="accent1" w:themeFillTint="33"/>
          </w:tcPr>
          <w:p w14:paraId="736ABC0F" w14:textId="77777777" w:rsidR="00B739C3" w:rsidRPr="001E5747" w:rsidDel="002301B3" w:rsidRDefault="00B739C3" w:rsidP="0071467D">
            <w:pPr>
              <w:spacing w:before="120"/>
              <w:rPr>
                <w:rFonts w:asciiTheme="majorHAnsi" w:hAnsiTheme="majorHAnsi"/>
                <w:sz w:val="21"/>
                <w:szCs w:val="21"/>
                <w:lang w:val="en-GB"/>
              </w:rPr>
            </w:pPr>
            <w:r w:rsidRPr="001E5747">
              <w:rPr>
                <w:rFonts w:asciiTheme="majorHAnsi" w:hAnsiTheme="majorHAnsi"/>
                <w:sz w:val="21"/>
                <w:szCs w:val="21"/>
                <w:lang w:val="en-GB"/>
              </w:rPr>
              <w:t>In case of change of the assessment scores as a result of the Decision of the Appeals Commission, the MPG Commission</w:t>
            </w:r>
            <w:r w:rsidR="000E4478">
              <w:rPr>
                <w:rFonts w:asciiTheme="majorHAnsi" w:hAnsiTheme="majorHAnsi"/>
                <w:sz w:val="21"/>
                <w:szCs w:val="21"/>
                <w:lang w:val="en-GB"/>
              </w:rPr>
              <w:t xml:space="preserve">, through the Technical </w:t>
            </w:r>
            <w:proofErr w:type="gramStart"/>
            <w:r w:rsidR="000E4478">
              <w:rPr>
                <w:rFonts w:asciiTheme="majorHAnsi" w:hAnsiTheme="majorHAnsi"/>
                <w:sz w:val="21"/>
                <w:szCs w:val="21"/>
                <w:lang w:val="en-GB"/>
              </w:rPr>
              <w:t xml:space="preserve">group, </w:t>
            </w:r>
            <w:r w:rsidRPr="001E5747">
              <w:rPr>
                <w:rFonts w:asciiTheme="majorHAnsi" w:hAnsiTheme="majorHAnsi"/>
                <w:sz w:val="21"/>
                <w:szCs w:val="21"/>
                <w:lang w:val="en-GB"/>
              </w:rPr>
              <w:t xml:space="preserve"> </w:t>
            </w:r>
            <w:r w:rsidR="000E4478">
              <w:rPr>
                <w:rFonts w:asciiTheme="majorHAnsi" w:hAnsiTheme="majorHAnsi"/>
                <w:sz w:val="21"/>
                <w:szCs w:val="21"/>
                <w:lang w:val="en-GB"/>
              </w:rPr>
              <w:t>corrects</w:t>
            </w:r>
            <w:proofErr w:type="gramEnd"/>
            <w:r w:rsidR="000E4478" w:rsidRPr="001E5747">
              <w:rPr>
                <w:rFonts w:asciiTheme="majorHAnsi" w:hAnsiTheme="majorHAnsi"/>
                <w:sz w:val="21"/>
                <w:szCs w:val="21"/>
                <w:lang w:val="en-GB"/>
              </w:rPr>
              <w:t xml:space="preserve"> </w:t>
            </w:r>
            <w:r w:rsidRPr="001E5747">
              <w:rPr>
                <w:rFonts w:asciiTheme="majorHAnsi" w:hAnsiTheme="majorHAnsi"/>
                <w:sz w:val="21"/>
                <w:szCs w:val="21"/>
                <w:lang w:val="en-GB"/>
              </w:rPr>
              <w:t>the assessment report and notifies the municipality.</w:t>
            </w:r>
          </w:p>
        </w:tc>
        <w:tc>
          <w:tcPr>
            <w:tcW w:w="2268" w:type="dxa"/>
            <w:shd w:val="clear" w:color="auto" w:fill="DBE5F1" w:themeFill="accent1" w:themeFillTint="33"/>
          </w:tcPr>
          <w:p w14:paraId="60BD6E6E" w14:textId="741CF716" w:rsidR="00B739C3" w:rsidRPr="001E5747" w:rsidRDefault="00B739C3" w:rsidP="00EF1ADE">
            <w:pPr>
              <w:spacing w:before="80"/>
              <w:rPr>
                <w:rFonts w:asciiTheme="majorHAnsi" w:hAnsiTheme="majorHAnsi"/>
                <w:sz w:val="21"/>
                <w:szCs w:val="21"/>
                <w:lang w:val="en-GB"/>
              </w:rPr>
            </w:pPr>
            <w:r w:rsidRPr="001E5747">
              <w:rPr>
                <w:rFonts w:asciiTheme="majorHAnsi" w:hAnsiTheme="majorHAnsi"/>
                <w:sz w:val="21"/>
                <w:szCs w:val="21"/>
                <w:lang w:val="en-GB"/>
              </w:rPr>
              <w:t xml:space="preserve">Within </w:t>
            </w:r>
            <w:r w:rsidR="00EF1ADE" w:rsidRPr="001E5747">
              <w:rPr>
                <w:rFonts w:asciiTheme="majorHAnsi" w:hAnsiTheme="majorHAnsi"/>
                <w:sz w:val="21"/>
                <w:szCs w:val="21"/>
                <w:lang w:val="en-GB"/>
              </w:rPr>
              <w:t>1</w:t>
            </w:r>
            <w:r w:rsidR="00EF1ADE">
              <w:rPr>
                <w:rFonts w:asciiTheme="majorHAnsi" w:hAnsiTheme="majorHAnsi"/>
                <w:sz w:val="21"/>
                <w:szCs w:val="21"/>
                <w:lang w:val="en-GB"/>
              </w:rPr>
              <w:t>0</w:t>
            </w:r>
            <w:r w:rsidR="00EF1ADE" w:rsidRPr="001E5747">
              <w:rPr>
                <w:rFonts w:asciiTheme="majorHAnsi" w:hAnsiTheme="majorHAnsi"/>
                <w:sz w:val="21"/>
                <w:szCs w:val="21"/>
                <w:lang w:val="en-GB"/>
              </w:rPr>
              <w:t xml:space="preserve"> </w:t>
            </w:r>
            <w:r w:rsidRPr="001E5747">
              <w:rPr>
                <w:rFonts w:asciiTheme="majorHAnsi" w:hAnsiTheme="majorHAnsi"/>
                <w:sz w:val="21"/>
                <w:szCs w:val="21"/>
                <w:lang w:val="en-GB"/>
              </w:rPr>
              <w:t>days after the decision of the Appeals Commission</w:t>
            </w:r>
          </w:p>
        </w:tc>
      </w:tr>
    </w:tbl>
    <w:p w14:paraId="30180C82" w14:textId="77777777" w:rsidR="00B739C3" w:rsidRPr="001E5747" w:rsidRDefault="00B739C3" w:rsidP="00B739C3">
      <w:pPr>
        <w:spacing w:before="60" w:line="264" w:lineRule="auto"/>
        <w:ind w:left="720"/>
        <w:jc w:val="both"/>
        <w:rPr>
          <w:rFonts w:asciiTheme="majorHAnsi" w:hAnsiTheme="majorHAnsi"/>
          <w:sz w:val="6"/>
          <w:szCs w:val="6"/>
          <w:lang w:val="en-GB"/>
        </w:rPr>
      </w:pPr>
    </w:p>
    <w:p w14:paraId="25A4A8AD" w14:textId="7777777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In case a complaint of one or more municipalities is successful and </w:t>
      </w:r>
      <w:r w:rsidR="002A60FA" w:rsidRPr="001E5747">
        <w:rPr>
          <w:rFonts w:asciiTheme="majorHAnsi" w:hAnsiTheme="majorHAnsi"/>
          <w:sz w:val="21"/>
          <w:szCs w:val="21"/>
          <w:lang w:val="en-GB"/>
        </w:rPr>
        <w:t>leads to</w:t>
      </w:r>
      <w:r w:rsidRPr="001E5747">
        <w:rPr>
          <w:rFonts w:asciiTheme="majorHAnsi" w:hAnsiTheme="majorHAnsi"/>
          <w:sz w:val="21"/>
          <w:szCs w:val="21"/>
          <w:lang w:val="en-GB"/>
        </w:rPr>
        <w:t xml:space="preserve"> the change of MPG results, this will also have an effect on the size of the grant to other municipalities. All changes in the grant allocation after the complaints process are approved by the MPG Commission. </w:t>
      </w:r>
    </w:p>
    <w:p w14:paraId="38E7B955" w14:textId="77777777" w:rsidR="00B739C3" w:rsidRPr="001E5747" w:rsidRDefault="00B739C3" w:rsidP="00B739C3">
      <w:pPr>
        <w:spacing w:before="60" w:line="264" w:lineRule="auto"/>
        <w:jc w:val="both"/>
        <w:rPr>
          <w:rFonts w:asciiTheme="majorHAnsi" w:hAnsiTheme="majorHAnsi"/>
          <w:sz w:val="6"/>
          <w:szCs w:val="6"/>
          <w:lang w:val="en-GB"/>
        </w:rPr>
      </w:pPr>
    </w:p>
    <w:p w14:paraId="2CBDCC78" w14:textId="77777777" w:rsidR="00B739C3" w:rsidRDefault="00B739C3" w:rsidP="00B739C3">
      <w:pPr>
        <w:pStyle w:val="Heading1"/>
        <w:numPr>
          <w:ilvl w:val="2"/>
          <w:numId w:val="29"/>
        </w:numPr>
        <w:tabs>
          <w:tab w:val="left" w:pos="540"/>
        </w:tabs>
        <w:rPr>
          <w:rFonts w:asciiTheme="majorHAnsi" w:hAnsiTheme="majorHAnsi"/>
          <w:sz w:val="24"/>
          <w:lang w:val="en-GB"/>
        </w:rPr>
      </w:pPr>
      <w:bookmarkStart w:id="85" w:name="_Toc214024563"/>
      <w:r w:rsidRPr="001E5747">
        <w:rPr>
          <w:rFonts w:asciiTheme="majorHAnsi" w:hAnsiTheme="majorHAnsi"/>
          <w:sz w:val="24"/>
          <w:lang w:val="en-GB"/>
        </w:rPr>
        <w:t>Finalising and publishing the assessment results and grant allocation</w:t>
      </w:r>
      <w:bookmarkEnd w:id="85"/>
    </w:p>
    <w:p w14:paraId="2E8C3A0C" w14:textId="77777777" w:rsidR="00BF5499" w:rsidRPr="00BF5499" w:rsidRDefault="00BF5499" w:rsidP="00BF5499">
      <w:pPr>
        <w:rPr>
          <w:lang w:val="en-GB"/>
        </w:rPr>
      </w:pPr>
    </w:p>
    <w:p w14:paraId="0859E23A" w14:textId="7777777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Once the Appeal Commission has decided on the complaints, the MPG Commission, through the technical group, makes changes to the assessment report and the subsequent allocation of the municipal performance grant is considered final. </w:t>
      </w:r>
    </w:p>
    <w:p w14:paraId="7B487B3F" w14:textId="7777777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The final results and grant amounts will be communicated to municipalities so that they can plan the use of the municipal performance grant. </w:t>
      </w:r>
    </w:p>
    <w:p w14:paraId="26AD1839" w14:textId="7777777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MLG</w:t>
      </w:r>
      <w:r w:rsidR="00FA59F6">
        <w:rPr>
          <w:rFonts w:asciiTheme="majorHAnsi" w:hAnsiTheme="majorHAnsi"/>
          <w:sz w:val="21"/>
          <w:szCs w:val="21"/>
          <w:lang w:val="en-GB"/>
        </w:rPr>
        <w:t>A</w:t>
      </w:r>
      <w:r w:rsidRPr="001E5747">
        <w:rPr>
          <w:rFonts w:asciiTheme="majorHAnsi" w:hAnsiTheme="majorHAnsi"/>
          <w:sz w:val="21"/>
          <w:szCs w:val="21"/>
          <w:lang w:val="en-GB"/>
        </w:rPr>
        <w:t xml:space="preserve"> publishes the final performance assessment report on its website.</w:t>
      </w:r>
    </w:p>
    <w:p w14:paraId="598711C1" w14:textId="77777777" w:rsidR="00B739C3" w:rsidRPr="001E5747" w:rsidRDefault="00B739C3" w:rsidP="00B739C3">
      <w:pPr>
        <w:spacing w:before="60" w:line="264" w:lineRule="auto"/>
        <w:jc w:val="both"/>
        <w:rPr>
          <w:rFonts w:asciiTheme="majorHAnsi" w:hAnsiTheme="majorHAnsi"/>
          <w:sz w:val="21"/>
          <w:szCs w:val="21"/>
          <w:lang w:val="en-GB"/>
        </w:rPr>
      </w:pPr>
    </w:p>
    <w:p w14:paraId="2DC10B28" w14:textId="77777777" w:rsidR="00B739C3" w:rsidRPr="001E5747" w:rsidRDefault="00B739C3" w:rsidP="00B739C3">
      <w:pPr>
        <w:jc w:val="both"/>
        <w:rPr>
          <w:rFonts w:asciiTheme="majorHAnsi" w:hAnsiTheme="majorHAnsi"/>
          <w:sz w:val="6"/>
          <w:szCs w:val="6"/>
          <w:lang w:val="en-GB"/>
        </w:rPr>
      </w:pPr>
    </w:p>
    <w:p w14:paraId="61D5C28A" w14:textId="77777777" w:rsidR="00B739C3" w:rsidRDefault="00B739C3" w:rsidP="00B739C3">
      <w:pPr>
        <w:pStyle w:val="Heading1"/>
        <w:numPr>
          <w:ilvl w:val="2"/>
          <w:numId w:val="29"/>
        </w:numPr>
        <w:tabs>
          <w:tab w:val="left" w:pos="540"/>
        </w:tabs>
        <w:rPr>
          <w:rFonts w:asciiTheme="majorHAnsi" w:hAnsiTheme="majorHAnsi"/>
          <w:sz w:val="24"/>
          <w:lang w:val="en-GB"/>
        </w:rPr>
      </w:pPr>
      <w:bookmarkStart w:id="86" w:name="_Toc214024564"/>
      <w:r w:rsidRPr="001E5747">
        <w:rPr>
          <w:rFonts w:asciiTheme="majorHAnsi" w:hAnsiTheme="majorHAnsi"/>
          <w:sz w:val="24"/>
          <w:lang w:val="en-GB"/>
        </w:rPr>
        <w:t>Measures to ensure objective assessment</w:t>
      </w:r>
      <w:bookmarkEnd w:id="86"/>
    </w:p>
    <w:p w14:paraId="7B2D3509" w14:textId="77777777" w:rsidR="00562F5C" w:rsidRPr="00562F5C" w:rsidRDefault="00562F5C" w:rsidP="00562F5C">
      <w:pPr>
        <w:rPr>
          <w:lang w:val="en-GB"/>
        </w:rPr>
      </w:pPr>
    </w:p>
    <w:p w14:paraId="60950D22" w14:textId="7777777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There is a risk of mistakes during the municipal assessment process for MPG. This means that non-objective assessment affects the undeserved distribu</w:t>
      </w:r>
      <w:r w:rsidR="00A0644E" w:rsidRPr="001E5747">
        <w:rPr>
          <w:rFonts w:asciiTheme="majorHAnsi" w:hAnsiTheme="majorHAnsi"/>
          <w:sz w:val="21"/>
          <w:szCs w:val="21"/>
          <w:lang w:val="en-GB"/>
        </w:rPr>
        <w:t>tion of the performance grant.</w:t>
      </w:r>
    </w:p>
    <w:p w14:paraId="5125CBDC" w14:textId="33720E7F"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In order to avoid this risk, the </w:t>
      </w:r>
      <w:r w:rsidR="00EF1ADE">
        <w:rPr>
          <w:rFonts w:asciiTheme="majorHAnsi" w:hAnsiTheme="majorHAnsi"/>
          <w:sz w:val="21"/>
          <w:szCs w:val="21"/>
          <w:lang w:val="en-GB"/>
        </w:rPr>
        <w:t>Law</w:t>
      </w:r>
      <w:r w:rsidR="00EF1ADE" w:rsidRPr="001E5747">
        <w:rPr>
          <w:rFonts w:asciiTheme="majorHAnsi" w:hAnsiTheme="majorHAnsi"/>
          <w:sz w:val="21"/>
          <w:szCs w:val="21"/>
          <w:lang w:val="en-GB"/>
        </w:rPr>
        <w:t xml:space="preserve"> </w:t>
      </w:r>
      <w:r w:rsidRPr="001E5747">
        <w:rPr>
          <w:rFonts w:asciiTheme="majorHAnsi" w:hAnsiTheme="majorHAnsi"/>
          <w:sz w:val="21"/>
          <w:szCs w:val="21"/>
          <w:lang w:val="en-GB"/>
        </w:rPr>
        <w:t>on MPMS</w:t>
      </w:r>
      <w:r w:rsidR="00373598">
        <w:rPr>
          <w:rFonts w:asciiTheme="majorHAnsi" w:hAnsiTheme="majorHAnsi"/>
          <w:sz w:val="21"/>
          <w:szCs w:val="21"/>
          <w:lang w:val="en-GB"/>
        </w:rPr>
        <w:t>/</w:t>
      </w:r>
      <w:r w:rsidR="00EF1ADE">
        <w:rPr>
          <w:rFonts w:asciiTheme="majorHAnsi" w:hAnsiTheme="majorHAnsi"/>
          <w:sz w:val="21"/>
          <w:szCs w:val="21"/>
          <w:lang w:val="en-GB"/>
        </w:rPr>
        <w:t>MPG, the Administrative Instruction for MPMS/MPG,</w:t>
      </w:r>
      <w:r w:rsidRPr="001E5747">
        <w:rPr>
          <w:rFonts w:asciiTheme="majorHAnsi" w:hAnsiTheme="majorHAnsi"/>
          <w:sz w:val="21"/>
          <w:szCs w:val="21"/>
          <w:lang w:val="en-GB"/>
        </w:rPr>
        <w:t xml:space="preserve"> </w:t>
      </w:r>
      <w:r w:rsidR="00BB76E5">
        <w:rPr>
          <w:rFonts w:asciiTheme="majorHAnsi" w:hAnsiTheme="majorHAnsi"/>
          <w:sz w:val="21"/>
          <w:szCs w:val="21"/>
          <w:lang w:val="en-GB"/>
        </w:rPr>
        <w:t xml:space="preserve">the Main MPMS Document </w:t>
      </w:r>
      <w:r w:rsidRPr="001E5747">
        <w:rPr>
          <w:rFonts w:asciiTheme="majorHAnsi" w:hAnsiTheme="majorHAnsi"/>
          <w:sz w:val="21"/>
          <w:szCs w:val="21"/>
          <w:lang w:val="en-GB"/>
        </w:rPr>
        <w:t xml:space="preserve">as well as Performance Grant Rules set out the following quality assurance mechanisms: </w:t>
      </w:r>
    </w:p>
    <w:p w14:paraId="320A9016" w14:textId="77777777" w:rsidR="00B739C3" w:rsidRPr="001E5747" w:rsidRDefault="00B739C3" w:rsidP="00B739C3">
      <w:pPr>
        <w:pStyle w:val="ListParagraph"/>
        <w:numPr>
          <w:ilvl w:val="0"/>
          <w:numId w:val="26"/>
        </w:numPr>
        <w:spacing w:after="160" w:line="259" w:lineRule="auto"/>
        <w:contextualSpacing/>
        <w:jc w:val="both"/>
        <w:rPr>
          <w:rFonts w:asciiTheme="majorHAnsi" w:hAnsiTheme="majorHAnsi"/>
          <w:sz w:val="21"/>
          <w:szCs w:val="21"/>
          <w:lang w:val="en-GB" w:eastAsia="en-US"/>
        </w:rPr>
      </w:pPr>
      <w:r w:rsidRPr="001E5747">
        <w:rPr>
          <w:rFonts w:asciiTheme="majorHAnsi" w:hAnsiTheme="majorHAnsi"/>
          <w:sz w:val="21"/>
          <w:szCs w:val="21"/>
          <w:lang w:val="en-GB" w:eastAsia="en-US"/>
        </w:rPr>
        <w:t>Verification process - which enables comparison of data reported with documents or facts that prove authenticity</w:t>
      </w:r>
      <w:r w:rsidRPr="001E5747">
        <w:rPr>
          <w:color w:val="000000" w:themeColor="text1"/>
          <w:sz w:val="21"/>
          <w:szCs w:val="21"/>
          <w:lang w:val="en-GB"/>
        </w:rPr>
        <w:t>;</w:t>
      </w:r>
    </w:p>
    <w:p w14:paraId="5A467BAD" w14:textId="77777777" w:rsidR="00B739C3" w:rsidRPr="001E5747" w:rsidRDefault="00B739C3" w:rsidP="00B739C3">
      <w:pPr>
        <w:pStyle w:val="ListParagraph"/>
        <w:numPr>
          <w:ilvl w:val="0"/>
          <w:numId w:val="26"/>
        </w:numPr>
        <w:spacing w:after="160" w:line="259" w:lineRule="auto"/>
        <w:contextualSpacing/>
        <w:jc w:val="both"/>
        <w:rPr>
          <w:rFonts w:asciiTheme="majorHAnsi" w:hAnsiTheme="majorHAnsi"/>
          <w:sz w:val="21"/>
          <w:szCs w:val="21"/>
          <w:lang w:val="en-GB" w:eastAsia="en-US"/>
        </w:rPr>
      </w:pPr>
      <w:r w:rsidRPr="001E5747">
        <w:rPr>
          <w:rFonts w:asciiTheme="majorHAnsi" w:hAnsiTheme="majorHAnsi"/>
          <w:sz w:val="21"/>
          <w:szCs w:val="21"/>
          <w:lang w:val="en-GB" w:eastAsia="en-US"/>
        </w:rPr>
        <w:t xml:space="preserve">Implementation of complaint procedures both in the case of drafting the performance report and in the assessment process for the MPG. </w:t>
      </w:r>
    </w:p>
    <w:p w14:paraId="5D0373F6" w14:textId="411A00FB" w:rsidR="00B739C3" w:rsidRPr="001E5747" w:rsidRDefault="00B739C3" w:rsidP="00B739C3">
      <w:pPr>
        <w:pStyle w:val="ListParagraph"/>
        <w:numPr>
          <w:ilvl w:val="0"/>
          <w:numId w:val="26"/>
        </w:numPr>
        <w:spacing w:after="160" w:line="259" w:lineRule="auto"/>
        <w:contextualSpacing/>
        <w:jc w:val="both"/>
        <w:rPr>
          <w:rFonts w:asciiTheme="majorHAnsi" w:hAnsiTheme="majorHAnsi"/>
          <w:sz w:val="21"/>
          <w:szCs w:val="21"/>
          <w:lang w:val="en-GB"/>
        </w:rPr>
      </w:pPr>
      <w:r w:rsidRPr="001E5747">
        <w:rPr>
          <w:rFonts w:asciiTheme="majorHAnsi" w:hAnsiTheme="majorHAnsi"/>
          <w:sz w:val="21"/>
          <w:szCs w:val="21"/>
          <w:lang w:val="en-GB"/>
        </w:rPr>
        <w:t xml:space="preserve">Involvement of </w:t>
      </w:r>
      <w:r w:rsidR="000E4478">
        <w:rPr>
          <w:rFonts w:asciiTheme="majorHAnsi" w:hAnsiTheme="majorHAnsi"/>
          <w:sz w:val="21"/>
          <w:szCs w:val="21"/>
          <w:lang w:val="en-GB"/>
        </w:rPr>
        <w:t>donors</w:t>
      </w:r>
      <w:r w:rsidR="000E4478" w:rsidRPr="001E5747">
        <w:rPr>
          <w:rFonts w:asciiTheme="majorHAnsi" w:hAnsiTheme="majorHAnsi"/>
          <w:sz w:val="21"/>
          <w:szCs w:val="21"/>
          <w:lang w:val="en-GB"/>
        </w:rPr>
        <w:t xml:space="preserve"> </w:t>
      </w:r>
      <w:r w:rsidRPr="001E5747">
        <w:rPr>
          <w:rFonts w:asciiTheme="majorHAnsi" w:hAnsiTheme="majorHAnsi"/>
          <w:sz w:val="21"/>
          <w:szCs w:val="21"/>
          <w:lang w:val="en-GB"/>
        </w:rPr>
        <w:t>in all MPG and performance assessment processes;</w:t>
      </w:r>
    </w:p>
    <w:p w14:paraId="68849595" w14:textId="77777777" w:rsidR="00B739C3" w:rsidRPr="001E5747" w:rsidRDefault="00B739C3" w:rsidP="00B739C3">
      <w:pPr>
        <w:pStyle w:val="ListParagraph"/>
        <w:numPr>
          <w:ilvl w:val="0"/>
          <w:numId w:val="26"/>
        </w:numPr>
        <w:spacing w:after="160" w:line="259" w:lineRule="auto"/>
        <w:contextualSpacing/>
        <w:jc w:val="both"/>
        <w:rPr>
          <w:rFonts w:asciiTheme="majorHAnsi" w:hAnsiTheme="majorHAnsi"/>
          <w:sz w:val="21"/>
          <w:szCs w:val="21"/>
          <w:lang w:val="en-GB"/>
        </w:rPr>
      </w:pPr>
      <w:r w:rsidRPr="001E5747">
        <w:rPr>
          <w:rFonts w:asciiTheme="majorHAnsi" w:hAnsiTheme="majorHAnsi"/>
          <w:sz w:val="21"/>
          <w:szCs w:val="21"/>
          <w:lang w:val="en-GB"/>
        </w:rPr>
        <w:t xml:space="preserve">Active involvement of civil society in the capacity of decision-makers (in the MPG Appeals Commission) as well as in the </w:t>
      </w:r>
      <w:r w:rsidR="000E4478">
        <w:rPr>
          <w:rFonts w:asciiTheme="majorHAnsi" w:hAnsiTheme="majorHAnsi"/>
          <w:sz w:val="21"/>
          <w:szCs w:val="21"/>
          <w:lang w:val="en-GB"/>
        </w:rPr>
        <w:t>capacity</w:t>
      </w:r>
      <w:r w:rsidR="000E4478" w:rsidRPr="001E5747">
        <w:rPr>
          <w:rFonts w:asciiTheme="majorHAnsi" w:hAnsiTheme="majorHAnsi"/>
          <w:sz w:val="21"/>
          <w:szCs w:val="21"/>
          <w:lang w:val="en-GB"/>
        </w:rPr>
        <w:t xml:space="preserve"> </w:t>
      </w:r>
      <w:r w:rsidRPr="001E5747">
        <w:rPr>
          <w:rFonts w:asciiTheme="majorHAnsi" w:hAnsiTheme="majorHAnsi"/>
          <w:sz w:val="21"/>
          <w:szCs w:val="21"/>
          <w:lang w:val="en-GB"/>
        </w:rPr>
        <w:t>of observers in the MPG Commission</w:t>
      </w:r>
      <w:r w:rsidR="000E4478">
        <w:rPr>
          <w:rFonts w:asciiTheme="majorHAnsi" w:hAnsiTheme="majorHAnsi"/>
          <w:sz w:val="21"/>
          <w:szCs w:val="21"/>
          <w:lang w:val="en-GB"/>
        </w:rPr>
        <w:t xml:space="preserve"> and possibly in the Technical group</w:t>
      </w:r>
      <w:r w:rsidRPr="001E5747">
        <w:rPr>
          <w:rFonts w:asciiTheme="majorHAnsi" w:hAnsiTheme="majorHAnsi"/>
          <w:sz w:val="21"/>
          <w:szCs w:val="21"/>
          <w:lang w:val="en-GB"/>
        </w:rPr>
        <w:t>;</w:t>
      </w:r>
    </w:p>
    <w:p w14:paraId="416B6094" w14:textId="77777777" w:rsidR="00B739C3" w:rsidRPr="001E5747" w:rsidRDefault="00B739C3" w:rsidP="00B739C3">
      <w:pPr>
        <w:pStyle w:val="ListParagraph"/>
        <w:numPr>
          <w:ilvl w:val="0"/>
          <w:numId w:val="26"/>
        </w:numPr>
        <w:spacing w:after="160" w:line="259" w:lineRule="auto"/>
        <w:contextualSpacing/>
        <w:jc w:val="both"/>
        <w:rPr>
          <w:rFonts w:asciiTheme="majorHAnsi" w:hAnsiTheme="majorHAnsi"/>
          <w:sz w:val="21"/>
          <w:szCs w:val="21"/>
          <w:lang w:val="en-GB"/>
        </w:rPr>
      </w:pPr>
      <w:r w:rsidRPr="001E5747">
        <w:rPr>
          <w:rFonts w:asciiTheme="majorHAnsi" w:hAnsiTheme="majorHAnsi"/>
          <w:sz w:val="21"/>
          <w:szCs w:val="21"/>
          <w:lang w:val="en-GB"/>
        </w:rPr>
        <w:t xml:space="preserve">Verification of the quality of grant allocation by external consultants (optional). </w:t>
      </w:r>
    </w:p>
    <w:p w14:paraId="4F64D360" w14:textId="08CD922C" w:rsidR="00B739C3" w:rsidRPr="001E5747" w:rsidRDefault="00B739C3" w:rsidP="00B739C3">
      <w:pPr>
        <w:pStyle w:val="ListParagraph"/>
        <w:numPr>
          <w:ilvl w:val="0"/>
          <w:numId w:val="26"/>
        </w:numPr>
        <w:spacing w:after="160" w:line="259" w:lineRule="auto"/>
        <w:contextualSpacing/>
        <w:jc w:val="both"/>
        <w:rPr>
          <w:rFonts w:asciiTheme="majorHAnsi" w:hAnsiTheme="majorHAnsi"/>
          <w:sz w:val="21"/>
          <w:szCs w:val="21"/>
          <w:lang w:val="en-GB"/>
        </w:rPr>
      </w:pPr>
      <w:r w:rsidRPr="001E5747">
        <w:rPr>
          <w:rFonts w:asciiTheme="majorHAnsi" w:hAnsiTheme="majorHAnsi"/>
          <w:sz w:val="21"/>
          <w:szCs w:val="21"/>
          <w:lang w:val="en-GB"/>
        </w:rPr>
        <w:t xml:space="preserve">Possibility of declaring performance data invalid in cases of non-compliance with quality criteria (Article </w:t>
      </w:r>
      <w:r w:rsidR="00EF1ADE" w:rsidRPr="001E5747">
        <w:rPr>
          <w:rFonts w:asciiTheme="majorHAnsi" w:hAnsiTheme="majorHAnsi"/>
          <w:sz w:val="21"/>
          <w:szCs w:val="21"/>
          <w:lang w:val="en-GB"/>
        </w:rPr>
        <w:t>2</w:t>
      </w:r>
      <w:r w:rsidR="00EF1ADE">
        <w:rPr>
          <w:rFonts w:asciiTheme="majorHAnsi" w:hAnsiTheme="majorHAnsi"/>
          <w:sz w:val="21"/>
          <w:szCs w:val="21"/>
          <w:lang w:val="en-GB"/>
        </w:rPr>
        <w:t>3</w:t>
      </w:r>
      <w:r w:rsidR="00EF1ADE" w:rsidRPr="001E5747">
        <w:rPr>
          <w:rFonts w:asciiTheme="majorHAnsi" w:hAnsiTheme="majorHAnsi"/>
          <w:sz w:val="21"/>
          <w:szCs w:val="21"/>
          <w:lang w:val="en-GB"/>
        </w:rPr>
        <w:t xml:space="preserve"> </w:t>
      </w:r>
      <w:r w:rsidRPr="001E5747">
        <w:rPr>
          <w:rFonts w:asciiTheme="majorHAnsi" w:hAnsiTheme="majorHAnsi"/>
          <w:sz w:val="21"/>
          <w:szCs w:val="21"/>
          <w:lang w:val="en-GB"/>
        </w:rPr>
        <w:t xml:space="preserve">of the </w:t>
      </w:r>
      <w:r w:rsidR="00EF1ADE">
        <w:rPr>
          <w:rFonts w:asciiTheme="majorHAnsi" w:hAnsiTheme="majorHAnsi"/>
          <w:sz w:val="21"/>
          <w:szCs w:val="21"/>
          <w:lang w:val="en-GB"/>
        </w:rPr>
        <w:t>Law</w:t>
      </w:r>
      <w:r w:rsidR="00EF1ADE" w:rsidRPr="001E5747">
        <w:rPr>
          <w:rFonts w:asciiTheme="majorHAnsi" w:hAnsiTheme="majorHAnsi"/>
          <w:sz w:val="21"/>
          <w:szCs w:val="21"/>
          <w:lang w:val="en-GB"/>
        </w:rPr>
        <w:t xml:space="preserve"> </w:t>
      </w:r>
      <w:r w:rsidRPr="001E5747">
        <w:rPr>
          <w:rFonts w:asciiTheme="majorHAnsi" w:hAnsiTheme="majorHAnsi"/>
          <w:sz w:val="21"/>
          <w:szCs w:val="21"/>
          <w:lang w:val="en-GB"/>
        </w:rPr>
        <w:t>on PMS</w:t>
      </w:r>
      <w:r w:rsidR="00EF1ADE">
        <w:rPr>
          <w:rFonts w:asciiTheme="majorHAnsi" w:hAnsiTheme="majorHAnsi"/>
          <w:sz w:val="21"/>
          <w:szCs w:val="21"/>
          <w:lang w:val="en-GB"/>
        </w:rPr>
        <w:t>/MPG</w:t>
      </w:r>
      <w:r w:rsidRPr="001E5747">
        <w:rPr>
          <w:rFonts w:asciiTheme="majorHAnsi" w:hAnsiTheme="majorHAnsi"/>
          <w:sz w:val="21"/>
          <w:szCs w:val="21"/>
          <w:lang w:val="en-GB"/>
        </w:rPr>
        <w:t>) in accordance with the relevant Methodology;</w:t>
      </w:r>
    </w:p>
    <w:p w14:paraId="6A0DD9E5" w14:textId="77777777" w:rsidR="00B739C3" w:rsidRPr="001E5747" w:rsidRDefault="00B739C3" w:rsidP="00B739C3">
      <w:pPr>
        <w:spacing w:after="160" w:line="259" w:lineRule="auto"/>
        <w:contextualSpacing/>
        <w:jc w:val="both"/>
        <w:rPr>
          <w:rFonts w:asciiTheme="majorHAnsi" w:hAnsiTheme="majorHAnsi"/>
          <w:sz w:val="21"/>
          <w:szCs w:val="21"/>
          <w:lang w:val="en-GB"/>
        </w:rPr>
      </w:pPr>
    </w:p>
    <w:p w14:paraId="306D2618" w14:textId="77777777" w:rsidR="00B739C3" w:rsidRPr="001E5747" w:rsidRDefault="00B739C3" w:rsidP="00B739C3">
      <w:pPr>
        <w:spacing w:before="60" w:line="264" w:lineRule="auto"/>
        <w:ind w:left="709" w:firstLine="11"/>
        <w:jc w:val="both"/>
        <w:rPr>
          <w:rFonts w:ascii="Arial" w:hAnsi="Arial"/>
          <w:sz w:val="6"/>
          <w:szCs w:val="21"/>
          <w:lang w:val="en-GB"/>
        </w:rPr>
        <w:sectPr w:rsidR="00B739C3" w:rsidRPr="001E5747" w:rsidSect="007E0AF9">
          <w:headerReference w:type="default" r:id="rId15"/>
          <w:footerReference w:type="default" r:id="rId16"/>
          <w:type w:val="continuous"/>
          <w:pgSz w:w="11909" w:h="16834" w:code="9"/>
          <w:pgMar w:top="1260" w:right="1440" w:bottom="990" w:left="1701" w:header="1298" w:footer="773" w:gutter="0"/>
          <w:pgNumType w:start="3"/>
          <w:cols w:space="720"/>
          <w:docGrid w:linePitch="360"/>
        </w:sectPr>
      </w:pPr>
    </w:p>
    <w:p w14:paraId="665B42E1" w14:textId="77777777" w:rsidR="00B739C3" w:rsidRPr="001E5747" w:rsidRDefault="00B739C3" w:rsidP="00B739C3">
      <w:pPr>
        <w:pStyle w:val="Heading1"/>
        <w:numPr>
          <w:ilvl w:val="0"/>
          <w:numId w:val="2"/>
        </w:numPr>
        <w:shd w:val="clear" w:color="auto" w:fill="D55635"/>
        <w:tabs>
          <w:tab w:val="left" w:pos="540"/>
        </w:tabs>
        <w:ind w:left="902" w:hanging="902"/>
        <w:rPr>
          <w:rFonts w:asciiTheme="majorHAnsi" w:hAnsiTheme="majorHAnsi"/>
          <w:color w:val="FFFFFF" w:themeColor="background1"/>
          <w:sz w:val="32"/>
          <w:szCs w:val="32"/>
          <w:lang w:val="en-GB"/>
        </w:rPr>
      </w:pPr>
      <w:bookmarkStart w:id="87" w:name="_Toc214024565"/>
      <w:r w:rsidRPr="001E5747">
        <w:rPr>
          <w:rFonts w:asciiTheme="majorHAnsi" w:hAnsiTheme="majorHAnsi"/>
          <w:color w:val="FFFFFF" w:themeColor="background1"/>
          <w:sz w:val="32"/>
          <w:szCs w:val="32"/>
          <w:lang w:val="en-GB"/>
        </w:rPr>
        <w:lastRenderedPageBreak/>
        <w:t>Annexes</w:t>
      </w:r>
      <w:bookmarkEnd w:id="87"/>
    </w:p>
    <w:p w14:paraId="56219B9C" w14:textId="77777777" w:rsidR="00B739C3" w:rsidRPr="001E5747" w:rsidRDefault="00B739C3" w:rsidP="00B739C3">
      <w:pPr>
        <w:rPr>
          <w:b/>
          <w:sz w:val="28"/>
          <w:lang w:val="en-GB"/>
        </w:rPr>
      </w:pPr>
    </w:p>
    <w:p w14:paraId="625BA2C3" w14:textId="77777777" w:rsidR="0028202A" w:rsidRPr="001E5747" w:rsidRDefault="0028202A" w:rsidP="00B739C3">
      <w:pPr>
        <w:pStyle w:val="Heading1"/>
        <w:rPr>
          <w:lang w:val="en-GB"/>
        </w:rPr>
        <w:sectPr w:rsidR="0028202A" w:rsidRPr="001E5747" w:rsidSect="007E0AF9">
          <w:footerReference w:type="default" r:id="rId17"/>
          <w:pgSz w:w="11900" w:h="16840"/>
          <w:pgMar w:top="1440" w:right="1800" w:bottom="1440" w:left="1800" w:header="708" w:footer="708" w:gutter="0"/>
          <w:cols w:space="708"/>
          <w:docGrid w:linePitch="360"/>
        </w:sectPr>
      </w:pPr>
    </w:p>
    <w:p w14:paraId="707FECAD" w14:textId="77777777" w:rsidR="00214972" w:rsidRPr="00EF3853" w:rsidRDefault="00214972" w:rsidP="00EF3853">
      <w:pPr>
        <w:pStyle w:val="Heading1"/>
        <w:shd w:val="clear" w:color="auto" w:fill="D55635"/>
        <w:tabs>
          <w:tab w:val="left" w:pos="540"/>
        </w:tabs>
        <w:rPr>
          <w:rFonts w:asciiTheme="majorHAnsi" w:hAnsiTheme="majorHAnsi"/>
          <w:color w:val="FFFFFF" w:themeColor="background1"/>
          <w:sz w:val="32"/>
          <w:szCs w:val="32"/>
          <w:lang w:val="en-GB"/>
        </w:rPr>
      </w:pPr>
      <w:bookmarkStart w:id="88" w:name="_Toc31029014"/>
      <w:bookmarkStart w:id="89" w:name="_Toc31194812"/>
      <w:bookmarkStart w:id="90" w:name="_Toc61062542"/>
      <w:bookmarkStart w:id="91" w:name="_Toc214024566"/>
      <w:r w:rsidRPr="00EF3853">
        <w:rPr>
          <w:rFonts w:asciiTheme="majorHAnsi" w:hAnsiTheme="majorHAnsi"/>
          <w:color w:val="FFFFFF" w:themeColor="background1"/>
          <w:sz w:val="32"/>
          <w:szCs w:val="32"/>
          <w:lang w:val="en-GB"/>
        </w:rPr>
        <w:lastRenderedPageBreak/>
        <w:t xml:space="preserve">Annex 1: </w:t>
      </w:r>
      <w:r w:rsidR="008E0A28" w:rsidRPr="00EF3853">
        <w:rPr>
          <w:rFonts w:asciiTheme="majorHAnsi" w:hAnsiTheme="majorHAnsi"/>
          <w:color w:val="FFFFFF" w:themeColor="background1"/>
          <w:sz w:val="32"/>
          <w:szCs w:val="32"/>
          <w:lang w:val="en-GB"/>
        </w:rPr>
        <w:t xml:space="preserve">Assessment </w:t>
      </w:r>
      <w:r w:rsidRPr="00EF3853">
        <w:rPr>
          <w:rFonts w:asciiTheme="majorHAnsi" w:hAnsiTheme="majorHAnsi"/>
          <w:color w:val="FFFFFF" w:themeColor="background1"/>
          <w:sz w:val="32"/>
          <w:szCs w:val="32"/>
          <w:lang w:val="en-GB"/>
        </w:rPr>
        <w:t>Guide – Minimum conditions</w:t>
      </w:r>
      <w:bookmarkEnd w:id="88"/>
      <w:bookmarkEnd w:id="89"/>
      <w:bookmarkEnd w:id="90"/>
      <w:bookmarkEnd w:id="91"/>
    </w:p>
    <w:tbl>
      <w:tblPr>
        <w:tblStyle w:val="TableGrid4"/>
        <w:tblW w:w="13837" w:type="dxa"/>
        <w:tblInd w:w="108" w:type="dxa"/>
        <w:tblLook w:val="04A0" w:firstRow="1" w:lastRow="0" w:firstColumn="1" w:lastColumn="0" w:noHBand="0" w:noVBand="1"/>
      </w:tblPr>
      <w:tblGrid>
        <w:gridCol w:w="424"/>
        <w:gridCol w:w="2257"/>
        <w:gridCol w:w="2115"/>
        <w:gridCol w:w="4354"/>
        <w:gridCol w:w="1627"/>
        <w:gridCol w:w="3060"/>
      </w:tblGrid>
      <w:tr w:rsidR="00214972" w:rsidRPr="001E5747" w14:paraId="373F3112" w14:textId="77777777" w:rsidTr="00562F5C">
        <w:tc>
          <w:tcPr>
            <w:tcW w:w="424" w:type="dxa"/>
            <w:tcBorders>
              <w:bottom w:val="single" w:sz="4" w:space="0" w:color="auto"/>
            </w:tcBorders>
            <w:shd w:val="clear" w:color="auto" w:fill="D9D9D9"/>
            <w:vAlign w:val="center"/>
          </w:tcPr>
          <w:p w14:paraId="76A7A0E1" w14:textId="77777777" w:rsidR="00214972" w:rsidRPr="001E5747" w:rsidRDefault="00214972" w:rsidP="00214972">
            <w:pPr>
              <w:rPr>
                <w:rFonts w:ascii="Calibri" w:hAnsi="Calibri"/>
                <w:sz w:val="18"/>
                <w:szCs w:val="18"/>
                <w:lang w:val="en-GB"/>
              </w:rPr>
            </w:pPr>
            <w:r w:rsidRPr="001E5747">
              <w:rPr>
                <w:rFonts w:ascii="Calibri" w:hAnsi="Calibri"/>
                <w:bCs/>
                <w:color w:val="000000"/>
                <w:sz w:val="18"/>
                <w:szCs w:val="18"/>
                <w:lang w:val="en-GB"/>
              </w:rPr>
              <w:t>#</w:t>
            </w:r>
          </w:p>
        </w:tc>
        <w:tc>
          <w:tcPr>
            <w:tcW w:w="2257" w:type="dxa"/>
            <w:tcBorders>
              <w:bottom w:val="single" w:sz="4" w:space="0" w:color="auto"/>
            </w:tcBorders>
            <w:shd w:val="clear" w:color="auto" w:fill="D9D9D9"/>
            <w:vAlign w:val="center"/>
          </w:tcPr>
          <w:p w14:paraId="17D3D7A5" w14:textId="77777777" w:rsidR="00214972" w:rsidRPr="001E5747" w:rsidRDefault="00214972" w:rsidP="00214972">
            <w:pPr>
              <w:jc w:val="center"/>
              <w:rPr>
                <w:rFonts w:ascii="Calibri" w:hAnsi="Calibri"/>
                <w:sz w:val="18"/>
                <w:szCs w:val="18"/>
                <w:lang w:val="en-GB"/>
              </w:rPr>
            </w:pPr>
            <w:r w:rsidRPr="001E5747">
              <w:rPr>
                <w:rFonts w:ascii="Calibri" w:hAnsi="Calibri"/>
                <w:bCs/>
                <w:color w:val="000000"/>
                <w:sz w:val="18"/>
                <w:szCs w:val="18"/>
                <w:lang w:val="en-GB"/>
              </w:rPr>
              <w:t>Minimum condition</w:t>
            </w:r>
          </w:p>
        </w:tc>
        <w:tc>
          <w:tcPr>
            <w:tcW w:w="2115" w:type="dxa"/>
            <w:tcBorders>
              <w:bottom w:val="single" w:sz="4" w:space="0" w:color="auto"/>
            </w:tcBorders>
            <w:shd w:val="clear" w:color="auto" w:fill="D9D9D9"/>
            <w:vAlign w:val="center"/>
          </w:tcPr>
          <w:p w14:paraId="35048AD1" w14:textId="77777777" w:rsidR="00214972" w:rsidRPr="001E5747" w:rsidRDefault="00214972" w:rsidP="00214972">
            <w:pPr>
              <w:jc w:val="center"/>
              <w:rPr>
                <w:rFonts w:ascii="Calibri" w:hAnsi="Calibri"/>
                <w:sz w:val="18"/>
                <w:szCs w:val="18"/>
                <w:lang w:val="en-GB"/>
              </w:rPr>
            </w:pPr>
            <w:r w:rsidRPr="001E5747">
              <w:rPr>
                <w:rFonts w:ascii="Calibri" w:hAnsi="Calibri"/>
                <w:bCs/>
                <w:color w:val="000000"/>
                <w:sz w:val="18"/>
                <w:szCs w:val="18"/>
                <w:lang w:val="en-GB"/>
              </w:rPr>
              <w:t>Minimum condition definition</w:t>
            </w:r>
          </w:p>
        </w:tc>
        <w:tc>
          <w:tcPr>
            <w:tcW w:w="4354" w:type="dxa"/>
            <w:tcBorders>
              <w:bottom w:val="single" w:sz="4" w:space="0" w:color="auto"/>
            </w:tcBorders>
            <w:shd w:val="clear" w:color="auto" w:fill="D9D9D9"/>
            <w:vAlign w:val="center"/>
          </w:tcPr>
          <w:p w14:paraId="0A4E3E68" w14:textId="77777777" w:rsidR="00214972" w:rsidRPr="001E5747" w:rsidRDefault="00214972" w:rsidP="00214972">
            <w:pPr>
              <w:jc w:val="center"/>
              <w:rPr>
                <w:rFonts w:ascii="Calibri" w:hAnsi="Calibri"/>
                <w:sz w:val="18"/>
                <w:szCs w:val="18"/>
                <w:lang w:val="en-GB"/>
              </w:rPr>
            </w:pPr>
            <w:r w:rsidRPr="001E5747">
              <w:rPr>
                <w:rFonts w:ascii="Calibri" w:hAnsi="Calibri"/>
                <w:bCs/>
                <w:color w:val="000000"/>
                <w:sz w:val="18"/>
                <w:szCs w:val="18"/>
                <w:lang w:val="en-GB"/>
              </w:rPr>
              <w:t>Legal basis</w:t>
            </w:r>
          </w:p>
        </w:tc>
        <w:tc>
          <w:tcPr>
            <w:tcW w:w="1627" w:type="dxa"/>
            <w:tcBorders>
              <w:bottom w:val="single" w:sz="4" w:space="0" w:color="auto"/>
            </w:tcBorders>
            <w:shd w:val="clear" w:color="auto" w:fill="D9D9D9"/>
            <w:vAlign w:val="center"/>
          </w:tcPr>
          <w:p w14:paraId="76BCE462" w14:textId="77777777" w:rsidR="00214972" w:rsidRPr="001E5747" w:rsidRDefault="00214972" w:rsidP="00214972">
            <w:pPr>
              <w:jc w:val="center"/>
              <w:rPr>
                <w:rFonts w:ascii="Calibri" w:hAnsi="Calibri"/>
                <w:sz w:val="18"/>
                <w:szCs w:val="18"/>
                <w:lang w:val="en-GB"/>
              </w:rPr>
            </w:pPr>
            <w:r w:rsidRPr="001E5747">
              <w:rPr>
                <w:rFonts w:ascii="Calibri" w:hAnsi="Calibri"/>
                <w:bCs/>
                <w:color w:val="000000"/>
                <w:sz w:val="18"/>
                <w:szCs w:val="18"/>
                <w:lang w:val="en-GB"/>
              </w:rPr>
              <w:t>Data source</w:t>
            </w:r>
          </w:p>
        </w:tc>
        <w:tc>
          <w:tcPr>
            <w:tcW w:w="3060" w:type="dxa"/>
            <w:tcBorders>
              <w:bottom w:val="single" w:sz="4" w:space="0" w:color="auto"/>
            </w:tcBorders>
            <w:shd w:val="clear" w:color="auto" w:fill="D9D9D9"/>
            <w:vAlign w:val="center"/>
          </w:tcPr>
          <w:p w14:paraId="4792842E" w14:textId="77777777" w:rsidR="00214972" w:rsidRPr="001E5747" w:rsidRDefault="00214972" w:rsidP="00214972">
            <w:pPr>
              <w:jc w:val="center"/>
              <w:rPr>
                <w:rFonts w:ascii="Calibri" w:hAnsi="Calibri"/>
                <w:bCs/>
                <w:color w:val="000000"/>
                <w:sz w:val="18"/>
                <w:szCs w:val="18"/>
                <w:lang w:val="en-GB"/>
              </w:rPr>
            </w:pPr>
            <w:r w:rsidRPr="001E5747">
              <w:rPr>
                <w:rFonts w:ascii="Calibri" w:hAnsi="Calibri"/>
                <w:bCs/>
                <w:color w:val="000000"/>
                <w:sz w:val="18"/>
                <w:szCs w:val="18"/>
                <w:lang w:val="en-GB"/>
              </w:rPr>
              <w:t>Criteria</w:t>
            </w:r>
          </w:p>
          <w:p w14:paraId="5AE5A6DC" w14:textId="77777777" w:rsidR="00214972" w:rsidRPr="001E5747" w:rsidRDefault="00214972" w:rsidP="00214972">
            <w:pPr>
              <w:jc w:val="center"/>
              <w:rPr>
                <w:rFonts w:ascii="Calibri" w:hAnsi="Calibri"/>
                <w:sz w:val="18"/>
                <w:szCs w:val="18"/>
                <w:lang w:val="en-GB"/>
              </w:rPr>
            </w:pPr>
            <w:r w:rsidRPr="001E5747">
              <w:rPr>
                <w:rFonts w:ascii="Calibri" w:hAnsi="Calibri"/>
                <w:bCs/>
                <w:color w:val="000000"/>
                <w:sz w:val="18"/>
                <w:szCs w:val="18"/>
                <w:lang w:val="en-GB"/>
              </w:rPr>
              <w:t>Municipality met/did not meet</w:t>
            </w:r>
          </w:p>
        </w:tc>
      </w:tr>
      <w:tr w:rsidR="00214972" w:rsidRPr="001E5747" w14:paraId="10CABB3D" w14:textId="77777777" w:rsidTr="00562F5C">
        <w:tc>
          <w:tcPr>
            <w:tcW w:w="424" w:type="dxa"/>
            <w:tcBorders>
              <w:bottom w:val="single" w:sz="4" w:space="0" w:color="auto"/>
            </w:tcBorders>
            <w:shd w:val="clear" w:color="auto" w:fill="C2D69B"/>
            <w:vAlign w:val="center"/>
          </w:tcPr>
          <w:p w14:paraId="0E4A4FA4" w14:textId="77777777" w:rsidR="00214972" w:rsidRPr="001E5747" w:rsidRDefault="00214972" w:rsidP="00214972">
            <w:pPr>
              <w:rPr>
                <w:rFonts w:ascii="Calibri" w:hAnsi="Calibri"/>
                <w:bCs/>
                <w:color w:val="000000"/>
                <w:sz w:val="18"/>
                <w:szCs w:val="18"/>
                <w:lang w:val="en-GB"/>
              </w:rPr>
            </w:pPr>
            <w:r w:rsidRPr="001E5747">
              <w:rPr>
                <w:rFonts w:ascii="Calibri" w:hAnsi="Calibri" w:cs="Calibri"/>
                <w:color w:val="000000"/>
                <w:sz w:val="18"/>
                <w:szCs w:val="18"/>
                <w:lang w:val="en-GB"/>
              </w:rPr>
              <w:t>1</w:t>
            </w:r>
          </w:p>
        </w:tc>
        <w:tc>
          <w:tcPr>
            <w:tcW w:w="2257" w:type="dxa"/>
            <w:tcBorders>
              <w:bottom w:val="single" w:sz="4" w:space="0" w:color="auto"/>
            </w:tcBorders>
            <w:shd w:val="clear" w:color="auto" w:fill="C2D69B"/>
            <w:vAlign w:val="center"/>
          </w:tcPr>
          <w:p w14:paraId="53DE00B9" w14:textId="77777777" w:rsidR="00214972" w:rsidRPr="001E5747" w:rsidRDefault="00214972" w:rsidP="00214972">
            <w:pPr>
              <w:rPr>
                <w:rFonts w:ascii="Calibri" w:hAnsi="Calibri"/>
                <w:sz w:val="18"/>
                <w:szCs w:val="18"/>
                <w:lang w:val="en-GB"/>
              </w:rPr>
            </w:pPr>
            <w:r w:rsidRPr="001E5747">
              <w:rPr>
                <w:rFonts w:ascii="Calibri" w:hAnsi="Calibri"/>
                <w:sz w:val="18"/>
                <w:szCs w:val="18"/>
                <w:lang w:val="en-GB"/>
              </w:rPr>
              <w:t xml:space="preserve">Municipalities </w:t>
            </w:r>
            <w:r w:rsidR="0063777D" w:rsidRPr="001E5747">
              <w:rPr>
                <w:rFonts w:ascii="Calibri" w:hAnsi="Calibri"/>
                <w:sz w:val="18"/>
                <w:szCs w:val="18"/>
                <w:lang w:val="en-GB"/>
              </w:rPr>
              <w:t>must</w:t>
            </w:r>
            <w:r w:rsidRPr="001E5747">
              <w:rPr>
                <w:rFonts w:ascii="Calibri" w:hAnsi="Calibri"/>
                <w:sz w:val="18"/>
                <w:szCs w:val="18"/>
                <w:lang w:val="en-GB"/>
              </w:rPr>
              <w:t xml:space="preserve"> report data to the MPMS within the set deadlines</w:t>
            </w:r>
          </w:p>
          <w:p w14:paraId="06CE9140" w14:textId="77777777" w:rsidR="00214972" w:rsidRPr="001E5747" w:rsidRDefault="00214972" w:rsidP="00214972">
            <w:pPr>
              <w:rPr>
                <w:rFonts w:ascii="Calibri" w:hAnsi="Calibri"/>
                <w:bCs/>
                <w:color w:val="000000"/>
                <w:sz w:val="18"/>
                <w:szCs w:val="18"/>
                <w:lang w:val="en-GB"/>
              </w:rPr>
            </w:pPr>
          </w:p>
        </w:tc>
        <w:tc>
          <w:tcPr>
            <w:tcW w:w="2115" w:type="dxa"/>
            <w:tcBorders>
              <w:bottom w:val="single" w:sz="4" w:space="0" w:color="auto"/>
            </w:tcBorders>
            <w:shd w:val="clear" w:color="auto" w:fill="C2D69B"/>
            <w:vAlign w:val="center"/>
          </w:tcPr>
          <w:p w14:paraId="3DA70823" w14:textId="77777777" w:rsidR="00214972" w:rsidRPr="001E5747" w:rsidRDefault="00214972" w:rsidP="0063777D">
            <w:pPr>
              <w:rPr>
                <w:rFonts w:ascii="Calibri" w:hAnsi="Calibri"/>
                <w:bCs/>
                <w:color w:val="000000"/>
                <w:sz w:val="18"/>
                <w:szCs w:val="18"/>
                <w:lang w:val="en-GB"/>
              </w:rPr>
            </w:pPr>
            <w:r w:rsidRPr="001E5747">
              <w:rPr>
                <w:rFonts w:ascii="Calibri" w:hAnsi="Calibri" w:cs="Calibri"/>
                <w:color w:val="000000"/>
                <w:sz w:val="18"/>
                <w:szCs w:val="18"/>
                <w:lang w:val="en-GB"/>
              </w:rPr>
              <w:t xml:space="preserve">Municipalities </w:t>
            </w:r>
            <w:r w:rsidR="0063777D" w:rsidRPr="001E5747">
              <w:rPr>
                <w:rFonts w:ascii="Calibri" w:hAnsi="Calibri" w:cs="Calibri"/>
                <w:color w:val="000000"/>
                <w:sz w:val="18"/>
                <w:szCs w:val="18"/>
                <w:lang w:val="en-GB"/>
              </w:rPr>
              <w:t>must</w:t>
            </w:r>
            <w:r w:rsidRPr="001E5747">
              <w:rPr>
                <w:rFonts w:ascii="Calibri" w:hAnsi="Calibri" w:cs="Calibri"/>
                <w:color w:val="000000"/>
                <w:sz w:val="18"/>
                <w:szCs w:val="18"/>
                <w:lang w:val="en-GB"/>
              </w:rPr>
              <w:t xml:space="preserve"> report their performance to the MPMS within the deadline set in the Regulation on Performance </w:t>
            </w:r>
          </w:p>
        </w:tc>
        <w:tc>
          <w:tcPr>
            <w:tcW w:w="4354" w:type="dxa"/>
            <w:tcBorders>
              <w:bottom w:val="single" w:sz="4" w:space="0" w:color="auto"/>
            </w:tcBorders>
            <w:shd w:val="clear" w:color="auto" w:fill="C2D69B"/>
            <w:vAlign w:val="center"/>
          </w:tcPr>
          <w:p w14:paraId="4BEFEFEB" w14:textId="7749A16D" w:rsidR="00214972" w:rsidRPr="001E5747" w:rsidRDefault="00EF1ADE" w:rsidP="00EF1ADE">
            <w:pPr>
              <w:rPr>
                <w:rFonts w:ascii="Calibri" w:hAnsi="Calibri"/>
                <w:bCs/>
                <w:color w:val="000000"/>
                <w:sz w:val="18"/>
                <w:szCs w:val="18"/>
                <w:lang w:val="en-GB"/>
              </w:rPr>
            </w:pPr>
            <w:r>
              <w:rPr>
                <w:rFonts w:ascii="Calibri" w:hAnsi="Calibri" w:cs="Calibri"/>
                <w:color w:val="000000"/>
                <w:sz w:val="18"/>
                <w:szCs w:val="18"/>
                <w:lang w:val="en-GB"/>
              </w:rPr>
              <w:t>Law no. 08/l-103 – on the municipal performance management system and the Performance-Based Grant Scheme, article 19.2.</w:t>
            </w:r>
          </w:p>
        </w:tc>
        <w:tc>
          <w:tcPr>
            <w:tcW w:w="1627" w:type="dxa"/>
            <w:tcBorders>
              <w:bottom w:val="single" w:sz="4" w:space="0" w:color="auto"/>
            </w:tcBorders>
            <w:shd w:val="clear" w:color="auto" w:fill="C2D69B"/>
            <w:vAlign w:val="center"/>
          </w:tcPr>
          <w:p w14:paraId="4ED3F5F8" w14:textId="4E1BE90C" w:rsidR="00214972" w:rsidRPr="001E5747" w:rsidRDefault="00214972" w:rsidP="00EF1ADE">
            <w:pPr>
              <w:rPr>
                <w:rFonts w:ascii="Calibri" w:hAnsi="Calibri"/>
                <w:bCs/>
                <w:color w:val="000000"/>
                <w:sz w:val="18"/>
                <w:szCs w:val="18"/>
                <w:lang w:val="en-GB"/>
              </w:rPr>
            </w:pPr>
            <w:r w:rsidRPr="001E5747">
              <w:rPr>
                <w:rFonts w:ascii="Calibri" w:hAnsi="Calibri" w:cs="Calibri"/>
                <w:color w:val="000000"/>
                <w:sz w:val="18"/>
                <w:szCs w:val="18"/>
                <w:lang w:val="en-GB"/>
              </w:rPr>
              <w:t xml:space="preserve">MPMS Report </w:t>
            </w:r>
            <w:r w:rsidR="00EF1ADE" w:rsidRPr="001E5747">
              <w:rPr>
                <w:rFonts w:ascii="Calibri" w:hAnsi="Calibri" w:cs="Calibri"/>
                <w:color w:val="000000"/>
                <w:sz w:val="18"/>
                <w:szCs w:val="18"/>
                <w:lang w:val="en-GB"/>
              </w:rPr>
              <w:t>20</w:t>
            </w:r>
            <w:r w:rsidR="00EF1ADE">
              <w:rPr>
                <w:rFonts w:ascii="Calibri" w:hAnsi="Calibri" w:cs="Calibri"/>
                <w:color w:val="000000"/>
                <w:sz w:val="18"/>
                <w:szCs w:val="18"/>
                <w:lang w:val="en-GB"/>
              </w:rPr>
              <w:t>2</w:t>
            </w:r>
            <w:r w:rsidR="002D5AB7">
              <w:rPr>
                <w:rFonts w:ascii="Calibri" w:hAnsi="Calibri" w:cs="Calibri"/>
                <w:color w:val="000000"/>
                <w:sz w:val="18"/>
                <w:szCs w:val="18"/>
                <w:lang w:val="en-GB"/>
              </w:rPr>
              <w:t>4</w:t>
            </w:r>
            <w:r w:rsidRPr="001E5747">
              <w:rPr>
                <w:rFonts w:ascii="Calibri" w:hAnsi="Calibri" w:cs="Calibri"/>
                <w:color w:val="000000"/>
                <w:sz w:val="18"/>
                <w:szCs w:val="18"/>
                <w:lang w:val="en-GB"/>
              </w:rPr>
              <w:t>, MLGA</w:t>
            </w:r>
          </w:p>
        </w:tc>
        <w:tc>
          <w:tcPr>
            <w:tcW w:w="3060" w:type="dxa"/>
            <w:tcBorders>
              <w:bottom w:val="single" w:sz="4" w:space="0" w:color="auto"/>
            </w:tcBorders>
            <w:shd w:val="clear" w:color="auto" w:fill="C2D69B"/>
            <w:vAlign w:val="center"/>
          </w:tcPr>
          <w:p w14:paraId="348FFEA4" w14:textId="77777777" w:rsidR="00214972" w:rsidRPr="001E5747" w:rsidRDefault="00214972" w:rsidP="00214972">
            <w:pPr>
              <w:spacing w:before="60"/>
              <w:rPr>
                <w:rFonts w:ascii="Calibri" w:hAnsi="Calibri" w:cs="Calibri"/>
                <w:color w:val="000000"/>
                <w:sz w:val="18"/>
                <w:szCs w:val="18"/>
                <w:lang w:val="en-GB"/>
              </w:rPr>
            </w:pPr>
            <w:r w:rsidRPr="00575094">
              <w:rPr>
                <w:rFonts w:ascii="Calibri" w:hAnsi="Calibri" w:cs="Calibri"/>
                <w:b/>
                <w:bCs/>
                <w:color w:val="000000"/>
                <w:sz w:val="18"/>
                <w:szCs w:val="18"/>
                <w:lang w:val="en-GB"/>
              </w:rPr>
              <w:t>Yes</w:t>
            </w:r>
            <w:r w:rsidRPr="001E5747">
              <w:rPr>
                <w:rFonts w:ascii="Calibri" w:hAnsi="Calibri" w:cs="Calibri"/>
                <w:color w:val="000000"/>
                <w:sz w:val="18"/>
                <w:szCs w:val="18"/>
                <w:lang w:val="en-GB"/>
              </w:rPr>
              <w:t>, if the municipality has reported to the MPMS on time</w:t>
            </w:r>
          </w:p>
          <w:p w14:paraId="1328A15D" w14:textId="77777777" w:rsidR="00214972" w:rsidRPr="001E5747" w:rsidRDefault="00214972" w:rsidP="00214972">
            <w:pPr>
              <w:spacing w:before="60"/>
              <w:rPr>
                <w:rFonts w:ascii="Calibri" w:hAnsi="Calibri"/>
                <w:bCs/>
                <w:color w:val="000000"/>
                <w:sz w:val="18"/>
                <w:szCs w:val="18"/>
                <w:lang w:val="en-GB"/>
              </w:rPr>
            </w:pPr>
            <w:r w:rsidRPr="00575094">
              <w:rPr>
                <w:rFonts w:ascii="Calibri" w:hAnsi="Calibri" w:cs="Calibri"/>
                <w:b/>
                <w:bCs/>
                <w:color w:val="000000"/>
                <w:sz w:val="18"/>
                <w:szCs w:val="18"/>
                <w:lang w:val="en-GB"/>
              </w:rPr>
              <w:t>No</w:t>
            </w:r>
            <w:r w:rsidRPr="001E5747">
              <w:rPr>
                <w:rFonts w:ascii="Calibri" w:hAnsi="Calibri" w:cs="Calibri"/>
                <w:color w:val="000000"/>
                <w:sz w:val="18"/>
                <w:szCs w:val="18"/>
                <w:lang w:val="en-GB"/>
              </w:rPr>
              <w:t>, if the municipality has not reported to the MPMS on time</w:t>
            </w:r>
          </w:p>
          <w:p w14:paraId="18C320B7" w14:textId="77777777" w:rsidR="00214972" w:rsidRPr="001E5747" w:rsidRDefault="00214972" w:rsidP="00214972">
            <w:pPr>
              <w:rPr>
                <w:rFonts w:ascii="Calibri" w:hAnsi="Calibri"/>
                <w:bCs/>
                <w:color w:val="000000"/>
                <w:sz w:val="18"/>
                <w:szCs w:val="18"/>
                <w:lang w:val="en-GB"/>
              </w:rPr>
            </w:pPr>
          </w:p>
        </w:tc>
      </w:tr>
      <w:tr w:rsidR="00214972" w:rsidRPr="001E5747" w14:paraId="021A361C" w14:textId="77777777" w:rsidTr="00562F5C">
        <w:tc>
          <w:tcPr>
            <w:tcW w:w="424" w:type="dxa"/>
            <w:tcBorders>
              <w:bottom w:val="single" w:sz="4" w:space="0" w:color="auto"/>
            </w:tcBorders>
            <w:shd w:val="clear" w:color="auto" w:fill="C2D69B" w:themeFill="accent3" w:themeFillTint="99"/>
            <w:vAlign w:val="center"/>
          </w:tcPr>
          <w:p w14:paraId="4C7DD3D3" w14:textId="77777777" w:rsidR="00214972" w:rsidRPr="001E5747" w:rsidRDefault="00214972" w:rsidP="00214972">
            <w:pPr>
              <w:rPr>
                <w:rFonts w:ascii="Calibri" w:hAnsi="Calibri"/>
                <w:bCs/>
                <w:color w:val="000000"/>
                <w:sz w:val="18"/>
                <w:szCs w:val="18"/>
                <w:lang w:val="en-GB"/>
              </w:rPr>
            </w:pPr>
            <w:r w:rsidRPr="001E5747">
              <w:rPr>
                <w:rFonts w:ascii="Calibri" w:hAnsi="Calibri" w:cs="Calibri"/>
                <w:color w:val="000000"/>
                <w:sz w:val="18"/>
                <w:szCs w:val="18"/>
                <w:lang w:val="en-GB"/>
              </w:rPr>
              <w:t>2</w:t>
            </w:r>
          </w:p>
        </w:tc>
        <w:tc>
          <w:tcPr>
            <w:tcW w:w="2257" w:type="dxa"/>
            <w:tcBorders>
              <w:bottom w:val="single" w:sz="4" w:space="0" w:color="auto"/>
            </w:tcBorders>
            <w:shd w:val="clear" w:color="auto" w:fill="C2D69B" w:themeFill="accent3" w:themeFillTint="99"/>
            <w:vAlign w:val="center"/>
          </w:tcPr>
          <w:p w14:paraId="12341621" w14:textId="77777777" w:rsidR="00214972" w:rsidRPr="001E5747" w:rsidRDefault="00214972" w:rsidP="00214972">
            <w:pPr>
              <w:rPr>
                <w:rFonts w:ascii="Calibri" w:hAnsi="Calibri"/>
                <w:sz w:val="18"/>
                <w:szCs w:val="18"/>
                <w:lang w:val="en-GB"/>
              </w:rPr>
            </w:pPr>
            <w:r w:rsidRPr="001E5747">
              <w:rPr>
                <w:rFonts w:ascii="Calibri" w:hAnsi="Calibri"/>
                <w:sz w:val="18"/>
                <w:szCs w:val="18"/>
                <w:lang w:val="en-GB"/>
              </w:rPr>
              <w:t xml:space="preserve">Municipalities </w:t>
            </w:r>
            <w:r w:rsidR="0063777D" w:rsidRPr="001E5747">
              <w:rPr>
                <w:rFonts w:ascii="Calibri" w:hAnsi="Calibri"/>
                <w:sz w:val="18"/>
                <w:szCs w:val="18"/>
                <w:lang w:val="en-GB"/>
              </w:rPr>
              <w:t>must</w:t>
            </w:r>
            <w:r w:rsidRPr="001E5747">
              <w:rPr>
                <w:rFonts w:ascii="Calibri" w:hAnsi="Calibri"/>
                <w:sz w:val="18"/>
                <w:szCs w:val="18"/>
                <w:lang w:val="en-GB"/>
              </w:rPr>
              <w:t xml:space="preserve"> </w:t>
            </w:r>
          </w:p>
          <w:p w14:paraId="7341A69C" w14:textId="77777777" w:rsidR="00214972" w:rsidRPr="001E5747" w:rsidRDefault="00214972" w:rsidP="00214972">
            <w:pPr>
              <w:rPr>
                <w:rFonts w:ascii="Calibri" w:hAnsi="Calibri"/>
                <w:sz w:val="18"/>
                <w:szCs w:val="18"/>
                <w:lang w:val="en-GB"/>
              </w:rPr>
            </w:pPr>
            <w:r w:rsidRPr="001E5747">
              <w:rPr>
                <w:rFonts w:ascii="Calibri" w:hAnsi="Calibri"/>
                <w:sz w:val="18"/>
                <w:szCs w:val="18"/>
                <w:lang w:val="en-GB"/>
              </w:rPr>
              <w:t>adher</w:t>
            </w:r>
            <w:r w:rsidR="0063777D" w:rsidRPr="001E5747">
              <w:rPr>
                <w:rFonts w:ascii="Calibri" w:hAnsi="Calibri"/>
                <w:sz w:val="18"/>
                <w:szCs w:val="18"/>
                <w:lang w:val="en-GB"/>
              </w:rPr>
              <w:t>e</w:t>
            </w:r>
            <w:r w:rsidRPr="001E5747">
              <w:rPr>
                <w:rFonts w:ascii="Calibri" w:hAnsi="Calibri"/>
                <w:sz w:val="18"/>
                <w:szCs w:val="18"/>
                <w:lang w:val="en-GB"/>
              </w:rPr>
              <w:t xml:space="preserve"> to the legal</w:t>
            </w:r>
          </w:p>
          <w:p w14:paraId="38A19879" w14:textId="77777777" w:rsidR="00214972" w:rsidRPr="001E5747" w:rsidRDefault="00214972" w:rsidP="00214972">
            <w:pPr>
              <w:rPr>
                <w:rFonts w:ascii="Calibri" w:hAnsi="Calibri"/>
                <w:sz w:val="18"/>
                <w:szCs w:val="18"/>
                <w:lang w:val="en-GB"/>
              </w:rPr>
            </w:pPr>
            <w:r w:rsidRPr="001E5747">
              <w:rPr>
                <w:rFonts w:ascii="Calibri" w:hAnsi="Calibri"/>
                <w:sz w:val="18"/>
                <w:szCs w:val="18"/>
                <w:lang w:val="en-GB"/>
              </w:rPr>
              <w:t>obligation for reviewing municipal acts assessed as incompliant by the supervisory authority</w:t>
            </w:r>
          </w:p>
          <w:p w14:paraId="2A631FB8" w14:textId="77777777" w:rsidR="00214972" w:rsidRPr="001E5747" w:rsidRDefault="00214972" w:rsidP="00214972">
            <w:pPr>
              <w:rPr>
                <w:rFonts w:ascii="Calibri" w:hAnsi="Calibri"/>
                <w:bCs/>
                <w:color w:val="000000"/>
                <w:sz w:val="18"/>
                <w:szCs w:val="18"/>
                <w:lang w:val="en-GB"/>
              </w:rPr>
            </w:pPr>
          </w:p>
        </w:tc>
        <w:tc>
          <w:tcPr>
            <w:tcW w:w="2115" w:type="dxa"/>
            <w:tcBorders>
              <w:bottom w:val="single" w:sz="4" w:space="0" w:color="auto"/>
            </w:tcBorders>
            <w:shd w:val="clear" w:color="auto" w:fill="C2D69B" w:themeFill="accent3" w:themeFillTint="99"/>
            <w:vAlign w:val="center"/>
          </w:tcPr>
          <w:p w14:paraId="37C48D71" w14:textId="273B4078" w:rsidR="00214972" w:rsidRPr="001E5747" w:rsidRDefault="00214972" w:rsidP="00201E60">
            <w:pPr>
              <w:rPr>
                <w:rFonts w:ascii="Calibri" w:hAnsi="Calibri"/>
                <w:bCs/>
                <w:color w:val="000000"/>
                <w:sz w:val="18"/>
                <w:szCs w:val="18"/>
                <w:lang w:val="en-GB"/>
              </w:rPr>
            </w:pPr>
            <w:r w:rsidRPr="001E5747">
              <w:rPr>
                <w:rFonts w:ascii="Calibri" w:hAnsi="Calibri" w:cs="Calibri"/>
                <w:color w:val="000000"/>
                <w:sz w:val="18"/>
                <w:szCs w:val="18"/>
                <w:lang w:val="en-GB"/>
              </w:rPr>
              <w:t xml:space="preserve">Municipalities </w:t>
            </w:r>
            <w:r w:rsidR="0063777D" w:rsidRPr="001E5747">
              <w:rPr>
                <w:rFonts w:ascii="Calibri" w:hAnsi="Calibri" w:cs="Calibri"/>
                <w:color w:val="000000"/>
                <w:sz w:val="18"/>
                <w:szCs w:val="18"/>
                <w:lang w:val="en-GB"/>
              </w:rPr>
              <w:t>must</w:t>
            </w:r>
            <w:r w:rsidRPr="001E5747">
              <w:rPr>
                <w:rFonts w:ascii="Calibri" w:hAnsi="Calibri" w:cs="Calibri"/>
                <w:color w:val="000000"/>
                <w:sz w:val="18"/>
                <w:szCs w:val="18"/>
                <w:lang w:val="en-GB"/>
              </w:rPr>
              <w:t xml:space="preserve"> have reviewed all municipal acts assessed as incompliant in 20</w:t>
            </w:r>
            <w:r w:rsidR="00FA59F6">
              <w:rPr>
                <w:rFonts w:ascii="Calibri" w:hAnsi="Calibri" w:cs="Calibri"/>
                <w:color w:val="000000"/>
                <w:sz w:val="18"/>
                <w:szCs w:val="18"/>
                <w:lang w:val="en-GB"/>
              </w:rPr>
              <w:t>2</w:t>
            </w:r>
            <w:r w:rsidR="002D5AB7">
              <w:rPr>
                <w:rFonts w:ascii="Calibri" w:hAnsi="Calibri" w:cs="Calibri"/>
                <w:color w:val="000000"/>
                <w:sz w:val="18"/>
                <w:szCs w:val="18"/>
                <w:lang w:val="en-GB"/>
              </w:rPr>
              <w:t>4</w:t>
            </w:r>
            <w:r w:rsidRPr="001E5747">
              <w:rPr>
                <w:rFonts w:ascii="Calibri" w:hAnsi="Calibri" w:cs="Calibri"/>
                <w:color w:val="000000"/>
                <w:sz w:val="18"/>
                <w:szCs w:val="18"/>
                <w:lang w:val="en-GB"/>
              </w:rPr>
              <w:t xml:space="preserve"> by the supervisory authority. The review for the purposes of the Municipal Performance Grant is a procedural criterion, which implies the obligation of the municipality to review in the Municipal Assembly the acts assessed as incompliant by the supervisory authority, without presupposing the final content of the reviewed act. </w:t>
            </w:r>
          </w:p>
        </w:tc>
        <w:tc>
          <w:tcPr>
            <w:tcW w:w="4354" w:type="dxa"/>
            <w:tcBorders>
              <w:bottom w:val="single" w:sz="4" w:space="0" w:color="auto"/>
            </w:tcBorders>
            <w:shd w:val="clear" w:color="auto" w:fill="C2D69B" w:themeFill="accent3" w:themeFillTint="99"/>
            <w:vAlign w:val="center"/>
          </w:tcPr>
          <w:p w14:paraId="0A72F95A" w14:textId="77777777" w:rsidR="00214972" w:rsidRPr="001E5747" w:rsidRDefault="00214972" w:rsidP="00214972">
            <w:pPr>
              <w:rPr>
                <w:rFonts w:ascii="Calibri" w:hAnsi="Calibri"/>
                <w:bCs/>
                <w:color w:val="000000"/>
                <w:sz w:val="18"/>
                <w:szCs w:val="18"/>
                <w:lang w:val="en-GB"/>
              </w:rPr>
            </w:pPr>
            <w:r w:rsidRPr="001E5747">
              <w:rPr>
                <w:rFonts w:ascii="Calibri" w:hAnsi="Calibri" w:cs="Calibri"/>
                <w:color w:val="000000"/>
                <w:sz w:val="18"/>
                <w:szCs w:val="18"/>
                <w:lang w:val="en-GB"/>
              </w:rPr>
              <w:t>Law No. 03/L-040 on Local Self-Government</w:t>
            </w:r>
          </w:p>
        </w:tc>
        <w:tc>
          <w:tcPr>
            <w:tcW w:w="1627" w:type="dxa"/>
            <w:tcBorders>
              <w:bottom w:val="single" w:sz="4" w:space="0" w:color="auto"/>
            </w:tcBorders>
            <w:shd w:val="clear" w:color="auto" w:fill="C2D69B" w:themeFill="accent3" w:themeFillTint="99"/>
            <w:vAlign w:val="center"/>
          </w:tcPr>
          <w:p w14:paraId="77D4A83D" w14:textId="77777777" w:rsidR="00214972" w:rsidRPr="001E5747" w:rsidRDefault="00214972" w:rsidP="00214972">
            <w:pPr>
              <w:rPr>
                <w:rFonts w:ascii="Calibri" w:hAnsi="Calibri" w:cs="Calibri"/>
                <w:color w:val="000000"/>
                <w:sz w:val="18"/>
                <w:szCs w:val="18"/>
                <w:lang w:val="en-GB"/>
              </w:rPr>
            </w:pPr>
          </w:p>
          <w:p w14:paraId="2AD6AE04" w14:textId="644F9A4C" w:rsidR="00214972" w:rsidRPr="001E5747" w:rsidRDefault="0071124B" w:rsidP="00A56C90">
            <w:pPr>
              <w:shd w:val="clear" w:color="auto" w:fill="C2D69B" w:themeFill="accent3" w:themeFillTint="99"/>
              <w:spacing w:before="60"/>
              <w:rPr>
                <w:rFonts w:ascii="Calibri" w:hAnsi="Calibri"/>
                <w:bCs/>
                <w:color w:val="000000"/>
                <w:sz w:val="18"/>
                <w:szCs w:val="18"/>
                <w:lang w:val="en-GB"/>
              </w:rPr>
            </w:pPr>
            <w:r>
              <w:rPr>
                <w:rFonts w:ascii="Calibri" w:hAnsi="Calibri" w:cs="Calibri"/>
                <w:color w:val="000000"/>
                <w:sz w:val="18"/>
                <w:szCs w:val="18"/>
                <w:lang w:val="en-GB"/>
              </w:rPr>
              <w:t xml:space="preserve">Report on assessment of legality of Municipal Assembly acts </w:t>
            </w:r>
            <w:r w:rsidR="00EF1ADE">
              <w:rPr>
                <w:rFonts w:ascii="Calibri" w:hAnsi="Calibri" w:cs="Calibri"/>
                <w:color w:val="000000"/>
                <w:sz w:val="18"/>
                <w:szCs w:val="18"/>
                <w:lang w:val="en-GB"/>
              </w:rPr>
              <w:t>202</w:t>
            </w:r>
            <w:r w:rsidR="002D5AB7">
              <w:rPr>
                <w:rFonts w:ascii="Calibri" w:hAnsi="Calibri" w:cs="Calibri"/>
                <w:color w:val="000000"/>
                <w:sz w:val="18"/>
                <w:szCs w:val="18"/>
                <w:lang w:val="en-GB"/>
              </w:rPr>
              <w:t>4</w:t>
            </w:r>
            <w:r w:rsidR="00575094">
              <w:rPr>
                <w:rFonts w:ascii="Calibri" w:hAnsi="Calibri" w:cs="Calibri"/>
                <w:color w:val="000000"/>
                <w:sz w:val="18"/>
                <w:szCs w:val="18"/>
                <w:lang w:val="en-GB"/>
              </w:rPr>
              <w:t>, MLGA</w:t>
            </w:r>
          </w:p>
        </w:tc>
        <w:tc>
          <w:tcPr>
            <w:tcW w:w="3060" w:type="dxa"/>
            <w:tcBorders>
              <w:bottom w:val="single" w:sz="4" w:space="0" w:color="auto"/>
            </w:tcBorders>
            <w:shd w:val="clear" w:color="auto" w:fill="C2D69B" w:themeFill="accent3" w:themeFillTint="99"/>
            <w:vAlign w:val="center"/>
          </w:tcPr>
          <w:p w14:paraId="08DE8DA6" w14:textId="77777777" w:rsidR="00214972" w:rsidRPr="001E5747" w:rsidRDefault="00214972" w:rsidP="00214972">
            <w:pPr>
              <w:spacing w:before="60"/>
              <w:rPr>
                <w:rFonts w:ascii="Calibri" w:hAnsi="Calibri" w:cs="Calibri"/>
                <w:color w:val="000000"/>
                <w:sz w:val="18"/>
                <w:szCs w:val="18"/>
                <w:lang w:val="en-GB"/>
              </w:rPr>
            </w:pPr>
            <w:r w:rsidRPr="00575094">
              <w:rPr>
                <w:rFonts w:ascii="Calibri" w:hAnsi="Calibri" w:cs="Calibri"/>
                <w:b/>
                <w:bCs/>
                <w:color w:val="000000"/>
                <w:sz w:val="18"/>
                <w:szCs w:val="18"/>
                <w:lang w:val="en-GB"/>
              </w:rPr>
              <w:t>Yes,</w:t>
            </w:r>
            <w:r w:rsidRPr="001E5747">
              <w:rPr>
                <w:rFonts w:ascii="Calibri" w:hAnsi="Calibri" w:cs="Calibri"/>
                <w:color w:val="000000"/>
                <w:sz w:val="18"/>
                <w:szCs w:val="18"/>
                <w:lang w:val="en-GB"/>
              </w:rPr>
              <w:t xml:space="preserve"> if the municipality has reviewed the legal acts by the municipal assembly </w:t>
            </w:r>
          </w:p>
          <w:p w14:paraId="5CECC3A3" w14:textId="321367CB" w:rsidR="00214972" w:rsidRPr="001E5747" w:rsidRDefault="00214972" w:rsidP="00201E60">
            <w:pPr>
              <w:spacing w:before="60"/>
              <w:rPr>
                <w:rFonts w:ascii="Calibri" w:hAnsi="Calibri"/>
                <w:bCs/>
                <w:color w:val="000000"/>
                <w:sz w:val="18"/>
                <w:szCs w:val="18"/>
                <w:lang w:val="en-GB"/>
              </w:rPr>
            </w:pPr>
            <w:r w:rsidRPr="00575094">
              <w:rPr>
                <w:rFonts w:ascii="Calibri" w:hAnsi="Calibri" w:cs="Calibri"/>
                <w:b/>
                <w:bCs/>
                <w:color w:val="000000"/>
                <w:sz w:val="18"/>
                <w:szCs w:val="18"/>
                <w:lang w:val="en-GB"/>
              </w:rPr>
              <w:t>No</w:t>
            </w:r>
            <w:r w:rsidRPr="001E5747">
              <w:rPr>
                <w:rFonts w:ascii="Calibri" w:hAnsi="Calibri" w:cs="Calibri"/>
                <w:color w:val="000000"/>
                <w:sz w:val="18"/>
                <w:szCs w:val="18"/>
                <w:lang w:val="en-GB"/>
              </w:rPr>
              <w:t xml:space="preserve">, if the municipality has not reviewed the legal acts by the municipal assembly </w:t>
            </w:r>
          </w:p>
        </w:tc>
      </w:tr>
      <w:tr w:rsidR="00214972" w:rsidRPr="001E5747" w14:paraId="123B4502" w14:textId="77777777" w:rsidTr="00562F5C">
        <w:tc>
          <w:tcPr>
            <w:tcW w:w="424" w:type="dxa"/>
            <w:shd w:val="clear" w:color="auto" w:fill="C2D69B"/>
            <w:vAlign w:val="center"/>
          </w:tcPr>
          <w:p w14:paraId="429A873F" w14:textId="77777777" w:rsidR="00214972" w:rsidRPr="001E5747" w:rsidRDefault="00214972" w:rsidP="00214972">
            <w:pPr>
              <w:rPr>
                <w:rFonts w:ascii="Calibri" w:hAnsi="Calibri"/>
                <w:sz w:val="18"/>
                <w:szCs w:val="18"/>
                <w:lang w:val="en-GB"/>
              </w:rPr>
            </w:pPr>
            <w:r w:rsidRPr="001E5747">
              <w:rPr>
                <w:rFonts w:ascii="Calibri" w:hAnsi="Calibri" w:cs="Calibri"/>
                <w:color w:val="000000"/>
                <w:sz w:val="18"/>
                <w:szCs w:val="18"/>
                <w:lang w:val="en-GB"/>
              </w:rPr>
              <w:t>3</w:t>
            </w:r>
          </w:p>
        </w:tc>
        <w:tc>
          <w:tcPr>
            <w:tcW w:w="2257" w:type="dxa"/>
            <w:shd w:val="clear" w:color="auto" w:fill="C2D69B"/>
            <w:vAlign w:val="center"/>
          </w:tcPr>
          <w:p w14:paraId="3D4342C6" w14:textId="77777777" w:rsidR="00214972" w:rsidRPr="001E5747" w:rsidRDefault="00214972" w:rsidP="00214972">
            <w:pPr>
              <w:rPr>
                <w:rFonts w:ascii="Calibri" w:hAnsi="Calibri"/>
                <w:sz w:val="18"/>
                <w:szCs w:val="18"/>
                <w:lang w:val="en-GB"/>
              </w:rPr>
            </w:pPr>
            <w:r w:rsidRPr="001E5747">
              <w:rPr>
                <w:rFonts w:ascii="Calibri" w:hAnsi="Calibri"/>
                <w:sz w:val="18"/>
                <w:szCs w:val="18"/>
                <w:lang w:val="en-GB"/>
              </w:rPr>
              <w:t>The audit opinion should be at least ‘unmodified opinion with emphasis of matter’</w:t>
            </w:r>
          </w:p>
        </w:tc>
        <w:tc>
          <w:tcPr>
            <w:tcW w:w="2115" w:type="dxa"/>
            <w:shd w:val="clear" w:color="auto" w:fill="C2D69B"/>
            <w:vAlign w:val="center"/>
          </w:tcPr>
          <w:p w14:paraId="586569F7" w14:textId="77777777" w:rsidR="00214972" w:rsidRPr="001E5747" w:rsidRDefault="00214972" w:rsidP="00214972">
            <w:pPr>
              <w:rPr>
                <w:rFonts w:ascii="Calibri" w:hAnsi="Calibri" w:cs="Calibri"/>
                <w:i/>
                <w:color w:val="000000"/>
                <w:sz w:val="18"/>
                <w:szCs w:val="18"/>
                <w:lang w:val="en-GB"/>
              </w:rPr>
            </w:pPr>
            <w:r w:rsidRPr="001E5747">
              <w:rPr>
                <w:rFonts w:ascii="Calibri" w:hAnsi="Calibri" w:cs="Calibri"/>
                <w:color w:val="000000"/>
                <w:sz w:val="18"/>
                <w:szCs w:val="18"/>
                <w:lang w:val="en-GB"/>
              </w:rPr>
              <w:t>The annual audit opinion at least</w:t>
            </w:r>
            <w:r w:rsidRPr="001E5747">
              <w:rPr>
                <w:rFonts w:ascii="Calibri" w:hAnsi="Calibri" w:cs="Calibri"/>
                <w:i/>
                <w:color w:val="000000"/>
                <w:sz w:val="18"/>
                <w:szCs w:val="18"/>
                <w:lang w:val="en-GB"/>
              </w:rPr>
              <w:t xml:space="preserve"> ‘unmodified</w:t>
            </w:r>
          </w:p>
          <w:p w14:paraId="459EFFDF" w14:textId="77777777" w:rsidR="00214972" w:rsidRPr="001E5747" w:rsidRDefault="00214972" w:rsidP="00214972">
            <w:pPr>
              <w:rPr>
                <w:rFonts w:ascii="Calibri" w:hAnsi="Calibri" w:cs="Calibri"/>
                <w:i/>
                <w:color w:val="000000"/>
                <w:sz w:val="18"/>
                <w:szCs w:val="18"/>
                <w:lang w:val="en-GB"/>
              </w:rPr>
            </w:pPr>
            <w:r w:rsidRPr="001E5747">
              <w:rPr>
                <w:rFonts w:ascii="Calibri" w:hAnsi="Calibri" w:cs="Calibri"/>
                <w:i/>
                <w:color w:val="000000"/>
                <w:sz w:val="18"/>
                <w:szCs w:val="18"/>
                <w:lang w:val="en-GB"/>
              </w:rPr>
              <w:t>opinion with emphasis</w:t>
            </w:r>
          </w:p>
          <w:p w14:paraId="7FCAF15D" w14:textId="77777777" w:rsidR="00214972" w:rsidRPr="001E5747" w:rsidRDefault="00214972" w:rsidP="00214972">
            <w:pPr>
              <w:rPr>
                <w:rFonts w:ascii="Calibri" w:hAnsi="Calibri" w:cs="Calibri"/>
                <w:i/>
                <w:color w:val="000000"/>
                <w:sz w:val="18"/>
                <w:szCs w:val="18"/>
                <w:lang w:val="en-GB"/>
              </w:rPr>
            </w:pPr>
            <w:r w:rsidRPr="001E5747">
              <w:rPr>
                <w:rFonts w:ascii="Calibri" w:hAnsi="Calibri" w:cs="Calibri"/>
                <w:i/>
                <w:color w:val="000000"/>
                <w:sz w:val="18"/>
                <w:szCs w:val="18"/>
                <w:lang w:val="en-GB"/>
              </w:rPr>
              <w:t>of matter’</w:t>
            </w:r>
            <w:r w:rsidRPr="001E5747">
              <w:rPr>
                <w:rFonts w:ascii="Calibri" w:hAnsi="Calibri" w:cs="Calibri"/>
                <w:i/>
                <w:color w:val="000000"/>
                <w:sz w:val="18"/>
                <w:szCs w:val="18"/>
                <w:vertAlign w:val="superscript"/>
                <w:lang w:val="en-GB"/>
              </w:rPr>
              <w:footnoteReference w:id="16"/>
            </w:r>
          </w:p>
        </w:tc>
        <w:tc>
          <w:tcPr>
            <w:tcW w:w="4354" w:type="dxa"/>
            <w:shd w:val="clear" w:color="auto" w:fill="C2D69B"/>
            <w:vAlign w:val="center"/>
          </w:tcPr>
          <w:p w14:paraId="279A7772" w14:textId="77777777" w:rsidR="00214972" w:rsidRPr="001E5747" w:rsidRDefault="00214972" w:rsidP="00A56C90">
            <w:pPr>
              <w:ind w:left="360"/>
              <w:rPr>
                <w:rFonts w:ascii="Calibri" w:hAnsi="Calibri" w:cs="Calibri"/>
                <w:sz w:val="18"/>
                <w:lang w:val="en-GB"/>
              </w:rPr>
            </w:pPr>
            <w:r w:rsidRPr="001E5747">
              <w:rPr>
                <w:rFonts w:ascii="Calibri" w:hAnsi="Calibri" w:cs="Calibri"/>
                <w:sz w:val="18"/>
                <w:lang w:val="en-GB"/>
              </w:rPr>
              <w:t>Law No.03/L-048 on Public Finance Management and Accountability (LPFMA)</w:t>
            </w:r>
          </w:p>
          <w:p w14:paraId="6BE5113A" w14:textId="70CF4B2F" w:rsidR="00214972" w:rsidRPr="001E5747" w:rsidRDefault="00214972" w:rsidP="00214972">
            <w:pPr>
              <w:numPr>
                <w:ilvl w:val="0"/>
                <w:numId w:val="13"/>
              </w:numPr>
              <w:ind w:left="256" w:hanging="256"/>
              <w:rPr>
                <w:rFonts w:ascii="Calibri" w:hAnsi="Calibri" w:cs="Calibri"/>
                <w:color w:val="000000"/>
                <w:sz w:val="12"/>
                <w:szCs w:val="18"/>
                <w:lang w:val="en-GB"/>
              </w:rPr>
            </w:pPr>
            <w:r w:rsidRPr="001E5747">
              <w:rPr>
                <w:rFonts w:ascii="Calibri" w:hAnsi="Calibri" w:cs="Calibri"/>
                <w:sz w:val="18"/>
                <w:lang w:val="en-GB"/>
              </w:rPr>
              <w:t xml:space="preserve">Regulation No. 01/2017 on Annual Financial Reporting of Budget Organizations issued by the </w:t>
            </w:r>
            <w:proofErr w:type="spellStart"/>
            <w:r w:rsidRPr="001E5747">
              <w:rPr>
                <w:rFonts w:ascii="Calibri" w:hAnsi="Calibri" w:cs="Calibri"/>
                <w:sz w:val="18"/>
                <w:lang w:val="en-GB"/>
              </w:rPr>
              <w:lastRenderedPageBreak/>
              <w:t>MoF</w:t>
            </w:r>
            <w:proofErr w:type="spellEnd"/>
            <w:r w:rsidRPr="001E5747">
              <w:rPr>
                <w:rFonts w:ascii="Calibri" w:hAnsi="Calibri" w:cs="Calibri"/>
                <w:sz w:val="18"/>
                <w:lang w:val="en-GB"/>
              </w:rPr>
              <w:t>. International Public Sector Accounting Standards</w:t>
            </w:r>
          </w:p>
          <w:p w14:paraId="4DD2BC7B" w14:textId="77777777" w:rsidR="00214972" w:rsidRPr="001E5747" w:rsidRDefault="00214972" w:rsidP="00214972">
            <w:pPr>
              <w:rPr>
                <w:rFonts w:ascii="Calibri" w:hAnsi="Calibri" w:cs="Calibri"/>
                <w:color w:val="000000"/>
                <w:sz w:val="18"/>
                <w:szCs w:val="18"/>
                <w:lang w:val="en-GB"/>
              </w:rPr>
            </w:pPr>
          </w:p>
        </w:tc>
        <w:tc>
          <w:tcPr>
            <w:tcW w:w="1627" w:type="dxa"/>
            <w:shd w:val="clear" w:color="auto" w:fill="C2D69B"/>
            <w:vAlign w:val="center"/>
          </w:tcPr>
          <w:p w14:paraId="28958F6E" w14:textId="7415FF7C" w:rsidR="00214972" w:rsidRPr="001E5747" w:rsidRDefault="00214972" w:rsidP="008C0014">
            <w:pPr>
              <w:rPr>
                <w:rFonts w:ascii="Calibri" w:hAnsi="Calibri"/>
                <w:sz w:val="18"/>
                <w:szCs w:val="18"/>
                <w:lang w:val="en-GB"/>
              </w:rPr>
            </w:pPr>
            <w:r w:rsidRPr="001E5747">
              <w:rPr>
                <w:rFonts w:ascii="Calibri" w:hAnsi="Calibri" w:cs="Calibri"/>
                <w:color w:val="000000"/>
                <w:sz w:val="18"/>
                <w:szCs w:val="18"/>
                <w:lang w:val="en-GB"/>
              </w:rPr>
              <w:lastRenderedPageBreak/>
              <w:t xml:space="preserve">Individual </w:t>
            </w:r>
            <w:proofErr w:type="spellStart"/>
            <w:r w:rsidR="00DC6759">
              <w:rPr>
                <w:rFonts w:ascii="Calibri" w:hAnsi="Calibri" w:cs="Calibri"/>
                <w:color w:val="000000"/>
                <w:sz w:val="18"/>
                <w:szCs w:val="18"/>
                <w:lang w:val="en-GB"/>
              </w:rPr>
              <w:t>regulary</w:t>
            </w:r>
            <w:proofErr w:type="spellEnd"/>
            <w:r w:rsidR="00DC6759">
              <w:rPr>
                <w:rFonts w:ascii="Calibri" w:hAnsi="Calibri" w:cs="Calibri"/>
                <w:color w:val="000000"/>
                <w:sz w:val="18"/>
                <w:szCs w:val="18"/>
                <w:lang w:val="en-GB"/>
              </w:rPr>
              <w:t xml:space="preserve"> (financial and </w:t>
            </w:r>
            <w:r w:rsidR="0035453C">
              <w:rPr>
                <w:rFonts w:ascii="Calibri" w:hAnsi="Calibri" w:cs="Calibri"/>
                <w:color w:val="000000"/>
                <w:sz w:val="18"/>
                <w:szCs w:val="18"/>
                <w:lang w:val="en-GB"/>
              </w:rPr>
              <w:t>c</w:t>
            </w:r>
            <w:r w:rsidR="00DC6759">
              <w:rPr>
                <w:rFonts w:ascii="Calibri" w:hAnsi="Calibri" w:cs="Calibri"/>
                <w:color w:val="000000"/>
                <w:sz w:val="18"/>
                <w:szCs w:val="18"/>
                <w:lang w:val="en-GB"/>
              </w:rPr>
              <w:t xml:space="preserve">ompliance) </w:t>
            </w:r>
            <w:r w:rsidR="00AD0F4D">
              <w:rPr>
                <w:rFonts w:ascii="Calibri" w:hAnsi="Calibri" w:cs="Calibri"/>
                <w:color w:val="000000"/>
                <w:sz w:val="18"/>
                <w:szCs w:val="18"/>
                <w:lang w:val="en-GB"/>
              </w:rPr>
              <w:t xml:space="preserve">audit </w:t>
            </w:r>
            <w:r w:rsidRPr="001E5747">
              <w:rPr>
                <w:rFonts w:ascii="Calibri" w:hAnsi="Calibri" w:cs="Calibri"/>
                <w:color w:val="000000"/>
                <w:sz w:val="18"/>
                <w:szCs w:val="18"/>
                <w:lang w:val="en-GB"/>
              </w:rPr>
              <w:t xml:space="preserve">reports on </w:t>
            </w:r>
            <w:r w:rsidR="00AD0F4D">
              <w:rPr>
                <w:rFonts w:ascii="Calibri" w:hAnsi="Calibri" w:cs="Calibri"/>
                <w:color w:val="000000"/>
                <w:sz w:val="18"/>
                <w:szCs w:val="18"/>
                <w:lang w:val="en-GB"/>
              </w:rPr>
              <w:t xml:space="preserve">for the </w:t>
            </w:r>
            <w:r w:rsidR="00AD0F4D">
              <w:rPr>
                <w:rFonts w:ascii="Calibri" w:hAnsi="Calibri" w:cs="Calibri"/>
                <w:color w:val="000000"/>
                <w:sz w:val="18"/>
                <w:szCs w:val="18"/>
                <w:lang w:val="en-GB"/>
              </w:rPr>
              <w:lastRenderedPageBreak/>
              <w:t xml:space="preserve">year </w:t>
            </w:r>
            <w:r w:rsidR="008C0014">
              <w:rPr>
                <w:rFonts w:ascii="Calibri" w:hAnsi="Calibri" w:cs="Calibri"/>
                <w:color w:val="000000"/>
                <w:sz w:val="18"/>
                <w:szCs w:val="18"/>
                <w:lang w:val="en-GB"/>
              </w:rPr>
              <w:t>202</w:t>
            </w:r>
            <w:r w:rsidR="002D5AB7">
              <w:rPr>
                <w:rFonts w:ascii="Calibri" w:hAnsi="Calibri" w:cs="Calibri"/>
                <w:color w:val="000000"/>
                <w:sz w:val="18"/>
                <w:szCs w:val="18"/>
                <w:lang w:val="en-GB"/>
              </w:rPr>
              <w:t xml:space="preserve">4 </w:t>
            </w:r>
            <w:r w:rsidRPr="001E5747">
              <w:rPr>
                <w:rFonts w:ascii="Calibri" w:hAnsi="Calibri" w:cs="Calibri"/>
                <w:color w:val="000000"/>
                <w:sz w:val="18"/>
                <w:szCs w:val="18"/>
                <w:lang w:val="en-GB"/>
              </w:rPr>
              <w:t>published by the NAO</w:t>
            </w:r>
          </w:p>
        </w:tc>
        <w:tc>
          <w:tcPr>
            <w:tcW w:w="3060" w:type="dxa"/>
            <w:shd w:val="clear" w:color="auto" w:fill="C2D69B"/>
            <w:vAlign w:val="center"/>
          </w:tcPr>
          <w:p w14:paraId="0CAC3326" w14:textId="77777777" w:rsidR="00214972" w:rsidRPr="001E5747" w:rsidRDefault="00214972" w:rsidP="00214972">
            <w:pPr>
              <w:rPr>
                <w:rFonts w:ascii="Calibri" w:hAnsi="Calibri" w:cs="Calibri"/>
                <w:color w:val="000000"/>
                <w:sz w:val="18"/>
                <w:szCs w:val="18"/>
                <w:lang w:val="en-GB"/>
              </w:rPr>
            </w:pPr>
            <w:r w:rsidRPr="00A000E4">
              <w:rPr>
                <w:rFonts w:ascii="Calibri" w:hAnsi="Calibri" w:cs="Calibri"/>
                <w:b/>
                <w:bCs/>
                <w:color w:val="000000"/>
                <w:sz w:val="18"/>
                <w:szCs w:val="18"/>
                <w:lang w:val="en-GB"/>
              </w:rPr>
              <w:lastRenderedPageBreak/>
              <w:t>Yes,</w:t>
            </w:r>
            <w:r w:rsidRPr="001E5747">
              <w:rPr>
                <w:rFonts w:ascii="Calibri" w:hAnsi="Calibri" w:cs="Calibri"/>
                <w:color w:val="000000"/>
                <w:sz w:val="18"/>
                <w:szCs w:val="18"/>
                <w:lang w:val="en-GB"/>
              </w:rPr>
              <w:t xml:space="preserve"> if municipality receives </w:t>
            </w:r>
            <w:r w:rsidRPr="001E5747">
              <w:rPr>
                <w:rFonts w:ascii="Calibri" w:hAnsi="Calibri" w:cs="Calibri"/>
                <w:i/>
                <w:color w:val="000000"/>
                <w:sz w:val="18"/>
                <w:szCs w:val="18"/>
                <w:lang w:val="en-GB"/>
              </w:rPr>
              <w:t>unmodified opinion or unmodified opinion with emphasis of matter</w:t>
            </w:r>
          </w:p>
          <w:p w14:paraId="4532F785" w14:textId="77777777" w:rsidR="00214972" w:rsidRPr="001E5747" w:rsidRDefault="00214972" w:rsidP="00214972">
            <w:pPr>
              <w:rPr>
                <w:rFonts w:ascii="Calibri" w:hAnsi="Calibri" w:cs="Calibri"/>
                <w:color w:val="000000"/>
                <w:sz w:val="18"/>
                <w:szCs w:val="18"/>
                <w:lang w:val="en-GB"/>
              </w:rPr>
            </w:pPr>
            <w:r w:rsidRPr="00A000E4">
              <w:rPr>
                <w:rFonts w:ascii="Calibri" w:hAnsi="Calibri" w:cs="Calibri"/>
                <w:b/>
                <w:bCs/>
                <w:color w:val="000000"/>
                <w:sz w:val="18"/>
                <w:szCs w:val="18"/>
                <w:lang w:val="en-GB"/>
              </w:rPr>
              <w:lastRenderedPageBreak/>
              <w:t>No</w:t>
            </w:r>
            <w:r w:rsidRPr="001E5747">
              <w:rPr>
                <w:rFonts w:ascii="Calibri" w:hAnsi="Calibri" w:cs="Calibri"/>
                <w:color w:val="000000"/>
                <w:sz w:val="18"/>
                <w:szCs w:val="18"/>
                <w:lang w:val="en-GB"/>
              </w:rPr>
              <w:t>, if municipality receives qualified or adverse opinion, and if NAO disclaims an opinion.</w:t>
            </w:r>
          </w:p>
          <w:p w14:paraId="4F4E846E" w14:textId="77777777" w:rsidR="00214972" w:rsidRPr="001E5747" w:rsidRDefault="00214972" w:rsidP="00214972">
            <w:pPr>
              <w:rPr>
                <w:rFonts w:ascii="Calibri" w:hAnsi="Calibri"/>
                <w:sz w:val="18"/>
                <w:szCs w:val="18"/>
                <w:lang w:val="en-GB"/>
              </w:rPr>
            </w:pPr>
          </w:p>
        </w:tc>
      </w:tr>
      <w:tr w:rsidR="00214972" w:rsidRPr="001E5747" w14:paraId="1B0F90C0" w14:textId="77777777" w:rsidTr="00562F5C">
        <w:tc>
          <w:tcPr>
            <w:tcW w:w="424" w:type="dxa"/>
            <w:shd w:val="clear" w:color="auto" w:fill="C2D69B"/>
            <w:vAlign w:val="center"/>
          </w:tcPr>
          <w:p w14:paraId="06D3176D" w14:textId="77777777" w:rsidR="00214972" w:rsidRPr="001E5747" w:rsidRDefault="00214972" w:rsidP="00214972">
            <w:pPr>
              <w:rPr>
                <w:rFonts w:ascii="Calibri" w:hAnsi="Calibri"/>
                <w:sz w:val="18"/>
                <w:szCs w:val="18"/>
                <w:lang w:val="en-GB"/>
              </w:rPr>
            </w:pPr>
            <w:r w:rsidRPr="001E5747">
              <w:rPr>
                <w:rFonts w:ascii="Calibri" w:hAnsi="Calibri" w:cs="Calibri"/>
                <w:color w:val="000000"/>
                <w:sz w:val="18"/>
                <w:szCs w:val="18"/>
                <w:lang w:val="en-GB"/>
              </w:rPr>
              <w:lastRenderedPageBreak/>
              <w:t>4</w:t>
            </w:r>
          </w:p>
        </w:tc>
        <w:tc>
          <w:tcPr>
            <w:tcW w:w="2257" w:type="dxa"/>
            <w:shd w:val="clear" w:color="auto" w:fill="C2D69B"/>
            <w:vAlign w:val="center"/>
          </w:tcPr>
          <w:p w14:paraId="6B365ED3" w14:textId="77777777" w:rsidR="00214972" w:rsidRPr="001E5747" w:rsidRDefault="00214972" w:rsidP="00214972">
            <w:pPr>
              <w:rPr>
                <w:rFonts w:ascii="Calibri" w:hAnsi="Calibri"/>
                <w:sz w:val="18"/>
                <w:szCs w:val="18"/>
                <w:lang w:val="en-GB"/>
              </w:rPr>
            </w:pPr>
            <w:r w:rsidRPr="001E5747">
              <w:rPr>
                <w:rFonts w:ascii="Calibri" w:hAnsi="Calibri"/>
                <w:sz w:val="18"/>
                <w:szCs w:val="18"/>
                <w:lang w:val="en-GB"/>
              </w:rPr>
              <w:t>Municipalities should have spent 75% or more of the final budget for capital investments</w:t>
            </w:r>
          </w:p>
        </w:tc>
        <w:tc>
          <w:tcPr>
            <w:tcW w:w="2115" w:type="dxa"/>
            <w:shd w:val="clear" w:color="auto" w:fill="C2D69B"/>
            <w:vAlign w:val="center"/>
          </w:tcPr>
          <w:p w14:paraId="1FE0C7A1" w14:textId="77777777" w:rsidR="00214972" w:rsidRPr="001E5747" w:rsidRDefault="00214972" w:rsidP="00214972">
            <w:pPr>
              <w:rPr>
                <w:rFonts w:ascii="Calibri" w:hAnsi="Calibri" w:cs="Calibri"/>
                <w:color w:val="000000"/>
                <w:sz w:val="18"/>
                <w:szCs w:val="18"/>
                <w:lang w:val="en-GB"/>
              </w:rPr>
            </w:pPr>
            <w:r w:rsidRPr="001E5747">
              <w:rPr>
                <w:rFonts w:ascii="Calibri" w:hAnsi="Calibri" w:cs="Calibri"/>
                <w:color w:val="000000"/>
                <w:sz w:val="18"/>
                <w:szCs w:val="18"/>
                <w:lang w:val="en-GB"/>
              </w:rPr>
              <w:t>At least 75% of the final</w:t>
            </w:r>
          </w:p>
          <w:p w14:paraId="0D573273" w14:textId="77777777" w:rsidR="00214972" w:rsidRPr="001E5747" w:rsidRDefault="00214972" w:rsidP="00214972">
            <w:pPr>
              <w:rPr>
                <w:rFonts w:ascii="Calibri" w:hAnsi="Calibri"/>
                <w:sz w:val="18"/>
                <w:szCs w:val="18"/>
                <w:lang w:val="en-GB"/>
              </w:rPr>
            </w:pPr>
            <w:r w:rsidRPr="001E5747">
              <w:rPr>
                <w:rFonts w:ascii="Calibri" w:hAnsi="Calibri" w:cs="Calibri"/>
                <w:color w:val="000000"/>
                <w:sz w:val="18"/>
                <w:szCs w:val="18"/>
                <w:lang w:val="en-GB"/>
              </w:rPr>
              <w:t>budget for capital investments spent</w:t>
            </w:r>
          </w:p>
        </w:tc>
        <w:tc>
          <w:tcPr>
            <w:tcW w:w="4354" w:type="dxa"/>
            <w:shd w:val="clear" w:color="auto" w:fill="C2D69B"/>
            <w:vAlign w:val="center"/>
          </w:tcPr>
          <w:p w14:paraId="653719C7" w14:textId="77777777" w:rsidR="00214972" w:rsidRPr="001E5747" w:rsidRDefault="00214972" w:rsidP="00A56C90">
            <w:pPr>
              <w:ind w:left="360"/>
              <w:rPr>
                <w:rFonts w:ascii="Calibri" w:hAnsi="Calibri" w:cs="Calibri"/>
                <w:color w:val="000000"/>
                <w:sz w:val="18"/>
                <w:szCs w:val="18"/>
                <w:lang w:val="en-GB"/>
              </w:rPr>
            </w:pPr>
            <w:r w:rsidRPr="001E5747">
              <w:rPr>
                <w:rFonts w:ascii="Calibri" w:hAnsi="Calibri" w:cs="Calibri"/>
                <w:color w:val="000000"/>
                <w:sz w:val="18"/>
                <w:szCs w:val="18"/>
                <w:lang w:val="en-GB"/>
              </w:rPr>
              <w:t>LPFMA Financial Rule no.01-2013 on Public Funds Expenditure</w:t>
            </w:r>
          </w:p>
          <w:p w14:paraId="0DE4C362" w14:textId="77777777" w:rsidR="00214972" w:rsidRPr="001E5747" w:rsidRDefault="00214972" w:rsidP="00214972">
            <w:pPr>
              <w:ind w:left="256"/>
              <w:rPr>
                <w:rFonts w:ascii="Calibri" w:hAnsi="Calibri"/>
                <w:sz w:val="18"/>
                <w:szCs w:val="18"/>
                <w:lang w:val="en-GB"/>
              </w:rPr>
            </w:pPr>
          </w:p>
        </w:tc>
        <w:tc>
          <w:tcPr>
            <w:tcW w:w="1627" w:type="dxa"/>
            <w:shd w:val="clear" w:color="auto" w:fill="C2D69B"/>
            <w:vAlign w:val="center"/>
          </w:tcPr>
          <w:p w14:paraId="1C284325" w14:textId="45394ED5" w:rsidR="00214972" w:rsidRPr="001E5747" w:rsidRDefault="00214972" w:rsidP="008C0014">
            <w:pPr>
              <w:rPr>
                <w:rFonts w:ascii="Calibri" w:hAnsi="Calibri"/>
                <w:sz w:val="18"/>
                <w:szCs w:val="18"/>
                <w:lang w:val="en-GB"/>
              </w:rPr>
            </w:pPr>
            <w:r w:rsidRPr="001E5747">
              <w:rPr>
                <w:rFonts w:ascii="Calibri" w:hAnsi="Calibri" w:cs="Calibri"/>
                <w:color w:val="000000"/>
                <w:sz w:val="18"/>
                <w:szCs w:val="18"/>
                <w:lang w:val="en-GB"/>
              </w:rPr>
              <w:t xml:space="preserve">Individual </w:t>
            </w:r>
            <w:r w:rsidR="00AD0F4D">
              <w:rPr>
                <w:rFonts w:ascii="Calibri" w:hAnsi="Calibri" w:cs="Calibri"/>
                <w:color w:val="000000"/>
                <w:sz w:val="18"/>
                <w:szCs w:val="18"/>
                <w:lang w:val="en-GB"/>
              </w:rPr>
              <w:t xml:space="preserve">audit </w:t>
            </w:r>
            <w:r w:rsidRPr="001E5747">
              <w:rPr>
                <w:rFonts w:ascii="Calibri" w:hAnsi="Calibri" w:cs="Calibri"/>
                <w:color w:val="000000"/>
                <w:sz w:val="18"/>
                <w:szCs w:val="18"/>
                <w:lang w:val="en-GB"/>
              </w:rPr>
              <w:t>reports on regularity</w:t>
            </w:r>
            <w:r w:rsidR="00373598">
              <w:rPr>
                <w:rFonts w:ascii="Calibri" w:hAnsi="Calibri" w:cs="Calibri"/>
                <w:color w:val="000000"/>
                <w:sz w:val="18"/>
                <w:szCs w:val="18"/>
                <w:lang w:val="en-GB"/>
              </w:rPr>
              <w:t xml:space="preserve"> (financial and </w:t>
            </w:r>
            <w:proofErr w:type="gramStart"/>
            <w:r w:rsidR="00373598">
              <w:rPr>
                <w:rFonts w:ascii="Calibri" w:hAnsi="Calibri" w:cs="Calibri"/>
                <w:color w:val="000000"/>
                <w:sz w:val="18"/>
                <w:szCs w:val="18"/>
                <w:lang w:val="en-GB"/>
              </w:rPr>
              <w:t xml:space="preserve">compliance) </w:t>
            </w:r>
            <w:r w:rsidRPr="001E5747">
              <w:rPr>
                <w:rFonts w:ascii="Calibri" w:hAnsi="Calibri" w:cs="Calibri"/>
                <w:color w:val="000000"/>
                <w:sz w:val="18"/>
                <w:szCs w:val="18"/>
                <w:lang w:val="en-GB"/>
              </w:rPr>
              <w:t xml:space="preserve"> </w:t>
            </w:r>
            <w:r w:rsidR="00AD0F4D">
              <w:rPr>
                <w:rFonts w:ascii="Calibri" w:hAnsi="Calibri" w:cs="Calibri"/>
                <w:color w:val="000000"/>
                <w:sz w:val="18"/>
                <w:szCs w:val="18"/>
                <w:lang w:val="en-GB"/>
              </w:rPr>
              <w:t>for</w:t>
            </w:r>
            <w:proofErr w:type="gramEnd"/>
            <w:r w:rsidR="00AD0F4D">
              <w:rPr>
                <w:rFonts w:ascii="Calibri" w:hAnsi="Calibri" w:cs="Calibri"/>
                <w:color w:val="000000"/>
                <w:sz w:val="18"/>
                <w:szCs w:val="18"/>
                <w:lang w:val="en-GB"/>
              </w:rPr>
              <w:t xml:space="preserve"> the year </w:t>
            </w:r>
            <w:r w:rsidR="008C0014">
              <w:rPr>
                <w:rFonts w:ascii="Calibri" w:hAnsi="Calibri" w:cs="Calibri"/>
                <w:color w:val="000000"/>
                <w:sz w:val="18"/>
                <w:szCs w:val="18"/>
                <w:lang w:val="en-GB"/>
              </w:rPr>
              <w:t>202</w:t>
            </w:r>
            <w:r w:rsidR="002D5AB7">
              <w:rPr>
                <w:rFonts w:ascii="Calibri" w:hAnsi="Calibri" w:cs="Calibri"/>
                <w:color w:val="000000"/>
                <w:sz w:val="18"/>
                <w:szCs w:val="18"/>
                <w:lang w:val="en-GB"/>
              </w:rPr>
              <w:t>4</w:t>
            </w:r>
            <w:r w:rsidR="008C0014">
              <w:rPr>
                <w:rFonts w:ascii="Calibri" w:hAnsi="Calibri" w:cs="Calibri"/>
                <w:color w:val="000000"/>
                <w:sz w:val="18"/>
                <w:szCs w:val="18"/>
                <w:lang w:val="en-GB"/>
              </w:rPr>
              <w:t xml:space="preserve"> </w:t>
            </w:r>
            <w:r w:rsidRPr="001E5747">
              <w:rPr>
                <w:rFonts w:ascii="Calibri" w:hAnsi="Calibri" w:cs="Calibri"/>
                <w:color w:val="000000"/>
                <w:sz w:val="18"/>
                <w:szCs w:val="18"/>
                <w:lang w:val="en-GB"/>
              </w:rPr>
              <w:t>published by the NAO</w:t>
            </w:r>
            <w:r w:rsidR="00201E60">
              <w:rPr>
                <w:rFonts w:ascii="Calibri" w:hAnsi="Calibri" w:cs="Calibri"/>
                <w:color w:val="000000"/>
                <w:sz w:val="18"/>
                <w:szCs w:val="18"/>
                <w:lang w:val="en-GB"/>
              </w:rPr>
              <w:t xml:space="preserve"> </w:t>
            </w:r>
          </w:p>
        </w:tc>
        <w:tc>
          <w:tcPr>
            <w:tcW w:w="3060" w:type="dxa"/>
            <w:shd w:val="clear" w:color="auto" w:fill="C2D69B"/>
            <w:vAlign w:val="center"/>
          </w:tcPr>
          <w:p w14:paraId="4FA4B34A" w14:textId="243952A9" w:rsidR="00214972" w:rsidRPr="001E5747" w:rsidRDefault="00214972" w:rsidP="00214972">
            <w:pPr>
              <w:rPr>
                <w:rFonts w:ascii="Calibri" w:hAnsi="Calibri" w:cs="Calibri"/>
                <w:color w:val="000000"/>
                <w:sz w:val="18"/>
                <w:szCs w:val="18"/>
                <w:lang w:val="en-GB"/>
              </w:rPr>
            </w:pPr>
            <w:r w:rsidRPr="001E5747">
              <w:rPr>
                <w:rFonts w:ascii="Calibri" w:hAnsi="Calibri" w:cs="Calibri"/>
                <w:color w:val="000000"/>
                <w:sz w:val="18"/>
                <w:szCs w:val="18"/>
                <w:lang w:val="en-GB"/>
              </w:rPr>
              <w:t>Yes, if the municipality has spent at least 75% or more of the final capital investment budget</w:t>
            </w:r>
            <w:r w:rsidR="00201E60">
              <w:rPr>
                <w:rFonts w:ascii="Calibri" w:hAnsi="Calibri" w:cs="Calibri"/>
                <w:color w:val="000000"/>
                <w:sz w:val="18"/>
                <w:szCs w:val="18"/>
                <w:lang w:val="en-GB"/>
              </w:rPr>
              <w:t xml:space="preserve"> </w:t>
            </w:r>
          </w:p>
          <w:p w14:paraId="7C7EF758" w14:textId="059DE0C0" w:rsidR="00214972" w:rsidRPr="001E5747" w:rsidRDefault="00214972" w:rsidP="00214972">
            <w:pPr>
              <w:rPr>
                <w:rFonts w:ascii="Calibri" w:hAnsi="Calibri" w:cs="Calibri"/>
                <w:color w:val="000000"/>
                <w:sz w:val="18"/>
                <w:szCs w:val="18"/>
                <w:lang w:val="en-GB"/>
              </w:rPr>
            </w:pPr>
            <w:r w:rsidRPr="001E5747">
              <w:rPr>
                <w:rFonts w:ascii="Calibri" w:hAnsi="Calibri" w:cs="Calibri"/>
                <w:color w:val="000000"/>
                <w:sz w:val="18"/>
                <w:szCs w:val="18"/>
                <w:lang w:val="en-GB"/>
              </w:rPr>
              <w:t>No, if the municipality has spent less than 75% of the final budget on capital investments</w:t>
            </w:r>
            <w:r w:rsidR="00201E60">
              <w:rPr>
                <w:rFonts w:ascii="Calibri" w:hAnsi="Calibri" w:cs="Calibri"/>
                <w:color w:val="000000"/>
                <w:sz w:val="18"/>
                <w:szCs w:val="18"/>
                <w:lang w:val="en-GB"/>
              </w:rPr>
              <w:t xml:space="preserve"> </w:t>
            </w:r>
          </w:p>
          <w:p w14:paraId="2DE3E687" w14:textId="77777777" w:rsidR="00214972" w:rsidRPr="001E5747" w:rsidRDefault="00214972" w:rsidP="00214972">
            <w:pPr>
              <w:rPr>
                <w:rFonts w:ascii="Calibri" w:hAnsi="Calibri"/>
                <w:sz w:val="18"/>
                <w:szCs w:val="18"/>
                <w:lang w:val="en-GB"/>
              </w:rPr>
            </w:pPr>
          </w:p>
        </w:tc>
      </w:tr>
    </w:tbl>
    <w:p w14:paraId="3F30E912" w14:textId="77777777" w:rsidR="00214972" w:rsidRPr="001E5747" w:rsidRDefault="00214972" w:rsidP="00EF3853">
      <w:pPr>
        <w:pStyle w:val="Heading1"/>
        <w:shd w:val="clear" w:color="auto" w:fill="D55635"/>
        <w:tabs>
          <w:tab w:val="left" w:pos="540"/>
        </w:tabs>
        <w:rPr>
          <w:rFonts w:ascii="Calibri" w:eastAsia="Times New Roman" w:hAnsi="Calibri"/>
          <w:b w:val="0"/>
          <w:color w:val="FFFFFF"/>
          <w:sz w:val="32"/>
          <w:szCs w:val="32"/>
          <w:lang w:val="en-GB"/>
        </w:rPr>
      </w:pPr>
      <w:r w:rsidRPr="001E5747">
        <w:rPr>
          <w:rFonts w:eastAsia="Times New Roman"/>
          <w:lang w:val="en-GB"/>
        </w:rPr>
        <w:br w:type="page"/>
      </w:r>
      <w:bookmarkStart w:id="92" w:name="_Toc31029015"/>
      <w:bookmarkStart w:id="93" w:name="_Toc31194813"/>
      <w:bookmarkStart w:id="94" w:name="_Toc61062543"/>
      <w:bookmarkStart w:id="95" w:name="_Toc214024567"/>
      <w:r w:rsidRPr="00EF3853">
        <w:rPr>
          <w:rFonts w:asciiTheme="majorHAnsi" w:hAnsiTheme="majorHAnsi"/>
          <w:color w:val="FFFFFF" w:themeColor="background1"/>
          <w:sz w:val="32"/>
          <w:szCs w:val="32"/>
          <w:lang w:val="en-GB"/>
        </w:rPr>
        <w:lastRenderedPageBreak/>
        <w:t xml:space="preserve">Annex 2: </w:t>
      </w:r>
      <w:r w:rsidR="008E0A28" w:rsidRPr="00EF3853">
        <w:rPr>
          <w:rFonts w:asciiTheme="majorHAnsi" w:hAnsiTheme="majorHAnsi"/>
          <w:color w:val="FFFFFF" w:themeColor="background1"/>
          <w:sz w:val="32"/>
          <w:szCs w:val="32"/>
          <w:lang w:val="en-GB"/>
        </w:rPr>
        <w:t>Assessment</w:t>
      </w:r>
      <w:r w:rsidR="00836F55" w:rsidRPr="00EF3853">
        <w:rPr>
          <w:rFonts w:asciiTheme="majorHAnsi" w:hAnsiTheme="majorHAnsi"/>
          <w:color w:val="FFFFFF" w:themeColor="background1"/>
          <w:sz w:val="32"/>
          <w:szCs w:val="32"/>
          <w:lang w:val="en-GB"/>
        </w:rPr>
        <w:t xml:space="preserve"> </w:t>
      </w:r>
      <w:r w:rsidRPr="00EF3853">
        <w:rPr>
          <w:rFonts w:asciiTheme="majorHAnsi" w:hAnsiTheme="majorHAnsi"/>
          <w:color w:val="FFFFFF" w:themeColor="background1"/>
          <w:sz w:val="32"/>
          <w:szCs w:val="32"/>
          <w:lang w:val="en-GB"/>
        </w:rPr>
        <w:t xml:space="preserve">Guide </w:t>
      </w:r>
      <w:r w:rsidR="00836F55" w:rsidRPr="00EF3853">
        <w:rPr>
          <w:rFonts w:asciiTheme="majorHAnsi" w:hAnsiTheme="majorHAnsi"/>
          <w:color w:val="FFFFFF" w:themeColor="background1"/>
          <w:sz w:val="32"/>
          <w:szCs w:val="32"/>
          <w:lang w:val="en-GB"/>
        </w:rPr>
        <w:t>f</w:t>
      </w:r>
      <w:r w:rsidR="00352C4A" w:rsidRPr="00EF3853">
        <w:rPr>
          <w:rFonts w:asciiTheme="majorHAnsi" w:hAnsiTheme="majorHAnsi"/>
          <w:color w:val="FFFFFF" w:themeColor="background1"/>
          <w:sz w:val="32"/>
          <w:szCs w:val="32"/>
          <w:lang w:val="en-GB"/>
        </w:rPr>
        <w:t>or</w:t>
      </w:r>
      <w:r w:rsidR="00836F55" w:rsidRPr="00EF3853">
        <w:rPr>
          <w:rFonts w:asciiTheme="majorHAnsi" w:hAnsiTheme="majorHAnsi"/>
          <w:color w:val="FFFFFF" w:themeColor="background1"/>
          <w:sz w:val="32"/>
          <w:szCs w:val="32"/>
          <w:lang w:val="en-GB"/>
        </w:rPr>
        <w:t xml:space="preserve"> the</w:t>
      </w:r>
      <w:bookmarkEnd w:id="92"/>
      <w:bookmarkEnd w:id="93"/>
      <w:bookmarkEnd w:id="94"/>
      <w:r w:rsidR="00352C4A" w:rsidRPr="00EF3853">
        <w:rPr>
          <w:rFonts w:asciiTheme="majorHAnsi" w:hAnsiTheme="majorHAnsi"/>
          <w:color w:val="FFFFFF" w:themeColor="background1"/>
          <w:sz w:val="32"/>
          <w:szCs w:val="32"/>
          <w:lang w:val="en-GB"/>
        </w:rPr>
        <w:t xml:space="preserve"> </w:t>
      </w:r>
      <w:r w:rsidRPr="00EF3853">
        <w:rPr>
          <w:rFonts w:asciiTheme="majorHAnsi" w:hAnsiTheme="majorHAnsi"/>
          <w:color w:val="FFFFFF" w:themeColor="background1"/>
          <w:sz w:val="32"/>
          <w:szCs w:val="32"/>
          <w:lang w:val="en-GB"/>
        </w:rPr>
        <w:t>Performance Indicators</w:t>
      </w:r>
      <w:bookmarkEnd w:id="95"/>
      <w:r w:rsidRPr="001E5747">
        <w:rPr>
          <w:rFonts w:ascii="Calibri" w:eastAsia="Times New Roman" w:hAnsi="Calibri"/>
          <w:color w:val="FFFFFF"/>
          <w:sz w:val="32"/>
          <w:szCs w:val="32"/>
          <w:lang w:val="en-GB"/>
        </w:rPr>
        <w:t xml:space="preserve"> </w:t>
      </w:r>
    </w:p>
    <w:p w14:paraId="526A30C7" w14:textId="77777777" w:rsidR="00214972" w:rsidRPr="001E5747" w:rsidRDefault="00214972" w:rsidP="00214972">
      <w:pPr>
        <w:rPr>
          <w:rFonts w:eastAsia="Times New Roman"/>
          <w:sz w:val="12"/>
          <w:szCs w:val="12"/>
          <w:lang w:val="en-GB"/>
        </w:rPr>
      </w:pPr>
    </w:p>
    <w:p w14:paraId="4EDE28F2" w14:textId="157072E0" w:rsidR="00214972" w:rsidRPr="001E5747" w:rsidRDefault="00214972" w:rsidP="00214972">
      <w:pPr>
        <w:jc w:val="both"/>
        <w:rPr>
          <w:rFonts w:ascii="Calibri" w:eastAsia="Times New Roman" w:hAnsi="Calibri"/>
          <w:sz w:val="21"/>
          <w:szCs w:val="21"/>
          <w:lang w:val="en-GB"/>
        </w:rPr>
      </w:pPr>
      <w:r w:rsidRPr="001E5747">
        <w:rPr>
          <w:rFonts w:ascii="Calibri" w:eastAsia="Times New Roman" w:hAnsi="Calibri"/>
          <w:sz w:val="21"/>
          <w:szCs w:val="21"/>
          <w:lang w:val="en-GB"/>
        </w:rPr>
        <w:t>The table below shows the 30 performance indicators. The way how indicators from the MPMS are measured, is described in the MPMS documents. The table below contains brief definitions on how indicators are measured. Indicator</w:t>
      </w:r>
      <w:r w:rsidR="009403FE">
        <w:rPr>
          <w:rFonts w:ascii="Calibri" w:eastAsia="Times New Roman" w:hAnsi="Calibri"/>
          <w:sz w:val="21"/>
          <w:szCs w:val="21"/>
          <w:lang w:val="en-GB"/>
        </w:rPr>
        <w:t xml:space="preserve"> </w:t>
      </w:r>
      <w:r w:rsidR="00E1645F">
        <w:rPr>
          <w:rFonts w:ascii="Calibri" w:eastAsia="Times New Roman" w:hAnsi="Calibri"/>
          <w:sz w:val="21"/>
          <w:szCs w:val="21"/>
          <w:lang w:val="en-GB"/>
        </w:rPr>
        <w:t xml:space="preserve">no. </w:t>
      </w:r>
      <w:r w:rsidR="00417882">
        <w:rPr>
          <w:rFonts w:ascii="Calibri" w:eastAsia="Times New Roman" w:hAnsi="Calibri"/>
          <w:sz w:val="21"/>
          <w:szCs w:val="21"/>
          <w:lang w:val="en-GB"/>
        </w:rPr>
        <w:t>16</w:t>
      </w:r>
      <w:r w:rsidR="009403FE">
        <w:rPr>
          <w:rFonts w:ascii="Calibri" w:eastAsia="Times New Roman" w:hAnsi="Calibri"/>
          <w:sz w:val="21"/>
          <w:szCs w:val="21"/>
          <w:lang w:val="en-GB"/>
        </w:rPr>
        <w:t>.</w:t>
      </w:r>
      <w:r w:rsidR="00417882">
        <w:rPr>
          <w:rFonts w:ascii="Calibri" w:eastAsia="Times New Roman" w:hAnsi="Calibri"/>
          <w:sz w:val="21"/>
          <w:szCs w:val="21"/>
          <w:lang w:val="en-GB"/>
        </w:rPr>
        <w:t xml:space="preserve">b </w:t>
      </w:r>
      <w:r w:rsidR="00C2601F">
        <w:rPr>
          <w:rFonts w:ascii="Calibri" w:eastAsia="Times New Roman" w:hAnsi="Calibri"/>
          <w:sz w:val="21"/>
          <w:szCs w:val="21"/>
          <w:lang w:val="en-GB"/>
        </w:rPr>
        <w:t>is</w:t>
      </w:r>
      <w:r w:rsidR="00AD0F4D" w:rsidRPr="001E5747">
        <w:rPr>
          <w:rFonts w:ascii="Calibri" w:eastAsia="Times New Roman" w:hAnsi="Calibri"/>
          <w:sz w:val="21"/>
          <w:szCs w:val="21"/>
          <w:lang w:val="en-GB"/>
        </w:rPr>
        <w:t xml:space="preserve"> </w:t>
      </w:r>
      <w:r w:rsidRPr="001E5747">
        <w:rPr>
          <w:rFonts w:ascii="Calibri" w:eastAsia="Times New Roman" w:hAnsi="Calibri"/>
          <w:sz w:val="21"/>
          <w:szCs w:val="21"/>
          <w:lang w:val="en-GB"/>
        </w:rPr>
        <w:t xml:space="preserve">not taken as basis in the MPG </w:t>
      </w:r>
      <w:r w:rsidR="007F5E4A">
        <w:rPr>
          <w:rFonts w:ascii="Calibri" w:eastAsia="Times New Roman" w:hAnsi="Calibri"/>
          <w:sz w:val="21"/>
          <w:szCs w:val="21"/>
          <w:lang w:val="en-GB"/>
        </w:rPr>
        <w:t>202</w:t>
      </w:r>
      <w:r w:rsidR="009403FE">
        <w:rPr>
          <w:rFonts w:ascii="Calibri" w:eastAsia="Times New Roman" w:hAnsi="Calibri"/>
          <w:sz w:val="21"/>
          <w:szCs w:val="21"/>
          <w:lang w:val="en-GB"/>
        </w:rPr>
        <w:t>4</w:t>
      </w:r>
      <w:r w:rsidR="007F5E4A">
        <w:rPr>
          <w:rFonts w:ascii="Calibri" w:eastAsia="Times New Roman" w:hAnsi="Calibri"/>
          <w:sz w:val="21"/>
          <w:szCs w:val="21"/>
          <w:lang w:val="en-GB"/>
        </w:rPr>
        <w:t xml:space="preserve"> </w:t>
      </w:r>
      <w:r w:rsidRPr="001E5747">
        <w:rPr>
          <w:rFonts w:ascii="Calibri" w:eastAsia="Times New Roman" w:hAnsi="Calibri"/>
          <w:sz w:val="21"/>
          <w:szCs w:val="21"/>
          <w:lang w:val="en-GB"/>
        </w:rPr>
        <w:t xml:space="preserve">performance assessment for the fiscal year </w:t>
      </w:r>
      <w:r w:rsidR="007F5E4A" w:rsidRPr="001E5747">
        <w:rPr>
          <w:rFonts w:ascii="Calibri" w:eastAsia="Times New Roman" w:hAnsi="Calibri"/>
          <w:sz w:val="21"/>
          <w:szCs w:val="21"/>
          <w:lang w:val="en-GB"/>
        </w:rPr>
        <w:t>20</w:t>
      </w:r>
      <w:r w:rsidR="009403FE">
        <w:rPr>
          <w:rFonts w:ascii="Calibri" w:eastAsia="Times New Roman" w:hAnsi="Calibri"/>
          <w:sz w:val="21"/>
          <w:szCs w:val="21"/>
          <w:lang w:val="en-GB"/>
        </w:rPr>
        <w:t>26</w:t>
      </w:r>
      <w:r w:rsidR="007F5E4A">
        <w:rPr>
          <w:rFonts w:ascii="Calibri" w:eastAsia="Times New Roman" w:hAnsi="Calibri"/>
          <w:sz w:val="21"/>
          <w:szCs w:val="21"/>
          <w:lang w:val="en-GB"/>
        </w:rPr>
        <w:t>.</w:t>
      </w:r>
    </w:p>
    <w:tbl>
      <w:tblPr>
        <w:tblpPr w:leftFromText="180" w:rightFromText="180" w:vertAnchor="text" w:tblpXSpec="center" w:tblpY="1"/>
        <w:tblOverlap w:val="never"/>
        <w:tblW w:w="13140" w:type="dxa"/>
        <w:tblLayout w:type="fixed"/>
        <w:tblLook w:val="04A0" w:firstRow="1" w:lastRow="0" w:firstColumn="1" w:lastColumn="0" w:noHBand="0" w:noVBand="1"/>
      </w:tblPr>
      <w:tblGrid>
        <w:gridCol w:w="562"/>
        <w:gridCol w:w="5828"/>
        <w:gridCol w:w="6750"/>
      </w:tblGrid>
      <w:tr w:rsidR="00357F4D" w:rsidRPr="001E5747" w14:paraId="65C55C7B" w14:textId="77777777" w:rsidTr="00023C23">
        <w:trPr>
          <w:trHeight w:val="300"/>
          <w:tblHeader/>
        </w:trPr>
        <w:tc>
          <w:tcPr>
            <w:tcW w:w="562"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7A05C6D6" w14:textId="77777777" w:rsidR="00357F4D" w:rsidRPr="001E5747" w:rsidRDefault="00357F4D" w:rsidP="00023C23">
            <w:pPr>
              <w:spacing w:before="20" w:after="20"/>
              <w:contextualSpacing/>
              <w:rPr>
                <w:rFonts w:ascii="Calibri" w:eastAsia="Times New Roman" w:hAnsi="Calibri" w:cs="Calibri"/>
                <w:color w:val="000000"/>
                <w:sz w:val="19"/>
                <w:szCs w:val="19"/>
                <w:lang w:val="en-GB"/>
              </w:rPr>
            </w:pPr>
            <w:r w:rsidRPr="001E5747">
              <w:rPr>
                <w:rFonts w:ascii="Calibri" w:eastAsia="Times New Roman" w:hAnsi="Calibri" w:cs="Calibri"/>
                <w:color w:val="000000"/>
                <w:sz w:val="19"/>
                <w:szCs w:val="19"/>
                <w:lang w:val="en-GB"/>
              </w:rPr>
              <w:t>#</w:t>
            </w:r>
          </w:p>
        </w:tc>
        <w:tc>
          <w:tcPr>
            <w:tcW w:w="5828" w:type="dxa"/>
            <w:tcBorders>
              <w:top w:val="single" w:sz="4" w:space="0" w:color="auto"/>
              <w:left w:val="nil"/>
              <w:bottom w:val="single" w:sz="4" w:space="0" w:color="auto"/>
              <w:right w:val="single" w:sz="4" w:space="0" w:color="auto"/>
            </w:tcBorders>
            <w:shd w:val="clear" w:color="000000" w:fill="A6A6A6"/>
            <w:vAlign w:val="center"/>
            <w:hideMark/>
          </w:tcPr>
          <w:p w14:paraId="4AAA0377" w14:textId="77777777" w:rsidR="00357F4D" w:rsidRPr="001E5747" w:rsidRDefault="00357F4D" w:rsidP="00023C23">
            <w:pPr>
              <w:spacing w:before="20" w:after="20"/>
              <w:contextualSpacing/>
              <w:outlineLvl w:val="2"/>
              <w:rPr>
                <w:rFonts w:ascii="Calibri" w:eastAsia="Times New Roman" w:hAnsi="Calibri" w:cs="Calibri"/>
                <w:color w:val="000000"/>
                <w:sz w:val="19"/>
                <w:szCs w:val="19"/>
                <w:lang w:val="en-GB"/>
              </w:rPr>
            </w:pPr>
            <w:bookmarkStart w:id="96" w:name="_Toc214024568"/>
            <w:r w:rsidRPr="001E5747">
              <w:rPr>
                <w:rFonts w:ascii="Calibri" w:eastAsia="Times New Roman" w:hAnsi="Calibri" w:cs="Calibri"/>
                <w:color w:val="000000"/>
                <w:sz w:val="19"/>
                <w:szCs w:val="19"/>
                <w:lang w:val="en-GB"/>
              </w:rPr>
              <w:t>Indicator</w:t>
            </w:r>
            <w:bookmarkEnd w:id="96"/>
          </w:p>
        </w:tc>
        <w:tc>
          <w:tcPr>
            <w:tcW w:w="6750" w:type="dxa"/>
            <w:tcBorders>
              <w:top w:val="single" w:sz="4" w:space="0" w:color="auto"/>
              <w:left w:val="nil"/>
              <w:bottom w:val="single" w:sz="4" w:space="0" w:color="auto"/>
              <w:right w:val="single" w:sz="4" w:space="0" w:color="auto"/>
            </w:tcBorders>
            <w:shd w:val="clear" w:color="000000" w:fill="A6A6A6"/>
            <w:noWrap/>
            <w:vAlign w:val="center"/>
            <w:hideMark/>
          </w:tcPr>
          <w:p w14:paraId="7753D2A8" w14:textId="77777777" w:rsidR="00357F4D" w:rsidRPr="001E5747" w:rsidRDefault="00357F4D" w:rsidP="00023C23">
            <w:pPr>
              <w:spacing w:before="20" w:after="20"/>
              <w:contextualSpacing/>
              <w:jc w:val="center"/>
              <w:rPr>
                <w:rFonts w:ascii="Calibri" w:eastAsia="Times New Roman" w:hAnsi="Calibri" w:cs="Calibri"/>
                <w:color w:val="000000"/>
                <w:sz w:val="19"/>
                <w:szCs w:val="19"/>
                <w:lang w:val="en-GB"/>
              </w:rPr>
            </w:pPr>
            <w:r w:rsidRPr="001E5747">
              <w:rPr>
                <w:rFonts w:ascii="Calibri" w:eastAsia="Times New Roman" w:hAnsi="Calibri" w:cs="Calibri"/>
                <w:color w:val="000000"/>
                <w:sz w:val="19"/>
                <w:szCs w:val="19"/>
                <w:lang w:val="en-GB"/>
              </w:rPr>
              <w:t xml:space="preserve">Brief definition </w:t>
            </w:r>
          </w:p>
        </w:tc>
      </w:tr>
      <w:tr w:rsidR="00357F4D" w:rsidRPr="001E5747" w14:paraId="607E8BC2" w14:textId="77777777" w:rsidTr="00023C23">
        <w:trPr>
          <w:trHeight w:val="300"/>
          <w:tblHeader/>
        </w:trPr>
        <w:tc>
          <w:tcPr>
            <w:tcW w:w="13140" w:type="dxa"/>
            <w:gridSpan w:val="3"/>
            <w:tcBorders>
              <w:top w:val="single" w:sz="4" w:space="0" w:color="auto"/>
              <w:left w:val="single" w:sz="4" w:space="0" w:color="auto"/>
              <w:bottom w:val="single" w:sz="4" w:space="0" w:color="auto"/>
              <w:right w:val="single" w:sz="4" w:space="0" w:color="auto"/>
            </w:tcBorders>
            <w:shd w:val="clear" w:color="auto" w:fill="548DD4"/>
            <w:noWrap/>
            <w:vAlign w:val="center"/>
          </w:tcPr>
          <w:p w14:paraId="5F79D8C9" w14:textId="77777777" w:rsidR="00357F4D" w:rsidRPr="001E5747" w:rsidRDefault="00357F4D" w:rsidP="00023C23">
            <w:pPr>
              <w:spacing w:before="20" w:after="20"/>
              <w:contextualSpacing/>
              <w:rPr>
                <w:rFonts w:ascii="Calibri" w:eastAsia="Times New Roman" w:hAnsi="Calibri" w:cs="Calibri"/>
                <w:b/>
                <w:color w:val="000000"/>
                <w:sz w:val="19"/>
                <w:szCs w:val="19"/>
                <w:lang w:val="en-GB"/>
              </w:rPr>
            </w:pPr>
            <w:proofErr w:type="gramStart"/>
            <w:r w:rsidRPr="001E5747">
              <w:rPr>
                <w:rFonts w:ascii="Calibri" w:eastAsia="Times New Roman" w:hAnsi="Calibri" w:cs="Calibri"/>
                <w:b/>
                <w:color w:val="000000"/>
                <w:sz w:val="19"/>
                <w:szCs w:val="19"/>
                <w:lang w:val="en-GB"/>
              </w:rPr>
              <w:t>I .</w:t>
            </w:r>
            <w:proofErr w:type="gramEnd"/>
            <w:r w:rsidRPr="001E5747">
              <w:rPr>
                <w:rFonts w:ascii="Calibri" w:eastAsia="Times New Roman" w:hAnsi="Calibri" w:cs="Calibri"/>
                <w:b/>
                <w:color w:val="000000"/>
                <w:sz w:val="19"/>
                <w:szCs w:val="19"/>
                <w:lang w:val="en-GB"/>
              </w:rPr>
              <w:t xml:space="preserve"> DEMOCRATIC GOVERNANCE</w:t>
            </w:r>
          </w:p>
        </w:tc>
      </w:tr>
      <w:tr w:rsidR="00357F4D" w:rsidRPr="001E5747" w14:paraId="7629C8B0" w14:textId="77777777" w:rsidTr="00A000E4">
        <w:trPr>
          <w:trHeight w:val="364"/>
          <w:tblHeader/>
        </w:trPr>
        <w:tc>
          <w:tcPr>
            <w:tcW w:w="562" w:type="dxa"/>
            <w:tcBorders>
              <w:top w:val="single" w:sz="4" w:space="0" w:color="auto"/>
              <w:left w:val="single" w:sz="4" w:space="0" w:color="auto"/>
              <w:bottom w:val="single" w:sz="4" w:space="0" w:color="auto"/>
              <w:right w:val="single" w:sz="4" w:space="0" w:color="auto"/>
            </w:tcBorders>
            <w:shd w:val="clear" w:color="000000" w:fill="A6A6A6"/>
            <w:noWrap/>
          </w:tcPr>
          <w:p w14:paraId="71C46B2A" w14:textId="77777777" w:rsidR="00357F4D" w:rsidRPr="001E5747" w:rsidRDefault="00357F4D" w:rsidP="00023C23">
            <w:pPr>
              <w:spacing w:before="20" w:after="20"/>
              <w:contextualSpacing/>
              <w:rPr>
                <w:rFonts w:ascii="Calibri Light" w:eastAsia="Times New Roman" w:hAnsi="Calibri Light" w:cs="Calibri Light"/>
                <w:b/>
                <w:color w:val="000000"/>
                <w:sz w:val="20"/>
                <w:szCs w:val="19"/>
                <w:lang w:val="en-GB"/>
              </w:rPr>
            </w:pPr>
            <w:r w:rsidRPr="001E5747">
              <w:rPr>
                <w:rFonts w:ascii="Calibri Light" w:eastAsia="Times New Roman" w:hAnsi="Calibri Light" w:cs="Calibri Light"/>
                <w:b/>
                <w:sz w:val="20"/>
                <w:lang w:val="en-GB"/>
              </w:rPr>
              <w:t>I</w:t>
            </w:r>
          </w:p>
        </w:tc>
        <w:tc>
          <w:tcPr>
            <w:tcW w:w="12578" w:type="dxa"/>
            <w:gridSpan w:val="2"/>
            <w:tcBorders>
              <w:top w:val="single" w:sz="4" w:space="0" w:color="auto"/>
              <w:left w:val="nil"/>
              <w:bottom w:val="single" w:sz="4" w:space="0" w:color="auto"/>
              <w:right w:val="single" w:sz="4" w:space="0" w:color="auto"/>
            </w:tcBorders>
            <w:shd w:val="clear" w:color="000000" w:fill="A6A6A6"/>
          </w:tcPr>
          <w:p w14:paraId="1750145C" w14:textId="53B8F782" w:rsidR="00357F4D" w:rsidRPr="001E5747" w:rsidRDefault="00562F5C" w:rsidP="00023C23">
            <w:pPr>
              <w:spacing w:before="20" w:after="20"/>
              <w:contextualSpacing/>
              <w:rPr>
                <w:rFonts w:ascii="Calibri Light" w:eastAsia="Times New Roman" w:hAnsi="Calibri Light" w:cs="Calibri Light"/>
                <w:b/>
                <w:color w:val="000000"/>
                <w:sz w:val="20"/>
                <w:szCs w:val="19"/>
                <w:lang w:val="en-GB"/>
              </w:rPr>
            </w:pPr>
            <w:r>
              <w:rPr>
                <w:rFonts w:ascii="Calibri Light" w:eastAsia="MS Mincho" w:hAnsi="Calibri Light" w:cs="Calibri Light"/>
                <w:b/>
                <w:sz w:val="18"/>
                <w:szCs w:val="18"/>
                <w:lang w:val="en-GB"/>
              </w:rPr>
              <w:t>The role of the municipal assembly as an oversight body</w:t>
            </w:r>
          </w:p>
        </w:tc>
      </w:tr>
    </w:tbl>
    <w:p w14:paraId="57D3CC50" w14:textId="77777777" w:rsidR="00562F5C" w:rsidRDefault="00562F5C" w:rsidP="00562F5C">
      <w:pPr>
        <w:rPr>
          <w:lang w:val="en-GB"/>
        </w:rPr>
      </w:pPr>
    </w:p>
    <w:tbl>
      <w:tblPr>
        <w:tblpPr w:leftFromText="180" w:rightFromText="180" w:bottomFromText="160" w:vertAnchor="text" w:tblpXSpec="center" w:tblpY="1"/>
        <w:tblOverlap w:val="never"/>
        <w:tblW w:w="13194" w:type="dxa"/>
        <w:tblLayout w:type="fixed"/>
        <w:tblLook w:val="0600" w:firstRow="0" w:lastRow="0" w:firstColumn="0" w:lastColumn="0" w:noHBand="1" w:noVBand="1"/>
      </w:tblPr>
      <w:tblGrid>
        <w:gridCol w:w="558"/>
        <w:gridCol w:w="5371"/>
        <w:gridCol w:w="7265"/>
      </w:tblGrid>
      <w:tr w:rsidR="00562F5C" w14:paraId="414ED69B" w14:textId="77777777" w:rsidTr="00A000E4">
        <w:trPr>
          <w:trHeight w:val="521"/>
        </w:trPr>
        <w:tc>
          <w:tcPr>
            <w:tcW w:w="558" w:type="dxa"/>
            <w:tcBorders>
              <w:top w:val="nil"/>
              <w:left w:val="single" w:sz="4" w:space="0" w:color="auto"/>
              <w:bottom w:val="single" w:sz="4" w:space="0" w:color="auto"/>
              <w:right w:val="single" w:sz="4" w:space="0" w:color="auto"/>
            </w:tcBorders>
            <w:shd w:val="clear" w:color="auto" w:fill="C2D69B"/>
            <w:noWrap/>
            <w:vAlign w:val="center"/>
            <w:hideMark/>
          </w:tcPr>
          <w:p w14:paraId="73520F4C"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bookmarkStart w:id="97" w:name="_Hlk139618971"/>
            <w:r>
              <w:rPr>
                <w:rFonts w:ascii="Calibri Light" w:eastAsia="MS Mincho" w:hAnsi="Calibri Light" w:cs="Calibri Light"/>
                <w:color w:val="000000"/>
                <w:kern w:val="2"/>
                <w:sz w:val="18"/>
                <w:szCs w:val="18"/>
                <w:lang w:val="en-GB"/>
                <w14:ligatures w14:val="standardContextual"/>
              </w:rPr>
              <w:t>1</w:t>
            </w:r>
          </w:p>
        </w:tc>
        <w:tc>
          <w:tcPr>
            <w:tcW w:w="5371" w:type="dxa"/>
            <w:tcBorders>
              <w:top w:val="nil"/>
              <w:left w:val="nil"/>
              <w:bottom w:val="single" w:sz="4" w:space="0" w:color="auto"/>
              <w:right w:val="single" w:sz="4" w:space="0" w:color="auto"/>
            </w:tcBorders>
            <w:shd w:val="clear" w:color="auto" w:fill="C2D69B"/>
            <w:vAlign w:val="center"/>
            <w:hideMark/>
          </w:tcPr>
          <w:p w14:paraId="2E21C894"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98" w:name="_Toc214024569"/>
            <w:r>
              <w:rPr>
                <w:rFonts w:ascii="Calibri Light" w:eastAsia="MS Mincho" w:hAnsi="Calibri Light" w:cs="Calibri Light"/>
                <w:color w:val="000000"/>
                <w:kern w:val="2"/>
                <w:sz w:val="18"/>
                <w:szCs w:val="18"/>
                <w:lang w:val="en-GB"/>
                <w14:ligatures w14:val="standardContextual"/>
              </w:rPr>
              <w:t>Timely approval of the annual municipal budget proposal</w:t>
            </w:r>
            <w:bookmarkEnd w:id="98"/>
          </w:p>
        </w:tc>
        <w:tc>
          <w:tcPr>
            <w:tcW w:w="7265" w:type="dxa"/>
            <w:tcBorders>
              <w:top w:val="nil"/>
              <w:left w:val="nil"/>
              <w:bottom w:val="single" w:sz="4" w:space="0" w:color="auto"/>
              <w:right w:val="single" w:sz="4" w:space="0" w:color="auto"/>
            </w:tcBorders>
            <w:shd w:val="clear" w:color="auto" w:fill="C2D69B"/>
            <w:vAlign w:val="center"/>
            <w:hideMark/>
          </w:tcPr>
          <w:p w14:paraId="611893E1"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w:t>
            </w:r>
            <w:r>
              <w:rPr>
                <w:kern w:val="2"/>
                <w:lang w:val="en-GB"/>
                <w14:ligatures w14:val="standardContextual"/>
              </w:rPr>
              <w:t xml:space="preserve"> </w:t>
            </w:r>
            <w:r>
              <w:rPr>
                <w:rFonts w:ascii="Calibri Light" w:eastAsia="MS Mincho" w:hAnsi="Calibri Light" w:cs="Calibri Light"/>
                <w:color w:val="000000"/>
                <w:kern w:val="2"/>
                <w:sz w:val="18"/>
                <w:szCs w:val="18"/>
                <w:lang w:val="en-GB"/>
                <w14:ligatures w14:val="standardContextual"/>
              </w:rPr>
              <w:t>the level of compliance</w:t>
            </w:r>
            <w:r>
              <w:rPr>
                <w:kern w:val="2"/>
                <w:lang w:val="en-GB"/>
                <w14:ligatures w14:val="standardContextual"/>
              </w:rPr>
              <w:t xml:space="preserve"> </w:t>
            </w:r>
            <w:r>
              <w:rPr>
                <w:rFonts w:ascii="Calibri Light" w:eastAsia="MS Mincho" w:hAnsi="Calibri Light" w:cs="Calibri Light"/>
                <w:color w:val="000000"/>
                <w:kern w:val="2"/>
                <w:sz w:val="18"/>
                <w:szCs w:val="18"/>
                <w:lang w:val="en-GB"/>
                <w14:ligatures w14:val="standardContextual"/>
              </w:rPr>
              <w:t>of municipal bodies’ legal obligation in relation to the preparation and approval of the document ‘annual municipal budget proposal’ by the Municipal Assembly within the legal deadline.</w:t>
            </w:r>
          </w:p>
          <w:p w14:paraId="06EE0ED6" w14:textId="77777777" w:rsidR="00562F5C" w:rsidRDefault="00562F5C">
            <w:pPr>
              <w:autoSpaceDE w:val="0"/>
              <w:autoSpaceDN w:val="0"/>
              <w:adjustRightInd w:val="0"/>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legal basis related to drafting and approval of the document ‘annual municipal budget proposal’ is provided by the general Law on Public Financial Management and Accountability, while the competence comes from the Law on Local Self-government.</w:t>
            </w:r>
          </w:p>
          <w:p w14:paraId="75BBD106" w14:textId="77777777" w:rsidR="00562F5C" w:rsidRDefault="00562F5C">
            <w:pPr>
              <w:autoSpaceDE w:val="0"/>
              <w:autoSpaceDN w:val="0"/>
              <w:adjustRightInd w:val="0"/>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 xml:space="preserve">Measurement of the performance of this indicator is based on the measurement of: </w:t>
            </w:r>
            <w:proofErr w:type="spellStart"/>
            <w:r>
              <w:rPr>
                <w:rFonts w:ascii="Calibri Light" w:eastAsia="MS Mincho" w:hAnsi="Calibri Light" w:cs="Calibri Light"/>
                <w:color w:val="000000"/>
                <w:kern w:val="2"/>
                <w:sz w:val="18"/>
                <w:szCs w:val="18"/>
                <w:lang w:val="en-GB"/>
                <w14:ligatures w14:val="standardContextual"/>
              </w:rPr>
              <w:t>i</w:t>
            </w:r>
            <w:proofErr w:type="spellEnd"/>
            <w:r>
              <w:rPr>
                <w:rFonts w:ascii="Calibri Light" w:eastAsia="MS Mincho" w:hAnsi="Calibri Light" w:cs="Calibri Light"/>
                <w:color w:val="000000"/>
                <w:kern w:val="2"/>
                <w:sz w:val="18"/>
                <w:szCs w:val="18"/>
                <w:lang w:val="en-GB"/>
                <w14:ligatures w14:val="standardContextual"/>
              </w:rPr>
              <w:t>) Submission of the budget by the Mayor to the Municipal Assembly before 1 September; ii) Approval of the budget by the Municipal Assembly before 30 September.</w:t>
            </w:r>
          </w:p>
        </w:tc>
      </w:tr>
      <w:tr w:rsidR="00562F5C" w14:paraId="2DC16308" w14:textId="77777777" w:rsidTr="00A000E4">
        <w:trPr>
          <w:trHeight w:val="246"/>
        </w:trPr>
        <w:tc>
          <w:tcPr>
            <w:tcW w:w="558" w:type="dxa"/>
            <w:tcBorders>
              <w:top w:val="nil"/>
              <w:left w:val="single" w:sz="4" w:space="0" w:color="auto"/>
              <w:bottom w:val="single" w:sz="4" w:space="0" w:color="auto"/>
              <w:right w:val="single" w:sz="4" w:space="0" w:color="auto"/>
            </w:tcBorders>
            <w:shd w:val="clear" w:color="auto" w:fill="C4D79B"/>
            <w:noWrap/>
            <w:vAlign w:val="center"/>
            <w:hideMark/>
          </w:tcPr>
          <w:p w14:paraId="088BC2DE"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2</w:t>
            </w:r>
          </w:p>
        </w:tc>
        <w:tc>
          <w:tcPr>
            <w:tcW w:w="5371" w:type="dxa"/>
            <w:tcBorders>
              <w:top w:val="nil"/>
              <w:left w:val="nil"/>
              <w:bottom w:val="single" w:sz="4" w:space="0" w:color="auto"/>
              <w:right w:val="single" w:sz="4" w:space="0" w:color="auto"/>
            </w:tcBorders>
            <w:shd w:val="clear" w:color="auto" w:fill="C4D79B"/>
            <w:vAlign w:val="center"/>
            <w:hideMark/>
          </w:tcPr>
          <w:p w14:paraId="74BF67DB"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99" w:name="_Toc214024570"/>
            <w:r>
              <w:rPr>
                <w:rFonts w:ascii="Calibri Light" w:eastAsia="MS Mincho" w:hAnsi="Calibri Light" w:cs="Calibri Light"/>
                <w:color w:val="000000"/>
                <w:kern w:val="2"/>
                <w:sz w:val="18"/>
                <w:szCs w:val="18"/>
                <w:lang w:val="en-GB"/>
                <w14:ligatures w14:val="standardContextual"/>
              </w:rPr>
              <w:t>Discussion of quarterly budget reports by the Municipal Assembly</w:t>
            </w:r>
            <w:bookmarkEnd w:id="99"/>
          </w:p>
        </w:tc>
        <w:tc>
          <w:tcPr>
            <w:tcW w:w="7265" w:type="dxa"/>
            <w:tcBorders>
              <w:top w:val="nil"/>
              <w:left w:val="nil"/>
              <w:bottom w:val="single" w:sz="4" w:space="0" w:color="auto"/>
              <w:right w:val="single" w:sz="4" w:space="0" w:color="auto"/>
            </w:tcBorders>
            <w:shd w:val="clear" w:color="auto" w:fill="C4D79B"/>
            <w:vAlign w:val="center"/>
            <w:hideMark/>
          </w:tcPr>
          <w:p w14:paraId="6E003903"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This indicator aims to measure the level of compliance of municipal bodies’ legal obligation of presenting and discussing quarterly financial reports before the Municipal Assembly. The reports must be submitted to the assembly by the Mayor.</w:t>
            </w:r>
          </w:p>
          <w:p w14:paraId="19981D0E"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act of measuring the fulfilment of the obligation to discuss the quarterly budget reports before the Municipal Assembly refers to the previous fiscal year. In order to measure this indicator, evidence is required that the Mayor has submitted budget reports to the Municipal Assembly for each previous quarter, no later than 30 days from the end of the quarter for which it is reported, in accordance with the legal provision, and the Mayor is also obliged to submit a copy of the report to the Ministry of Finance in the same time frame (no later than 30 days after the end of the quarter).</w:t>
            </w:r>
          </w:p>
          <w:p w14:paraId="7B9F6A63" w14:textId="77777777" w:rsidR="00562F5C" w:rsidRDefault="00562F5C">
            <w:pPr>
              <w:autoSpaceDE w:val="0"/>
              <w:autoSpaceDN w:val="0"/>
              <w:adjustRightInd w:val="0"/>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When presenting reports before the Assembly, the same has the opportunity and obligation to discuss and act within the framework of the obligations that the Municipal Assembly, being the highest body of the Municipality, has regarding the work of the Mayor and the executive part in the implementation of the budget.</w:t>
            </w:r>
          </w:p>
        </w:tc>
      </w:tr>
      <w:tr w:rsidR="00562F5C" w14:paraId="29A6530D" w14:textId="77777777" w:rsidTr="009403FE">
        <w:trPr>
          <w:trHeight w:val="326"/>
        </w:trPr>
        <w:tc>
          <w:tcPr>
            <w:tcW w:w="558" w:type="dxa"/>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14:paraId="6F01088A"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3</w:t>
            </w:r>
          </w:p>
        </w:tc>
        <w:tc>
          <w:tcPr>
            <w:tcW w:w="5371" w:type="dxa"/>
            <w:tcBorders>
              <w:top w:val="nil"/>
              <w:left w:val="nil"/>
              <w:bottom w:val="single" w:sz="4" w:space="0" w:color="auto"/>
              <w:right w:val="single" w:sz="4" w:space="0" w:color="auto"/>
            </w:tcBorders>
            <w:shd w:val="clear" w:color="auto" w:fill="C2D69B" w:themeFill="accent3" w:themeFillTint="99"/>
            <w:vAlign w:val="center"/>
            <w:hideMark/>
          </w:tcPr>
          <w:p w14:paraId="15B17FC9"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00" w:name="_Toc214024571"/>
            <w:r>
              <w:rPr>
                <w:rFonts w:ascii="Calibri Light" w:eastAsia="MS Mincho" w:hAnsi="Calibri Light" w:cs="Calibri Light"/>
                <w:color w:val="000000"/>
                <w:kern w:val="2"/>
                <w:sz w:val="18"/>
                <w:szCs w:val="18"/>
                <w:lang w:val="en-GB"/>
                <w14:ligatures w14:val="standardContextual"/>
              </w:rPr>
              <w:t>Discussion on the municipal performance report by the Municipal Assembly for the previous year</w:t>
            </w:r>
            <w:bookmarkEnd w:id="100"/>
          </w:p>
        </w:tc>
        <w:tc>
          <w:tcPr>
            <w:tcW w:w="7265" w:type="dxa"/>
            <w:tcBorders>
              <w:top w:val="nil"/>
              <w:left w:val="nil"/>
              <w:bottom w:val="single" w:sz="4" w:space="0" w:color="auto"/>
              <w:right w:val="single" w:sz="4" w:space="0" w:color="auto"/>
            </w:tcBorders>
            <w:shd w:val="clear" w:color="auto" w:fill="C2D69B" w:themeFill="accent3" w:themeFillTint="99"/>
            <w:vAlign w:val="center"/>
            <w:hideMark/>
          </w:tcPr>
          <w:p w14:paraId="557FF9FD"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 xml:space="preserve">This indicator measures the level of readiness of the executive to discuss the municipal performance report of the previous year in the Municipal Assembly. The performance report is published by MLGA by 31 May of the year when the evaluation is made. The discussion, which takes </w:t>
            </w:r>
            <w:r>
              <w:rPr>
                <w:rFonts w:ascii="Calibri Light" w:eastAsia="MS Mincho" w:hAnsi="Calibri Light" w:cs="Calibri Light"/>
                <w:color w:val="000000"/>
                <w:kern w:val="2"/>
                <w:sz w:val="18"/>
                <w:szCs w:val="18"/>
                <w:lang w:val="en-GB"/>
                <w14:ligatures w14:val="standardContextual"/>
              </w:rPr>
              <w:lastRenderedPageBreak/>
              <w:t>place no later than 60 days from the moment the report is published by MLGA, is done with the aim of synchronizing actions during the budget planning period, so that this report serves as a reference in this regard. The indicator measures the accountability of the executive before the Municipal Assembly, discussing the findings of the report, including the quality of services and the work results of the municipal authorities. The discussion of this report affects the planning of activities for the next year and better organization of resources based on the results of the measurement by MPMS.</w:t>
            </w:r>
            <w:r>
              <w:rPr>
                <w:rFonts w:ascii="Aptos" w:eastAsia="Aptos" w:hAnsi="Aptos"/>
                <w:kern w:val="2"/>
                <w:sz w:val="21"/>
                <w:szCs w:val="21"/>
                <w:lang w:val="en-GB"/>
                <w14:ligatures w14:val="standardContextual"/>
              </w:rPr>
              <w:t xml:space="preserve"> </w:t>
            </w:r>
          </w:p>
        </w:tc>
      </w:tr>
      <w:tr w:rsidR="00562F5C" w14:paraId="14A13AEB" w14:textId="77777777" w:rsidTr="00A000E4">
        <w:trPr>
          <w:trHeight w:val="1174"/>
        </w:trPr>
        <w:tc>
          <w:tcPr>
            <w:tcW w:w="558" w:type="dxa"/>
            <w:tcBorders>
              <w:top w:val="nil"/>
              <w:left w:val="single" w:sz="4" w:space="0" w:color="auto"/>
              <w:bottom w:val="single" w:sz="4" w:space="0" w:color="auto"/>
              <w:right w:val="single" w:sz="4" w:space="0" w:color="auto"/>
            </w:tcBorders>
            <w:shd w:val="clear" w:color="auto" w:fill="C4D79B"/>
            <w:noWrap/>
            <w:vAlign w:val="center"/>
            <w:hideMark/>
          </w:tcPr>
          <w:p w14:paraId="6CCCE207"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lastRenderedPageBreak/>
              <w:t>4</w:t>
            </w:r>
          </w:p>
        </w:tc>
        <w:tc>
          <w:tcPr>
            <w:tcW w:w="5371" w:type="dxa"/>
            <w:tcBorders>
              <w:top w:val="nil"/>
              <w:left w:val="nil"/>
              <w:bottom w:val="single" w:sz="4" w:space="0" w:color="auto"/>
              <w:right w:val="single" w:sz="4" w:space="0" w:color="auto"/>
            </w:tcBorders>
            <w:shd w:val="clear" w:color="auto" w:fill="C4D79B"/>
            <w:vAlign w:val="center"/>
            <w:hideMark/>
          </w:tcPr>
          <w:p w14:paraId="0B080B40"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01" w:name="_Toc214024572"/>
            <w:r>
              <w:rPr>
                <w:rFonts w:ascii="Calibri Light" w:eastAsia="MS Mincho" w:hAnsi="Calibri Light" w:cs="Calibri Light"/>
                <w:color w:val="000000"/>
                <w:kern w:val="2"/>
                <w:sz w:val="18"/>
                <w:szCs w:val="18"/>
                <w:lang w:val="en-GB"/>
                <w14:ligatures w14:val="standardContextual"/>
              </w:rPr>
              <w:t>Discussion of the external auditor's report and action plan for addressing the recommendations in the Municipal Assembly</w:t>
            </w:r>
            <w:bookmarkEnd w:id="101"/>
          </w:p>
        </w:tc>
        <w:tc>
          <w:tcPr>
            <w:tcW w:w="7265" w:type="dxa"/>
            <w:tcBorders>
              <w:top w:val="nil"/>
              <w:left w:val="nil"/>
              <w:bottom w:val="single" w:sz="4" w:space="0" w:color="auto"/>
              <w:right w:val="single" w:sz="4" w:space="0" w:color="auto"/>
            </w:tcBorders>
            <w:shd w:val="clear" w:color="auto" w:fill="C4D79B"/>
            <w:vAlign w:val="center"/>
            <w:hideMark/>
          </w:tcPr>
          <w:p w14:paraId="4EA44E85"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This indicator aims to measure the level of submission of external auditor’s reports (NAO), including the action plan on findings and recommendations, and submission thereof for discussion in the Municipal Assembly.</w:t>
            </w:r>
          </w:p>
          <w:p w14:paraId="10652DF8"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 whether the external auditor’s report was submitted to the Municipal Assembly for discussion in the evaluated year (i.e., the external auditor’s report for 2021 should be discussed by the Municipal Assembly in 2022).</w:t>
            </w:r>
          </w:p>
        </w:tc>
      </w:tr>
      <w:tr w:rsidR="00562F5C" w14:paraId="6B15DABD" w14:textId="77777777" w:rsidTr="00A000E4">
        <w:trPr>
          <w:trHeight w:val="159"/>
        </w:trPr>
        <w:tc>
          <w:tcPr>
            <w:tcW w:w="558"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085E0937"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5</w:t>
            </w:r>
          </w:p>
        </w:tc>
        <w:tc>
          <w:tcPr>
            <w:tcW w:w="5371" w:type="dxa"/>
            <w:tcBorders>
              <w:top w:val="single" w:sz="4" w:space="0" w:color="auto"/>
              <w:left w:val="nil"/>
              <w:bottom w:val="single" w:sz="4" w:space="0" w:color="auto"/>
              <w:right w:val="single" w:sz="4" w:space="0" w:color="auto"/>
            </w:tcBorders>
            <w:shd w:val="clear" w:color="auto" w:fill="C2D69B"/>
            <w:vAlign w:val="center"/>
            <w:hideMark/>
          </w:tcPr>
          <w:p w14:paraId="1A942D2B"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02" w:name="_Toc214024573"/>
            <w:r>
              <w:rPr>
                <w:rFonts w:ascii="Calibri Light" w:eastAsia="MS Mincho" w:hAnsi="Calibri Light" w:cs="Calibri Light"/>
                <w:color w:val="000000"/>
                <w:kern w:val="2"/>
                <w:sz w:val="18"/>
                <w:szCs w:val="18"/>
                <w:lang w:val="en-GB"/>
                <w14:ligatures w14:val="standardContextual"/>
              </w:rPr>
              <w:t>Municipal Assembly meetings with the participation of the Mayor</w:t>
            </w:r>
            <w:bookmarkEnd w:id="102"/>
          </w:p>
        </w:tc>
        <w:tc>
          <w:tcPr>
            <w:tcW w:w="7265" w:type="dxa"/>
            <w:tcBorders>
              <w:top w:val="single" w:sz="4" w:space="0" w:color="auto"/>
              <w:left w:val="nil"/>
              <w:bottom w:val="single" w:sz="4" w:space="0" w:color="auto"/>
              <w:right w:val="single" w:sz="4" w:space="0" w:color="auto"/>
            </w:tcBorders>
            <w:shd w:val="clear" w:color="auto" w:fill="C2D69B"/>
            <w:vAlign w:val="center"/>
            <w:hideMark/>
          </w:tcPr>
          <w:p w14:paraId="41958836"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This indicator aims to measure the Mayor’s attendance in the (regular and extraordinary) sessions of the Municipal Assembly. The legal framework obliges the Mayor to report to the assembly at least twice a year regarding the economic-financial issues of the municipality, as well as the implementation of investment plans. Likewise, the Mayor is obliged to attend the sessions of the assembly whenever requested by the assembly.</w:t>
            </w:r>
          </w:p>
          <w:p w14:paraId="2097654C"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law also determines the minimum number of meetings of the Municipal Assembly, at least 10 sessions per year, 5 of which must be held during the first six months. Additional meetings above the minimum number remain at the discretion of the Municipal Assembly.</w:t>
            </w:r>
            <w:r>
              <w:rPr>
                <w:rFonts w:ascii="Aptos" w:eastAsia="Aptos" w:hAnsi="Aptos"/>
                <w:kern w:val="2"/>
                <w:sz w:val="21"/>
                <w:szCs w:val="21"/>
                <w:lang w:val="en-GB"/>
                <w14:ligatures w14:val="standardContextual"/>
              </w:rPr>
              <w:t xml:space="preserve"> </w:t>
            </w:r>
          </w:p>
        </w:tc>
      </w:tr>
      <w:tr w:rsidR="00562F5C" w14:paraId="194A3664" w14:textId="77777777" w:rsidTr="00A000E4">
        <w:trPr>
          <w:trHeight w:val="159"/>
        </w:trPr>
        <w:tc>
          <w:tcPr>
            <w:tcW w:w="558"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40758576" w14:textId="77777777" w:rsidR="00562F5C" w:rsidRDefault="00562F5C">
            <w:pPr>
              <w:spacing w:line="256" w:lineRule="auto"/>
              <w:jc w:val="center"/>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II</w:t>
            </w:r>
          </w:p>
        </w:tc>
        <w:tc>
          <w:tcPr>
            <w:tcW w:w="12636" w:type="dxa"/>
            <w:gridSpan w:val="2"/>
            <w:tcBorders>
              <w:top w:val="single" w:sz="4" w:space="0" w:color="auto"/>
              <w:left w:val="nil"/>
              <w:bottom w:val="nil"/>
              <w:right w:val="single" w:sz="4" w:space="0" w:color="auto"/>
            </w:tcBorders>
            <w:shd w:val="clear" w:color="auto" w:fill="C6D9F1"/>
            <w:vAlign w:val="center"/>
            <w:hideMark/>
          </w:tcPr>
          <w:p w14:paraId="778DE2FF" w14:textId="77777777" w:rsidR="00562F5C" w:rsidRDefault="00562F5C">
            <w:pPr>
              <w:spacing w:line="256" w:lineRule="auto"/>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Citizen participation, consultation and inclusiveness</w:t>
            </w:r>
          </w:p>
        </w:tc>
      </w:tr>
      <w:tr w:rsidR="00562F5C" w14:paraId="526B93B7" w14:textId="77777777" w:rsidTr="00A000E4">
        <w:trPr>
          <w:trHeight w:val="214"/>
        </w:trPr>
        <w:tc>
          <w:tcPr>
            <w:tcW w:w="558" w:type="dxa"/>
            <w:tcBorders>
              <w:top w:val="single" w:sz="4" w:space="0" w:color="auto"/>
              <w:left w:val="single" w:sz="4" w:space="0" w:color="auto"/>
              <w:bottom w:val="single" w:sz="4" w:space="0" w:color="auto"/>
              <w:right w:val="single" w:sz="4" w:space="0" w:color="auto"/>
            </w:tcBorders>
            <w:shd w:val="clear" w:color="auto" w:fill="C4D79B"/>
            <w:noWrap/>
            <w:vAlign w:val="center"/>
            <w:hideMark/>
          </w:tcPr>
          <w:p w14:paraId="4F156794"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6</w:t>
            </w:r>
          </w:p>
        </w:tc>
        <w:tc>
          <w:tcPr>
            <w:tcW w:w="5371" w:type="dxa"/>
            <w:tcBorders>
              <w:top w:val="single" w:sz="4" w:space="0" w:color="auto"/>
              <w:left w:val="nil"/>
              <w:bottom w:val="single" w:sz="4" w:space="0" w:color="auto"/>
              <w:right w:val="single" w:sz="4" w:space="0" w:color="auto"/>
            </w:tcBorders>
            <w:shd w:val="clear" w:color="auto" w:fill="C4D79B"/>
            <w:vAlign w:val="center"/>
            <w:hideMark/>
          </w:tcPr>
          <w:p w14:paraId="03337D06"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03" w:name="_Toc214024574"/>
            <w:r>
              <w:rPr>
                <w:rFonts w:ascii="Calibri Light" w:eastAsia="MS Mincho" w:hAnsi="Calibri Light" w:cs="Calibri Light"/>
                <w:color w:val="000000"/>
                <w:kern w:val="2"/>
                <w:sz w:val="18"/>
                <w:szCs w:val="18"/>
                <w:lang w:val="en-GB"/>
                <w14:ligatures w14:val="standardContextual"/>
              </w:rPr>
              <w:t>Citizen participation in public consultations, disaggregated by gender</w:t>
            </w:r>
            <w:bookmarkEnd w:id="103"/>
          </w:p>
        </w:tc>
        <w:tc>
          <w:tcPr>
            <w:tcW w:w="7265" w:type="dxa"/>
            <w:tcBorders>
              <w:top w:val="single" w:sz="4" w:space="0" w:color="auto"/>
              <w:left w:val="nil"/>
              <w:bottom w:val="single" w:sz="4" w:space="0" w:color="auto"/>
              <w:right w:val="single" w:sz="4" w:space="0" w:color="auto"/>
            </w:tcBorders>
            <w:shd w:val="clear" w:color="auto" w:fill="C4D79B"/>
            <w:vAlign w:val="center"/>
          </w:tcPr>
          <w:p w14:paraId="69500400"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For the grant scheme, this indicator aggregates readings from two MPMS indicators, namely indicator 3.1.2 and indicator 13.2.3;</w:t>
            </w:r>
          </w:p>
          <w:p w14:paraId="3DB67661"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Indicator 3.1.2. measures the level of citizen participation in public consultations such as regular meetings with citizens, budget hearings, and consultative meetings for municipal acts and local policy documents.</w:t>
            </w:r>
          </w:p>
          <w:p w14:paraId="1BE833D1"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This indicator measures the level of citizen participation in public meetings organized by the Municipality relative to the number of inhabitants. The level of 3% of the number of inhabitants was taken as a sufficient level of participation for all municipalities, at least for a temporary period.</w:t>
            </w:r>
          </w:p>
          <w:p w14:paraId="3618A4D4"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 xml:space="preserve">Indicator 13.2.3 refers to the commitment of the Municipality to the inclusion of gender integration in strategic documents, policies, plans as well as the measures that the Municipality intends to implement for the advancement of gender equality. The indicator measures whether the Municipality has approved the plan for gender equality and the level of implementation of the annual plan, </w:t>
            </w:r>
            <w:proofErr w:type="gramStart"/>
            <w:r>
              <w:rPr>
                <w:rFonts w:ascii="Calibri Light" w:eastAsia="MS Mincho" w:hAnsi="Calibri Light" w:cs="Calibri Light"/>
                <w:color w:val="000000"/>
                <w:kern w:val="2"/>
                <w:sz w:val="18"/>
                <w:szCs w:val="18"/>
                <w:lang w:val="en-GB"/>
                <w14:ligatures w14:val="standardContextual"/>
              </w:rPr>
              <w:t>taking into account</w:t>
            </w:r>
            <w:proofErr w:type="gramEnd"/>
            <w:r>
              <w:rPr>
                <w:rFonts w:ascii="Calibri Light" w:eastAsia="MS Mincho" w:hAnsi="Calibri Light" w:cs="Calibri Light"/>
                <w:color w:val="000000"/>
                <w:kern w:val="2"/>
                <w:sz w:val="18"/>
                <w:szCs w:val="18"/>
                <w:lang w:val="en-GB"/>
                <w14:ligatures w14:val="standardContextual"/>
              </w:rPr>
              <w:t xml:space="preserve"> legal aspects and strategic documents at the central level. A </w:t>
            </w:r>
            <w:r>
              <w:rPr>
                <w:rFonts w:ascii="Calibri Light" w:eastAsia="MS Mincho" w:hAnsi="Calibri Light" w:cs="Calibri Light"/>
                <w:color w:val="000000"/>
                <w:kern w:val="2"/>
                <w:sz w:val="18"/>
                <w:szCs w:val="18"/>
                <w:lang w:val="en-GB"/>
                <w14:ligatures w14:val="standardContextual"/>
              </w:rPr>
              <w:lastRenderedPageBreak/>
              <w:t>municipality is considered to possess the municipal plan for gender equality if that plan is approved directly or indirectly (through a long-term document) in</w:t>
            </w:r>
          </w:p>
          <w:p w14:paraId="6A7832ED" w14:textId="33E01E4C" w:rsidR="00562F5C" w:rsidRDefault="00562F5C">
            <w:pPr>
              <w:autoSpaceDE w:val="0"/>
              <w:autoSpaceDN w:val="0"/>
              <w:adjustRightInd w:val="0"/>
              <w:spacing w:line="256" w:lineRule="auto"/>
              <w:jc w:val="both"/>
              <w:rPr>
                <w:rFonts w:ascii="Calibri Light" w:eastAsia="MS Mincho" w:hAnsi="Calibri Light" w:cs="Calibri Light"/>
                <w:color w:val="000000"/>
                <w:kern w:val="2"/>
                <w:sz w:val="18"/>
                <w:szCs w:val="18"/>
                <w:lang w:val="en-GB"/>
                <w14:ligatures w14:val="standardContextual"/>
              </w:rPr>
            </w:pPr>
            <w:r w:rsidRPr="00562F5C">
              <w:rPr>
                <w:rFonts w:ascii="Calibri Light" w:eastAsia="MS Mincho" w:hAnsi="Calibri Light" w:cs="Calibri Light"/>
                <w:color w:val="000000"/>
                <w:kern w:val="2"/>
                <w:sz w:val="18"/>
                <w:szCs w:val="18"/>
                <w:lang w:val="en-GB"/>
                <w14:ligatures w14:val="standardContextual"/>
              </w:rPr>
              <w:t>significant to</w:t>
            </w:r>
            <w:r>
              <w:rPr>
                <w:rFonts w:ascii="Calibri Light" w:eastAsia="MS Mincho" w:hAnsi="Calibri Light" w:cs="Calibri Light"/>
                <w:color w:val="000000"/>
                <w:kern w:val="2"/>
                <w:sz w:val="18"/>
                <w:szCs w:val="18"/>
                <w:lang w:val="en-GB"/>
                <w14:ligatures w14:val="standardContextual"/>
              </w:rPr>
              <w:t xml:space="preserve"> participate in the decision-making processes of the municipality. The indicator does not measure the quality of participation, i.e., it does not measure the contribution of women or girls participating in public meetings.</w:t>
            </w:r>
          </w:p>
          <w:p w14:paraId="2046AD1A"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p>
        </w:tc>
      </w:tr>
      <w:tr w:rsidR="00562F5C" w14:paraId="790D9B4A" w14:textId="77777777" w:rsidTr="00A000E4">
        <w:trPr>
          <w:trHeight w:val="245"/>
        </w:trPr>
        <w:tc>
          <w:tcPr>
            <w:tcW w:w="558" w:type="dxa"/>
            <w:tcBorders>
              <w:top w:val="nil"/>
              <w:left w:val="single" w:sz="4" w:space="0" w:color="auto"/>
              <w:bottom w:val="single" w:sz="4" w:space="0" w:color="auto"/>
              <w:right w:val="single" w:sz="4" w:space="0" w:color="auto"/>
            </w:tcBorders>
            <w:shd w:val="clear" w:color="auto" w:fill="C4D79B"/>
            <w:noWrap/>
            <w:vAlign w:val="center"/>
            <w:hideMark/>
          </w:tcPr>
          <w:p w14:paraId="040EA216"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lastRenderedPageBreak/>
              <w:t>7</w:t>
            </w:r>
          </w:p>
        </w:tc>
        <w:tc>
          <w:tcPr>
            <w:tcW w:w="5371" w:type="dxa"/>
            <w:tcBorders>
              <w:top w:val="nil"/>
              <w:left w:val="nil"/>
              <w:bottom w:val="single" w:sz="4" w:space="0" w:color="auto"/>
              <w:right w:val="single" w:sz="4" w:space="0" w:color="auto"/>
            </w:tcBorders>
            <w:shd w:val="clear" w:color="auto" w:fill="C4D79B"/>
            <w:vAlign w:val="center"/>
            <w:hideMark/>
          </w:tcPr>
          <w:p w14:paraId="406CC7DC"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04" w:name="_Toc214024575"/>
            <w:r>
              <w:rPr>
                <w:rFonts w:ascii="Calibri Light" w:eastAsia="MS Mincho" w:hAnsi="Calibri Light" w:cs="Calibri Light"/>
                <w:color w:val="000000"/>
                <w:kern w:val="2"/>
                <w:sz w:val="18"/>
                <w:szCs w:val="18"/>
                <w:lang w:val="en-GB"/>
                <w14:ligatures w14:val="standardContextual"/>
              </w:rPr>
              <w:t>Municipal acts and local policy documents consulted with the public</w:t>
            </w:r>
            <w:bookmarkEnd w:id="104"/>
          </w:p>
        </w:tc>
        <w:tc>
          <w:tcPr>
            <w:tcW w:w="7265" w:type="dxa"/>
            <w:tcBorders>
              <w:top w:val="nil"/>
              <w:left w:val="nil"/>
              <w:bottom w:val="single" w:sz="4" w:space="0" w:color="auto"/>
              <w:right w:val="single" w:sz="4" w:space="0" w:color="auto"/>
            </w:tcBorders>
            <w:shd w:val="clear" w:color="auto" w:fill="C4D79B"/>
            <w:vAlign w:val="center"/>
            <w:hideMark/>
          </w:tcPr>
          <w:p w14:paraId="283C20A9"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 the fulfilment of the legal obligation to involve the public in the decision-making process in municipal bodies. All meetings held with citizens for a municipal act or document for the preparation of a local policy are regarded as a consultation and it is reported that the municipal act or public policy document was consulted and made transparent with the citizens before its approval.</w:t>
            </w:r>
          </w:p>
          <w:p w14:paraId="25BDAFCA"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Municipalities are obliged to consult with citizens before the adoption of the following municipal acts: Draft - Municipal Statute, draft municipal regulations and other draft acts that are provided for by sector laws, as well as for the following local policy documents: Development strategies and action plans in sector areas, draft spatial plans, other documents provided for by other legislation or which the municipality deems necessary to be submitted to public consultation.</w:t>
            </w:r>
          </w:p>
        </w:tc>
      </w:tr>
      <w:tr w:rsidR="00562F5C" w14:paraId="0F6DD668" w14:textId="77777777" w:rsidTr="00A000E4">
        <w:trPr>
          <w:trHeight w:val="281"/>
        </w:trPr>
        <w:tc>
          <w:tcPr>
            <w:tcW w:w="558" w:type="dxa"/>
            <w:tcBorders>
              <w:top w:val="nil"/>
              <w:left w:val="single" w:sz="4" w:space="0" w:color="auto"/>
              <w:bottom w:val="single" w:sz="4" w:space="0" w:color="auto"/>
              <w:right w:val="single" w:sz="4" w:space="0" w:color="auto"/>
            </w:tcBorders>
            <w:shd w:val="clear" w:color="auto" w:fill="C2D69B"/>
            <w:noWrap/>
            <w:vAlign w:val="center"/>
            <w:hideMark/>
          </w:tcPr>
          <w:p w14:paraId="1A0B6DF5"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8</w:t>
            </w:r>
          </w:p>
        </w:tc>
        <w:tc>
          <w:tcPr>
            <w:tcW w:w="5371" w:type="dxa"/>
            <w:tcBorders>
              <w:top w:val="nil"/>
              <w:left w:val="nil"/>
              <w:bottom w:val="single" w:sz="4" w:space="0" w:color="auto"/>
              <w:right w:val="single" w:sz="4" w:space="0" w:color="auto"/>
            </w:tcBorders>
            <w:shd w:val="clear" w:color="auto" w:fill="C2D69B"/>
            <w:vAlign w:val="center"/>
            <w:hideMark/>
          </w:tcPr>
          <w:p w14:paraId="4385FE16"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05" w:name="_Toc214024576"/>
            <w:r>
              <w:rPr>
                <w:rFonts w:ascii="Calibri Light" w:eastAsia="MS Mincho" w:hAnsi="Calibri Light" w:cs="Calibri Light"/>
                <w:color w:val="000000"/>
                <w:kern w:val="2"/>
                <w:sz w:val="18"/>
                <w:szCs w:val="18"/>
                <w:lang w:val="en-GB"/>
                <w14:ligatures w14:val="standardContextual"/>
              </w:rPr>
              <w:t xml:space="preserve">Public hearings on the </w:t>
            </w:r>
            <w:proofErr w:type="gramStart"/>
            <w:r>
              <w:rPr>
                <w:rFonts w:ascii="Calibri Light" w:eastAsia="MS Mincho" w:hAnsi="Calibri Light" w:cs="Calibri Light"/>
                <w:color w:val="000000"/>
                <w:kern w:val="2"/>
                <w:sz w:val="18"/>
                <w:szCs w:val="18"/>
                <w:lang w:val="en-GB"/>
                <w14:ligatures w14:val="standardContextual"/>
              </w:rPr>
              <w:t>Medium Term</w:t>
            </w:r>
            <w:proofErr w:type="gramEnd"/>
            <w:r>
              <w:rPr>
                <w:rFonts w:ascii="Calibri Light" w:eastAsia="MS Mincho" w:hAnsi="Calibri Light" w:cs="Calibri Light"/>
                <w:color w:val="000000"/>
                <w:kern w:val="2"/>
                <w:sz w:val="18"/>
                <w:szCs w:val="18"/>
                <w:lang w:val="en-GB"/>
                <w14:ligatures w14:val="standardContextual"/>
              </w:rPr>
              <w:t xml:space="preserve"> Budget Framework (MTBF) and municipal budget (proportionally to # of residents)</w:t>
            </w:r>
            <w:bookmarkEnd w:id="105"/>
          </w:p>
        </w:tc>
        <w:tc>
          <w:tcPr>
            <w:tcW w:w="7265" w:type="dxa"/>
            <w:tcBorders>
              <w:top w:val="nil"/>
              <w:left w:val="nil"/>
              <w:bottom w:val="single" w:sz="4" w:space="0" w:color="auto"/>
              <w:right w:val="single" w:sz="4" w:space="0" w:color="auto"/>
            </w:tcBorders>
            <w:shd w:val="clear" w:color="auto" w:fill="C2D69B"/>
            <w:vAlign w:val="center"/>
            <w:hideMark/>
          </w:tcPr>
          <w:p w14:paraId="067160AC"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 the fulfilment of the legal obligation to involve the public in the decision-making process in municipal bodies, and measures the number of budget hearings per 10,000 inhabitants.</w:t>
            </w:r>
          </w:p>
          <w:p w14:paraId="46964F52"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Two documents must be drafted for the municipal budget: 1) Medium-term budget framework; and 2) the municipal budget. The medium-term budget framework is initially approved by the Committee for Policies and Finance and finally by the Municipal Assembly and is then submitted to the Ministry of Finance by 30 July of the respective year. The second document - the draft municipal budget - is proposed by the Mayor to the Municipal Assembly by 1 September. Similarly, the indicator measures whether the Municipality has allocated at least 1% of the budget for participatory budgeting.</w:t>
            </w:r>
          </w:p>
        </w:tc>
      </w:tr>
      <w:tr w:rsidR="00562F5C" w14:paraId="5BCE4423" w14:textId="77777777" w:rsidTr="00A000E4">
        <w:trPr>
          <w:trHeight w:val="155"/>
        </w:trPr>
        <w:tc>
          <w:tcPr>
            <w:tcW w:w="558" w:type="dxa"/>
            <w:tcBorders>
              <w:top w:val="nil"/>
              <w:left w:val="single" w:sz="4" w:space="0" w:color="auto"/>
              <w:bottom w:val="single" w:sz="4" w:space="0" w:color="auto"/>
              <w:right w:val="single" w:sz="4" w:space="0" w:color="auto"/>
            </w:tcBorders>
            <w:shd w:val="clear" w:color="auto" w:fill="C6D9F1"/>
            <w:noWrap/>
            <w:vAlign w:val="center"/>
            <w:hideMark/>
          </w:tcPr>
          <w:p w14:paraId="03C7108D" w14:textId="77777777" w:rsidR="00562F5C" w:rsidRDefault="00562F5C">
            <w:pPr>
              <w:spacing w:line="256" w:lineRule="auto"/>
              <w:jc w:val="center"/>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III</w:t>
            </w:r>
          </w:p>
        </w:tc>
        <w:tc>
          <w:tcPr>
            <w:tcW w:w="12636" w:type="dxa"/>
            <w:gridSpan w:val="2"/>
            <w:tcBorders>
              <w:top w:val="nil"/>
              <w:left w:val="nil"/>
              <w:bottom w:val="single" w:sz="4" w:space="0" w:color="auto"/>
              <w:right w:val="single" w:sz="4" w:space="0" w:color="auto"/>
            </w:tcBorders>
            <w:shd w:val="clear" w:color="auto" w:fill="C6D9F1"/>
            <w:vAlign w:val="center"/>
            <w:hideMark/>
          </w:tcPr>
          <w:p w14:paraId="06D2B09E" w14:textId="77777777" w:rsidR="00562F5C" w:rsidRDefault="00562F5C">
            <w:pPr>
              <w:spacing w:line="256" w:lineRule="auto"/>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Transparency, access to information and integrity</w:t>
            </w:r>
          </w:p>
        </w:tc>
      </w:tr>
      <w:tr w:rsidR="00562F5C" w14:paraId="2318E649" w14:textId="77777777" w:rsidTr="00A000E4">
        <w:trPr>
          <w:trHeight w:val="155"/>
        </w:trPr>
        <w:tc>
          <w:tcPr>
            <w:tcW w:w="558" w:type="dxa"/>
            <w:tcBorders>
              <w:top w:val="nil"/>
              <w:left w:val="single" w:sz="4" w:space="0" w:color="auto"/>
              <w:bottom w:val="single" w:sz="4" w:space="0" w:color="auto"/>
              <w:right w:val="single" w:sz="4" w:space="0" w:color="auto"/>
            </w:tcBorders>
            <w:shd w:val="clear" w:color="auto" w:fill="C2D69B"/>
            <w:noWrap/>
            <w:vAlign w:val="center"/>
            <w:hideMark/>
          </w:tcPr>
          <w:p w14:paraId="1318C909"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9</w:t>
            </w:r>
          </w:p>
        </w:tc>
        <w:tc>
          <w:tcPr>
            <w:tcW w:w="5371" w:type="dxa"/>
            <w:tcBorders>
              <w:top w:val="single" w:sz="4" w:space="0" w:color="auto"/>
              <w:left w:val="nil"/>
              <w:bottom w:val="single" w:sz="4" w:space="0" w:color="auto"/>
              <w:right w:val="single" w:sz="4" w:space="0" w:color="auto"/>
            </w:tcBorders>
            <w:shd w:val="clear" w:color="auto" w:fill="C2D69B"/>
            <w:vAlign w:val="center"/>
            <w:hideMark/>
          </w:tcPr>
          <w:p w14:paraId="38E51B56"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06" w:name="_Toc214024577"/>
            <w:r>
              <w:rPr>
                <w:rFonts w:ascii="Calibri Light" w:eastAsia="MS Mincho" w:hAnsi="Calibri Light" w:cs="Calibri Light"/>
                <w:color w:val="000000"/>
                <w:kern w:val="2"/>
                <w:sz w:val="18"/>
                <w:szCs w:val="18"/>
                <w:lang w:val="en-GB"/>
                <w14:ligatures w14:val="standardContextual"/>
              </w:rPr>
              <w:t>Assembly meetings made public and broadcast live online</w:t>
            </w:r>
            <w:bookmarkEnd w:id="106"/>
          </w:p>
        </w:tc>
        <w:tc>
          <w:tcPr>
            <w:tcW w:w="7265" w:type="dxa"/>
            <w:tcBorders>
              <w:top w:val="single" w:sz="4" w:space="0" w:color="auto"/>
              <w:left w:val="nil"/>
              <w:bottom w:val="single" w:sz="4" w:space="0" w:color="auto"/>
              <w:right w:val="single" w:sz="4" w:space="0" w:color="auto"/>
            </w:tcBorders>
            <w:shd w:val="clear" w:color="auto" w:fill="C2D69B"/>
            <w:vAlign w:val="center"/>
            <w:hideMark/>
          </w:tcPr>
          <w:p w14:paraId="48568D81"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 the degree to which the citizens are informed by municipal bodies regarding assembly meetings through their publication on platforms that are accessible to the public (through social media or alternative forms of communication with the public) and whether the sessions of the Municipal Assembly are made public in order to be viewed online by the interested public.</w:t>
            </w:r>
          </w:p>
          <w:p w14:paraId="3B7F70D8"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 xml:space="preserve">Sessions of the Municipal Assembly must be notified to the public at least 7 days in advance for regular meetings and 3 working days in advance for extraordinary meetings. Public notices are announced in the most frequented places within the territory of the municipality, on the official website of the Municipality, social media or alternative forms. Whereas, the sessions of the </w:t>
            </w:r>
            <w:r>
              <w:rPr>
                <w:rFonts w:ascii="Calibri Light" w:eastAsia="MS Mincho" w:hAnsi="Calibri Light" w:cs="Calibri Light"/>
                <w:color w:val="000000"/>
                <w:kern w:val="2"/>
                <w:sz w:val="18"/>
                <w:szCs w:val="18"/>
                <w:lang w:val="en-GB"/>
                <w14:ligatures w14:val="standardContextual"/>
              </w:rPr>
              <w:lastRenderedPageBreak/>
              <w:t>Assembly are broadcast in real time on the website of the municipality, YouTube, social media or any legal platform to broadcast the event live.</w:t>
            </w:r>
          </w:p>
        </w:tc>
      </w:tr>
      <w:tr w:rsidR="00562F5C" w14:paraId="7FDCA3C9" w14:textId="77777777" w:rsidTr="00A000E4">
        <w:trPr>
          <w:trHeight w:val="290"/>
        </w:trPr>
        <w:tc>
          <w:tcPr>
            <w:tcW w:w="558" w:type="dxa"/>
            <w:tcBorders>
              <w:top w:val="nil"/>
              <w:left w:val="single" w:sz="4" w:space="0" w:color="auto"/>
              <w:bottom w:val="single" w:sz="4" w:space="0" w:color="auto"/>
              <w:right w:val="single" w:sz="4" w:space="0" w:color="auto"/>
            </w:tcBorders>
            <w:shd w:val="clear" w:color="auto" w:fill="C2D69B"/>
            <w:noWrap/>
            <w:vAlign w:val="center"/>
            <w:hideMark/>
          </w:tcPr>
          <w:p w14:paraId="0D4753DE"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lastRenderedPageBreak/>
              <w:t>10</w:t>
            </w:r>
          </w:p>
        </w:tc>
        <w:tc>
          <w:tcPr>
            <w:tcW w:w="5371" w:type="dxa"/>
            <w:tcBorders>
              <w:top w:val="nil"/>
              <w:left w:val="nil"/>
              <w:bottom w:val="single" w:sz="4" w:space="0" w:color="auto"/>
              <w:right w:val="single" w:sz="4" w:space="0" w:color="auto"/>
            </w:tcBorders>
            <w:shd w:val="clear" w:color="auto" w:fill="C2D69B"/>
            <w:vAlign w:val="center"/>
            <w:hideMark/>
          </w:tcPr>
          <w:p w14:paraId="04691ADB"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07" w:name="_Toc214024578"/>
            <w:r>
              <w:rPr>
                <w:rFonts w:ascii="Calibri Light" w:eastAsia="MS Mincho" w:hAnsi="Calibri Light" w:cs="Calibri Light"/>
                <w:color w:val="000000"/>
                <w:kern w:val="2"/>
                <w:sz w:val="18"/>
                <w:szCs w:val="18"/>
                <w:lang w:val="en-GB"/>
                <w14:ligatures w14:val="standardContextual"/>
              </w:rPr>
              <w:t>Meeting the criteria for municipal electronic website</w:t>
            </w:r>
            <w:bookmarkEnd w:id="107"/>
          </w:p>
        </w:tc>
        <w:tc>
          <w:tcPr>
            <w:tcW w:w="7265" w:type="dxa"/>
            <w:tcBorders>
              <w:top w:val="nil"/>
              <w:left w:val="nil"/>
              <w:bottom w:val="single" w:sz="4" w:space="0" w:color="auto"/>
              <w:right w:val="single" w:sz="4" w:space="0" w:color="auto"/>
            </w:tcBorders>
            <w:shd w:val="clear" w:color="auto" w:fill="C2D69B"/>
            <w:vAlign w:val="center"/>
            <w:hideMark/>
          </w:tcPr>
          <w:p w14:paraId="4F3807AB"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 the level of compliance of the Municipality’s legal obligations to the form and content of the main standards of the official website, including by populating it with the necessary information.</w:t>
            </w:r>
          </w:p>
          <w:p w14:paraId="338B093B"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Municipality’s official website is the main tool through which the Municipality is obliged to publish the information required in the field of municipal transparency.</w:t>
            </w:r>
          </w:p>
          <w:p w14:paraId="77EDFBAA"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is calculated by evaluating the completion of each data (from data 1 to data 5) on the official website of the Municipality, with 20%.</w:t>
            </w:r>
          </w:p>
        </w:tc>
      </w:tr>
      <w:tr w:rsidR="00562F5C" w14:paraId="22EAFF38" w14:textId="77777777" w:rsidTr="00A000E4">
        <w:trPr>
          <w:trHeight w:val="132"/>
        </w:trPr>
        <w:tc>
          <w:tcPr>
            <w:tcW w:w="558" w:type="dxa"/>
            <w:tcBorders>
              <w:top w:val="nil"/>
              <w:left w:val="single" w:sz="4" w:space="0" w:color="auto"/>
              <w:bottom w:val="single" w:sz="4" w:space="0" w:color="auto"/>
              <w:right w:val="single" w:sz="4" w:space="0" w:color="auto"/>
            </w:tcBorders>
            <w:shd w:val="clear" w:color="auto" w:fill="C2D69B"/>
            <w:noWrap/>
            <w:vAlign w:val="center"/>
            <w:hideMark/>
          </w:tcPr>
          <w:p w14:paraId="4E84601D"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11</w:t>
            </w:r>
          </w:p>
        </w:tc>
        <w:tc>
          <w:tcPr>
            <w:tcW w:w="5371" w:type="dxa"/>
            <w:tcBorders>
              <w:top w:val="nil"/>
              <w:left w:val="nil"/>
              <w:bottom w:val="single" w:sz="4" w:space="0" w:color="auto"/>
              <w:right w:val="single" w:sz="4" w:space="0" w:color="auto"/>
            </w:tcBorders>
            <w:shd w:val="clear" w:color="auto" w:fill="C2D69B"/>
            <w:vAlign w:val="center"/>
            <w:hideMark/>
          </w:tcPr>
          <w:p w14:paraId="47680962"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08" w:name="_Toc214024579"/>
            <w:r>
              <w:rPr>
                <w:rFonts w:ascii="Calibri Light" w:eastAsia="Calibri" w:hAnsi="Calibri Light" w:cs="Calibri Light"/>
                <w:color w:val="000000"/>
                <w:kern w:val="2"/>
                <w:sz w:val="18"/>
                <w:szCs w:val="18"/>
                <w:lang w:val="en-GB"/>
                <w14:ligatures w14:val="standardContextual"/>
              </w:rPr>
              <w:t>Publication of public procurement documents of the municipality</w:t>
            </w:r>
            <w:bookmarkEnd w:id="108"/>
          </w:p>
        </w:tc>
        <w:tc>
          <w:tcPr>
            <w:tcW w:w="7265" w:type="dxa"/>
            <w:tcBorders>
              <w:top w:val="nil"/>
              <w:left w:val="nil"/>
              <w:bottom w:val="single" w:sz="4" w:space="0" w:color="auto"/>
              <w:right w:val="single" w:sz="4" w:space="0" w:color="auto"/>
            </w:tcBorders>
            <w:shd w:val="clear" w:color="auto" w:fill="C2D69B"/>
            <w:vAlign w:val="center"/>
            <w:hideMark/>
          </w:tcPr>
          <w:p w14:paraId="7D3CCE10"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 the transparency performance of the respective municipality in the field of public procurement. Measuring the performance of municipal transparency includes the publication of two main procurement documents: the annual procurement plan and the report on the implementation of the procurement plan in the foreseen time, as well as the municipality's contracts with companies.</w:t>
            </w:r>
          </w:p>
          <w:p w14:paraId="20BA375F"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Within a period of one month from sending the final procurement plan to CPA, the Municipality must publish it on its official website. Similarly, the publication of the annual report on the implementation of the public procurement plan, as well as the publication of contracts, is required.</w:t>
            </w:r>
          </w:p>
        </w:tc>
      </w:tr>
      <w:tr w:rsidR="00562F5C" w14:paraId="0639DDF8" w14:textId="77777777" w:rsidTr="00A000E4">
        <w:trPr>
          <w:trHeight w:val="214"/>
        </w:trPr>
        <w:tc>
          <w:tcPr>
            <w:tcW w:w="558" w:type="dxa"/>
            <w:tcBorders>
              <w:top w:val="nil"/>
              <w:left w:val="single" w:sz="4" w:space="0" w:color="auto"/>
              <w:bottom w:val="single" w:sz="4" w:space="0" w:color="auto"/>
              <w:right w:val="single" w:sz="4" w:space="0" w:color="auto"/>
            </w:tcBorders>
            <w:shd w:val="clear" w:color="auto" w:fill="C2D69B"/>
            <w:noWrap/>
            <w:vAlign w:val="center"/>
            <w:hideMark/>
          </w:tcPr>
          <w:p w14:paraId="2C4DDAAA"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12</w:t>
            </w:r>
          </w:p>
        </w:tc>
        <w:tc>
          <w:tcPr>
            <w:tcW w:w="5371" w:type="dxa"/>
            <w:tcBorders>
              <w:top w:val="nil"/>
              <w:left w:val="nil"/>
              <w:bottom w:val="single" w:sz="4" w:space="0" w:color="auto"/>
              <w:right w:val="single" w:sz="4" w:space="0" w:color="auto"/>
            </w:tcBorders>
            <w:shd w:val="clear" w:color="auto" w:fill="C2D69B"/>
            <w:vAlign w:val="center"/>
            <w:hideMark/>
          </w:tcPr>
          <w:p w14:paraId="41CA84FF" w14:textId="77777777" w:rsidR="00562F5C" w:rsidRDefault="00562F5C">
            <w:pPr>
              <w:spacing w:line="256" w:lineRule="auto"/>
              <w:outlineLvl w:val="2"/>
              <w:rPr>
                <w:rFonts w:ascii="Calibri Light" w:eastAsia="Calibri" w:hAnsi="Calibri Light" w:cs="Calibri Light"/>
                <w:color w:val="000000"/>
                <w:kern w:val="2"/>
                <w:sz w:val="18"/>
                <w:szCs w:val="18"/>
                <w:lang w:val="en-GB"/>
                <w14:ligatures w14:val="standardContextual"/>
              </w:rPr>
            </w:pPr>
            <w:bookmarkStart w:id="109" w:name="_Toc214024580"/>
            <w:r>
              <w:rPr>
                <w:rFonts w:ascii="Calibri Light" w:eastAsia="Calibri" w:hAnsi="Calibri Light" w:cs="Calibri Light"/>
                <w:color w:val="000000"/>
                <w:kern w:val="2"/>
                <w:sz w:val="18"/>
                <w:szCs w:val="18"/>
                <w:lang w:val="en-GB"/>
                <w14:ligatures w14:val="standardContextual"/>
              </w:rPr>
              <w:t>Publication of reports on public consultation processes</w:t>
            </w:r>
            <w:bookmarkEnd w:id="109"/>
          </w:p>
        </w:tc>
        <w:tc>
          <w:tcPr>
            <w:tcW w:w="7265" w:type="dxa"/>
            <w:tcBorders>
              <w:top w:val="nil"/>
              <w:left w:val="nil"/>
              <w:bottom w:val="single" w:sz="4" w:space="0" w:color="auto"/>
              <w:right w:val="single" w:sz="4" w:space="0" w:color="auto"/>
            </w:tcBorders>
            <w:shd w:val="clear" w:color="auto" w:fill="C2D69B"/>
            <w:vAlign w:val="center"/>
            <w:hideMark/>
          </w:tcPr>
          <w:p w14:paraId="115D114B"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aims to measure the quality of public consultations, namely the effectiveness of requests and suggestions in municipal policies and decisions. Municipalities are obliged to document citizens' requests and suggestions and to address them seriously. Also, the municipalities are obliged to provide clarification when a citizen’s request cannot be accommodated in public consultation.</w:t>
            </w:r>
          </w:p>
          <w:p w14:paraId="3A6D17E1"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public consultation process here implies any consultation on the budget, MTEF, municipal act, municipal plan and local policy document which lasts no less than 15 days and no more than 30 days from the date of publication of the public notice for holding of consultations.</w:t>
            </w:r>
          </w:p>
        </w:tc>
      </w:tr>
      <w:tr w:rsidR="00562F5C" w14:paraId="7661A4FB" w14:textId="77777777" w:rsidTr="00A000E4">
        <w:trPr>
          <w:trHeight w:val="119"/>
        </w:trPr>
        <w:tc>
          <w:tcPr>
            <w:tcW w:w="558" w:type="dxa"/>
            <w:tcBorders>
              <w:top w:val="single" w:sz="4" w:space="0" w:color="auto"/>
              <w:left w:val="single" w:sz="4" w:space="0" w:color="auto"/>
              <w:bottom w:val="nil"/>
              <w:right w:val="single" w:sz="4" w:space="0" w:color="auto"/>
            </w:tcBorders>
            <w:shd w:val="clear" w:color="auto" w:fill="C2D69B"/>
            <w:noWrap/>
            <w:vAlign w:val="center"/>
            <w:hideMark/>
          </w:tcPr>
          <w:p w14:paraId="750534A7"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13</w:t>
            </w:r>
          </w:p>
        </w:tc>
        <w:tc>
          <w:tcPr>
            <w:tcW w:w="5371" w:type="dxa"/>
            <w:tcBorders>
              <w:top w:val="single" w:sz="4" w:space="0" w:color="auto"/>
              <w:left w:val="nil"/>
              <w:bottom w:val="nil"/>
              <w:right w:val="single" w:sz="4" w:space="0" w:color="auto"/>
            </w:tcBorders>
            <w:shd w:val="clear" w:color="auto" w:fill="C2D69B"/>
            <w:vAlign w:val="center"/>
            <w:hideMark/>
          </w:tcPr>
          <w:p w14:paraId="63C1E865" w14:textId="77777777" w:rsidR="00562F5C" w:rsidRDefault="00562F5C">
            <w:pPr>
              <w:spacing w:line="256" w:lineRule="auto"/>
              <w:outlineLvl w:val="2"/>
              <w:rPr>
                <w:rFonts w:ascii="Calibri Light" w:eastAsia="Calibri" w:hAnsi="Calibri Light" w:cs="Calibri Light"/>
                <w:color w:val="000000"/>
                <w:kern w:val="2"/>
                <w:sz w:val="18"/>
                <w:szCs w:val="18"/>
                <w:lang w:val="en-GB"/>
                <w14:ligatures w14:val="standardContextual"/>
              </w:rPr>
            </w:pPr>
            <w:bookmarkStart w:id="110" w:name="_Toc214024581"/>
            <w:r>
              <w:rPr>
                <w:rFonts w:ascii="Calibri Light" w:eastAsia="Calibri" w:hAnsi="Calibri Light" w:cs="Calibri Light"/>
                <w:color w:val="000000"/>
                <w:kern w:val="2"/>
                <w:sz w:val="18"/>
                <w:szCs w:val="18"/>
                <w:lang w:val="en-GB"/>
                <w14:ligatures w14:val="standardContextual"/>
              </w:rPr>
              <w:t>Reporting the annual integrity plan to the Municipal Assembly</w:t>
            </w:r>
            <w:bookmarkEnd w:id="110"/>
          </w:p>
        </w:tc>
        <w:tc>
          <w:tcPr>
            <w:tcW w:w="7265" w:type="dxa"/>
            <w:tcBorders>
              <w:top w:val="single" w:sz="4" w:space="0" w:color="auto"/>
              <w:left w:val="nil"/>
              <w:bottom w:val="nil"/>
              <w:right w:val="single" w:sz="4" w:space="0" w:color="auto"/>
            </w:tcBorders>
            <w:shd w:val="clear" w:color="auto" w:fill="C2D69B"/>
            <w:vAlign w:val="center"/>
            <w:hideMark/>
          </w:tcPr>
          <w:p w14:paraId="20FD631A"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This indicator aims to measure the fulfilment of the obligation by the responsible officials of the Municipality to regularly report on the progress of implementation of the integrity plan, whereby transparency and accountability is ensured for the anti-corruption measures foreseen by the integrity plan, as a corruption prevention instrument. Accordingly, it measures the implementation of the requirement for reporting on the Municipality’s integrity plans.</w:t>
            </w:r>
          </w:p>
          <w:p w14:paraId="33CFB250"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By ensuring submission to the Municipal Assembly of the annual report of activities for the implementation of the integrity plan, a stable connection between decision-making at the political and executive levels is ensured, in order to formulate and ensure the implementation of policies in the interest of improving performance of the municipal authorities in terms of integrity.</w:t>
            </w:r>
          </w:p>
          <w:p w14:paraId="41F8870C"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 xml:space="preserve">The measurement of the fulfilment of the obligation for submission and discussion of the annual report on the implementation of the integrity plan before the Municipal Assembly refers to the </w:t>
            </w:r>
            <w:r>
              <w:rPr>
                <w:rFonts w:ascii="Calibri Light" w:eastAsia="MS Mincho" w:hAnsi="Calibri Light" w:cs="Calibri Light"/>
                <w:color w:val="000000"/>
                <w:kern w:val="2"/>
                <w:sz w:val="18"/>
                <w:szCs w:val="18"/>
                <w:lang w:val="en-GB"/>
                <w14:ligatures w14:val="standardContextual"/>
              </w:rPr>
              <w:lastRenderedPageBreak/>
              <w:t>previous year. In this way are evaluated the annual achievements of the municipality in the framework of the implementation of the general integrity plan, and consequently they are submitted for discussion and accountability of the work in the management of activities by the authorities of the municipality in the framework of the integrity plan, as a corruption prevention instrument.</w:t>
            </w:r>
          </w:p>
        </w:tc>
      </w:tr>
      <w:tr w:rsidR="00562F5C" w14:paraId="6592E8D0" w14:textId="77777777" w:rsidTr="00A000E4">
        <w:trPr>
          <w:trHeight w:val="119"/>
        </w:trPr>
        <w:tc>
          <w:tcPr>
            <w:tcW w:w="13194" w:type="dxa"/>
            <w:gridSpan w:val="3"/>
            <w:tcBorders>
              <w:top w:val="single" w:sz="4" w:space="0" w:color="auto"/>
              <w:left w:val="single" w:sz="4" w:space="0" w:color="auto"/>
              <w:bottom w:val="nil"/>
              <w:right w:val="single" w:sz="4" w:space="0" w:color="auto"/>
            </w:tcBorders>
            <w:shd w:val="clear" w:color="auto" w:fill="548DD4"/>
            <w:noWrap/>
            <w:vAlign w:val="center"/>
            <w:hideMark/>
          </w:tcPr>
          <w:p w14:paraId="1B033848" w14:textId="77777777" w:rsidR="00562F5C" w:rsidRDefault="00562F5C">
            <w:pPr>
              <w:spacing w:line="256" w:lineRule="auto"/>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lastRenderedPageBreak/>
              <w:t>II. MUNICIPAL MANAGEMENT</w:t>
            </w:r>
          </w:p>
        </w:tc>
      </w:tr>
      <w:tr w:rsidR="00562F5C" w14:paraId="01C82BAD" w14:textId="77777777" w:rsidTr="00A000E4">
        <w:trPr>
          <w:trHeight w:val="119"/>
        </w:trPr>
        <w:tc>
          <w:tcPr>
            <w:tcW w:w="558" w:type="dxa"/>
            <w:tcBorders>
              <w:top w:val="single" w:sz="4" w:space="0" w:color="auto"/>
              <w:left w:val="single" w:sz="4" w:space="0" w:color="auto"/>
              <w:bottom w:val="nil"/>
              <w:right w:val="single" w:sz="4" w:space="0" w:color="auto"/>
            </w:tcBorders>
            <w:shd w:val="clear" w:color="auto" w:fill="C6D9F1"/>
            <w:noWrap/>
            <w:vAlign w:val="center"/>
            <w:hideMark/>
          </w:tcPr>
          <w:p w14:paraId="4FFA586A" w14:textId="77777777" w:rsidR="00562F5C" w:rsidRDefault="00562F5C">
            <w:pPr>
              <w:spacing w:line="256" w:lineRule="auto"/>
              <w:jc w:val="center"/>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IV</w:t>
            </w:r>
          </w:p>
        </w:tc>
        <w:tc>
          <w:tcPr>
            <w:tcW w:w="12636" w:type="dxa"/>
            <w:gridSpan w:val="2"/>
            <w:tcBorders>
              <w:top w:val="single" w:sz="4" w:space="0" w:color="auto"/>
              <w:left w:val="nil"/>
              <w:bottom w:val="nil"/>
              <w:right w:val="single" w:sz="4" w:space="0" w:color="auto"/>
            </w:tcBorders>
            <w:shd w:val="clear" w:color="auto" w:fill="C6D9F1"/>
            <w:vAlign w:val="center"/>
            <w:hideMark/>
          </w:tcPr>
          <w:p w14:paraId="521EC714" w14:textId="77777777" w:rsidR="00562F5C" w:rsidRDefault="00562F5C">
            <w:pPr>
              <w:spacing w:line="256" w:lineRule="auto"/>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Financial management</w:t>
            </w:r>
          </w:p>
        </w:tc>
      </w:tr>
      <w:tr w:rsidR="00562F5C" w14:paraId="2095E1C0" w14:textId="77777777" w:rsidTr="00A000E4">
        <w:trPr>
          <w:trHeight w:val="236"/>
        </w:trPr>
        <w:tc>
          <w:tcPr>
            <w:tcW w:w="558"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7740446A"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14</w:t>
            </w:r>
          </w:p>
        </w:tc>
        <w:tc>
          <w:tcPr>
            <w:tcW w:w="5371" w:type="dxa"/>
            <w:tcBorders>
              <w:top w:val="single" w:sz="4" w:space="0" w:color="auto"/>
              <w:left w:val="nil"/>
              <w:bottom w:val="single" w:sz="4" w:space="0" w:color="auto"/>
              <w:right w:val="single" w:sz="4" w:space="0" w:color="auto"/>
            </w:tcBorders>
            <w:shd w:val="clear" w:color="auto" w:fill="C2D69B"/>
            <w:vAlign w:val="center"/>
          </w:tcPr>
          <w:p w14:paraId="778D9C08"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11" w:name="_Toc214024582"/>
            <w:r>
              <w:rPr>
                <w:rFonts w:ascii="Calibri Light" w:eastAsia="MS Mincho" w:hAnsi="Calibri Light" w:cs="Calibri Light"/>
                <w:color w:val="000000"/>
                <w:kern w:val="2"/>
                <w:sz w:val="18"/>
                <w:szCs w:val="18"/>
                <w:lang w:val="en-GB"/>
                <w14:ligatures w14:val="standardContextual"/>
              </w:rPr>
              <w:t>Level of updating the property tax register</w:t>
            </w:r>
            <w:bookmarkEnd w:id="111"/>
            <w:r>
              <w:rPr>
                <w:rFonts w:ascii="Calibri Light" w:eastAsia="MS Mincho" w:hAnsi="Calibri Light" w:cs="Calibri Light"/>
                <w:color w:val="000000"/>
                <w:kern w:val="2"/>
                <w:sz w:val="18"/>
                <w:szCs w:val="18"/>
                <w:lang w:val="en-GB"/>
                <w14:ligatures w14:val="standardContextual"/>
              </w:rPr>
              <w:t xml:space="preserve"> </w:t>
            </w:r>
          </w:p>
          <w:p w14:paraId="0EA7C3B0"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p>
        </w:tc>
        <w:tc>
          <w:tcPr>
            <w:tcW w:w="7265" w:type="dxa"/>
            <w:tcBorders>
              <w:top w:val="single" w:sz="4" w:space="0" w:color="auto"/>
              <w:left w:val="nil"/>
              <w:bottom w:val="single" w:sz="4" w:space="0" w:color="auto"/>
              <w:right w:val="single" w:sz="4" w:space="0" w:color="auto"/>
            </w:tcBorders>
            <w:shd w:val="clear" w:color="auto" w:fill="C2D69B"/>
            <w:vAlign w:val="center"/>
            <w:hideMark/>
          </w:tcPr>
          <w:p w14:paraId="550AF640"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 the level of fulfilment of the obligation for updating the property and taxpayer register for the purpose of property tax. Basically, it measures the implementation of the legal provision requiring the municipality to carry out field inspections for at least 20% of all buildings. The concept of the indicator is built with the aim of evaluating the level reached in property inspection, which essentially constitutes the key activity for updating the tax register. Exemption from the obligation for inspection of 20% of all buildings for reasons of status verification and updating in the property register is given for properties in the category of undeveloped land or plots, limiting the obligation for inspection and update of properties categorized as buildings (constructions). The period for which the data is requested is related to the end of the calendar year which also corresponds to the fiscal year. For this indicator, the data are taken for the completed year.</w:t>
            </w:r>
          </w:p>
        </w:tc>
      </w:tr>
      <w:tr w:rsidR="00562F5C" w14:paraId="103AA501" w14:textId="77777777" w:rsidTr="00A000E4">
        <w:trPr>
          <w:trHeight w:val="403"/>
        </w:trPr>
        <w:tc>
          <w:tcPr>
            <w:tcW w:w="558"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310236D4"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15</w:t>
            </w:r>
          </w:p>
        </w:tc>
        <w:tc>
          <w:tcPr>
            <w:tcW w:w="5371" w:type="dxa"/>
            <w:tcBorders>
              <w:top w:val="single" w:sz="4" w:space="0" w:color="auto"/>
              <w:left w:val="nil"/>
              <w:bottom w:val="single" w:sz="4" w:space="0" w:color="auto"/>
              <w:right w:val="single" w:sz="4" w:space="0" w:color="auto"/>
            </w:tcBorders>
            <w:shd w:val="clear" w:color="auto" w:fill="C2D69B"/>
            <w:vAlign w:val="center"/>
            <w:hideMark/>
          </w:tcPr>
          <w:p w14:paraId="3CFE1FB5"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12" w:name="_Toc214024583"/>
            <w:r>
              <w:rPr>
                <w:rFonts w:ascii="Calibri Light" w:eastAsia="Calibri" w:hAnsi="Calibri Light" w:cs="Calibri Light"/>
                <w:color w:val="000000"/>
                <w:kern w:val="2"/>
                <w:sz w:val="18"/>
                <w:szCs w:val="18"/>
                <w:lang w:val="en-GB"/>
                <w14:ligatures w14:val="standardContextual"/>
              </w:rPr>
              <w:t>Level of property tax bill collection (no debts, interest, penalties)</w:t>
            </w:r>
            <w:bookmarkEnd w:id="112"/>
          </w:p>
        </w:tc>
        <w:tc>
          <w:tcPr>
            <w:tcW w:w="7265" w:type="dxa"/>
            <w:tcBorders>
              <w:top w:val="single" w:sz="4" w:space="0" w:color="auto"/>
              <w:left w:val="nil"/>
              <w:bottom w:val="single" w:sz="4" w:space="0" w:color="auto"/>
              <w:right w:val="single" w:sz="4" w:space="0" w:color="auto"/>
            </w:tcBorders>
            <w:shd w:val="clear" w:color="auto" w:fill="C2D69B"/>
            <w:vAlign w:val="center"/>
            <w:hideMark/>
          </w:tcPr>
          <w:p w14:paraId="7C134189"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 the level of fulfilment of the obligation to pay property tax at the municipality level, namely the level of payments collected from tax-paying citizens in relation to annual billing, based on the law in force.</w:t>
            </w:r>
          </w:p>
          <w:p w14:paraId="09C61C5C"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object of measurement is the rate of collection of the annual property tax bill, excluding debt collections from previous years' bills, or collections in the name of interest or penalties related to failure to pay property tax. The period for which the data is requested is related to the end of the calendar year which also corresponds to the fiscal year.  For this indicator, the data are taken for the completed year.</w:t>
            </w:r>
          </w:p>
        </w:tc>
      </w:tr>
    </w:tbl>
    <w:p w14:paraId="34D8D7F4" w14:textId="77777777" w:rsidR="00562F5C" w:rsidRDefault="00562F5C" w:rsidP="00562F5C">
      <w:pPr>
        <w:rPr>
          <w:lang w:val="en-GB"/>
        </w:rPr>
      </w:pPr>
    </w:p>
    <w:tbl>
      <w:tblPr>
        <w:tblpPr w:leftFromText="180" w:rightFromText="180" w:bottomFromText="160" w:vertAnchor="text" w:tblpXSpec="center" w:tblpY="1"/>
        <w:tblOverlap w:val="never"/>
        <w:tblW w:w="12690" w:type="dxa"/>
        <w:tblLayout w:type="fixed"/>
        <w:tblLook w:val="0600" w:firstRow="0" w:lastRow="0" w:firstColumn="0" w:lastColumn="0" w:noHBand="1" w:noVBand="1"/>
      </w:tblPr>
      <w:tblGrid>
        <w:gridCol w:w="624"/>
        <w:gridCol w:w="4801"/>
        <w:gridCol w:w="7265"/>
      </w:tblGrid>
      <w:tr w:rsidR="00562F5C" w14:paraId="52AFE259" w14:textId="77777777" w:rsidTr="00562F5C">
        <w:trPr>
          <w:trHeight w:val="403"/>
        </w:trPr>
        <w:tc>
          <w:tcPr>
            <w:tcW w:w="624" w:type="dxa"/>
            <w:vMerge w:val="restart"/>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7DE17524"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16a and</w:t>
            </w:r>
          </w:p>
          <w:p w14:paraId="4D57ED8C"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16 b</w:t>
            </w:r>
          </w:p>
        </w:tc>
        <w:tc>
          <w:tcPr>
            <w:tcW w:w="4799" w:type="dxa"/>
            <w:tcBorders>
              <w:top w:val="single" w:sz="4" w:space="0" w:color="auto"/>
              <w:left w:val="nil"/>
              <w:bottom w:val="single" w:sz="4" w:space="0" w:color="auto"/>
              <w:right w:val="single" w:sz="4" w:space="0" w:color="auto"/>
            </w:tcBorders>
            <w:shd w:val="clear" w:color="auto" w:fill="C2D69B"/>
            <w:vAlign w:val="center"/>
            <w:hideMark/>
          </w:tcPr>
          <w:p w14:paraId="4140FD49"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13" w:name="_Toc214024584"/>
            <w:r>
              <w:rPr>
                <w:rFonts w:ascii="Calibri Light" w:eastAsia="MS Mincho" w:hAnsi="Calibri Light" w:cs="Calibri Light"/>
                <w:color w:val="000000"/>
                <w:kern w:val="2"/>
                <w:sz w:val="18"/>
                <w:szCs w:val="18"/>
                <w:lang w:val="en-GB"/>
                <w14:ligatures w14:val="standardContextual"/>
              </w:rPr>
              <w:t>The level of addressing the recommendations of the National Audit Office</w:t>
            </w:r>
            <w:bookmarkEnd w:id="113"/>
          </w:p>
        </w:tc>
        <w:tc>
          <w:tcPr>
            <w:tcW w:w="7262" w:type="dxa"/>
            <w:tcBorders>
              <w:top w:val="single" w:sz="4" w:space="0" w:color="auto"/>
              <w:left w:val="nil"/>
              <w:bottom w:val="single" w:sz="4" w:space="0" w:color="auto"/>
              <w:right w:val="single" w:sz="4" w:space="0" w:color="auto"/>
            </w:tcBorders>
            <w:shd w:val="clear" w:color="auto" w:fill="C2D69B"/>
            <w:vAlign w:val="center"/>
            <w:hideMark/>
          </w:tcPr>
          <w:p w14:paraId="7541A2CC"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This indicator</w:t>
            </w:r>
            <w:r>
              <w:rPr>
                <w:kern w:val="2"/>
                <w:lang w:val="en-GB"/>
                <w14:ligatures w14:val="standardContextual"/>
              </w:rPr>
              <w:t xml:space="preserve"> </w:t>
            </w:r>
            <w:r>
              <w:rPr>
                <w:rFonts w:ascii="Calibri Light" w:eastAsia="MS Mincho" w:hAnsi="Calibri Light" w:cs="Calibri Light"/>
                <w:color w:val="000000"/>
                <w:kern w:val="2"/>
                <w:sz w:val="18"/>
                <w:szCs w:val="18"/>
                <w:lang w:val="en-GB"/>
                <w14:ligatures w14:val="standardContextual"/>
              </w:rPr>
              <w:t>aims to measure the level of fulfilment of the legal obligation of the municipal bodies</w:t>
            </w:r>
            <w:r>
              <w:rPr>
                <w:kern w:val="2"/>
                <w:lang w:val="en-GB"/>
                <w14:ligatures w14:val="standardContextual"/>
              </w:rPr>
              <w:t xml:space="preserve"> </w:t>
            </w:r>
            <w:r>
              <w:rPr>
                <w:rFonts w:ascii="Calibri Light" w:eastAsia="MS Mincho" w:hAnsi="Calibri Light" w:cs="Calibri Light"/>
                <w:color w:val="000000"/>
                <w:kern w:val="2"/>
                <w:sz w:val="18"/>
                <w:szCs w:val="18"/>
                <w:lang w:val="en-GB"/>
                <w14:ligatures w14:val="standardContextual"/>
              </w:rPr>
              <w:t>regarding the implementation and full addressing of the high and medium level recommendations presented explicitly in the report of the NAO. The audit report of NAO (n-2), which refers to the fiscal year (n-3), presents the recommendations for implementation or addressing, which must be fully implemented and addressed in year (n-1). So, the measurement is for the fulfilment of the recommendations issued by NAO two years earlier for the respective municipality.</w:t>
            </w:r>
          </w:p>
          <w:p w14:paraId="720F5EAC"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 xml:space="preserve">Every year, the National Audit Office conducts an external audit of the municipalities of Kosovo. The NAO audits the municipalities based on the financial statements and examines: a) whether the </w:t>
            </w:r>
            <w:r>
              <w:rPr>
                <w:rFonts w:ascii="Calibri Light" w:eastAsia="MS Mincho" w:hAnsi="Calibri Light" w:cs="Calibri Light"/>
                <w:color w:val="000000"/>
                <w:kern w:val="2"/>
                <w:sz w:val="18"/>
                <w:szCs w:val="18"/>
                <w:lang w:val="en-GB"/>
                <w14:ligatures w14:val="standardContextual"/>
              </w:rPr>
              <w:lastRenderedPageBreak/>
              <w:t>financial statements give a fair and true picture of the accounts and financial issues for the audit period; b) whether the financial data, systems and transactions are in accordance with applicable laws and regulations; c) whether the control and internal audit functions are adequate and efficient; and d) whether appropriate actions have been taken to implement the audit recommendations. Every year, the NAO issues recommendations to the municipalities, which they are expected to address in the future. Also, NAO examines the level of fulfilment of the recommendations of previous years.</w:t>
            </w:r>
          </w:p>
        </w:tc>
      </w:tr>
      <w:tr w:rsidR="00562F5C" w14:paraId="55F6D306" w14:textId="77777777" w:rsidTr="00562F5C">
        <w:trPr>
          <w:trHeight w:val="4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08B3F88" w14:textId="77777777" w:rsidR="00562F5C" w:rsidRDefault="00562F5C">
            <w:pPr>
              <w:spacing w:line="256" w:lineRule="auto"/>
              <w:rPr>
                <w:rFonts w:ascii="Calibri Light" w:eastAsia="MS Mincho" w:hAnsi="Calibri Light" w:cs="Calibri Light"/>
                <w:color w:val="000000"/>
                <w:kern w:val="2"/>
                <w:sz w:val="18"/>
                <w:szCs w:val="18"/>
                <w:lang w:val="en-GB"/>
                <w14:ligatures w14:val="standardContextual"/>
              </w:rPr>
            </w:pPr>
          </w:p>
        </w:tc>
        <w:tc>
          <w:tcPr>
            <w:tcW w:w="4799" w:type="dxa"/>
            <w:tcBorders>
              <w:top w:val="single" w:sz="4" w:space="0" w:color="auto"/>
              <w:left w:val="nil"/>
              <w:bottom w:val="single" w:sz="4" w:space="0" w:color="auto"/>
              <w:right w:val="single" w:sz="4" w:space="0" w:color="auto"/>
            </w:tcBorders>
            <w:shd w:val="clear" w:color="auto" w:fill="F1A983"/>
            <w:vAlign w:val="center"/>
            <w:hideMark/>
          </w:tcPr>
          <w:p w14:paraId="39111E05"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14" w:name="_Toc214024585"/>
            <w:r>
              <w:rPr>
                <w:rFonts w:ascii="Calibri Light" w:eastAsia="MS Mincho" w:hAnsi="Calibri Light" w:cs="Calibri Light"/>
                <w:color w:val="000000"/>
                <w:kern w:val="2"/>
                <w:sz w:val="18"/>
                <w:szCs w:val="18"/>
                <w:lang w:val="en-GB"/>
                <w14:ligatures w14:val="standardContextual"/>
              </w:rPr>
              <w:t>Level of implementation of recommendations from the internal auditor</w:t>
            </w:r>
            <w:bookmarkEnd w:id="114"/>
          </w:p>
        </w:tc>
        <w:tc>
          <w:tcPr>
            <w:tcW w:w="7262" w:type="dxa"/>
            <w:tcBorders>
              <w:top w:val="single" w:sz="4" w:space="0" w:color="auto"/>
              <w:left w:val="nil"/>
              <w:bottom w:val="single" w:sz="4" w:space="0" w:color="auto"/>
              <w:right w:val="single" w:sz="4" w:space="0" w:color="auto"/>
            </w:tcBorders>
            <w:shd w:val="clear" w:color="auto" w:fill="F1A983"/>
            <w:vAlign w:val="center"/>
            <w:hideMark/>
          </w:tcPr>
          <w:p w14:paraId="60B988F2"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This indicator aims to measure the level of implementation of the recommendations given by the internal audit reports for the municipal bodies.</w:t>
            </w:r>
          </w:p>
          <w:p w14:paraId="48C791AB"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Internal audit provides independent and objective assurance to the manager of the public sector entity about the adequacy and effectiveness of the financial management and control system, as well as provides advice on its improvement. Advice for improvement is given through recommendations for improving actions. Internal auditors monitor the implementation of recommendations systematically according to the action plan.</w:t>
            </w:r>
          </w:p>
          <w:p w14:paraId="2B2C1A39"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report on monitoring the implementation of the recommendations of the internal audit for the fiscal year (n-1) presents the recommendations for implementation or addressing, which must be implemented and addressed in full in year (n). So, the measurement is for the fulfilment of the recommendations issued by the internal audit a year earlier for the respective municipality.</w:t>
            </w:r>
          </w:p>
        </w:tc>
      </w:tr>
      <w:tr w:rsidR="00562F5C" w14:paraId="25FE12F5" w14:textId="77777777" w:rsidTr="00562F5C">
        <w:trPr>
          <w:trHeight w:val="229"/>
        </w:trPr>
        <w:tc>
          <w:tcPr>
            <w:tcW w:w="624"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790A709B" w14:textId="77777777" w:rsidR="00562F5C" w:rsidRDefault="00562F5C">
            <w:pPr>
              <w:spacing w:line="256" w:lineRule="auto"/>
              <w:jc w:val="center"/>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V</w:t>
            </w:r>
          </w:p>
        </w:tc>
        <w:tc>
          <w:tcPr>
            <w:tcW w:w="12061" w:type="dxa"/>
            <w:gridSpan w:val="2"/>
            <w:tcBorders>
              <w:top w:val="single" w:sz="4" w:space="0" w:color="auto"/>
              <w:left w:val="nil"/>
              <w:bottom w:val="single" w:sz="4" w:space="0" w:color="auto"/>
              <w:right w:val="single" w:sz="4" w:space="0" w:color="auto"/>
            </w:tcBorders>
            <w:shd w:val="clear" w:color="auto" w:fill="C6D9F1"/>
            <w:vAlign w:val="center"/>
            <w:hideMark/>
          </w:tcPr>
          <w:p w14:paraId="208EEBF0" w14:textId="77777777" w:rsidR="00562F5C" w:rsidRDefault="00562F5C">
            <w:pPr>
              <w:spacing w:line="256" w:lineRule="auto"/>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Contract management</w:t>
            </w:r>
          </w:p>
        </w:tc>
      </w:tr>
      <w:tr w:rsidR="00562F5C" w14:paraId="6A0F9744" w14:textId="77777777" w:rsidTr="00562F5C">
        <w:trPr>
          <w:trHeight w:val="246"/>
        </w:trPr>
        <w:tc>
          <w:tcPr>
            <w:tcW w:w="624"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1F2A0065"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17</w:t>
            </w:r>
          </w:p>
        </w:tc>
        <w:tc>
          <w:tcPr>
            <w:tcW w:w="4799" w:type="dxa"/>
            <w:tcBorders>
              <w:top w:val="single" w:sz="4" w:space="0" w:color="auto"/>
              <w:left w:val="nil"/>
              <w:bottom w:val="single" w:sz="4" w:space="0" w:color="auto"/>
              <w:right w:val="single" w:sz="4" w:space="0" w:color="auto"/>
            </w:tcBorders>
            <w:shd w:val="clear" w:color="auto" w:fill="C2D69B"/>
            <w:vAlign w:val="center"/>
            <w:hideMark/>
          </w:tcPr>
          <w:p w14:paraId="295DEFCB"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15" w:name="_Toc214024586"/>
            <w:r>
              <w:rPr>
                <w:rFonts w:ascii="Calibri Light" w:eastAsia="MS Mincho" w:hAnsi="Calibri Light" w:cs="Calibri Light"/>
                <w:color w:val="000000"/>
                <w:kern w:val="2"/>
                <w:sz w:val="18"/>
                <w:szCs w:val="18"/>
                <w:lang w:val="en-GB" w:eastAsia="af-ZA"/>
                <w14:ligatures w14:val="standardContextual"/>
              </w:rPr>
              <w:t>Level of implementation of the procurement plan</w:t>
            </w:r>
            <w:bookmarkEnd w:id="115"/>
          </w:p>
        </w:tc>
        <w:tc>
          <w:tcPr>
            <w:tcW w:w="7262" w:type="dxa"/>
            <w:tcBorders>
              <w:top w:val="single" w:sz="4" w:space="0" w:color="auto"/>
              <w:left w:val="nil"/>
              <w:bottom w:val="single" w:sz="4" w:space="0" w:color="auto"/>
              <w:right w:val="single" w:sz="4" w:space="0" w:color="auto"/>
            </w:tcBorders>
            <w:shd w:val="clear" w:color="auto" w:fill="C2D69B"/>
            <w:vAlign w:val="center"/>
            <w:hideMark/>
          </w:tcPr>
          <w:p w14:paraId="13C51511"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This indicator aims to measure the municipal performance in fulfilling the final procurement plan that it plans for the respective year. The indicator measures the implementation according to the planned activities with procurement against the implemented activities.</w:t>
            </w:r>
          </w:p>
          <w:p w14:paraId="0AC5EA3F"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municipal procurement plan must be compiled and published in the first three months of the year. Each public authority, including the municipal institution, must prepare and submit to the Central Procurement Agency (CPA) an initial annual procurement plan. While 15 days after the approval of the state budget, the public authority, in this case the institution of the municipality, must prepare and submit to the CPA the final procurement plan. The plan must contain:</w:t>
            </w:r>
          </w:p>
          <w:p w14:paraId="65B827C9"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1. in the case of future supply contracts,</w:t>
            </w:r>
            <w:r>
              <w:rPr>
                <w:kern w:val="2"/>
                <w:lang w:val="en-GB"/>
                <w14:ligatures w14:val="standardContextual"/>
              </w:rPr>
              <w:t xml:space="preserve"> </w:t>
            </w:r>
            <w:r>
              <w:rPr>
                <w:rFonts w:ascii="Calibri Light" w:eastAsia="MS Mincho" w:hAnsi="Calibri Light" w:cs="Calibri Light"/>
                <w:color w:val="000000"/>
                <w:kern w:val="2"/>
                <w:sz w:val="18"/>
                <w:szCs w:val="18"/>
                <w:lang w:val="en-GB"/>
                <w14:ligatures w14:val="standardContextual"/>
              </w:rPr>
              <w:t>the total estimated procurement value by item of each product that the contracting authority plans to procure during the fiscal year;</w:t>
            </w:r>
          </w:p>
          <w:p w14:paraId="64DB2CFF"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 xml:space="preserve">2. </w:t>
            </w:r>
            <w:r>
              <w:rPr>
                <w:kern w:val="2"/>
                <w:lang w:val="en-GB"/>
                <w14:ligatures w14:val="standardContextual"/>
              </w:rPr>
              <w:t xml:space="preserve"> </w:t>
            </w:r>
            <w:r>
              <w:rPr>
                <w:rFonts w:ascii="Calibri Light" w:eastAsia="MS Mincho" w:hAnsi="Calibri Light" w:cs="Calibri Light"/>
                <w:color w:val="000000"/>
                <w:kern w:val="2"/>
                <w:sz w:val="18"/>
                <w:szCs w:val="18"/>
                <w:lang w:val="en-GB"/>
                <w14:ligatures w14:val="standardContextual"/>
              </w:rPr>
              <w:t>in the case of future service contracts, the total estimated value by category of each service that the contracting authority plans to procure during the fiscal year; and</w:t>
            </w:r>
          </w:p>
          <w:p w14:paraId="475A30D1"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3. in the case of work contracts, the essential characteristics of each work contract that the contracting authority plans to award during the fiscal year.</w:t>
            </w:r>
          </w:p>
        </w:tc>
      </w:tr>
      <w:tr w:rsidR="00562F5C" w14:paraId="2B8EBB72" w14:textId="77777777" w:rsidTr="00562F5C">
        <w:trPr>
          <w:trHeight w:val="246"/>
        </w:trPr>
        <w:tc>
          <w:tcPr>
            <w:tcW w:w="624"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732B07A2"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18</w:t>
            </w:r>
          </w:p>
        </w:tc>
        <w:tc>
          <w:tcPr>
            <w:tcW w:w="4799" w:type="dxa"/>
            <w:tcBorders>
              <w:top w:val="single" w:sz="4" w:space="0" w:color="auto"/>
              <w:left w:val="nil"/>
              <w:bottom w:val="single" w:sz="4" w:space="0" w:color="auto"/>
              <w:right w:val="single" w:sz="4" w:space="0" w:color="auto"/>
            </w:tcBorders>
            <w:shd w:val="clear" w:color="auto" w:fill="C2D69B"/>
            <w:vAlign w:val="center"/>
            <w:hideMark/>
          </w:tcPr>
          <w:p w14:paraId="54D0BC53" w14:textId="77777777" w:rsidR="00562F5C" w:rsidRDefault="00562F5C">
            <w:pPr>
              <w:spacing w:line="256" w:lineRule="auto"/>
              <w:outlineLvl w:val="2"/>
              <w:rPr>
                <w:rFonts w:ascii="Calibri Light" w:eastAsia="MS Mincho" w:hAnsi="Calibri Light" w:cs="Calibri Light"/>
                <w:color w:val="000000"/>
                <w:kern w:val="2"/>
                <w:sz w:val="18"/>
                <w:szCs w:val="18"/>
                <w:lang w:val="en-GB" w:eastAsia="af-ZA"/>
                <w14:ligatures w14:val="standardContextual"/>
              </w:rPr>
            </w:pPr>
            <w:bookmarkStart w:id="116" w:name="_Toc214024587"/>
            <w:r>
              <w:rPr>
                <w:rFonts w:ascii="Calibri Light" w:eastAsia="MS Mincho" w:hAnsi="Calibri Light" w:cs="Calibri Light"/>
                <w:color w:val="000000"/>
                <w:kern w:val="2"/>
                <w:sz w:val="18"/>
                <w:szCs w:val="18"/>
                <w:lang w:val="en-GB" w:eastAsia="af-ZA"/>
                <w14:ligatures w14:val="standardContextual"/>
              </w:rPr>
              <w:t>Compilation and publication of the list of municipal properties planned for commissioning</w:t>
            </w:r>
            <w:bookmarkEnd w:id="116"/>
          </w:p>
        </w:tc>
        <w:tc>
          <w:tcPr>
            <w:tcW w:w="7262" w:type="dxa"/>
            <w:tcBorders>
              <w:top w:val="single" w:sz="4" w:space="0" w:color="auto"/>
              <w:left w:val="nil"/>
              <w:bottom w:val="single" w:sz="4" w:space="0" w:color="auto"/>
              <w:right w:val="single" w:sz="4" w:space="0" w:color="auto"/>
            </w:tcBorders>
            <w:shd w:val="clear" w:color="auto" w:fill="C2D69B"/>
            <w:vAlign w:val="center"/>
            <w:hideMark/>
          </w:tcPr>
          <w:p w14:paraId="66D59A56"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 xml:space="preserve">The indicator measures the level of fulfilment of the requirement for the approval of the list of municipal properties planned for commissioning in order to develop economic activity. The objectives of the measurement are two moments, (1) the general list of immovable properties of </w:t>
            </w:r>
            <w:r>
              <w:rPr>
                <w:rFonts w:ascii="Calibri Light" w:eastAsia="MS Mincho" w:hAnsi="Calibri Light" w:cs="Calibri Light"/>
                <w:color w:val="000000"/>
                <w:kern w:val="2"/>
                <w:sz w:val="18"/>
                <w:szCs w:val="18"/>
                <w:lang w:val="en-GB"/>
                <w14:ligatures w14:val="standardContextual"/>
              </w:rPr>
              <w:lastRenderedPageBreak/>
              <w:t xml:space="preserve">the municipality prepared and published; and (2) publication of a separate list of properties for the following year. The concept </w:t>
            </w:r>
            <w:proofErr w:type="gramStart"/>
            <w:r>
              <w:rPr>
                <w:rFonts w:ascii="Calibri Light" w:eastAsia="MS Mincho" w:hAnsi="Calibri Light" w:cs="Calibri Light"/>
                <w:color w:val="000000"/>
                <w:kern w:val="2"/>
                <w:sz w:val="18"/>
                <w:szCs w:val="18"/>
                <w:lang w:val="en-GB"/>
                <w14:ligatures w14:val="standardContextual"/>
              </w:rPr>
              <w:t>takes into account</w:t>
            </w:r>
            <w:proofErr w:type="gramEnd"/>
            <w:r>
              <w:rPr>
                <w:rFonts w:ascii="Calibri Light" w:eastAsia="MS Mincho" w:hAnsi="Calibri Light" w:cs="Calibri Light"/>
                <w:color w:val="000000"/>
                <w:kern w:val="2"/>
                <w:sz w:val="18"/>
                <w:szCs w:val="18"/>
                <w:lang w:val="en-GB"/>
                <w14:ligatures w14:val="standardContextual"/>
              </w:rPr>
              <w:t xml:space="preserve"> the fact that the preparation of the approved list of municipal properties planned for commissioning represents a set of structured activities such as identification, inventory, assessment, and the act of approval itself. After the approval, there comes the act of public announcement of the list, which is required to contain the official communication about the announcement of the list as well as the placement of the list for public access on the official website of the municipality. The general list is a document that contains all the immovable properties of the municipality that have been registered, while the separate list is the list of immovable properties that are planned for commissioning.</w:t>
            </w:r>
          </w:p>
        </w:tc>
      </w:tr>
      <w:tr w:rsidR="00562F5C" w14:paraId="133DC078" w14:textId="77777777" w:rsidTr="00562F5C">
        <w:trPr>
          <w:trHeight w:val="246"/>
        </w:trPr>
        <w:tc>
          <w:tcPr>
            <w:tcW w:w="624"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1DB9D4F7"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lastRenderedPageBreak/>
              <w:t>VI</w:t>
            </w:r>
          </w:p>
        </w:tc>
        <w:tc>
          <w:tcPr>
            <w:tcW w:w="12061" w:type="dxa"/>
            <w:gridSpan w:val="2"/>
            <w:tcBorders>
              <w:top w:val="single" w:sz="4" w:space="0" w:color="auto"/>
              <w:left w:val="nil"/>
              <w:bottom w:val="single" w:sz="4" w:space="0" w:color="auto"/>
              <w:right w:val="single" w:sz="4" w:space="0" w:color="auto"/>
            </w:tcBorders>
            <w:shd w:val="clear" w:color="auto" w:fill="C6D9F1"/>
            <w:vAlign w:val="center"/>
            <w:hideMark/>
          </w:tcPr>
          <w:p w14:paraId="7D2BC551" w14:textId="77777777" w:rsidR="00562F5C" w:rsidRDefault="00562F5C">
            <w:pPr>
              <w:spacing w:line="256" w:lineRule="auto"/>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eastAsia="af-ZA"/>
                <w14:ligatures w14:val="standardContextual"/>
              </w:rPr>
              <w:t>Human resource management</w:t>
            </w:r>
          </w:p>
        </w:tc>
      </w:tr>
      <w:tr w:rsidR="00562F5C" w14:paraId="4092C9B8" w14:textId="77777777" w:rsidTr="009403FE">
        <w:trPr>
          <w:trHeight w:val="200"/>
        </w:trPr>
        <w:tc>
          <w:tcPr>
            <w:tcW w:w="624"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430D81CD"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19</w:t>
            </w:r>
          </w:p>
        </w:tc>
        <w:tc>
          <w:tcPr>
            <w:tcW w:w="4799"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783976E0" w14:textId="0FCCD2D1" w:rsidR="00562F5C" w:rsidRDefault="005153EE">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17" w:name="_Toc214024588"/>
            <w:r w:rsidRPr="005153EE">
              <w:rPr>
                <w:rFonts w:ascii="Calibri Light" w:eastAsia="MS Mincho" w:hAnsi="Calibri Light" w:cs="Calibri Light"/>
                <w:color w:val="000000"/>
                <w:kern w:val="2"/>
                <w:sz w:val="18"/>
                <w:szCs w:val="18"/>
                <w:lang w:val="en-GB" w:eastAsia="af-ZA"/>
                <w14:ligatures w14:val="standardContextual"/>
              </w:rPr>
              <w:t>Drafting of the staff development plan</w:t>
            </w:r>
            <w:bookmarkEnd w:id="117"/>
          </w:p>
        </w:tc>
        <w:tc>
          <w:tcPr>
            <w:tcW w:w="7262" w:type="dxa"/>
            <w:tcBorders>
              <w:top w:val="single" w:sz="4" w:space="0" w:color="auto"/>
              <w:left w:val="nil"/>
              <w:bottom w:val="single" w:sz="4" w:space="0" w:color="auto"/>
              <w:right w:val="single" w:sz="4" w:space="0" w:color="auto"/>
            </w:tcBorders>
            <w:shd w:val="clear" w:color="auto" w:fill="C2D69B" w:themeFill="accent3" w:themeFillTint="99"/>
            <w:vAlign w:val="bottom"/>
            <w:hideMark/>
          </w:tcPr>
          <w:p w14:paraId="4F9274AC"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 xml:space="preserve">The indicator measures whether the Municipality has drawn up the annual personnel plan in accordance with the budget planning process. The annual plan ensures that the growth and development of the personnel is in accordance with the duties and responsibilities of the personnel and the achievement of the objectives of the respective municipalities. The concept </w:t>
            </w:r>
            <w:proofErr w:type="gramStart"/>
            <w:r>
              <w:rPr>
                <w:rFonts w:ascii="Calibri Light" w:eastAsia="MS Mincho" w:hAnsi="Calibri Light" w:cs="Calibri Light"/>
                <w:color w:val="000000"/>
                <w:kern w:val="2"/>
                <w:sz w:val="18"/>
                <w:szCs w:val="18"/>
                <w:lang w:val="en-GB"/>
                <w14:ligatures w14:val="standardContextual"/>
              </w:rPr>
              <w:t>takes into account</w:t>
            </w:r>
            <w:proofErr w:type="gramEnd"/>
            <w:r>
              <w:rPr>
                <w:rFonts w:ascii="Calibri Light" w:eastAsia="MS Mincho" w:hAnsi="Calibri Light" w:cs="Calibri Light"/>
                <w:color w:val="000000"/>
                <w:kern w:val="2"/>
                <w:sz w:val="18"/>
                <w:szCs w:val="18"/>
                <w:lang w:val="en-GB"/>
                <w14:ligatures w14:val="standardContextual"/>
              </w:rPr>
              <w:t xml:space="preserve"> the fact that the development plan enables</w:t>
            </w:r>
            <w:r>
              <w:rPr>
                <w:kern w:val="2"/>
                <w:lang w:val="en-GB"/>
                <w14:ligatures w14:val="standardContextual"/>
              </w:rPr>
              <w:t xml:space="preserve"> </w:t>
            </w:r>
            <w:r>
              <w:rPr>
                <w:rFonts w:ascii="Calibri Light" w:eastAsia="MS Mincho" w:hAnsi="Calibri Light" w:cs="Calibri Light"/>
                <w:color w:val="000000"/>
                <w:kern w:val="2"/>
                <w:sz w:val="18"/>
                <w:szCs w:val="18"/>
                <w:lang w:val="en-GB"/>
                <w14:ligatures w14:val="standardContextual"/>
              </w:rPr>
              <w:t xml:space="preserve">the acquisition of new skills, the increase of productivity, motivation and satisfaction of personnel. </w:t>
            </w:r>
            <w:proofErr w:type="gramStart"/>
            <w:r>
              <w:rPr>
                <w:rFonts w:ascii="Calibri Light" w:eastAsia="MS Mincho" w:hAnsi="Calibri Light" w:cs="Calibri Light"/>
                <w:color w:val="000000"/>
                <w:kern w:val="2"/>
                <w:sz w:val="18"/>
                <w:szCs w:val="18"/>
                <w:lang w:val="en-GB"/>
                <w14:ligatures w14:val="standardContextual"/>
              </w:rPr>
              <w:t>Taking into account</w:t>
            </w:r>
            <w:proofErr w:type="gramEnd"/>
            <w:r>
              <w:rPr>
                <w:rFonts w:ascii="Calibri Light" w:eastAsia="MS Mincho" w:hAnsi="Calibri Light" w:cs="Calibri Light"/>
                <w:color w:val="000000"/>
                <w:kern w:val="2"/>
                <w:sz w:val="18"/>
                <w:szCs w:val="18"/>
                <w:lang w:val="en-GB"/>
                <w14:ligatures w14:val="standardContextual"/>
              </w:rPr>
              <w:t xml:space="preserve"> these and other aspects,</w:t>
            </w:r>
            <w:r>
              <w:rPr>
                <w:kern w:val="2"/>
                <w:lang w:val="en-GB"/>
                <w14:ligatures w14:val="standardContextual"/>
              </w:rPr>
              <w:t xml:space="preserve"> </w:t>
            </w:r>
            <w:r>
              <w:rPr>
                <w:rFonts w:ascii="Calibri Light" w:eastAsia="MS Mincho" w:hAnsi="Calibri Light" w:cs="Calibri Light"/>
                <w:color w:val="000000"/>
                <w:kern w:val="2"/>
                <w:sz w:val="18"/>
                <w:szCs w:val="18"/>
                <w:lang w:val="en-GB"/>
                <w14:ligatures w14:val="standardContextual"/>
              </w:rPr>
              <w:t xml:space="preserve">the personnel development plan harmonizes individual and institutional goals, as a result of which it is ensured that public services are provided efficiently based on the needs of citizens. The annual plan is based and compiled </w:t>
            </w:r>
            <w:proofErr w:type="gramStart"/>
            <w:r>
              <w:rPr>
                <w:rFonts w:ascii="Calibri Light" w:eastAsia="MS Mincho" w:hAnsi="Calibri Light" w:cs="Calibri Light"/>
                <w:color w:val="000000"/>
                <w:kern w:val="2"/>
                <w:sz w:val="18"/>
                <w:szCs w:val="18"/>
                <w:lang w:val="en-GB"/>
                <w14:ligatures w14:val="standardContextual"/>
              </w:rPr>
              <w:t>taking into account</w:t>
            </w:r>
            <w:proofErr w:type="gramEnd"/>
            <w:r>
              <w:rPr>
                <w:rFonts w:ascii="Calibri Light" w:eastAsia="MS Mincho" w:hAnsi="Calibri Light" w:cs="Calibri Light"/>
                <w:color w:val="000000"/>
                <w:kern w:val="2"/>
                <w:sz w:val="18"/>
                <w:szCs w:val="18"/>
                <w:lang w:val="en-GB"/>
                <w14:ligatures w14:val="standardContextual"/>
              </w:rPr>
              <w:t xml:space="preserve"> the procedures provided for in the law and by-laws of the responsible ministry.</w:t>
            </w:r>
          </w:p>
        </w:tc>
      </w:tr>
      <w:tr w:rsidR="00562F5C" w14:paraId="0095D52B" w14:textId="77777777" w:rsidTr="009403FE">
        <w:trPr>
          <w:trHeight w:val="200"/>
        </w:trPr>
        <w:tc>
          <w:tcPr>
            <w:tcW w:w="624"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5A516C83"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20</w:t>
            </w:r>
          </w:p>
        </w:tc>
        <w:tc>
          <w:tcPr>
            <w:tcW w:w="4799"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00BCC12C"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18" w:name="_Toc214024589"/>
            <w:r>
              <w:rPr>
                <w:rFonts w:ascii="Calibri Light" w:eastAsia="MS Mincho" w:hAnsi="Calibri Light" w:cs="Calibri Light"/>
                <w:color w:val="000000"/>
                <w:kern w:val="2"/>
                <w:sz w:val="18"/>
                <w:szCs w:val="18"/>
                <w:lang w:val="en-GB"/>
                <w14:ligatures w14:val="standardContextual"/>
              </w:rPr>
              <w:t>Women in leadership positions in educational, health and cultural/sports institutions</w:t>
            </w:r>
            <w:bookmarkEnd w:id="118"/>
          </w:p>
        </w:tc>
        <w:tc>
          <w:tcPr>
            <w:tcW w:w="7262" w:type="dxa"/>
            <w:tcBorders>
              <w:top w:val="single" w:sz="4" w:space="0" w:color="auto"/>
              <w:left w:val="nil"/>
              <w:bottom w:val="single" w:sz="4" w:space="0" w:color="auto"/>
              <w:right w:val="single" w:sz="4" w:space="0" w:color="auto"/>
            </w:tcBorders>
            <w:shd w:val="clear" w:color="auto" w:fill="C2D69B" w:themeFill="accent3" w:themeFillTint="99"/>
            <w:vAlign w:val="bottom"/>
            <w:hideMark/>
          </w:tcPr>
          <w:p w14:paraId="644B77D2"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 the level of representation of women in the leadership positions of the following institutions:</w:t>
            </w:r>
          </w:p>
          <w:p w14:paraId="3E408E07" w14:textId="77777777" w:rsidR="00562F5C" w:rsidRDefault="00562F5C" w:rsidP="00562F5C">
            <w:pPr>
              <w:numPr>
                <w:ilvl w:val="0"/>
                <w:numId w:val="48"/>
              </w:numPr>
              <w:spacing w:line="256" w:lineRule="auto"/>
              <w:contextualSpacing/>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School institutions under the management of the municipality - public preschool institutions, primary and secondary schools as well as any other public school which is managed and financed through the respective municipality;</w:t>
            </w:r>
          </w:p>
          <w:p w14:paraId="4D958692" w14:textId="77777777" w:rsidR="00562F5C" w:rsidRDefault="00562F5C" w:rsidP="00562F5C">
            <w:pPr>
              <w:numPr>
                <w:ilvl w:val="0"/>
                <w:numId w:val="48"/>
              </w:numPr>
              <w:spacing w:line="256" w:lineRule="auto"/>
              <w:contextualSpacing/>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Health institutions under the management of the municipality - family medicine centres (MFMC, FMCs and FMAs) as well as</w:t>
            </w:r>
          </w:p>
          <w:p w14:paraId="7C587BAF" w14:textId="77777777" w:rsidR="00562F5C" w:rsidRDefault="00562F5C" w:rsidP="00562F5C">
            <w:pPr>
              <w:numPr>
                <w:ilvl w:val="0"/>
                <w:numId w:val="48"/>
              </w:numPr>
              <w:spacing w:line="256" w:lineRule="auto"/>
              <w:contextualSpacing/>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Cultural and sports institutions - theatres, concert halls, sports fields.</w:t>
            </w:r>
          </w:p>
          <w:p w14:paraId="698DD0F2"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directors of these institutions, i.e. the directors of schools, FMCs, sports fields and cultural institutions are considered leadership position. The first data requires the number of senior officials in these institutions and that number must correspond to the number of institutions in these fields since the goal is to measure the number of leaders of these institutions. While the second data asks how many of those leaders are women, while the third data asks for the number of leadership positions held by women who come from non-majority communities.</w:t>
            </w:r>
          </w:p>
        </w:tc>
      </w:tr>
      <w:tr w:rsidR="00562F5C" w14:paraId="24439078" w14:textId="77777777" w:rsidTr="00562F5C">
        <w:trPr>
          <w:trHeight w:val="200"/>
        </w:trPr>
        <w:tc>
          <w:tcPr>
            <w:tcW w:w="624"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0F1F92C3"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21</w:t>
            </w:r>
          </w:p>
        </w:tc>
        <w:tc>
          <w:tcPr>
            <w:tcW w:w="4799" w:type="dxa"/>
            <w:tcBorders>
              <w:top w:val="single" w:sz="4" w:space="0" w:color="auto"/>
              <w:left w:val="nil"/>
              <w:bottom w:val="single" w:sz="4" w:space="0" w:color="auto"/>
              <w:right w:val="single" w:sz="4" w:space="0" w:color="auto"/>
            </w:tcBorders>
            <w:shd w:val="clear" w:color="auto" w:fill="C2D69B"/>
            <w:vAlign w:val="center"/>
            <w:hideMark/>
          </w:tcPr>
          <w:p w14:paraId="494E08E6"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19" w:name="_Toc214024590"/>
            <w:r>
              <w:rPr>
                <w:rFonts w:ascii="Calibri Light" w:eastAsia="MS Mincho" w:hAnsi="Calibri Light" w:cs="Calibri Light"/>
                <w:color w:val="000000"/>
                <w:kern w:val="2"/>
                <w:sz w:val="18"/>
                <w:szCs w:val="18"/>
                <w:lang w:val="en-GB"/>
                <w14:ligatures w14:val="standardContextual"/>
              </w:rPr>
              <w:t>Women appointed in political positions in the municipality</w:t>
            </w:r>
            <w:bookmarkEnd w:id="119"/>
          </w:p>
        </w:tc>
        <w:tc>
          <w:tcPr>
            <w:tcW w:w="7262" w:type="dxa"/>
            <w:tcBorders>
              <w:top w:val="single" w:sz="4" w:space="0" w:color="auto"/>
              <w:left w:val="nil"/>
              <w:bottom w:val="single" w:sz="4" w:space="0" w:color="auto"/>
              <w:right w:val="single" w:sz="4" w:space="0" w:color="auto"/>
            </w:tcBorders>
            <w:shd w:val="clear" w:color="auto" w:fill="C2D69B"/>
            <w:vAlign w:val="bottom"/>
            <w:hideMark/>
          </w:tcPr>
          <w:p w14:paraId="51B83E87"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 xml:space="preserve">The indicator measures the level/total number of appointed women to political positions, namely the positions appointed by the political level of the municipality. The concept </w:t>
            </w:r>
            <w:proofErr w:type="gramStart"/>
            <w:r>
              <w:rPr>
                <w:rFonts w:ascii="Calibri Light" w:eastAsia="MS Mincho" w:hAnsi="Calibri Light" w:cs="Calibri Light"/>
                <w:color w:val="000000"/>
                <w:kern w:val="2"/>
                <w:sz w:val="18"/>
                <w:szCs w:val="18"/>
                <w:lang w:val="en-GB"/>
                <w14:ligatures w14:val="standardContextual"/>
              </w:rPr>
              <w:t>takes into account</w:t>
            </w:r>
            <w:proofErr w:type="gramEnd"/>
            <w:r>
              <w:rPr>
                <w:rFonts w:ascii="Calibri Light" w:eastAsia="MS Mincho" w:hAnsi="Calibri Light" w:cs="Calibri Light"/>
                <w:color w:val="000000"/>
                <w:kern w:val="2"/>
                <w:sz w:val="18"/>
                <w:szCs w:val="18"/>
                <w:lang w:val="en-GB"/>
                <w14:ligatures w14:val="standardContextual"/>
              </w:rPr>
              <w:t xml:space="preserve"> </w:t>
            </w:r>
            <w:r>
              <w:rPr>
                <w:rFonts w:ascii="Calibri Light" w:eastAsia="MS Mincho" w:hAnsi="Calibri Light" w:cs="Calibri Light"/>
                <w:color w:val="000000"/>
                <w:kern w:val="2"/>
                <w:sz w:val="18"/>
                <w:szCs w:val="18"/>
                <w:lang w:val="en-GB"/>
                <w14:ligatures w14:val="standardContextual"/>
              </w:rPr>
              <w:lastRenderedPageBreak/>
              <w:t>employees/appointees in political positions, ensuring that civil servants are not included in the list of municipal officials. Specifically, municipal officials should be considered: the deputy mayor, the deputy mayor for minorities (where one has been elected), directors of municipal directorates, as well as political advisers and other positions of the mayor's cabinet according to administrative instructions.</w:t>
            </w:r>
          </w:p>
        </w:tc>
      </w:tr>
      <w:tr w:rsidR="00562F5C" w14:paraId="50A48384" w14:textId="77777777" w:rsidTr="00562F5C">
        <w:trPr>
          <w:trHeight w:val="200"/>
        </w:trPr>
        <w:tc>
          <w:tcPr>
            <w:tcW w:w="12685" w:type="dxa"/>
            <w:gridSpan w:val="3"/>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4F0A13C0" w14:textId="77777777" w:rsidR="00562F5C" w:rsidRDefault="00562F5C">
            <w:pPr>
              <w:spacing w:line="256" w:lineRule="auto"/>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lastRenderedPageBreak/>
              <w:t>III. PROVISION OF SERVICES</w:t>
            </w:r>
          </w:p>
        </w:tc>
      </w:tr>
      <w:tr w:rsidR="00562F5C" w14:paraId="6DC5FC3C" w14:textId="77777777" w:rsidTr="00562F5C">
        <w:trPr>
          <w:trHeight w:val="200"/>
        </w:trPr>
        <w:tc>
          <w:tcPr>
            <w:tcW w:w="624"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525645D4"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b/>
                <w:bCs/>
                <w:color w:val="000000"/>
                <w:kern w:val="2"/>
                <w:sz w:val="18"/>
                <w:szCs w:val="18"/>
                <w:lang w:val="en-GB"/>
                <w14:ligatures w14:val="standardContextual"/>
              </w:rPr>
              <w:t>VII</w:t>
            </w:r>
          </w:p>
        </w:tc>
        <w:tc>
          <w:tcPr>
            <w:tcW w:w="12061" w:type="dxa"/>
            <w:gridSpan w:val="2"/>
            <w:tcBorders>
              <w:top w:val="single" w:sz="4" w:space="0" w:color="auto"/>
              <w:left w:val="nil"/>
              <w:bottom w:val="nil"/>
              <w:right w:val="single" w:sz="4" w:space="0" w:color="auto"/>
            </w:tcBorders>
            <w:shd w:val="clear" w:color="auto" w:fill="C6D9F1"/>
            <w:vAlign w:val="center"/>
            <w:hideMark/>
          </w:tcPr>
          <w:p w14:paraId="52C1BEEA" w14:textId="77777777" w:rsidR="00562F5C" w:rsidRDefault="00562F5C">
            <w:pPr>
              <w:spacing w:line="256" w:lineRule="auto"/>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Administrative services</w:t>
            </w:r>
          </w:p>
        </w:tc>
      </w:tr>
      <w:tr w:rsidR="00562F5C" w14:paraId="0E81F2BB" w14:textId="77777777" w:rsidTr="009403FE">
        <w:trPr>
          <w:trHeight w:val="164"/>
        </w:trPr>
        <w:tc>
          <w:tcPr>
            <w:tcW w:w="624"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5F6A72D8" w14:textId="52F5876A" w:rsidR="00562F5C" w:rsidRDefault="00A54C10">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22</w:t>
            </w:r>
          </w:p>
        </w:tc>
        <w:tc>
          <w:tcPr>
            <w:tcW w:w="4799" w:type="dxa"/>
            <w:tcBorders>
              <w:top w:val="single" w:sz="4" w:space="0" w:color="auto"/>
              <w:left w:val="nil"/>
              <w:bottom w:val="single" w:sz="4" w:space="0" w:color="auto"/>
              <w:right w:val="single" w:sz="4" w:space="0" w:color="auto"/>
            </w:tcBorders>
            <w:shd w:val="clear" w:color="auto" w:fill="C2D69B" w:themeFill="accent3" w:themeFillTint="99"/>
            <w:vAlign w:val="center"/>
          </w:tcPr>
          <w:p w14:paraId="4CC95B33" w14:textId="42D9A29F" w:rsidR="00A54C10" w:rsidRPr="00A54C10" w:rsidRDefault="00A54C10" w:rsidP="00A54C10">
            <w:pPr>
              <w:spacing w:line="256" w:lineRule="auto"/>
              <w:jc w:val="both"/>
              <w:rPr>
                <w:rFonts w:ascii="Calibri Light" w:eastAsia="MS Mincho" w:hAnsi="Calibri Light" w:cs="Calibri Light"/>
                <w:color w:val="000000"/>
                <w:kern w:val="2"/>
                <w:sz w:val="18"/>
                <w:szCs w:val="18"/>
                <w:lang w:val="en-GB"/>
                <w14:ligatures w14:val="standardContextual"/>
              </w:rPr>
            </w:pPr>
            <w:r w:rsidRPr="00A54C10">
              <w:rPr>
                <w:rFonts w:ascii="Calibri Light" w:eastAsia="MS Mincho" w:hAnsi="Calibri Light" w:cs="Calibri Light"/>
                <w:color w:val="000000"/>
                <w:kern w:val="2"/>
                <w:sz w:val="18"/>
                <w:szCs w:val="18"/>
                <w:lang w:val="en-GB"/>
                <w14:ligatures w14:val="standardContextual"/>
              </w:rPr>
              <w:t>Simplified administrative services to reduce the administrative burden at the municipal level</w:t>
            </w:r>
            <w:r w:rsidRPr="00A54C10">
              <w:rPr>
                <w:rFonts w:ascii="Calibri Light" w:eastAsia="MS Mincho" w:hAnsi="Calibri Light" w:cs="Calibri Light"/>
                <w:color w:val="000000"/>
                <w:kern w:val="2"/>
                <w:sz w:val="18"/>
                <w:szCs w:val="18"/>
                <w:lang w:val="en-GB"/>
                <w14:ligatures w14:val="standardContextual"/>
              </w:rPr>
              <w:tab/>
            </w:r>
          </w:p>
          <w:p w14:paraId="11C4BBC9"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p>
        </w:tc>
        <w:tc>
          <w:tcPr>
            <w:tcW w:w="7262" w:type="dxa"/>
            <w:tcBorders>
              <w:top w:val="single" w:sz="4" w:space="0" w:color="auto"/>
              <w:left w:val="nil"/>
              <w:bottom w:val="single" w:sz="4" w:space="0" w:color="auto"/>
              <w:right w:val="single" w:sz="4" w:space="0" w:color="auto"/>
            </w:tcBorders>
            <w:shd w:val="clear" w:color="auto" w:fill="C2D69B" w:themeFill="accent3" w:themeFillTint="99"/>
            <w:vAlign w:val="center"/>
          </w:tcPr>
          <w:p w14:paraId="2FEDFC05" w14:textId="77777777" w:rsidR="00A54C10" w:rsidRPr="00A54C10" w:rsidRDefault="00A54C10" w:rsidP="00A54C10">
            <w:pPr>
              <w:spacing w:line="256" w:lineRule="auto"/>
              <w:jc w:val="both"/>
              <w:rPr>
                <w:rFonts w:ascii="Calibri Light" w:eastAsia="MS Mincho" w:hAnsi="Calibri Light" w:cs="Calibri Light"/>
                <w:color w:val="000000"/>
                <w:kern w:val="2"/>
                <w:sz w:val="18"/>
                <w:szCs w:val="18"/>
                <w:lang w:val="en-GB"/>
                <w14:ligatures w14:val="standardContextual"/>
              </w:rPr>
            </w:pPr>
            <w:r w:rsidRPr="00A54C10">
              <w:rPr>
                <w:rFonts w:ascii="Calibri Light" w:eastAsia="MS Mincho" w:hAnsi="Calibri Light" w:cs="Calibri Light"/>
                <w:color w:val="000000"/>
                <w:kern w:val="2"/>
                <w:sz w:val="18"/>
                <w:szCs w:val="18"/>
                <w:lang w:val="en-GB"/>
                <w14:ligatures w14:val="standardContextual"/>
              </w:rPr>
              <w:t>The indicator measures the number of administrative services (administrative procedures) that will be simplified by the municipality. The municipality will be asked to simplify 30 administrative services for three years, from 10 different services for each year. Simplification of an administrative service means one of the following options: (</w:t>
            </w:r>
            <w:proofErr w:type="spellStart"/>
            <w:r w:rsidRPr="00A54C10">
              <w:rPr>
                <w:rFonts w:ascii="Calibri Light" w:eastAsia="MS Mincho" w:hAnsi="Calibri Light" w:cs="Calibri Light"/>
                <w:color w:val="000000"/>
                <w:kern w:val="2"/>
                <w:sz w:val="18"/>
                <w:szCs w:val="18"/>
                <w:lang w:val="en-GB"/>
                <w14:ligatures w14:val="standardContextual"/>
              </w:rPr>
              <w:t>i</w:t>
            </w:r>
            <w:proofErr w:type="spellEnd"/>
            <w:r w:rsidRPr="00A54C10">
              <w:rPr>
                <w:rFonts w:ascii="Calibri Light" w:eastAsia="MS Mincho" w:hAnsi="Calibri Light" w:cs="Calibri Light"/>
                <w:color w:val="000000"/>
                <w:kern w:val="2"/>
                <w:sz w:val="18"/>
                <w:szCs w:val="18"/>
                <w:lang w:val="en-GB"/>
                <w14:ligatures w14:val="standardContextual"/>
              </w:rPr>
              <w:t>) reduction of the fee or payment for the administrative service according to the cost recovery principle, (ii) removal of requests for documents (unnecessary or documents available to the municipality) during the application, (iii) increasing the validity of the procedure, (iv) combining the procedure with another similar procedure (v) eliminating the procedure (which has no legal basis) (v) digitizing the issuance of the procedure by the municipality.</w:t>
            </w:r>
          </w:p>
          <w:p w14:paraId="57EA1236" w14:textId="77777777" w:rsidR="00A54C10" w:rsidRPr="00A54C10" w:rsidRDefault="00A54C10" w:rsidP="00A54C10">
            <w:pPr>
              <w:spacing w:line="256" w:lineRule="auto"/>
              <w:jc w:val="both"/>
              <w:rPr>
                <w:rFonts w:ascii="Calibri Light" w:eastAsia="MS Mincho" w:hAnsi="Calibri Light" w:cs="Calibri Light"/>
                <w:color w:val="000000"/>
                <w:kern w:val="2"/>
                <w:sz w:val="18"/>
                <w:szCs w:val="18"/>
                <w:lang w:val="en-GB"/>
                <w14:ligatures w14:val="standardContextual"/>
              </w:rPr>
            </w:pPr>
            <w:r w:rsidRPr="00A54C10">
              <w:rPr>
                <w:rFonts w:ascii="Calibri Light" w:eastAsia="MS Mincho" w:hAnsi="Calibri Light" w:cs="Calibri Light"/>
                <w:color w:val="000000"/>
                <w:kern w:val="2"/>
                <w:sz w:val="18"/>
                <w:szCs w:val="18"/>
                <w:lang w:val="en-GB"/>
                <w14:ligatures w14:val="standardContextual"/>
              </w:rPr>
              <w:t>Municipalities have the power to choose 30 different administrative services for simplification within their powers to reduce the administrative burden.</w:t>
            </w:r>
          </w:p>
          <w:p w14:paraId="4364D666" w14:textId="324088CD" w:rsidR="00562F5C" w:rsidRDefault="00A54C10">
            <w:pPr>
              <w:spacing w:line="256" w:lineRule="auto"/>
              <w:jc w:val="both"/>
              <w:rPr>
                <w:rFonts w:ascii="Calibri Light" w:eastAsia="MS Mincho" w:hAnsi="Calibri Light" w:cs="Calibri Light"/>
                <w:color w:val="000000"/>
                <w:kern w:val="2"/>
                <w:sz w:val="18"/>
                <w:szCs w:val="18"/>
                <w:lang w:val="en-GB"/>
                <w14:ligatures w14:val="standardContextual"/>
              </w:rPr>
            </w:pPr>
            <w:r w:rsidRPr="00A54C10">
              <w:rPr>
                <w:rFonts w:ascii="Calibri Light" w:eastAsia="MS Mincho" w:hAnsi="Calibri Light" w:cs="Calibri Light"/>
                <w:color w:val="000000"/>
                <w:kern w:val="2"/>
                <w:sz w:val="18"/>
                <w:szCs w:val="18"/>
                <w:lang w:val="en-GB"/>
                <w14:ligatures w14:val="standardContextual"/>
              </w:rPr>
              <w:t>The indicator is calculated by multiplying each simplified administrative service by 10 points to achieve the required annual performance of 100%. However, if the municipality simplifies 30 procedures in the first year, then the municipality achieves maximum points for the next three years. Alternatively, if the municipality simplifies 5 procedures in the first year and 20 procedures in the second year, then the municipality will receive 50% of the points in the first year and 100% of the points for the second and third years.</w:t>
            </w:r>
          </w:p>
        </w:tc>
      </w:tr>
      <w:tr w:rsidR="00562F5C" w14:paraId="7C7988BD" w14:textId="77777777" w:rsidTr="009403FE">
        <w:trPr>
          <w:trHeight w:val="190"/>
        </w:trPr>
        <w:tc>
          <w:tcPr>
            <w:tcW w:w="624" w:type="dxa"/>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14:paraId="2A49A416"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23</w:t>
            </w:r>
          </w:p>
        </w:tc>
        <w:tc>
          <w:tcPr>
            <w:tcW w:w="4799" w:type="dxa"/>
            <w:tcBorders>
              <w:top w:val="nil"/>
              <w:left w:val="nil"/>
              <w:bottom w:val="single" w:sz="4" w:space="0" w:color="auto"/>
              <w:right w:val="single" w:sz="4" w:space="0" w:color="auto"/>
            </w:tcBorders>
            <w:shd w:val="clear" w:color="auto" w:fill="C2D69B" w:themeFill="accent3" w:themeFillTint="99"/>
            <w:vAlign w:val="center"/>
            <w:hideMark/>
          </w:tcPr>
          <w:p w14:paraId="6628A3A7"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20" w:name="_Toc214024591"/>
            <w:r>
              <w:rPr>
                <w:rFonts w:ascii="Calibri Light" w:eastAsia="MS Mincho" w:hAnsi="Calibri Light" w:cs="Calibri Light"/>
                <w:color w:val="000000"/>
                <w:kern w:val="2"/>
                <w:sz w:val="18"/>
                <w:szCs w:val="18"/>
                <w:lang w:val="en-GB"/>
                <w14:ligatures w14:val="standardContextual"/>
              </w:rPr>
              <w:t xml:space="preserve">Reviewed applications for construction </w:t>
            </w:r>
            <w:proofErr w:type="gramStart"/>
            <w:r>
              <w:rPr>
                <w:rFonts w:ascii="Calibri Light" w:eastAsia="MS Mincho" w:hAnsi="Calibri Light" w:cs="Calibri Light"/>
                <w:color w:val="000000"/>
                <w:kern w:val="2"/>
                <w:sz w:val="18"/>
                <w:szCs w:val="18"/>
                <w:lang w:val="en-GB"/>
                <w14:ligatures w14:val="standardContextual"/>
              </w:rPr>
              <w:t>permits</w:t>
            </w:r>
            <w:bookmarkEnd w:id="120"/>
            <w:proofErr w:type="gramEnd"/>
          </w:p>
        </w:tc>
        <w:tc>
          <w:tcPr>
            <w:tcW w:w="7262" w:type="dxa"/>
            <w:tcBorders>
              <w:top w:val="nil"/>
              <w:left w:val="nil"/>
              <w:bottom w:val="single" w:sz="4" w:space="0" w:color="auto"/>
              <w:right w:val="single" w:sz="4" w:space="0" w:color="auto"/>
            </w:tcBorders>
            <w:shd w:val="clear" w:color="auto" w:fill="C2D69B" w:themeFill="accent3" w:themeFillTint="99"/>
            <w:vAlign w:val="center"/>
            <w:hideMark/>
          </w:tcPr>
          <w:p w14:paraId="401B1855"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 the level of fulfilment of the municipality's obligations in relation to the law and municipal plans for issuing construction permits. The indicator handles all requests regardless of whether they are in accordance with the prerequisites for a construction permit or not. The rate of review and approval of construction permit requests indicates the capacity and efficiency of the municipality in successfully managing the implementation of the law and municipal plans in the planned construction in the territory of the respective municipality. The indicator does not measure the implementation of the technical conditions of the construction permit. However, the approval of requests or the issuance of construction permits, as a necessary condition, is fully in view of fulfilling the purpose of the result for planned municipal or local construction, because at this stage of the measurement the construction permit also means its full implementation.</w:t>
            </w:r>
          </w:p>
          <w:p w14:paraId="6A814679" w14:textId="77777777" w:rsidR="00562F5C" w:rsidRDefault="00562F5C">
            <w:pPr>
              <w:autoSpaceDE w:val="0"/>
              <w:autoSpaceDN w:val="0"/>
              <w:adjustRightInd w:val="0"/>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This comes as a result of a number of requests registered in the previous year, but which are examined in the year such data are reported.</w:t>
            </w:r>
          </w:p>
        </w:tc>
      </w:tr>
      <w:tr w:rsidR="00562F5C" w14:paraId="3477F033" w14:textId="77777777" w:rsidTr="00562F5C">
        <w:trPr>
          <w:trHeight w:val="155"/>
        </w:trPr>
        <w:tc>
          <w:tcPr>
            <w:tcW w:w="624" w:type="dxa"/>
            <w:tcBorders>
              <w:top w:val="nil"/>
              <w:left w:val="single" w:sz="4" w:space="0" w:color="auto"/>
              <w:bottom w:val="single" w:sz="4" w:space="0" w:color="auto"/>
              <w:right w:val="single" w:sz="4" w:space="0" w:color="auto"/>
            </w:tcBorders>
            <w:shd w:val="clear" w:color="auto" w:fill="C6D9F1"/>
            <w:noWrap/>
            <w:vAlign w:val="center"/>
            <w:hideMark/>
          </w:tcPr>
          <w:p w14:paraId="5D7FB35E" w14:textId="77777777" w:rsidR="00562F5C" w:rsidRDefault="00562F5C">
            <w:pPr>
              <w:spacing w:line="256" w:lineRule="auto"/>
              <w:jc w:val="center"/>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lastRenderedPageBreak/>
              <w:t>VIII</w:t>
            </w:r>
          </w:p>
        </w:tc>
        <w:tc>
          <w:tcPr>
            <w:tcW w:w="12061" w:type="dxa"/>
            <w:gridSpan w:val="2"/>
            <w:tcBorders>
              <w:top w:val="nil"/>
              <w:left w:val="nil"/>
              <w:bottom w:val="single" w:sz="4" w:space="0" w:color="auto"/>
              <w:right w:val="single" w:sz="4" w:space="0" w:color="auto"/>
            </w:tcBorders>
            <w:shd w:val="clear" w:color="auto" w:fill="C6D9F1"/>
            <w:vAlign w:val="center"/>
            <w:hideMark/>
          </w:tcPr>
          <w:p w14:paraId="07110EF8" w14:textId="77777777" w:rsidR="00562F5C" w:rsidRDefault="00562F5C">
            <w:pPr>
              <w:spacing w:line="256" w:lineRule="auto"/>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Spatial planning, public transport and the environment</w:t>
            </w:r>
          </w:p>
        </w:tc>
      </w:tr>
      <w:tr w:rsidR="00562F5C" w14:paraId="7A3C0B49" w14:textId="77777777" w:rsidTr="00562F5C">
        <w:trPr>
          <w:trHeight w:val="258"/>
        </w:trPr>
        <w:tc>
          <w:tcPr>
            <w:tcW w:w="624"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78469F87"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24</w:t>
            </w:r>
          </w:p>
        </w:tc>
        <w:tc>
          <w:tcPr>
            <w:tcW w:w="4799" w:type="dxa"/>
            <w:tcBorders>
              <w:top w:val="single" w:sz="4" w:space="0" w:color="auto"/>
              <w:left w:val="nil"/>
              <w:bottom w:val="single" w:sz="4" w:space="0" w:color="auto"/>
              <w:right w:val="single" w:sz="4" w:space="0" w:color="auto"/>
            </w:tcBorders>
            <w:shd w:val="clear" w:color="auto" w:fill="C2D69B"/>
            <w:vAlign w:val="center"/>
            <w:hideMark/>
          </w:tcPr>
          <w:p w14:paraId="4862F76D" w14:textId="77777777" w:rsidR="00562F5C" w:rsidRDefault="00562F5C">
            <w:pPr>
              <w:spacing w:line="256" w:lineRule="auto"/>
              <w:outlineLvl w:val="2"/>
              <w:rPr>
                <w:rFonts w:ascii="Calibri Light" w:eastAsia="MS Mincho" w:hAnsi="Calibri Light" w:cs="Calibri Light"/>
                <w:color w:val="000000"/>
                <w:kern w:val="2"/>
                <w:sz w:val="18"/>
                <w:szCs w:val="18"/>
                <w:highlight w:val="yellow"/>
                <w:lang w:val="en-GB"/>
                <w14:ligatures w14:val="standardContextual"/>
              </w:rPr>
            </w:pPr>
            <w:bookmarkStart w:id="121" w:name="_Toc214024592"/>
            <w:r>
              <w:rPr>
                <w:rFonts w:ascii="Calibri Light" w:eastAsia="MS Mincho" w:hAnsi="Calibri Light" w:cs="Calibri Light"/>
                <w:color w:val="000000"/>
                <w:kern w:val="2"/>
                <w:sz w:val="18"/>
                <w:szCs w:val="18"/>
                <w:lang w:val="en-GB"/>
                <w14:ligatures w14:val="standardContextual"/>
              </w:rPr>
              <w:t>The surface area of ​​the territory of the municipalities covered according to the municipal development plans</w:t>
            </w:r>
            <w:bookmarkEnd w:id="121"/>
            <w:r>
              <w:rPr>
                <w:rFonts w:ascii="Calibri Light" w:eastAsia="MS Mincho" w:hAnsi="Calibri Light" w:cs="Calibri Light"/>
                <w:color w:val="000000"/>
                <w:kern w:val="2"/>
                <w:sz w:val="18"/>
                <w:szCs w:val="18"/>
                <w:lang w:val="en-GB"/>
                <w14:ligatures w14:val="standardContextual"/>
              </w:rPr>
              <w:t xml:space="preserve"> </w:t>
            </w:r>
          </w:p>
        </w:tc>
        <w:tc>
          <w:tcPr>
            <w:tcW w:w="7262" w:type="dxa"/>
            <w:tcBorders>
              <w:top w:val="single" w:sz="4" w:space="0" w:color="auto"/>
              <w:left w:val="nil"/>
              <w:bottom w:val="single" w:sz="4" w:space="0" w:color="auto"/>
              <w:right w:val="single" w:sz="4" w:space="0" w:color="auto"/>
            </w:tcBorders>
            <w:shd w:val="clear" w:color="auto" w:fill="C2D69B"/>
            <w:vAlign w:val="center"/>
            <w:hideMark/>
          </w:tcPr>
          <w:p w14:paraId="17BAF454"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 the level of coverage of the territory of the respective municipality with MDP and zoning maps, which provides good opportunities for planned building of settlements. Spatial planning is important for municipal planning because of its role in shaping, organizing and developing urban areas. This enables the allocation of spaces/land strategically for different purposes, such as residential space, trade, infrastructural development, environmental sustainability, etc. The municipality designs and manages the process of drafting the MDP for a period of at least eight years, as well as the drafting of the MZM, while the Municipal Assembly is responsible for approving the relevant plans and approving the funds for implementing the plans.</w:t>
            </w:r>
          </w:p>
        </w:tc>
      </w:tr>
      <w:tr w:rsidR="00562F5C" w14:paraId="24B5081B" w14:textId="77777777" w:rsidTr="00562F5C">
        <w:trPr>
          <w:trHeight w:val="222"/>
        </w:trPr>
        <w:tc>
          <w:tcPr>
            <w:tcW w:w="624"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6C89E860"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25</w:t>
            </w:r>
          </w:p>
        </w:tc>
        <w:tc>
          <w:tcPr>
            <w:tcW w:w="4799" w:type="dxa"/>
            <w:tcBorders>
              <w:top w:val="single" w:sz="4" w:space="0" w:color="auto"/>
              <w:left w:val="nil"/>
              <w:bottom w:val="single" w:sz="4" w:space="0" w:color="auto"/>
              <w:right w:val="single" w:sz="4" w:space="0" w:color="auto"/>
            </w:tcBorders>
            <w:shd w:val="clear" w:color="auto" w:fill="C2D69B"/>
            <w:vAlign w:val="center"/>
            <w:hideMark/>
          </w:tcPr>
          <w:p w14:paraId="01A4AAA2"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22" w:name="_Toc214024593"/>
            <w:r>
              <w:rPr>
                <w:rFonts w:ascii="Calibri Light" w:eastAsia="MS Mincho" w:hAnsi="Calibri Light" w:cs="Calibri Light"/>
                <w:color w:val="000000"/>
                <w:kern w:val="2"/>
                <w:sz w:val="18"/>
                <w:szCs w:val="18"/>
                <w:lang w:val="en-GB"/>
                <w14:ligatures w14:val="standardContextual"/>
              </w:rPr>
              <w:t>Settlements included in local public transport</w:t>
            </w:r>
            <w:bookmarkEnd w:id="122"/>
            <w:r>
              <w:rPr>
                <w:rFonts w:ascii="Calibri Light" w:eastAsia="MS Mincho" w:hAnsi="Calibri Light" w:cs="Calibri Light"/>
                <w:color w:val="000000"/>
                <w:kern w:val="2"/>
                <w:sz w:val="18"/>
                <w:szCs w:val="18"/>
                <w:lang w:val="en-GB"/>
                <w14:ligatures w14:val="standardContextual"/>
              </w:rPr>
              <w:tab/>
            </w:r>
          </w:p>
        </w:tc>
        <w:tc>
          <w:tcPr>
            <w:tcW w:w="7262" w:type="dxa"/>
            <w:tcBorders>
              <w:top w:val="single" w:sz="4" w:space="0" w:color="auto"/>
              <w:left w:val="nil"/>
              <w:bottom w:val="single" w:sz="4" w:space="0" w:color="auto"/>
              <w:right w:val="single" w:sz="4" w:space="0" w:color="auto"/>
            </w:tcBorders>
            <w:shd w:val="clear" w:color="auto" w:fill="C2D69B"/>
            <w:vAlign w:val="center"/>
            <w:hideMark/>
          </w:tcPr>
          <w:p w14:paraId="2532B0CA"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Provision of local public transport means that all citizens of all settlements in the territory of the respective municipality can be transported by local (municipal) transport in a safe manner, according to a specific schedule for specific routes to the specific destination within the territory of the municipality. The inclusion of all settlements in municipal public transport represents a necessary legal condition and an important criterion for ensuring freedom of movement and access to public services. This indicator informs the result directly related to the achievement of the municipality in ensuring the inclusion of all settlements in local transport. Each year, the municipality has the opportunity to examine its own achievement for this indicator and for all others, and to compare and evaluate its own performance over the years and also with other municipalities, thereby increasing management capacities, transparency and accountability regarding the policies developed and implemented in this field.</w:t>
            </w:r>
          </w:p>
        </w:tc>
      </w:tr>
      <w:tr w:rsidR="00562F5C" w14:paraId="064202DD" w14:textId="77777777" w:rsidTr="00562F5C">
        <w:trPr>
          <w:trHeight w:val="222"/>
        </w:trPr>
        <w:tc>
          <w:tcPr>
            <w:tcW w:w="624"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5004C72A"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26</w:t>
            </w:r>
          </w:p>
        </w:tc>
        <w:tc>
          <w:tcPr>
            <w:tcW w:w="4799" w:type="dxa"/>
            <w:tcBorders>
              <w:top w:val="single" w:sz="4" w:space="0" w:color="auto"/>
              <w:left w:val="nil"/>
              <w:bottom w:val="single" w:sz="4" w:space="0" w:color="auto"/>
              <w:right w:val="single" w:sz="4" w:space="0" w:color="auto"/>
            </w:tcBorders>
            <w:shd w:val="clear" w:color="auto" w:fill="C2D69B"/>
            <w:vAlign w:val="center"/>
            <w:hideMark/>
          </w:tcPr>
          <w:p w14:paraId="62598629"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23" w:name="_Toc214024594"/>
            <w:r>
              <w:rPr>
                <w:rFonts w:ascii="Calibri Light" w:eastAsia="MS Mincho" w:hAnsi="Calibri Light" w:cs="Calibri Light"/>
                <w:color w:val="000000"/>
                <w:kern w:val="2"/>
                <w:sz w:val="18"/>
                <w:szCs w:val="18"/>
                <w:lang w:val="en-GB"/>
                <w14:ligatures w14:val="standardContextual"/>
              </w:rPr>
              <w:t>Implementation of the local environmental action plan</w:t>
            </w:r>
            <w:bookmarkEnd w:id="123"/>
          </w:p>
        </w:tc>
        <w:tc>
          <w:tcPr>
            <w:tcW w:w="7262" w:type="dxa"/>
            <w:tcBorders>
              <w:top w:val="single" w:sz="4" w:space="0" w:color="auto"/>
              <w:left w:val="nil"/>
              <w:bottom w:val="single" w:sz="4" w:space="0" w:color="auto"/>
              <w:right w:val="single" w:sz="4" w:space="0" w:color="auto"/>
            </w:tcBorders>
            <w:shd w:val="clear" w:color="auto" w:fill="C2D69B"/>
            <w:vAlign w:val="center"/>
            <w:hideMark/>
          </w:tcPr>
          <w:p w14:paraId="1F7CCAA2"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aims to measure the performance of the respective municipality in the implementation of the actions planned with the Local Environmental Action Plan (LEAP) for the protection of the environment and the creation of a clean and healthy environment for citizens. The indicator provides information on all actions undertaken by the municipality in partnership with other stakeholders for the protection and advancement of the environment, determined by the Local Environmental Action Plan and environmental programs.</w:t>
            </w:r>
          </w:p>
          <w:p w14:paraId="1176665F"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From the point of view of municipal performance, the approval of the plan (LEAP) and its implementation is the responsibility of the respective municipality in accordance with the Kosovo Environmental Action Plan, which deals with the protection of soil, water, air, climate, ecosystems, diversity of the flora and fauna, landscapes, nature, the management of solid and (sewage) liquid waste, the administration of ecological disasters (environmental accidents), noise protection, etc. (Law on Environmental Protection, Article 23). The plan must also be in accordance with the zoning maps and the detailed regulatory plan of the spatial planning of the respective municipality and other municipal plans, in particular the emergency management plan.</w:t>
            </w:r>
          </w:p>
        </w:tc>
      </w:tr>
      <w:tr w:rsidR="00562F5C" w14:paraId="0DCC36BA" w14:textId="77777777" w:rsidTr="00562F5C">
        <w:trPr>
          <w:trHeight w:val="222"/>
        </w:trPr>
        <w:tc>
          <w:tcPr>
            <w:tcW w:w="624"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2D747C2D" w14:textId="77777777" w:rsidR="00562F5C" w:rsidRDefault="00562F5C">
            <w:pPr>
              <w:spacing w:line="256" w:lineRule="auto"/>
              <w:jc w:val="center"/>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IX</w:t>
            </w:r>
          </w:p>
        </w:tc>
        <w:tc>
          <w:tcPr>
            <w:tcW w:w="12061" w:type="dxa"/>
            <w:gridSpan w:val="2"/>
            <w:tcBorders>
              <w:top w:val="single" w:sz="4" w:space="0" w:color="auto"/>
              <w:left w:val="nil"/>
              <w:bottom w:val="single" w:sz="4" w:space="0" w:color="auto"/>
              <w:right w:val="single" w:sz="4" w:space="0" w:color="auto"/>
            </w:tcBorders>
            <w:shd w:val="clear" w:color="auto" w:fill="C6D9F1"/>
            <w:vAlign w:val="center"/>
            <w:hideMark/>
          </w:tcPr>
          <w:p w14:paraId="68CCA469" w14:textId="77777777" w:rsidR="00562F5C" w:rsidRDefault="00562F5C">
            <w:pPr>
              <w:spacing w:line="256" w:lineRule="auto"/>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Pre-university education</w:t>
            </w:r>
          </w:p>
        </w:tc>
      </w:tr>
      <w:tr w:rsidR="00562F5C" w14:paraId="36037F3D" w14:textId="77777777" w:rsidTr="00562F5C">
        <w:trPr>
          <w:trHeight w:val="214"/>
        </w:trPr>
        <w:tc>
          <w:tcPr>
            <w:tcW w:w="624"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6E5C243B"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lastRenderedPageBreak/>
              <w:t>27</w:t>
            </w:r>
          </w:p>
        </w:tc>
        <w:tc>
          <w:tcPr>
            <w:tcW w:w="4799" w:type="dxa"/>
            <w:tcBorders>
              <w:top w:val="single" w:sz="4" w:space="0" w:color="auto"/>
              <w:left w:val="nil"/>
              <w:bottom w:val="single" w:sz="4" w:space="0" w:color="auto"/>
              <w:right w:val="single" w:sz="4" w:space="0" w:color="auto"/>
            </w:tcBorders>
            <w:shd w:val="clear" w:color="auto" w:fill="C2D69B"/>
            <w:vAlign w:val="center"/>
            <w:hideMark/>
          </w:tcPr>
          <w:p w14:paraId="5FE6E125" w14:textId="77777777" w:rsidR="00562F5C" w:rsidRDefault="00562F5C">
            <w:pPr>
              <w:spacing w:line="256" w:lineRule="auto"/>
              <w:outlineLvl w:val="2"/>
              <w:rPr>
                <w:rFonts w:ascii="Calibri Light" w:eastAsia="MS Mincho" w:hAnsi="Calibri Light" w:cs="Calibri Light"/>
                <w:color w:val="000000"/>
                <w:kern w:val="2"/>
                <w:sz w:val="18"/>
                <w:szCs w:val="18"/>
                <w:highlight w:val="yellow"/>
                <w:lang w:val="en-GB"/>
                <w14:ligatures w14:val="standardContextual"/>
              </w:rPr>
            </w:pPr>
            <w:bookmarkStart w:id="124" w:name="_Toc214024595"/>
            <w:r>
              <w:rPr>
                <w:rFonts w:ascii="Calibri Light" w:eastAsia="MS Mincho" w:hAnsi="Calibri Light" w:cs="Calibri Light"/>
                <w:color w:val="000000"/>
                <w:kern w:val="2"/>
                <w:sz w:val="18"/>
                <w:szCs w:val="18"/>
                <w:lang w:val="en-GB"/>
                <w14:ligatures w14:val="standardContextual"/>
              </w:rPr>
              <w:t>Completing the required conditions with infrastructure, equipment and tools in pre-university education institutions</w:t>
            </w:r>
            <w:bookmarkEnd w:id="124"/>
          </w:p>
        </w:tc>
        <w:tc>
          <w:tcPr>
            <w:tcW w:w="7262" w:type="dxa"/>
            <w:tcBorders>
              <w:top w:val="single" w:sz="4" w:space="0" w:color="auto"/>
              <w:left w:val="nil"/>
              <w:bottom w:val="single" w:sz="4" w:space="0" w:color="auto"/>
              <w:right w:val="single" w:sz="4" w:space="0" w:color="auto"/>
            </w:tcBorders>
            <w:shd w:val="clear" w:color="auto" w:fill="C2D69B"/>
            <w:vAlign w:val="center"/>
            <w:hideMark/>
          </w:tcPr>
          <w:p w14:paraId="37583011"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 the level of equipment with school infrastructure elements, such as physical education halls, cabinets (laboratories, workshops), libraries, as well as regular classrooms, which, for reporting purposes, are required to be fully equipped with tools and equipment at the level that enables the implementation of activities as required by the curricula that are being implemented in those institutions!</w:t>
            </w:r>
          </w:p>
          <w:p w14:paraId="4D38DE08"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For the needs of this indicator, 6 assessment criteria are specified as follows:</w:t>
            </w:r>
          </w:p>
          <w:p w14:paraId="19AABB4A"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1. Physical education hall with tools and equipment;</w:t>
            </w:r>
          </w:p>
          <w:p w14:paraId="45DFCC51"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2. Cabinets (laboratories, workshops);</w:t>
            </w:r>
          </w:p>
          <w:p w14:paraId="35AE0F60"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3. The school library is equipped and operating;</w:t>
            </w:r>
          </w:p>
          <w:p w14:paraId="7190A871"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4. Equipping ordinary classrooms with necessary school furniture;</w:t>
            </w:r>
          </w:p>
          <w:p w14:paraId="559AFDB2"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5. Equipping ordinary classrooms with electronic tools for the development of learning and teaching activities (projector, electronic board)</w:t>
            </w:r>
          </w:p>
        </w:tc>
      </w:tr>
      <w:tr w:rsidR="00562F5C" w14:paraId="53038D86" w14:textId="77777777" w:rsidTr="00562F5C">
        <w:trPr>
          <w:trHeight w:val="222"/>
        </w:trPr>
        <w:tc>
          <w:tcPr>
            <w:tcW w:w="624" w:type="dxa"/>
            <w:tcBorders>
              <w:top w:val="nil"/>
              <w:left w:val="single" w:sz="4" w:space="0" w:color="auto"/>
              <w:bottom w:val="single" w:sz="4" w:space="0" w:color="auto"/>
              <w:right w:val="single" w:sz="4" w:space="0" w:color="auto"/>
            </w:tcBorders>
            <w:shd w:val="clear" w:color="auto" w:fill="C2D69B"/>
            <w:noWrap/>
            <w:vAlign w:val="center"/>
            <w:hideMark/>
          </w:tcPr>
          <w:p w14:paraId="3F351E61"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28</w:t>
            </w:r>
          </w:p>
        </w:tc>
        <w:tc>
          <w:tcPr>
            <w:tcW w:w="4799" w:type="dxa"/>
            <w:tcBorders>
              <w:top w:val="nil"/>
              <w:left w:val="nil"/>
              <w:bottom w:val="single" w:sz="4" w:space="0" w:color="auto"/>
              <w:right w:val="single" w:sz="4" w:space="0" w:color="auto"/>
            </w:tcBorders>
            <w:shd w:val="clear" w:color="auto" w:fill="C2D69B"/>
            <w:vAlign w:val="center"/>
            <w:hideMark/>
          </w:tcPr>
          <w:p w14:paraId="73DB3332"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25" w:name="_Toc214024596"/>
            <w:r>
              <w:rPr>
                <w:rFonts w:ascii="Calibri Light" w:eastAsia="MS Mincho" w:hAnsi="Calibri Light" w:cs="Calibri Light"/>
                <w:color w:val="000000"/>
                <w:kern w:val="2"/>
                <w:sz w:val="18"/>
                <w:szCs w:val="18"/>
                <w:lang w:val="en-GB"/>
                <w14:ligatures w14:val="standardContextual"/>
              </w:rPr>
              <w:t>The level of compliance with the target student-to-teacher ratio</w:t>
            </w:r>
            <w:bookmarkEnd w:id="125"/>
          </w:p>
        </w:tc>
        <w:tc>
          <w:tcPr>
            <w:tcW w:w="7262" w:type="dxa"/>
            <w:tcBorders>
              <w:top w:val="nil"/>
              <w:left w:val="nil"/>
              <w:bottom w:val="single" w:sz="4" w:space="0" w:color="auto"/>
              <w:right w:val="single" w:sz="4" w:space="0" w:color="auto"/>
            </w:tcBorders>
            <w:shd w:val="clear" w:color="auto" w:fill="C2D69B"/>
            <w:vAlign w:val="center"/>
            <w:hideMark/>
          </w:tcPr>
          <w:p w14:paraId="3B47FBB4"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aims to measure the level of performance, namely the municipality's achievement in ensuring the required student-to-teacher ratio. The required student-to-teacher ratio means the average (20) student to (1) teacher ratio. In this respect, it is intended to measure the compatibility with the target level of the ratio, either from the highest degree or from the lowest degree in terms of the value of 20/1. The object of measurement is the student-teacher ratio in urban and rural settlements for pre-university education, at the level of institutions of the pre-university system for levels according to ISCED 02, 1, 2 and 3. Preschool teachers are not included in the calculation of the body of teachers, even though they are part of ISCED.</w:t>
            </w:r>
          </w:p>
          <w:p w14:paraId="538FE9A7"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reference value of the [20]</w:t>
            </w:r>
            <w:proofErr w:type="gramStart"/>
            <w:r>
              <w:rPr>
                <w:rFonts w:ascii="Calibri Light" w:eastAsia="MS Mincho" w:hAnsi="Calibri Light" w:cs="Calibri Light"/>
                <w:color w:val="000000"/>
                <w:kern w:val="2"/>
                <w:sz w:val="18"/>
                <w:szCs w:val="18"/>
                <w:lang w:val="en-GB"/>
                <w14:ligatures w14:val="standardContextual"/>
              </w:rPr>
              <w:t>/[</w:t>
            </w:r>
            <w:proofErr w:type="gramEnd"/>
            <w:r>
              <w:rPr>
                <w:rFonts w:ascii="Calibri Light" w:eastAsia="MS Mincho" w:hAnsi="Calibri Light" w:cs="Calibri Light"/>
                <w:color w:val="000000"/>
                <w:kern w:val="2"/>
                <w:sz w:val="18"/>
                <w:szCs w:val="18"/>
                <w:lang w:val="en-GB"/>
                <w14:ligatures w14:val="standardContextual"/>
              </w:rPr>
              <w:t>1] student-to-teacher ratio was obtained by referring to the desirable average for normative student-teacher ratios.</w:t>
            </w:r>
          </w:p>
        </w:tc>
      </w:tr>
      <w:tr w:rsidR="00562F5C" w14:paraId="3897ECD6" w14:textId="77777777" w:rsidTr="00562F5C">
        <w:trPr>
          <w:trHeight w:val="222"/>
        </w:trPr>
        <w:tc>
          <w:tcPr>
            <w:tcW w:w="624" w:type="dxa"/>
            <w:tcBorders>
              <w:top w:val="nil"/>
              <w:left w:val="single" w:sz="4" w:space="0" w:color="auto"/>
              <w:bottom w:val="single" w:sz="4" w:space="0" w:color="auto"/>
              <w:right w:val="single" w:sz="4" w:space="0" w:color="auto"/>
            </w:tcBorders>
            <w:shd w:val="clear" w:color="auto" w:fill="C6D9F1"/>
            <w:noWrap/>
            <w:vAlign w:val="center"/>
            <w:hideMark/>
          </w:tcPr>
          <w:p w14:paraId="4A59300F" w14:textId="77777777" w:rsidR="00562F5C" w:rsidRDefault="00562F5C">
            <w:pPr>
              <w:spacing w:line="256" w:lineRule="auto"/>
              <w:jc w:val="center"/>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X</w:t>
            </w:r>
          </w:p>
        </w:tc>
        <w:tc>
          <w:tcPr>
            <w:tcW w:w="12061" w:type="dxa"/>
            <w:gridSpan w:val="2"/>
            <w:tcBorders>
              <w:top w:val="nil"/>
              <w:left w:val="nil"/>
              <w:bottom w:val="single" w:sz="4" w:space="0" w:color="auto"/>
              <w:right w:val="single" w:sz="4" w:space="0" w:color="auto"/>
            </w:tcBorders>
            <w:shd w:val="clear" w:color="auto" w:fill="C6D9F1"/>
            <w:vAlign w:val="center"/>
            <w:hideMark/>
          </w:tcPr>
          <w:p w14:paraId="5A959C3E" w14:textId="77777777" w:rsidR="00562F5C" w:rsidRDefault="00562F5C">
            <w:pPr>
              <w:spacing w:line="256" w:lineRule="auto"/>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Primary health care (PHC)</w:t>
            </w:r>
          </w:p>
        </w:tc>
      </w:tr>
      <w:tr w:rsidR="00562F5C" w14:paraId="1B102C06" w14:textId="77777777" w:rsidTr="00562F5C">
        <w:trPr>
          <w:trHeight w:val="163"/>
        </w:trPr>
        <w:tc>
          <w:tcPr>
            <w:tcW w:w="624" w:type="dxa"/>
            <w:tcBorders>
              <w:top w:val="single" w:sz="8" w:space="0" w:color="auto"/>
              <w:left w:val="single" w:sz="8" w:space="0" w:color="auto"/>
              <w:bottom w:val="single" w:sz="8" w:space="0" w:color="auto"/>
              <w:right w:val="single" w:sz="4" w:space="0" w:color="auto"/>
            </w:tcBorders>
            <w:shd w:val="clear" w:color="auto" w:fill="C2D69B"/>
            <w:noWrap/>
            <w:vAlign w:val="center"/>
            <w:hideMark/>
          </w:tcPr>
          <w:p w14:paraId="3765A050"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29</w:t>
            </w:r>
          </w:p>
        </w:tc>
        <w:tc>
          <w:tcPr>
            <w:tcW w:w="4799" w:type="dxa"/>
            <w:tcBorders>
              <w:top w:val="single" w:sz="8" w:space="0" w:color="auto"/>
              <w:left w:val="nil"/>
              <w:bottom w:val="single" w:sz="8" w:space="0" w:color="auto"/>
              <w:right w:val="single" w:sz="4" w:space="0" w:color="auto"/>
            </w:tcBorders>
            <w:shd w:val="clear" w:color="auto" w:fill="C2D69B"/>
            <w:vAlign w:val="center"/>
            <w:hideMark/>
          </w:tcPr>
          <w:p w14:paraId="50C3FD58"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26" w:name="_Toc214024597"/>
            <w:r>
              <w:rPr>
                <w:rFonts w:ascii="Calibri Light" w:eastAsia="MS Mincho" w:hAnsi="Calibri Light" w:cs="Calibri Light"/>
                <w:color w:val="000000"/>
                <w:kern w:val="2"/>
                <w:sz w:val="18"/>
                <w:szCs w:val="18"/>
                <w:lang w:val="en-GB"/>
                <w14:ligatures w14:val="standardContextual"/>
              </w:rPr>
              <w:t>Primary health units with laboratory equipment and services according to administrative instructions</w:t>
            </w:r>
            <w:bookmarkEnd w:id="126"/>
          </w:p>
        </w:tc>
        <w:tc>
          <w:tcPr>
            <w:tcW w:w="7262" w:type="dxa"/>
            <w:tcBorders>
              <w:top w:val="single" w:sz="8" w:space="0" w:color="auto"/>
              <w:left w:val="nil"/>
              <w:bottom w:val="single" w:sz="8" w:space="0" w:color="auto"/>
              <w:right w:val="single" w:sz="4" w:space="0" w:color="auto"/>
            </w:tcBorders>
            <w:shd w:val="clear" w:color="auto" w:fill="C2D69B"/>
            <w:vAlign w:val="center"/>
            <w:hideMark/>
          </w:tcPr>
          <w:p w14:paraId="09DB0279"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aims to measure performance, namely the achievement of the municipality in providing complete equipment with inventory (equipment and tools) and laboratory services of primary health care units (MFMC, MFC and MFA),</w:t>
            </w:r>
          </w:p>
          <w:p w14:paraId="31FA85D8"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list with concrete names of the inventory of equipment, tools and laboratory services is specified in Annexes 1 and 2 of the AI, where they are highlighted in the form of points for each level of the family medicine unit in a separate form (MFMC, MFC and MFA).</w:t>
            </w:r>
          </w:p>
          <w:p w14:paraId="72ED778C"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In this context, the municipality has both direct responsibility in terms of legal powers but and political responsibility, in which case it has the responsibility to work with other instances to ensure fulfilment, such as the Ministry of Health, as well as the Health Inspectorate. The period for which the data is requested concerns the situation at the end of the year.</w:t>
            </w:r>
          </w:p>
        </w:tc>
      </w:tr>
      <w:tr w:rsidR="00562F5C" w14:paraId="430E7398" w14:textId="77777777" w:rsidTr="00562F5C">
        <w:trPr>
          <w:trHeight w:val="253"/>
        </w:trPr>
        <w:tc>
          <w:tcPr>
            <w:tcW w:w="624" w:type="dxa"/>
            <w:tcBorders>
              <w:top w:val="single" w:sz="8" w:space="0" w:color="auto"/>
              <w:left w:val="single" w:sz="8" w:space="0" w:color="auto"/>
              <w:bottom w:val="single" w:sz="8" w:space="0" w:color="auto"/>
              <w:right w:val="single" w:sz="4" w:space="0" w:color="auto"/>
            </w:tcBorders>
            <w:shd w:val="clear" w:color="auto" w:fill="C2D69B"/>
            <w:noWrap/>
            <w:vAlign w:val="center"/>
            <w:hideMark/>
          </w:tcPr>
          <w:p w14:paraId="5675A6E3"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30</w:t>
            </w:r>
          </w:p>
        </w:tc>
        <w:tc>
          <w:tcPr>
            <w:tcW w:w="4799" w:type="dxa"/>
            <w:tcBorders>
              <w:top w:val="single" w:sz="8" w:space="0" w:color="auto"/>
              <w:left w:val="nil"/>
              <w:bottom w:val="single" w:sz="8" w:space="0" w:color="auto"/>
              <w:right w:val="single" w:sz="4" w:space="0" w:color="auto"/>
            </w:tcBorders>
            <w:shd w:val="clear" w:color="auto" w:fill="C2D69B"/>
            <w:vAlign w:val="center"/>
            <w:hideMark/>
          </w:tcPr>
          <w:p w14:paraId="7A9041F4" w14:textId="77777777" w:rsidR="00562F5C" w:rsidRDefault="00562F5C">
            <w:pPr>
              <w:spacing w:line="256" w:lineRule="auto"/>
              <w:outlineLvl w:val="2"/>
              <w:rPr>
                <w:rFonts w:ascii="Calibri Light" w:eastAsia="MS Mincho" w:hAnsi="Calibri Light" w:cs="Calibri Light"/>
                <w:color w:val="000000"/>
                <w:kern w:val="2"/>
                <w:sz w:val="18"/>
                <w:szCs w:val="18"/>
                <w:highlight w:val="yellow"/>
                <w:lang w:val="en-GB"/>
                <w14:ligatures w14:val="standardContextual"/>
              </w:rPr>
            </w:pPr>
            <w:bookmarkStart w:id="127" w:name="_Toc214024598"/>
            <w:r>
              <w:rPr>
                <w:rFonts w:ascii="Calibri Light" w:eastAsia="Calibri" w:hAnsi="Calibri Light" w:cs="Calibri Light"/>
                <w:bCs/>
                <w:color w:val="000000"/>
                <w:kern w:val="2"/>
                <w:sz w:val="18"/>
                <w:szCs w:val="18"/>
                <w:lang w:val="en-GB"/>
                <w14:ligatures w14:val="standardContextual"/>
              </w:rPr>
              <w:t>Level of compliance with family medicine and oral health teams</w:t>
            </w:r>
            <w:bookmarkEnd w:id="127"/>
          </w:p>
        </w:tc>
        <w:tc>
          <w:tcPr>
            <w:tcW w:w="7262" w:type="dxa"/>
            <w:tcBorders>
              <w:top w:val="single" w:sz="8" w:space="0" w:color="auto"/>
              <w:left w:val="nil"/>
              <w:bottom w:val="single" w:sz="8" w:space="0" w:color="auto"/>
              <w:right w:val="single" w:sz="4" w:space="0" w:color="auto"/>
            </w:tcBorders>
            <w:shd w:val="clear" w:color="auto" w:fill="C2D69B"/>
            <w:vAlign w:val="center"/>
            <w:hideMark/>
          </w:tcPr>
          <w:p w14:paraId="0B3F38A3"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aims to measure the level of performance, namely the achievement of the municipality in ensuring the target ratio of the teams: of family medicine (1 specialist and 2 nurses) and dentistry (1 doctor of dentistry and 1 technician/assistant).</w:t>
            </w:r>
          </w:p>
          <w:p w14:paraId="136C7698"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lastRenderedPageBreak/>
              <w:t xml:space="preserve">The ratio required for the specialized teams is as follows: the family medicine team consists of a family doctor and </w:t>
            </w:r>
            <w:proofErr w:type="gramStart"/>
            <w:r>
              <w:rPr>
                <w:rFonts w:ascii="Calibri Light" w:eastAsia="MS Mincho" w:hAnsi="Calibri Light" w:cs="Calibri Light"/>
                <w:color w:val="000000"/>
                <w:kern w:val="2"/>
                <w:sz w:val="18"/>
                <w:szCs w:val="18"/>
                <w:lang w:val="en-GB"/>
                <w14:ligatures w14:val="standardContextual"/>
              </w:rPr>
              <w:t>two family</w:t>
            </w:r>
            <w:proofErr w:type="gramEnd"/>
            <w:r>
              <w:rPr>
                <w:rFonts w:ascii="Calibri Light" w:eastAsia="MS Mincho" w:hAnsi="Calibri Light" w:cs="Calibri Light"/>
                <w:color w:val="000000"/>
                <w:kern w:val="2"/>
                <w:sz w:val="18"/>
                <w:szCs w:val="18"/>
                <w:lang w:val="en-GB"/>
                <w14:ligatures w14:val="standardContextual"/>
              </w:rPr>
              <w:t xml:space="preserve"> nurses, who provide individual, family and community care, providing services to 2000 residents; and the oral health team consists of a dentist and a dental technician/assistant serving 5000 residents. In this aspect, the aim is to measure compliance with the target level of the ratio, either from the highest or from the lowest scale in terms of certain values. Incomplete teams are not counted when calculating the above-mentioned teams, even though they are part of the institution and provide services.</w:t>
            </w:r>
          </w:p>
        </w:tc>
      </w:tr>
      <w:bookmarkEnd w:id="97"/>
    </w:tbl>
    <w:p w14:paraId="1C7567E9" w14:textId="77777777" w:rsidR="00562F5C" w:rsidRDefault="00562F5C" w:rsidP="00562F5C">
      <w:pPr>
        <w:rPr>
          <w:lang w:val="en-GB"/>
        </w:rPr>
      </w:pPr>
    </w:p>
    <w:p w14:paraId="0D6478E0" w14:textId="77777777" w:rsidR="00214972" w:rsidRPr="001E5747" w:rsidRDefault="00214972" w:rsidP="00214972">
      <w:pPr>
        <w:rPr>
          <w:rFonts w:eastAsia="Times New Roman"/>
          <w:sz w:val="12"/>
          <w:szCs w:val="12"/>
          <w:lang w:val="en-GB"/>
        </w:rPr>
      </w:pPr>
    </w:p>
    <w:p w14:paraId="0D3AA216" w14:textId="77777777" w:rsidR="00214972" w:rsidRPr="001E5747" w:rsidRDefault="00214972" w:rsidP="00214972">
      <w:pPr>
        <w:rPr>
          <w:rFonts w:eastAsia="Times New Roman"/>
          <w:lang w:val="en-GB"/>
        </w:rPr>
      </w:pPr>
      <w:r w:rsidRPr="001E5747">
        <w:rPr>
          <w:rFonts w:eastAsia="Times New Roman"/>
          <w:lang w:val="en-GB"/>
        </w:rPr>
        <w:br w:type="textWrapping" w:clear="all"/>
      </w:r>
    </w:p>
    <w:p w14:paraId="1D68DC18" w14:textId="77777777" w:rsidR="00214972" w:rsidRPr="001E5747" w:rsidRDefault="00214972" w:rsidP="00214972">
      <w:pPr>
        <w:rPr>
          <w:rFonts w:eastAsia="Times New Roman"/>
          <w:lang w:val="en-GB"/>
        </w:rPr>
        <w:sectPr w:rsidR="00214972" w:rsidRPr="001E5747" w:rsidSect="007E0AF9">
          <w:footerReference w:type="default" r:id="rId18"/>
          <w:pgSz w:w="16834" w:h="11909" w:orient="landscape" w:code="9"/>
          <w:pgMar w:top="993" w:right="1440" w:bottom="1800" w:left="1440" w:header="1298" w:footer="1052" w:gutter="0"/>
          <w:cols w:space="720"/>
          <w:docGrid w:linePitch="360"/>
        </w:sectPr>
      </w:pPr>
    </w:p>
    <w:p w14:paraId="5AD03DBD" w14:textId="77777777" w:rsidR="00214972" w:rsidRPr="00615656" w:rsidRDefault="00214972" w:rsidP="00615656">
      <w:pPr>
        <w:pStyle w:val="Heading1"/>
        <w:shd w:val="clear" w:color="auto" w:fill="D55635"/>
        <w:tabs>
          <w:tab w:val="left" w:pos="540"/>
        </w:tabs>
        <w:rPr>
          <w:rFonts w:asciiTheme="majorHAnsi" w:hAnsiTheme="majorHAnsi"/>
          <w:color w:val="FFFFFF" w:themeColor="background1"/>
          <w:sz w:val="32"/>
          <w:szCs w:val="32"/>
          <w:lang w:val="en-GB"/>
        </w:rPr>
      </w:pPr>
      <w:bookmarkStart w:id="128" w:name="_Toc31029016"/>
      <w:bookmarkStart w:id="129" w:name="_Toc31194814"/>
      <w:bookmarkStart w:id="130" w:name="_Toc61062544"/>
      <w:bookmarkStart w:id="131" w:name="_Toc214024599"/>
      <w:r w:rsidRPr="00615656">
        <w:rPr>
          <w:rFonts w:asciiTheme="majorHAnsi" w:hAnsiTheme="majorHAnsi"/>
          <w:color w:val="FFFFFF" w:themeColor="background1"/>
          <w:sz w:val="32"/>
          <w:szCs w:val="32"/>
          <w:lang w:val="en-GB"/>
        </w:rPr>
        <w:lastRenderedPageBreak/>
        <w:t xml:space="preserve">Annex 3: </w:t>
      </w:r>
      <w:bookmarkEnd w:id="128"/>
      <w:bookmarkEnd w:id="129"/>
      <w:bookmarkEnd w:id="130"/>
      <w:r w:rsidR="00D246A0" w:rsidRPr="00615656">
        <w:rPr>
          <w:rFonts w:asciiTheme="majorHAnsi" w:hAnsiTheme="majorHAnsi"/>
          <w:color w:val="FFFFFF" w:themeColor="background1"/>
          <w:sz w:val="32"/>
          <w:szCs w:val="32"/>
          <w:lang w:val="en-GB"/>
        </w:rPr>
        <w:t xml:space="preserve">Template for </w:t>
      </w:r>
      <w:r w:rsidRPr="00615656">
        <w:rPr>
          <w:rFonts w:asciiTheme="majorHAnsi" w:hAnsiTheme="majorHAnsi"/>
          <w:color w:val="FFFFFF" w:themeColor="background1"/>
          <w:sz w:val="32"/>
          <w:szCs w:val="32"/>
          <w:lang w:val="en-GB"/>
        </w:rPr>
        <w:t xml:space="preserve">Scorecard </w:t>
      </w:r>
      <w:r w:rsidR="00836F55" w:rsidRPr="00615656">
        <w:rPr>
          <w:rFonts w:asciiTheme="majorHAnsi" w:hAnsiTheme="majorHAnsi"/>
          <w:color w:val="FFFFFF" w:themeColor="background1"/>
          <w:sz w:val="32"/>
          <w:szCs w:val="32"/>
          <w:lang w:val="en-GB"/>
        </w:rPr>
        <w:t>and scoring guideline</w:t>
      </w:r>
      <w:bookmarkEnd w:id="131"/>
    </w:p>
    <w:p w14:paraId="01DD5E45" w14:textId="77777777" w:rsidR="00214972" w:rsidRPr="001E5747" w:rsidDel="00747AC9" w:rsidRDefault="00214972" w:rsidP="00214972">
      <w:pPr>
        <w:rPr>
          <w:rFonts w:eastAsia="Times New Roman"/>
          <w:lang w:val="en-GB"/>
        </w:rPr>
      </w:pPr>
      <w:bookmarkStart w:id="132" w:name="_MON_1581160768"/>
      <w:bookmarkEnd w:id="132"/>
    </w:p>
    <w:tbl>
      <w:tblPr>
        <w:tblW w:w="5000" w:type="pct"/>
        <w:tblCellMar>
          <w:left w:w="0" w:type="dxa"/>
          <w:right w:w="0" w:type="dxa"/>
        </w:tblCellMar>
        <w:tblLook w:val="04A0" w:firstRow="1" w:lastRow="0" w:firstColumn="1" w:lastColumn="0" w:noHBand="0" w:noVBand="1"/>
      </w:tblPr>
      <w:tblGrid>
        <w:gridCol w:w="544"/>
        <w:gridCol w:w="10860"/>
        <w:gridCol w:w="2530"/>
      </w:tblGrid>
      <w:tr w:rsidR="00214972" w:rsidRPr="001E5747" w14:paraId="656A9395" w14:textId="77777777" w:rsidTr="00B739C3">
        <w:trPr>
          <w:trHeight w:val="470"/>
        </w:trPr>
        <w:tc>
          <w:tcPr>
            <w:tcW w:w="5000" w:type="pct"/>
            <w:gridSpan w:val="3"/>
            <w:tcBorders>
              <w:top w:val="single" w:sz="8" w:space="0" w:color="auto"/>
              <w:left w:val="single" w:sz="8" w:space="0" w:color="auto"/>
              <w:bottom w:val="single" w:sz="8" w:space="0" w:color="auto"/>
              <w:right w:val="single" w:sz="8" w:space="0" w:color="000000"/>
            </w:tcBorders>
            <w:shd w:val="clear" w:color="000000" w:fill="215967"/>
            <w:tcMar>
              <w:top w:w="15" w:type="dxa"/>
              <w:left w:w="15" w:type="dxa"/>
              <w:bottom w:w="0" w:type="dxa"/>
              <w:right w:w="15" w:type="dxa"/>
            </w:tcMar>
            <w:vAlign w:val="center"/>
            <w:hideMark/>
          </w:tcPr>
          <w:p w14:paraId="2476320B" w14:textId="38DCB5B6" w:rsidR="00214972" w:rsidRPr="001E5747" w:rsidRDefault="00214972" w:rsidP="00201E60">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Summary of results on municipal performance grant 20</w:t>
            </w:r>
            <w:r w:rsidR="00201E60">
              <w:rPr>
                <w:rFonts w:ascii="Calibri" w:eastAsia="Times New Roman" w:hAnsi="Calibri" w:cs="Calibri"/>
                <w:b/>
                <w:bCs/>
                <w:color w:val="FFFFFF"/>
                <w:sz w:val="16"/>
                <w:szCs w:val="16"/>
                <w:lang w:val="en-GB"/>
              </w:rPr>
              <w:t>2</w:t>
            </w:r>
            <w:r w:rsidR="009403FE">
              <w:rPr>
                <w:rFonts w:ascii="Calibri" w:eastAsia="Times New Roman" w:hAnsi="Calibri" w:cs="Calibri"/>
                <w:b/>
                <w:bCs/>
                <w:color w:val="FFFFFF"/>
                <w:sz w:val="16"/>
                <w:szCs w:val="16"/>
                <w:lang w:val="en-GB"/>
              </w:rPr>
              <w:t>6</w:t>
            </w:r>
          </w:p>
        </w:tc>
      </w:tr>
      <w:tr w:rsidR="00214972" w:rsidRPr="001E5747" w14:paraId="50686211" w14:textId="77777777" w:rsidTr="00B739C3">
        <w:trPr>
          <w:trHeight w:val="195"/>
        </w:trPr>
        <w:tc>
          <w:tcPr>
            <w:tcW w:w="195" w:type="pct"/>
            <w:tcBorders>
              <w:top w:val="nil"/>
              <w:left w:val="single" w:sz="8" w:space="0" w:color="auto"/>
              <w:bottom w:val="nil"/>
              <w:right w:val="nil"/>
            </w:tcBorders>
            <w:noWrap/>
            <w:tcMar>
              <w:top w:w="15" w:type="dxa"/>
              <w:left w:w="15" w:type="dxa"/>
              <w:bottom w:w="0" w:type="dxa"/>
              <w:right w:w="15" w:type="dxa"/>
            </w:tcMar>
            <w:vAlign w:val="bottom"/>
            <w:hideMark/>
          </w:tcPr>
          <w:p w14:paraId="44ACA5D4" w14:textId="77777777" w:rsidR="00214972" w:rsidRPr="001E5747" w:rsidRDefault="00214972" w:rsidP="00214972">
            <w:pPr>
              <w:rPr>
                <w:rFonts w:ascii="Calibri" w:eastAsia="Times New Roman" w:hAnsi="Calibri" w:cs="Calibri"/>
                <w:color w:val="000000"/>
                <w:sz w:val="16"/>
                <w:szCs w:val="16"/>
                <w:lang w:val="en-GB"/>
              </w:rPr>
            </w:pPr>
            <w:r w:rsidRPr="001E5747">
              <w:rPr>
                <w:rFonts w:ascii="Calibri" w:eastAsia="Times New Roman" w:hAnsi="Calibri" w:cs="Calibri"/>
                <w:color w:val="000000"/>
                <w:sz w:val="16"/>
                <w:szCs w:val="16"/>
                <w:lang w:val="en-GB"/>
              </w:rPr>
              <w:t> </w:t>
            </w:r>
          </w:p>
        </w:tc>
        <w:tc>
          <w:tcPr>
            <w:tcW w:w="3897" w:type="pct"/>
            <w:tcBorders>
              <w:top w:val="nil"/>
              <w:left w:val="nil"/>
              <w:bottom w:val="nil"/>
              <w:right w:val="nil"/>
            </w:tcBorders>
            <w:noWrap/>
            <w:tcMar>
              <w:top w:w="15" w:type="dxa"/>
              <w:left w:w="15" w:type="dxa"/>
              <w:bottom w:w="0" w:type="dxa"/>
              <w:right w:w="15" w:type="dxa"/>
            </w:tcMar>
            <w:vAlign w:val="bottom"/>
            <w:hideMark/>
          </w:tcPr>
          <w:p w14:paraId="2E6282AB" w14:textId="77777777" w:rsidR="00214972" w:rsidRPr="001E5747" w:rsidRDefault="00214972" w:rsidP="00214972">
            <w:pPr>
              <w:rPr>
                <w:rFonts w:ascii="Calibri" w:eastAsia="Times New Roman" w:hAnsi="Calibri" w:cs="Calibri"/>
                <w:color w:val="000000"/>
                <w:sz w:val="16"/>
                <w:szCs w:val="16"/>
                <w:lang w:val="en-GB"/>
              </w:rPr>
            </w:pPr>
          </w:p>
        </w:tc>
        <w:tc>
          <w:tcPr>
            <w:tcW w:w="908" w:type="pct"/>
            <w:tcBorders>
              <w:top w:val="nil"/>
              <w:left w:val="nil"/>
              <w:bottom w:val="nil"/>
              <w:right w:val="single" w:sz="8" w:space="0" w:color="auto"/>
            </w:tcBorders>
            <w:noWrap/>
            <w:tcMar>
              <w:top w:w="15" w:type="dxa"/>
              <w:left w:w="15" w:type="dxa"/>
              <w:bottom w:w="0" w:type="dxa"/>
              <w:right w:w="15" w:type="dxa"/>
            </w:tcMar>
            <w:vAlign w:val="bottom"/>
            <w:hideMark/>
          </w:tcPr>
          <w:p w14:paraId="143BACFF" w14:textId="77777777" w:rsidR="00214972" w:rsidRPr="001E5747" w:rsidRDefault="00214972" w:rsidP="00214972">
            <w:pPr>
              <w:rPr>
                <w:rFonts w:ascii="Calibri" w:eastAsia="Times New Roman" w:hAnsi="Calibri" w:cs="Calibri"/>
                <w:color w:val="000000"/>
                <w:sz w:val="16"/>
                <w:szCs w:val="16"/>
                <w:lang w:val="en-GB"/>
              </w:rPr>
            </w:pPr>
            <w:r w:rsidRPr="001E5747">
              <w:rPr>
                <w:rFonts w:ascii="Calibri" w:eastAsia="Times New Roman" w:hAnsi="Calibri" w:cs="Calibri"/>
                <w:color w:val="000000"/>
                <w:sz w:val="16"/>
                <w:szCs w:val="16"/>
                <w:lang w:val="en-GB"/>
              </w:rPr>
              <w:t> </w:t>
            </w:r>
          </w:p>
        </w:tc>
      </w:tr>
      <w:tr w:rsidR="00214972" w:rsidRPr="001E5747" w14:paraId="6AD7E972" w14:textId="77777777" w:rsidTr="00B739C3">
        <w:trPr>
          <w:trHeight w:val="303"/>
        </w:trPr>
        <w:tc>
          <w:tcPr>
            <w:tcW w:w="195" w:type="pct"/>
            <w:tcBorders>
              <w:top w:val="single" w:sz="8" w:space="0" w:color="auto"/>
              <w:left w:val="single" w:sz="8" w:space="0" w:color="auto"/>
              <w:bottom w:val="single" w:sz="8" w:space="0" w:color="auto"/>
              <w:right w:val="single" w:sz="4" w:space="0" w:color="auto"/>
            </w:tcBorders>
            <w:shd w:val="clear" w:color="000000" w:fill="31869B"/>
            <w:tcMar>
              <w:top w:w="15" w:type="dxa"/>
              <w:left w:w="15" w:type="dxa"/>
              <w:bottom w:w="0" w:type="dxa"/>
              <w:right w:w="15" w:type="dxa"/>
            </w:tcMar>
            <w:vAlign w:val="center"/>
            <w:hideMark/>
          </w:tcPr>
          <w:p w14:paraId="4F86FF31"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w:t>
            </w:r>
          </w:p>
        </w:tc>
        <w:tc>
          <w:tcPr>
            <w:tcW w:w="3897" w:type="pct"/>
            <w:tcBorders>
              <w:top w:val="single" w:sz="8" w:space="0" w:color="auto"/>
              <w:left w:val="nil"/>
              <w:bottom w:val="single" w:sz="8" w:space="0" w:color="auto"/>
              <w:right w:val="nil"/>
            </w:tcBorders>
            <w:shd w:val="clear" w:color="000000" w:fill="31869B"/>
            <w:tcMar>
              <w:top w:w="15" w:type="dxa"/>
              <w:left w:w="15" w:type="dxa"/>
              <w:bottom w:w="0" w:type="dxa"/>
              <w:right w:w="15" w:type="dxa"/>
            </w:tcMar>
            <w:vAlign w:val="center"/>
            <w:hideMark/>
          </w:tcPr>
          <w:p w14:paraId="08F8CC8D"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Minimum condition</w:t>
            </w:r>
          </w:p>
        </w:tc>
        <w:tc>
          <w:tcPr>
            <w:tcW w:w="908" w:type="pct"/>
            <w:tcBorders>
              <w:top w:val="single" w:sz="8" w:space="0" w:color="auto"/>
              <w:left w:val="single" w:sz="8" w:space="0" w:color="auto"/>
              <w:bottom w:val="single" w:sz="8" w:space="0" w:color="auto"/>
              <w:right w:val="single" w:sz="8" w:space="0" w:color="auto"/>
            </w:tcBorders>
            <w:shd w:val="clear" w:color="000000" w:fill="31869B"/>
            <w:tcMar>
              <w:top w:w="15" w:type="dxa"/>
              <w:left w:w="15" w:type="dxa"/>
              <w:bottom w:w="0" w:type="dxa"/>
              <w:right w:w="15" w:type="dxa"/>
            </w:tcMar>
            <w:vAlign w:val="center"/>
            <w:hideMark/>
          </w:tcPr>
          <w:p w14:paraId="4BCBF737"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Assessment</w:t>
            </w:r>
          </w:p>
        </w:tc>
      </w:tr>
      <w:tr w:rsidR="00214972" w:rsidRPr="001E5747" w14:paraId="39A1B10E" w14:textId="77777777" w:rsidTr="00B739C3">
        <w:trPr>
          <w:trHeight w:val="509"/>
        </w:trPr>
        <w:tc>
          <w:tcPr>
            <w:tcW w:w="195" w:type="pct"/>
            <w:tcBorders>
              <w:top w:val="nil"/>
              <w:left w:val="single" w:sz="8" w:space="0" w:color="auto"/>
              <w:bottom w:val="single" w:sz="4" w:space="0" w:color="auto"/>
              <w:right w:val="single" w:sz="4" w:space="0" w:color="auto"/>
            </w:tcBorders>
            <w:shd w:val="clear" w:color="000000" w:fill="92CDDC"/>
            <w:tcMar>
              <w:top w:w="15" w:type="dxa"/>
              <w:left w:w="15" w:type="dxa"/>
              <w:bottom w:w="0" w:type="dxa"/>
              <w:right w:w="15" w:type="dxa"/>
            </w:tcMar>
            <w:vAlign w:val="center"/>
            <w:hideMark/>
          </w:tcPr>
          <w:p w14:paraId="7823ACE7"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1</w:t>
            </w:r>
          </w:p>
        </w:tc>
        <w:tc>
          <w:tcPr>
            <w:tcW w:w="3897" w:type="pct"/>
            <w:tcBorders>
              <w:top w:val="nil"/>
              <w:left w:val="nil"/>
              <w:right w:val="nil"/>
            </w:tcBorders>
            <w:shd w:val="clear" w:color="000000" w:fill="FFFFFF"/>
            <w:tcMar>
              <w:top w:w="15" w:type="dxa"/>
              <w:left w:w="15" w:type="dxa"/>
              <w:bottom w:w="0" w:type="dxa"/>
              <w:right w:w="15" w:type="dxa"/>
            </w:tcMar>
            <w:vAlign w:val="center"/>
            <w:hideMark/>
          </w:tcPr>
          <w:p w14:paraId="0BAD08BE" w14:textId="77777777" w:rsidR="00214972" w:rsidRPr="001E5747" w:rsidRDefault="00214972" w:rsidP="00214972">
            <w:pPr>
              <w:rPr>
                <w:rFonts w:ascii="Calibri" w:eastAsia="Times New Roman" w:hAnsi="Calibri" w:cs="Calibri"/>
                <w:color w:val="000000"/>
                <w:sz w:val="16"/>
                <w:szCs w:val="16"/>
                <w:lang w:val="en-GB"/>
              </w:rPr>
            </w:pPr>
            <w:r w:rsidRPr="001E5747">
              <w:rPr>
                <w:rFonts w:ascii="Calibri" w:eastAsia="Times New Roman" w:hAnsi="Calibri"/>
                <w:sz w:val="18"/>
                <w:szCs w:val="18"/>
                <w:lang w:val="en-GB"/>
              </w:rPr>
              <w:t>Municipalities should have reported data to the MPMS within the set deadlines</w:t>
            </w:r>
          </w:p>
        </w:tc>
        <w:tc>
          <w:tcPr>
            <w:tcW w:w="908" w:type="pct"/>
            <w:tcBorders>
              <w:top w:val="nil"/>
              <w:left w:val="single" w:sz="4" w:space="0" w:color="000000"/>
              <w:bottom w:val="single" w:sz="4" w:space="0" w:color="auto"/>
              <w:right w:val="single" w:sz="8" w:space="0" w:color="auto"/>
            </w:tcBorders>
            <w:shd w:val="clear" w:color="000000" w:fill="FFFFFF"/>
            <w:tcMar>
              <w:top w:w="15" w:type="dxa"/>
              <w:left w:w="15" w:type="dxa"/>
              <w:bottom w:w="0" w:type="dxa"/>
              <w:right w:w="15" w:type="dxa"/>
            </w:tcMar>
            <w:vAlign w:val="center"/>
            <w:hideMark/>
          </w:tcPr>
          <w:p w14:paraId="08350704" w14:textId="77777777" w:rsidR="00214972" w:rsidRPr="001E5747" w:rsidRDefault="00214972" w:rsidP="00214972">
            <w:pPr>
              <w:jc w:val="center"/>
              <w:rPr>
                <w:rFonts w:ascii="Calibri" w:eastAsia="Times New Roman" w:hAnsi="Calibri" w:cs="Calibri"/>
                <w:color w:val="FF0000"/>
                <w:sz w:val="16"/>
                <w:szCs w:val="16"/>
                <w:lang w:val="en-GB"/>
              </w:rPr>
            </w:pPr>
            <w:r w:rsidRPr="001E5747">
              <w:rPr>
                <w:rFonts w:ascii="Calibri" w:eastAsia="Times New Roman" w:hAnsi="Calibri" w:cs="Calibri"/>
                <w:color w:val="FF0000"/>
                <w:sz w:val="16"/>
                <w:szCs w:val="16"/>
                <w:lang w:val="en-GB"/>
              </w:rPr>
              <w:t> </w:t>
            </w:r>
          </w:p>
          <w:p w14:paraId="755ADB73" w14:textId="77777777" w:rsidR="00214972" w:rsidRPr="001E5747" w:rsidRDefault="00214972" w:rsidP="00214972">
            <w:pPr>
              <w:jc w:val="center"/>
              <w:rPr>
                <w:rFonts w:ascii="Calibri" w:eastAsia="Times New Roman" w:hAnsi="Calibri" w:cs="Calibri"/>
                <w:color w:val="FF0000"/>
                <w:sz w:val="16"/>
                <w:szCs w:val="16"/>
                <w:lang w:val="en-GB"/>
              </w:rPr>
            </w:pPr>
            <w:r w:rsidRPr="001E5747">
              <w:rPr>
                <w:rFonts w:ascii="Calibri" w:eastAsia="Times New Roman" w:hAnsi="Calibri" w:cs="Calibri"/>
                <w:color w:val="FF0000"/>
                <w:sz w:val="16"/>
                <w:szCs w:val="16"/>
                <w:lang w:val="en-GB"/>
              </w:rPr>
              <w:t> </w:t>
            </w:r>
          </w:p>
        </w:tc>
      </w:tr>
      <w:tr w:rsidR="00214972" w:rsidRPr="001E5747" w14:paraId="67399D1D" w14:textId="77777777" w:rsidTr="00C96E3F">
        <w:trPr>
          <w:trHeight w:val="491"/>
        </w:trPr>
        <w:tc>
          <w:tcPr>
            <w:tcW w:w="195" w:type="pct"/>
            <w:tcBorders>
              <w:top w:val="nil"/>
              <w:left w:val="single" w:sz="8"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14:paraId="0B123DAE"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2</w:t>
            </w:r>
          </w:p>
        </w:tc>
        <w:tc>
          <w:tcPr>
            <w:tcW w:w="3897" w:type="pct"/>
            <w:tcBorders>
              <w:top w:val="single" w:sz="8" w:space="0" w:color="auto"/>
              <w:left w:val="nil"/>
              <w:right w:val="nil"/>
            </w:tcBorders>
            <w:tcMar>
              <w:top w:w="15" w:type="dxa"/>
              <w:left w:w="15" w:type="dxa"/>
              <w:bottom w:w="0" w:type="dxa"/>
              <w:right w:w="15" w:type="dxa"/>
            </w:tcMar>
            <w:vAlign w:val="center"/>
            <w:hideMark/>
          </w:tcPr>
          <w:p w14:paraId="55D4FCA6" w14:textId="77777777" w:rsidR="00214972" w:rsidRPr="001E5747" w:rsidRDefault="00214972" w:rsidP="00214972">
            <w:pPr>
              <w:rPr>
                <w:rFonts w:ascii="Calibri" w:eastAsia="Times New Roman" w:hAnsi="Calibri" w:cs="Calibri"/>
                <w:color w:val="000000"/>
                <w:sz w:val="16"/>
                <w:szCs w:val="16"/>
                <w:lang w:val="en-GB"/>
              </w:rPr>
            </w:pPr>
            <w:r w:rsidRPr="001E5747">
              <w:rPr>
                <w:rFonts w:ascii="Calibri" w:eastAsia="Times New Roman" w:hAnsi="Calibri"/>
                <w:sz w:val="18"/>
                <w:szCs w:val="18"/>
                <w:lang w:val="en-GB"/>
              </w:rPr>
              <w:t>Municipalities should have adhered to the legal obligation for reviewing municipal acts assessed as incompliant by the supervisory authority</w:t>
            </w:r>
          </w:p>
        </w:tc>
        <w:tc>
          <w:tcPr>
            <w:tcW w:w="908" w:type="pct"/>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hideMark/>
          </w:tcPr>
          <w:p w14:paraId="66ED4E3C" w14:textId="77777777" w:rsidR="00214972" w:rsidRPr="001E5747" w:rsidRDefault="00214972" w:rsidP="00214972">
            <w:pPr>
              <w:jc w:val="center"/>
              <w:rPr>
                <w:rFonts w:ascii="Calibri" w:eastAsia="Times New Roman" w:hAnsi="Calibri" w:cs="Calibri"/>
                <w:color w:val="FF0000"/>
                <w:sz w:val="16"/>
                <w:szCs w:val="16"/>
                <w:lang w:val="en-GB"/>
              </w:rPr>
            </w:pPr>
            <w:r w:rsidRPr="001E5747">
              <w:rPr>
                <w:rFonts w:ascii="Calibri" w:eastAsia="Times New Roman" w:hAnsi="Calibri" w:cs="Calibri"/>
                <w:color w:val="FF0000"/>
                <w:sz w:val="16"/>
                <w:szCs w:val="16"/>
                <w:lang w:val="en-GB"/>
              </w:rPr>
              <w:t> </w:t>
            </w:r>
          </w:p>
          <w:p w14:paraId="38DF3D26" w14:textId="77777777" w:rsidR="00214972" w:rsidRPr="001E5747" w:rsidRDefault="00214972" w:rsidP="00214972">
            <w:pPr>
              <w:jc w:val="center"/>
              <w:rPr>
                <w:rFonts w:ascii="Calibri" w:eastAsia="Times New Roman" w:hAnsi="Calibri" w:cs="Calibri"/>
                <w:color w:val="FF0000"/>
                <w:sz w:val="16"/>
                <w:szCs w:val="16"/>
                <w:lang w:val="en-GB"/>
              </w:rPr>
            </w:pPr>
            <w:r w:rsidRPr="001E5747">
              <w:rPr>
                <w:rFonts w:ascii="Calibri" w:eastAsia="Times New Roman" w:hAnsi="Calibri" w:cs="Calibri"/>
                <w:color w:val="FF0000"/>
                <w:sz w:val="16"/>
                <w:szCs w:val="16"/>
                <w:lang w:val="en-GB"/>
              </w:rPr>
              <w:t> </w:t>
            </w:r>
          </w:p>
        </w:tc>
      </w:tr>
      <w:tr w:rsidR="00214972" w:rsidRPr="001E5747" w14:paraId="2E294D23" w14:textId="77777777" w:rsidTr="00B739C3">
        <w:trPr>
          <w:trHeight w:val="476"/>
        </w:trPr>
        <w:tc>
          <w:tcPr>
            <w:tcW w:w="195" w:type="pct"/>
            <w:tcBorders>
              <w:top w:val="nil"/>
              <w:left w:val="single" w:sz="8" w:space="0" w:color="auto"/>
              <w:bottom w:val="single" w:sz="4" w:space="0" w:color="000000"/>
              <w:right w:val="single" w:sz="4" w:space="0" w:color="auto"/>
            </w:tcBorders>
            <w:shd w:val="clear" w:color="000000" w:fill="92CDDC"/>
            <w:tcMar>
              <w:top w:w="15" w:type="dxa"/>
              <w:left w:w="15" w:type="dxa"/>
              <w:bottom w:w="0" w:type="dxa"/>
              <w:right w:w="15" w:type="dxa"/>
            </w:tcMar>
            <w:vAlign w:val="center"/>
            <w:hideMark/>
          </w:tcPr>
          <w:p w14:paraId="284D5839"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3</w:t>
            </w:r>
          </w:p>
        </w:tc>
        <w:tc>
          <w:tcPr>
            <w:tcW w:w="3897" w:type="pct"/>
            <w:tcBorders>
              <w:top w:val="single" w:sz="8" w:space="0" w:color="auto"/>
              <w:left w:val="nil"/>
              <w:right w:val="nil"/>
            </w:tcBorders>
            <w:tcMar>
              <w:top w:w="15" w:type="dxa"/>
              <w:left w:w="15" w:type="dxa"/>
              <w:bottom w:w="0" w:type="dxa"/>
              <w:right w:w="15" w:type="dxa"/>
            </w:tcMar>
            <w:vAlign w:val="center"/>
            <w:hideMark/>
          </w:tcPr>
          <w:p w14:paraId="3A3E51C2" w14:textId="77777777" w:rsidR="00214972" w:rsidRPr="001E5747" w:rsidRDefault="00214972" w:rsidP="00214972">
            <w:pPr>
              <w:rPr>
                <w:rFonts w:ascii="Calibri" w:eastAsia="Times New Roman" w:hAnsi="Calibri" w:cs="Calibri"/>
                <w:color w:val="000000"/>
                <w:sz w:val="16"/>
                <w:szCs w:val="16"/>
                <w:lang w:val="en-GB"/>
              </w:rPr>
            </w:pPr>
            <w:r w:rsidRPr="001E5747">
              <w:rPr>
                <w:rFonts w:ascii="Calibri" w:eastAsia="Times New Roman" w:hAnsi="Calibri"/>
                <w:sz w:val="18"/>
                <w:szCs w:val="18"/>
                <w:lang w:val="en-GB"/>
              </w:rPr>
              <w:t>The audit opinion should be at least ‘unmodified opinion with emphasis of matter’</w:t>
            </w:r>
          </w:p>
        </w:tc>
        <w:tc>
          <w:tcPr>
            <w:tcW w:w="908" w:type="pct"/>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hideMark/>
          </w:tcPr>
          <w:p w14:paraId="03D34B28" w14:textId="77777777" w:rsidR="00214972" w:rsidRPr="001E5747" w:rsidRDefault="00214972" w:rsidP="00214972">
            <w:pPr>
              <w:jc w:val="center"/>
              <w:rPr>
                <w:rFonts w:ascii="Calibri" w:eastAsia="Times New Roman" w:hAnsi="Calibri" w:cs="Calibri"/>
                <w:color w:val="FF0000"/>
                <w:sz w:val="16"/>
                <w:szCs w:val="16"/>
                <w:lang w:val="en-GB"/>
              </w:rPr>
            </w:pPr>
            <w:r w:rsidRPr="001E5747">
              <w:rPr>
                <w:rFonts w:ascii="Calibri" w:eastAsia="Times New Roman" w:hAnsi="Calibri" w:cs="Calibri"/>
                <w:color w:val="FF0000"/>
                <w:sz w:val="16"/>
                <w:szCs w:val="16"/>
                <w:lang w:val="en-GB"/>
              </w:rPr>
              <w:t> </w:t>
            </w:r>
          </w:p>
          <w:p w14:paraId="5BF7028A" w14:textId="77777777" w:rsidR="00214972" w:rsidRPr="001E5747" w:rsidRDefault="00214972" w:rsidP="00214972">
            <w:pPr>
              <w:jc w:val="center"/>
              <w:rPr>
                <w:rFonts w:ascii="Calibri" w:eastAsia="Times New Roman" w:hAnsi="Calibri" w:cs="Calibri"/>
                <w:color w:val="FF0000"/>
                <w:sz w:val="16"/>
                <w:szCs w:val="16"/>
                <w:lang w:val="en-GB"/>
              </w:rPr>
            </w:pPr>
            <w:r w:rsidRPr="001E5747">
              <w:rPr>
                <w:rFonts w:ascii="Calibri" w:eastAsia="Times New Roman" w:hAnsi="Calibri" w:cs="Calibri"/>
                <w:color w:val="FF0000"/>
                <w:sz w:val="16"/>
                <w:szCs w:val="16"/>
                <w:lang w:val="en-GB"/>
              </w:rPr>
              <w:t> </w:t>
            </w:r>
          </w:p>
        </w:tc>
      </w:tr>
      <w:tr w:rsidR="00214972" w:rsidRPr="001E5747" w14:paraId="1B7BA1E0" w14:textId="77777777" w:rsidTr="00B739C3">
        <w:trPr>
          <w:trHeight w:val="484"/>
        </w:trPr>
        <w:tc>
          <w:tcPr>
            <w:tcW w:w="195" w:type="pct"/>
            <w:tcBorders>
              <w:top w:val="nil"/>
              <w:left w:val="single" w:sz="8" w:space="0" w:color="auto"/>
              <w:bottom w:val="single" w:sz="4" w:space="0" w:color="000000"/>
              <w:right w:val="single" w:sz="4" w:space="0" w:color="auto"/>
            </w:tcBorders>
            <w:shd w:val="clear" w:color="000000" w:fill="92CDDC"/>
            <w:tcMar>
              <w:top w:w="15" w:type="dxa"/>
              <w:left w:w="15" w:type="dxa"/>
              <w:bottom w:w="0" w:type="dxa"/>
              <w:right w:w="15" w:type="dxa"/>
            </w:tcMar>
            <w:vAlign w:val="center"/>
            <w:hideMark/>
          </w:tcPr>
          <w:p w14:paraId="01810BDD"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4</w:t>
            </w:r>
          </w:p>
        </w:tc>
        <w:tc>
          <w:tcPr>
            <w:tcW w:w="3897" w:type="pct"/>
            <w:tcBorders>
              <w:top w:val="single" w:sz="8" w:space="0" w:color="auto"/>
              <w:left w:val="nil"/>
              <w:right w:val="nil"/>
            </w:tcBorders>
            <w:tcMar>
              <w:top w:w="15" w:type="dxa"/>
              <w:left w:w="15" w:type="dxa"/>
              <w:bottom w:w="0" w:type="dxa"/>
              <w:right w:w="15" w:type="dxa"/>
            </w:tcMar>
            <w:vAlign w:val="center"/>
            <w:hideMark/>
          </w:tcPr>
          <w:p w14:paraId="4EB0D016" w14:textId="1B29496E" w:rsidR="00214972" w:rsidRPr="001E5747" w:rsidRDefault="00214972" w:rsidP="004930BD">
            <w:pPr>
              <w:rPr>
                <w:rFonts w:ascii="Calibri" w:eastAsia="Times New Roman" w:hAnsi="Calibri" w:cs="Calibri"/>
                <w:color w:val="000000"/>
                <w:sz w:val="16"/>
                <w:szCs w:val="16"/>
                <w:lang w:val="en-GB"/>
              </w:rPr>
            </w:pPr>
            <w:r w:rsidRPr="001E5747">
              <w:rPr>
                <w:rFonts w:ascii="Calibri" w:eastAsia="Times New Roman" w:hAnsi="Calibri"/>
                <w:sz w:val="18"/>
                <w:szCs w:val="18"/>
                <w:lang w:val="en-GB"/>
              </w:rPr>
              <w:t>Municipalities should have spent 75% or more of the final budget for capital investments</w:t>
            </w:r>
          </w:p>
        </w:tc>
        <w:tc>
          <w:tcPr>
            <w:tcW w:w="908" w:type="pct"/>
            <w:tcBorders>
              <w:top w:val="single" w:sz="4" w:space="0" w:color="auto"/>
              <w:left w:val="single" w:sz="4" w:space="0" w:color="000000"/>
              <w:bottom w:val="single" w:sz="4" w:space="0" w:color="auto"/>
              <w:right w:val="single" w:sz="8" w:space="0" w:color="auto"/>
            </w:tcBorders>
            <w:tcMar>
              <w:top w:w="15" w:type="dxa"/>
              <w:left w:w="15" w:type="dxa"/>
              <w:bottom w:w="0" w:type="dxa"/>
              <w:right w:w="15" w:type="dxa"/>
            </w:tcMar>
            <w:vAlign w:val="center"/>
            <w:hideMark/>
          </w:tcPr>
          <w:p w14:paraId="702BBBAD" w14:textId="77777777" w:rsidR="00214972" w:rsidRPr="001E5747" w:rsidRDefault="00214972" w:rsidP="00214972">
            <w:pPr>
              <w:jc w:val="center"/>
              <w:rPr>
                <w:rFonts w:ascii="Calibri" w:eastAsia="Times New Roman" w:hAnsi="Calibri" w:cs="Calibri"/>
                <w:color w:val="FF0000"/>
                <w:sz w:val="16"/>
                <w:szCs w:val="16"/>
                <w:lang w:val="en-GB"/>
              </w:rPr>
            </w:pPr>
            <w:r w:rsidRPr="001E5747">
              <w:rPr>
                <w:rFonts w:ascii="Calibri" w:eastAsia="Times New Roman" w:hAnsi="Calibri" w:cs="Calibri"/>
                <w:color w:val="FF0000"/>
                <w:sz w:val="16"/>
                <w:szCs w:val="16"/>
                <w:lang w:val="en-GB"/>
              </w:rPr>
              <w:t> </w:t>
            </w:r>
          </w:p>
          <w:p w14:paraId="58CBBF6D" w14:textId="77777777" w:rsidR="00214972" w:rsidRPr="001E5747" w:rsidRDefault="00214972" w:rsidP="00214972">
            <w:pPr>
              <w:jc w:val="center"/>
              <w:rPr>
                <w:rFonts w:ascii="Calibri" w:eastAsia="Times New Roman" w:hAnsi="Calibri" w:cs="Calibri"/>
                <w:color w:val="FF0000"/>
                <w:sz w:val="16"/>
                <w:szCs w:val="16"/>
                <w:lang w:val="en-GB"/>
              </w:rPr>
            </w:pPr>
            <w:r w:rsidRPr="001E5747">
              <w:rPr>
                <w:rFonts w:ascii="Calibri" w:eastAsia="Times New Roman" w:hAnsi="Calibri" w:cs="Calibri"/>
                <w:color w:val="FF0000"/>
                <w:sz w:val="16"/>
                <w:szCs w:val="16"/>
                <w:lang w:val="en-GB"/>
              </w:rPr>
              <w:t> </w:t>
            </w:r>
          </w:p>
        </w:tc>
      </w:tr>
      <w:tr w:rsidR="00214972" w:rsidRPr="001E5747" w14:paraId="53306C49" w14:textId="77777777" w:rsidTr="00B739C3">
        <w:trPr>
          <w:trHeight w:val="316"/>
        </w:trPr>
        <w:tc>
          <w:tcPr>
            <w:tcW w:w="5000" w:type="pct"/>
            <w:gridSpan w:val="3"/>
            <w:tcBorders>
              <w:top w:val="single" w:sz="8" w:space="0" w:color="auto"/>
              <w:left w:val="single" w:sz="8" w:space="0" w:color="auto"/>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70FDC9B7" w14:textId="77777777" w:rsidR="00214972" w:rsidRPr="001E5747" w:rsidRDefault="00214972" w:rsidP="00214972">
            <w:pPr>
              <w:jc w:val="center"/>
              <w:rPr>
                <w:rFonts w:ascii="Calibri" w:eastAsia="Times New Roman" w:hAnsi="Calibri" w:cs="Calibri"/>
                <w:b/>
                <w:bCs/>
                <w:i/>
                <w:iCs/>
                <w:sz w:val="16"/>
                <w:szCs w:val="16"/>
                <w:lang w:val="en-GB"/>
              </w:rPr>
            </w:pPr>
            <w:r w:rsidRPr="001E5747">
              <w:rPr>
                <w:rFonts w:ascii="Calibri" w:eastAsia="Times New Roman" w:hAnsi="Calibri" w:cs="Calibri"/>
                <w:b/>
                <w:bCs/>
                <w:i/>
                <w:iCs/>
                <w:sz w:val="16"/>
                <w:szCs w:val="16"/>
                <w:lang w:val="en-GB"/>
              </w:rPr>
              <w:t>The municipality is qualified/not qualified for the performance grant</w:t>
            </w:r>
          </w:p>
        </w:tc>
      </w:tr>
      <w:tr w:rsidR="00214972" w:rsidRPr="001E5747" w14:paraId="240E4535" w14:textId="77777777" w:rsidTr="00B739C3">
        <w:trPr>
          <w:trHeight w:val="451"/>
        </w:trPr>
        <w:tc>
          <w:tcPr>
            <w:tcW w:w="195" w:type="pct"/>
            <w:tcBorders>
              <w:top w:val="single" w:sz="8" w:space="0" w:color="auto"/>
              <w:left w:val="single" w:sz="8" w:space="0" w:color="auto"/>
              <w:bottom w:val="single" w:sz="8" w:space="0" w:color="auto"/>
              <w:right w:val="single" w:sz="4" w:space="0" w:color="auto"/>
            </w:tcBorders>
            <w:shd w:val="clear" w:color="000000" w:fill="31869B"/>
            <w:tcMar>
              <w:top w:w="15" w:type="dxa"/>
              <w:left w:w="15" w:type="dxa"/>
              <w:bottom w:w="0" w:type="dxa"/>
              <w:right w:w="15" w:type="dxa"/>
            </w:tcMar>
            <w:vAlign w:val="center"/>
            <w:hideMark/>
          </w:tcPr>
          <w:p w14:paraId="03B721A3"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w:t>
            </w:r>
          </w:p>
        </w:tc>
        <w:tc>
          <w:tcPr>
            <w:tcW w:w="3897" w:type="pct"/>
            <w:tcBorders>
              <w:top w:val="single" w:sz="8" w:space="0" w:color="auto"/>
              <w:left w:val="nil"/>
              <w:bottom w:val="single" w:sz="8" w:space="0" w:color="auto"/>
              <w:right w:val="single" w:sz="4" w:space="0" w:color="auto"/>
            </w:tcBorders>
            <w:shd w:val="clear" w:color="000000" w:fill="31869B"/>
            <w:tcMar>
              <w:top w:w="15" w:type="dxa"/>
              <w:left w:w="15" w:type="dxa"/>
              <w:bottom w:w="0" w:type="dxa"/>
              <w:right w:w="15" w:type="dxa"/>
            </w:tcMar>
            <w:vAlign w:val="center"/>
            <w:hideMark/>
          </w:tcPr>
          <w:p w14:paraId="23921A05"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Fields and sub-fields of performance indicators</w:t>
            </w:r>
          </w:p>
        </w:tc>
        <w:tc>
          <w:tcPr>
            <w:tcW w:w="908" w:type="pct"/>
            <w:tcBorders>
              <w:top w:val="single" w:sz="8" w:space="0" w:color="auto"/>
              <w:left w:val="nil"/>
              <w:bottom w:val="single" w:sz="8" w:space="0" w:color="auto"/>
              <w:right w:val="single" w:sz="8" w:space="0" w:color="auto"/>
            </w:tcBorders>
            <w:shd w:val="clear" w:color="000000" w:fill="31869B"/>
            <w:tcMar>
              <w:top w:w="15" w:type="dxa"/>
              <w:left w:w="15" w:type="dxa"/>
              <w:bottom w:w="0" w:type="dxa"/>
              <w:right w:w="15" w:type="dxa"/>
            </w:tcMar>
            <w:vAlign w:val="center"/>
            <w:hideMark/>
          </w:tcPr>
          <w:p w14:paraId="36FD074F"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Assessment</w:t>
            </w:r>
          </w:p>
        </w:tc>
      </w:tr>
      <w:tr w:rsidR="00214972" w:rsidRPr="001E5747" w14:paraId="4733F6F6" w14:textId="77777777" w:rsidTr="00B739C3">
        <w:trPr>
          <w:trHeight w:val="331"/>
        </w:trPr>
        <w:tc>
          <w:tcPr>
            <w:tcW w:w="195" w:type="pct"/>
            <w:tcBorders>
              <w:top w:val="nil"/>
              <w:left w:val="single" w:sz="8" w:space="0" w:color="auto"/>
              <w:bottom w:val="single" w:sz="4" w:space="0" w:color="auto"/>
              <w:right w:val="single" w:sz="4" w:space="0" w:color="auto"/>
            </w:tcBorders>
            <w:shd w:val="clear" w:color="000000" w:fill="92CDDC"/>
            <w:tcMar>
              <w:top w:w="15" w:type="dxa"/>
              <w:left w:w="15" w:type="dxa"/>
              <w:bottom w:w="0" w:type="dxa"/>
              <w:right w:w="15" w:type="dxa"/>
            </w:tcMar>
            <w:vAlign w:val="center"/>
            <w:hideMark/>
          </w:tcPr>
          <w:p w14:paraId="5281BE1F"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I</w:t>
            </w:r>
          </w:p>
        </w:tc>
        <w:tc>
          <w:tcPr>
            <w:tcW w:w="3897" w:type="pct"/>
            <w:tcBorders>
              <w:top w:val="nil"/>
              <w:left w:val="nil"/>
              <w:right w:val="nil"/>
            </w:tcBorders>
            <w:tcMar>
              <w:top w:w="15" w:type="dxa"/>
              <w:left w:w="15" w:type="dxa"/>
              <w:bottom w:w="0" w:type="dxa"/>
              <w:right w:w="15" w:type="dxa"/>
            </w:tcMar>
            <w:vAlign w:val="center"/>
            <w:hideMark/>
          </w:tcPr>
          <w:p w14:paraId="56678A1F" w14:textId="77777777" w:rsidR="00214972" w:rsidRPr="001E5747" w:rsidRDefault="00214972" w:rsidP="00214972">
            <w:pPr>
              <w:rPr>
                <w:rFonts w:ascii="Calibri" w:eastAsia="Times New Roman" w:hAnsi="Calibri" w:cs="Calibri"/>
                <w:color w:val="000000"/>
                <w:sz w:val="18"/>
                <w:szCs w:val="18"/>
                <w:lang w:val="en-GB"/>
              </w:rPr>
            </w:pPr>
            <w:r w:rsidRPr="001E5747">
              <w:rPr>
                <w:rFonts w:ascii="Calibri" w:eastAsia="Times New Roman" w:hAnsi="Calibri" w:cs="Calibri"/>
                <w:sz w:val="18"/>
                <w:szCs w:val="18"/>
                <w:lang w:val="en-GB"/>
              </w:rPr>
              <w:t xml:space="preserve">Role of the Municipal </w:t>
            </w:r>
            <w:r w:rsidR="009109D8" w:rsidRPr="001E5747">
              <w:rPr>
                <w:rFonts w:ascii="Calibri" w:eastAsia="Times New Roman" w:hAnsi="Calibri" w:cs="Calibri"/>
                <w:sz w:val="18"/>
                <w:szCs w:val="18"/>
                <w:lang w:val="en-GB"/>
              </w:rPr>
              <w:t>Assembly</w:t>
            </w:r>
            <w:r w:rsidRPr="001E5747">
              <w:rPr>
                <w:rFonts w:ascii="Calibri" w:eastAsia="Times New Roman" w:hAnsi="Calibri" w:cs="Calibri"/>
                <w:sz w:val="18"/>
                <w:szCs w:val="18"/>
                <w:lang w:val="en-GB"/>
              </w:rPr>
              <w:t xml:space="preserve"> as supervisory body</w:t>
            </w:r>
          </w:p>
        </w:tc>
        <w:tc>
          <w:tcPr>
            <w:tcW w:w="908" w:type="pct"/>
            <w:tcBorders>
              <w:top w:val="nil"/>
              <w:left w:val="single" w:sz="4" w:space="0" w:color="auto"/>
              <w:bottom w:val="single" w:sz="4" w:space="0" w:color="auto"/>
              <w:right w:val="single" w:sz="8" w:space="0" w:color="auto"/>
            </w:tcBorders>
            <w:tcMar>
              <w:top w:w="15" w:type="dxa"/>
              <w:left w:w="15" w:type="dxa"/>
              <w:bottom w:w="0" w:type="dxa"/>
              <w:right w:w="15" w:type="dxa"/>
            </w:tcMar>
            <w:vAlign w:val="center"/>
            <w:hideMark/>
          </w:tcPr>
          <w:p w14:paraId="5D2A9F73" w14:textId="77777777" w:rsidR="00214972" w:rsidRPr="001E5747" w:rsidRDefault="00214972" w:rsidP="00214972">
            <w:pPr>
              <w:jc w:val="center"/>
              <w:rPr>
                <w:rFonts w:ascii="Arial" w:eastAsia="Times New Roman" w:hAnsi="Arial" w:cs="Arial"/>
                <w:color w:val="000000"/>
                <w:sz w:val="16"/>
                <w:szCs w:val="16"/>
                <w:lang w:val="en-GB"/>
              </w:rPr>
            </w:pPr>
            <w:r w:rsidRPr="001E5747">
              <w:rPr>
                <w:rFonts w:ascii="Arial" w:eastAsia="Times New Roman" w:hAnsi="Arial" w:cs="Arial"/>
                <w:color w:val="000000"/>
                <w:sz w:val="16"/>
                <w:szCs w:val="16"/>
                <w:lang w:val="en-GB"/>
              </w:rPr>
              <w:t>0</w:t>
            </w:r>
          </w:p>
        </w:tc>
      </w:tr>
      <w:tr w:rsidR="00214972" w:rsidRPr="001E5747" w14:paraId="4D047222" w14:textId="77777777" w:rsidTr="00B739C3">
        <w:trPr>
          <w:trHeight w:val="145"/>
        </w:trPr>
        <w:tc>
          <w:tcPr>
            <w:tcW w:w="195" w:type="pct"/>
            <w:tcBorders>
              <w:top w:val="nil"/>
              <w:left w:val="single" w:sz="8" w:space="0" w:color="auto"/>
              <w:bottom w:val="single" w:sz="4" w:space="0" w:color="auto"/>
              <w:right w:val="single" w:sz="4" w:space="0" w:color="auto"/>
            </w:tcBorders>
            <w:shd w:val="clear" w:color="000000" w:fill="92CDDC"/>
            <w:tcMar>
              <w:top w:w="15" w:type="dxa"/>
              <w:left w:w="15" w:type="dxa"/>
              <w:bottom w:w="0" w:type="dxa"/>
              <w:right w:w="15" w:type="dxa"/>
            </w:tcMar>
            <w:vAlign w:val="center"/>
            <w:hideMark/>
          </w:tcPr>
          <w:p w14:paraId="2F9622B2"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II</w:t>
            </w:r>
          </w:p>
        </w:tc>
        <w:tc>
          <w:tcPr>
            <w:tcW w:w="3897" w:type="pct"/>
            <w:tcBorders>
              <w:top w:val="single" w:sz="8" w:space="0" w:color="auto"/>
              <w:left w:val="nil"/>
              <w:right w:val="nil"/>
            </w:tcBorders>
            <w:tcMar>
              <w:top w:w="15" w:type="dxa"/>
              <w:left w:w="15" w:type="dxa"/>
              <w:bottom w:w="0" w:type="dxa"/>
              <w:right w:w="15" w:type="dxa"/>
            </w:tcMar>
            <w:vAlign w:val="center"/>
            <w:hideMark/>
          </w:tcPr>
          <w:p w14:paraId="2DBDCCA6" w14:textId="77777777" w:rsidR="00214972" w:rsidRPr="001E5747" w:rsidRDefault="009109D8" w:rsidP="00214972">
            <w:pPr>
              <w:spacing w:before="100"/>
              <w:rPr>
                <w:rFonts w:ascii="Calibri" w:eastAsia="Times New Roman" w:hAnsi="Calibri" w:cs="Calibri"/>
                <w:color w:val="000000"/>
                <w:sz w:val="18"/>
                <w:szCs w:val="18"/>
                <w:lang w:val="en-GB"/>
              </w:rPr>
            </w:pPr>
            <w:r w:rsidRPr="001E5747">
              <w:rPr>
                <w:rFonts w:ascii="Calibri" w:eastAsia="Times New Roman" w:hAnsi="Calibri" w:cs="Calibri"/>
                <w:color w:val="000000"/>
                <w:sz w:val="18"/>
                <w:szCs w:val="18"/>
                <w:lang w:val="en-GB"/>
              </w:rPr>
              <w:t>Citizen participation, consultation and inclusiveness</w:t>
            </w:r>
          </w:p>
        </w:tc>
        <w:tc>
          <w:tcPr>
            <w:tcW w:w="908" w:type="pct"/>
            <w:tcBorders>
              <w:top w:val="nil"/>
              <w:left w:val="single" w:sz="4" w:space="0" w:color="auto"/>
              <w:bottom w:val="single" w:sz="4" w:space="0" w:color="auto"/>
              <w:right w:val="single" w:sz="8" w:space="0" w:color="auto"/>
            </w:tcBorders>
            <w:tcMar>
              <w:top w:w="15" w:type="dxa"/>
              <w:left w:w="15" w:type="dxa"/>
              <w:bottom w:w="0" w:type="dxa"/>
              <w:right w:w="15" w:type="dxa"/>
            </w:tcMar>
            <w:vAlign w:val="center"/>
            <w:hideMark/>
          </w:tcPr>
          <w:p w14:paraId="6560C8CE" w14:textId="77777777" w:rsidR="00214972" w:rsidRPr="001E5747" w:rsidRDefault="00214972" w:rsidP="00214972">
            <w:pPr>
              <w:jc w:val="center"/>
              <w:rPr>
                <w:rFonts w:ascii="Arial" w:eastAsia="Times New Roman" w:hAnsi="Arial" w:cs="Arial"/>
                <w:color w:val="000000"/>
                <w:sz w:val="16"/>
                <w:szCs w:val="16"/>
                <w:lang w:val="en-GB"/>
              </w:rPr>
            </w:pPr>
            <w:r w:rsidRPr="001E5747">
              <w:rPr>
                <w:rFonts w:ascii="Arial" w:eastAsia="Times New Roman" w:hAnsi="Arial" w:cs="Arial"/>
                <w:color w:val="000000"/>
                <w:sz w:val="16"/>
                <w:szCs w:val="16"/>
                <w:lang w:val="en-GB"/>
              </w:rPr>
              <w:t>0</w:t>
            </w:r>
          </w:p>
        </w:tc>
      </w:tr>
      <w:tr w:rsidR="00214972" w:rsidRPr="001E5747" w14:paraId="7050DBE9" w14:textId="77777777" w:rsidTr="00B739C3">
        <w:trPr>
          <w:trHeight w:val="325"/>
        </w:trPr>
        <w:tc>
          <w:tcPr>
            <w:tcW w:w="195" w:type="pct"/>
            <w:tcBorders>
              <w:top w:val="nil"/>
              <w:left w:val="single" w:sz="8" w:space="0" w:color="auto"/>
              <w:bottom w:val="single" w:sz="8" w:space="0" w:color="000000"/>
              <w:right w:val="single" w:sz="4" w:space="0" w:color="auto"/>
            </w:tcBorders>
            <w:shd w:val="clear" w:color="000000" w:fill="92CDDC"/>
            <w:tcMar>
              <w:top w:w="15" w:type="dxa"/>
              <w:left w:w="15" w:type="dxa"/>
              <w:bottom w:w="0" w:type="dxa"/>
              <w:right w:w="15" w:type="dxa"/>
            </w:tcMar>
            <w:vAlign w:val="center"/>
            <w:hideMark/>
          </w:tcPr>
          <w:p w14:paraId="3E9B6063"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III</w:t>
            </w:r>
          </w:p>
        </w:tc>
        <w:tc>
          <w:tcPr>
            <w:tcW w:w="3897" w:type="pct"/>
            <w:tcBorders>
              <w:top w:val="single" w:sz="8" w:space="0" w:color="auto"/>
              <w:left w:val="nil"/>
              <w:right w:val="nil"/>
            </w:tcBorders>
            <w:tcMar>
              <w:top w:w="15" w:type="dxa"/>
              <w:left w:w="15" w:type="dxa"/>
              <w:bottom w:w="0" w:type="dxa"/>
              <w:right w:w="15" w:type="dxa"/>
            </w:tcMar>
            <w:vAlign w:val="center"/>
            <w:hideMark/>
          </w:tcPr>
          <w:p w14:paraId="69CD8E3A" w14:textId="77777777" w:rsidR="00214972" w:rsidRPr="001E5747" w:rsidRDefault="00214972" w:rsidP="00214972">
            <w:pPr>
              <w:rPr>
                <w:rFonts w:ascii="Calibri" w:eastAsia="Times New Roman" w:hAnsi="Calibri" w:cs="Calibri"/>
                <w:color w:val="000000"/>
                <w:sz w:val="18"/>
                <w:szCs w:val="18"/>
                <w:lang w:val="en-GB"/>
              </w:rPr>
            </w:pPr>
            <w:r w:rsidRPr="001E5747">
              <w:rPr>
                <w:rFonts w:ascii="Calibri" w:eastAsia="Times New Roman" w:hAnsi="Calibri" w:cs="Calibri"/>
                <w:color w:val="000000"/>
                <w:sz w:val="18"/>
                <w:szCs w:val="18"/>
                <w:lang w:val="en-GB"/>
              </w:rPr>
              <w:t>Transparency, access to information and integrity</w:t>
            </w:r>
          </w:p>
        </w:tc>
        <w:tc>
          <w:tcPr>
            <w:tcW w:w="908" w:type="pct"/>
            <w:tcBorders>
              <w:top w:val="nil"/>
              <w:left w:val="single" w:sz="4" w:space="0" w:color="auto"/>
              <w:bottom w:val="single" w:sz="8" w:space="0" w:color="000000"/>
              <w:right w:val="single" w:sz="8" w:space="0" w:color="auto"/>
            </w:tcBorders>
            <w:tcMar>
              <w:top w:w="15" w:type="dxa"/>
              <w:left w:w="15" w:type="dxa"/>
              <w:bottom w:w="0" w:type="dxa"/>
              <w:right w:w="15" w:type="dxa"/>
            </w:tcMar>
            <w:vAlign w:val="center"/>
            <w:hideMark/>
          </w:tcPr>
          <w:p w14:paraId="0DD6463A" w14:textId="77777777" w:rsidR="00214972" w:rsidRPr="001E5747" w:rsidRDefault="00214972" w:rsidP="00214972">
            <w:pPr>
              <w:jc w:val="center"/>
              <w:rPr>
                <w:rFonts w:ascii="Arial" w:eastAsia="Times New Roman" w:hAnsi="Arial" w:cs="Arial"/>
                <w:color w:val="000000"/>
                <w:sz w:val="16"/>
                <w:szCs w:val="16"/>
                <w:lang w:val="en-GB"/>
              </w:rPr>
            </w:pPr>
            <w:r w:rsidRPr="001E5747">
              <w:rPr>
                <w:rFonts w:ascii="Arial" w:eastAsia="Times New Roman" w:hAnsi="Arial" w:cs="Arial"/>
                <w:color w:val="000000"/>
                <w:sz w:val="16"/>
                <w:szCs w:val="16"/>
                <w:lang w:val="en-GB"/>
              </w:rPr>
              <w:t>0</w:t>
            </w:r>
          </w:p>
        </w:tc>
      </w:tr>
      <w:tr w:rsidR="00214972" w:rsidRPr="001E5747" w14:paraId="61E8C18D" w14:textId="77777777" w:rsidTr="00B739C3">
        <w:trPr>
          <w:trHeight w:val="384"/>
        </w:trPr>
        <w:tc>
          <w:tcPr>
            <w:tcW w:w="4092" w:type="pct"/>
            <w:gridSpan w:val="2"/>
            <w:tcBorders>
              <w:top w:val="single" w:sz="8" w:space="0" w:color="auto"/>
              <w:left w:val="single" w:sz="8" w:space="0" w:color="auto"/>
              <w:bottom w:val="single" w:sz="8" w:space="0" w:color="auto"/>
              <w:right w:val="single" w:sz="4" w:space="0" w:color="auto"/>
            </w:tcBorders>
            <w:shd w:val="clear" w:color="000000" w:fill="31869B"/>
            <w:tcMar>
              <w:top w:w="15" w:type="dxa"/>
              <w:left w:w="15" w:type="dxa"/>
              <w:bottom w:w="0" w:type="dxa"/>
              <w:right w:w="15" w:type="dxa"/>
            </w:tcMar>
            <w:vAlign w:val="center"/>
            <w:hideMark/>
          </w:tcPr>
          <w:p w14:paraId="6911665D" w14:textId="77777777" w:rsidR="00214972" w:rsidRPr="001E5747" w:rsidRDefault="00214972" w:rsidP="00214972">
            <w:pPr>
              <w:jc w:val="right"/>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 xml:space="preserve">Score </w:t>
            </w:r>
            <w:r w:rsidRPr="001E5747">
              <w:rPr>
                <w:rFonts w:ascii="Calibri" w:eastAsia="Times New Roman" w:hAnsi="Calibri" w:cs="Calibri"/>
                <w:color w:val="FFFFFF"/>
                <w:sz w:val="16"/>
                <w:szCs w:val="16"/>
                <w:lang w:val="en-GB"/>
              </w:rPr>
              <w:t>for municipal governance</w:t>
            </w:r>
          </w:p>
        </w:tc>
        <w:tc>
          <w:tcPr>
            <w:tcW w:w="908" w:type="pct"/>
            <w:tcBorders>
              <w:top w:val="nil"/>
              <w:left w:val="nil"/>
              <w:bottom w:val="single" w:sz="4" w:space="0" w:color="auto"/>
              <w:right w:val="single" w:sz="8" w:space="0" w:color="auto"/>
            </w:tcBorders>
            <w:shd w:val="clear" w:color="000000" w:fill="31869B"/>
            <w:tcMar>
              <w:top w:w="15" w:type="dxa"/>
              <w:left w:w="15" w:type="dxa"/>
              <w:bottom w:w="0" w:type="dxa"/>
              <w:right w:w="15" w:type="dxa"/>
            </w:tcMar>
            <w:vAlign w:val="center"/>
            <w:hideMark/>
          </w:tcPr>
          <w:p w14:paraId="5B90ED34"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0</w:t>
            </w:r>
          </w:p>
        </w:tc>
      </w:tr>
      <w:tr w:rsidR="00214972" w:rsidRPr="001E5747" w14:paraId="22985930" w14:textId="77777777" w:rsidTr="00B739C3">
        <w:trPr>
          <w:trHeight w:val="352"/>
        </w:trPr>
        <w:tc>
          <w:tcPr>
            <w:tcW w:w="195" w:type="pct"/>
            <w:tcBorders>
              <w:top w:val="nil"/>
              <w:left w:val="single" w:sz="8" w:space="0" w:color="auto"/>
              <w:bottom w:val="single" w:sz="4" w:space="0" w:color="auto"/>
              <w:right w:val="single" w:sz="4" w:space="0" w:color="auto"/>
            </w:tcBorders>
            <w:shd w:val="clear" w:color="000000" w:fill="92CDDC"/>
            <w:tcMar>
              <w:top w:w="15" w:type="dxa"/>
              <w:left w:w="15" w:type="dxa"/>
              <w:bottom w:w="0" w:type="dxa"/>
              <w:right w:w="15" w:type="dxa"/>
            </w:tcMar>
            <w:vAlign w:val="center"/>
            <w:hideMark/>
          </w:tcPr>
          <w:p w14:paraId="39561A03"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IV</w:t>
            </w:r>
          </w:p>
        </w:tc>
        <w:tc>
          <w:tcPr>
            <w:tcW w:w="3897" w:type="pct"/>
            <w:tcBorders>
              <w:top w:val="nil"/>
              <w:left w:val="nil"/>
              <w:right w:val="nil"/>
            </w:tcBorders>
            <w:tcMar>
              <w:top w:w="15" w:type="dxa"/>
              <w:left w:w="15" w:type="dxa"/>
              <w:bottom w:w="0" w:type="dxa"/>
              <w:right w:w="15" w:type="dxa"/>
            </w:tcMar>
            <w:vAlign w:val="center"/>
            <w:hideMark/>
          </w:tcPr>
          <w:p w14:paraId="3730AC1F" w14:textId="77777777" w:rsidR="00214972" w:rsidRPr="001E5747" w:rsidRDefault="00214972" w:rsidP="00214972">
            <w:pPr>
              <w:rPr>
                <w:rFonts w:ascii="Calibri" w:eastAsia="Times New Roman" w:hAnsi="Calibri" w:cs="Calibri"/>
                <w:color w:val="000000"/>
                <w:sz w:val="18"/>
                <w:szCs w:val="18"/>
                <w:lang w:val="en-GB"/>
              </w:rPr>
            </w:pPr>
            <w:r w:rsidRPr="001E5747">
              <w:rPr>
                <w:rFonts w:ascii="Calibri" w:eastAsia="Times New Roman" w:hAnsi="Calibri" w:cs="Calibri"/>
                <w:color w:val="000000"/>
                <w:sz w:val="18"/>
                <w:szCs w:val="18"/>
                <w:lang w:val="en-GB"/>
              </w:rPr>
              <w:t>Financial management</w:t>
            </w:r>
          </w:p>
        </w:tc>
        <w:tc>
          <w:tcPr>
            <w:tcW w:w="908" w:type="pct"/>
            <w:tcBorders>
              <w:top w:val="single" w:sz="8"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14:paraId="61480298" w14:textId="77777777" w:rsidR="00214972" w:rsidRPr="001E5747" w:rsidRDefault="00214972" w:rsidP="00214972">
            <w:pPr>
              <w:jc w:val="center"/>
              <w:rPr>
                <w:rFonts w:ascii="Arial" w:eastAsia="Times New Roman" w:hAnsi="Arial" w:cs="Arial"/>
                <w:color w:val="000000"/>
                <w:sz w:val="16"/>
                <w:szCs w:val="16"/>
                <w:lang w:val="en-GB"/>
              </w:rPr>
            </w:pPr>
            <w:r w:rsidRPr="001E5747">
              <w:rPr>
                <w:rFonts w:ascii="Arial" w:eastAsia="Times New Roman" w:hAnsi="Arial" w:cs="Arial"/>
                <w:color w:val="000000"/>
                <w:sz w:val="16"/>
                <w:szCs w:val="16"/>
                <w:lang w:val="en-GB"/>
              </w:rPr>
              <w:t>0</w:t>
            </w:r>
          </w:p>
        </w:tc>
      </w:tr>
      <w:tr w:rsidR="00214972" w:rsidRPr="001E5747" w14:paraId="5704A6CB" w14:textId="77777777" w:rsidTr="00B739C3">
        <w:trPr>
          <w:trHeight w:val="424"/>
        </w:trPr>
        <w:tc>
          <w:tcPr>
            <w:tcW w:w="195" w:type="pct"/>
            <w:tcBorders>
              <w:top w:val="nil"/>
              <w:left w:val="single" w:sz="8" w:space="0" w:color="auto"/>
              <w:bottom w:val="single" w:sz="4" w:space="0" w:color="auto"/>
              <w:right w:val="single" w:sz="4" w:space="0" w:color="auto"/>
            </w:tcBorders>
            <w:shd w:val="clear" w:color="000000" w:fill="92CDDC"/>
            <w:tcMar>
              <w:top w:w="15" w:type="dxa"/>
              <w:left w:w="15" w:type="dxa"/>
              <w:bottom w:w="0" w:type="dxa"/>
              <w:right w:w="15" w:type="dxa"/>
            </w:tcMar>
            <w:vAlign w:val="center"/>
            <w:hideMark/>
          </w:tcPr>
          <w:p w14:paraId="49A2435B"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V</w:t>
            </w:r>
          </w:p>
        </w:tc>
        <w:tc>
          <w:tcPr>
            <w:tcW w:w="3897" w:type="pct"/>
            <w:tcBorders>
              <w:top w:val="single" w:sz="8" w:space="0" w:color="auto"/>
              <w:left w:val="nil"/>
              <w:right w:val="nil"/>
            </w:tcBorders>
            <w:tcMar>
              <w:top w:w="15" w:type="dxa"/>
              <w:left w:w="15" w:type="dxa"/>
              <w:bottom w:w="0" w:type="dxa"/>
              <w:right w:w="15" w:type="dxa"/>
            </w:tcMar>
            <w:vAlign w:val="center"/>
            <w:hideMark/>
          </w:tcPr>
          <w:p w14:paraId="70FEC762" w14:textId="77777777" w:rsidR="00214972" w:rsidRPr="001E5747" w:rsidRDefault="00214972" w:rsidP="00214972">
            <w:pPr>
              <w:rPr>
                <w:rFonts w:ascii="Calibri" w:eastAsia="Times New Roman" w:hAnsi="Calibri" w:cs="Calibri"/>
                <w:color w:val="000000"/>
                <w:sz w:val="18"/>
                <w:szCs w:val="18"/>
                <w:lang w:val="en-GB"/>
              </w:rPr>
            </w:pPr>
            <w:r w:rsidRPr="001E5747">
              <w:rPr>
                <w:rFonts w:ascii="Calibri" w:eastAsia="Times New Roman" w:hAnsi="Calibri" w:cs="Calibri"/>
                <w:color w:val="000000"/>
                <w:sz w:val="18"/>
                <w:szCs w:val="18"/>
                <w:lang w:val="en-GB"/>
              </w:rPr>
              <w:t>Contract management</w:t>
            </w:r>
          </w:p>
        </w:tc>
        <w:tc>
          <w:tcPr>
            <w:tcW w:w="908" w:type="pct"/>
            <w:tcBorders>
              <w:top w:val="nil"/>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14:paraId="7933E5D2" w14:textId="77777777" w:rsidR="00214972" w:rsidRPr="001E5747" w:rsidRDefault="00214972" w:rsidP="00214972">
            <w:pPr>
              <w:jc w:val="center"/>
              <w:rPr>
                <w:rFonts w:ascii="Arial" w:eastAsia="Times New Roman" w:hAnsi="Arial" w:cs="Arial"/>
                <w:color w:val="000000"/>
                <w:sz w:val="16"/>
                <w:szCs w:val="16"/>
                <w:lang w:val="en-GB"/>
              </w:rPr>
            </w:pPr>
            <w:r w:rsidRPr="001E5747">
              <w:rPr>
                <w:rFonts w:ascii="Arial" w:eastAsia="Times New Roman" w:hAnsi="Arial" w:cs="Arial"/>
                <w:color w:val="000000"/>
                <w:sz w:val="16"/>
                <w:szCs w:val="16"/>
                <w:lang w:val="en-GB"/>
              </w:rPr>
              <w:t>0</w:t>
            </w:r>
          </w:p>
        </w:tc>
      </w:tr>
      <w:tr w:rsidR="00214972" w:rsidRPr="001E5747" w14:paraId="5EC2677C" w14:textId="77777777" w:rsidTr="00B739C3">
        <w:trPr>
          <w:trHeight w:val="415"/>
        </w:trPr>
        <w:tc>
          <w:tcPr>
            <w:tcW w:w="195" w:type="pct"/>
            <w:tcBorders>
              <w:top w:val="nil"/>
              <w:left w:val="single" w:sz="8" w:space="0" w:color="auto"/>
              <w:bottom w:val="single" w:sz="8" w:space="0" w:color="000000"/>
              <w:right w:val="single" w:sz="4" w:space="0" w:color="auto"/>
            </w:tcBorders>
            <w:shd w:val="clear" w:color="000000" w:fill="92CDDC"/>
            <w:tcMar>
              <w:top w:w="15" w:type="dxa"/>
              <w:left w:w="15" w:type="dxa"/>
              <w:bottom w:w="0" w:type="dxa"/>
              <w:right w:w="15" w:type="dxa"/>
            </w:tcMar>
            <w:vAlign w:val="center"/>
            <w:hideMark/>
          </w:tcPr>
          <w:p w14:paraId="687F9D2C"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VI</w:t>
            </w:r>
          </w:p>
        </w:tc>
        <w:tc>
          <w:tcPr>
            <w:tcW w:w="3897" w:type="pct"/>
            <w:tcBorders>
              <w:top w:val="single" w:sz="8" w:space="0" w:color="auto"/>
              <w:left w:val="nil"/>
              <w:right w:val="nil"/>
            </w:tcBorders>
            <w:tcMar>
              <w:top w:w="15" w:type="dxa"/>
              <w:left w:w="15" w:type="dxa"/>
              <w:bottom w:w="0" w:type="dxa"/>
              <w:right w:w="15" w:type="dxa"/>
            </w:tcMar>
            <w:vAlign w:val="center"/>
            <w:hideMark/>
          </w:tcPr>
          <w:p w14:paraId="02BDA29D" w14:textId="77777777" w:rsidR="00214972" w:rsidRPr="001E5747" w:rsidRDefault="00214972" w:rsidP="00214972">
            <w:pPr>
              <w:rPr>
                <w:rFonts w:ascii="Calibri" w:eastAsia="Times New Roman" w:hAnsi="Calibri" w:cs="Calibri"/>
                <w:color w:val="000000"/>
                <w:sz w:val="18"/>
                <w:szCs w:val="18"/>
                <w:lang w:val="en-GB"/>
              </w:rPr>
            </w:pPr>
            <w:r w:rsidRPr="001E5747">
              <w:rPr>
                <w:rFonts w:ascii="Calibri" w:eastAsia="Times New Roman" w:hAnsi="Calibri" w:cs="Calibri"/>
                <w:color w:val="000000"/>
                <w:sz w:val="18"/>
                <w:szCs w:val="18"/>
                <w:lang w:val="en-GB" w:eastAsia="af-ZA"/>
              </w:rPr>
              <w:t>Human resources management</w:t>
            </w:r>
          </w:p>
        </w:tc>
        <w:tc>
          <w:tcPr>
            <w:tcW w:w="908" w:type="pc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14:paraId="40141DA7" w14:textId="77777777" w:rsidR="00214972" w:rsidRPr="001E5747" w:rsidRDefault="00214972" w:rsidP="00214972">
            <w:pPr>
              <w:jc w:val="center"/>
              <w:rPr>
                <w:rFonts w:ascii="Arial" w:eastAsia="Times New Roman" w:hAnsi="Arial" w:cs="Arial"/>
                <w:color w:val="000000"/>
                <w:sz w:val="16"/>
                <w:szCs w:val="16"/>
                <w:lang w:val="en-GB"/>
              </w:rPr>
            </w:pPr>
            <w:r w:rsidRPr="001E5747">
              <w:rPr>
                <w:rFonts w:ascii="Arial" w:eastAsia="Times New Roman" w:hAnsi="Arial" w:cs="Arial"/>
                <w:color w:val="000000"/>
                <w:sz w:val="16"/>
                <w:szCs w:val="16"/>
                <w:lang w:val="en-GB"/>
              </w:rPr>
              <w:t>0</w:t>
            </w:r>
          </w:p>
        </w:tc>
      </w:tr>
      <w:tr w:rsidR="00214972" w:rsidRPr="001E5747" w14:paraId="05F1621A" w14:textId="77777777" w:rsidTr="00B739C3">
        <w:trPr>
          <w:trHeight w:val="400"/>
        </w:trPr>
        <w:tc>
          <w:tcPr>
            <w:tcW w:w="4092" w:type="pct"/>
            <w:gridSpan w:val="2"/>
            <w:tcBorders>
              <w:top w:val="single" w:sz="8" w:space="0" w:color="auto"/>
              <w:left w:val="single" w:sz="8" w:space="0" w:color="auto"/>
              <w:bottom w:val="single" w:sz="8" w:space="0" w:color="auto"/>
              <w:right w:val="single" w:sz="4" w:space="0" w:color="auto"/>
            </w:tcBorders>
            <w:shd w:val="clear" w:color="000000" w:fill="31869B"/>
            <w:tcMar>
              <w:top w:w="15" w:type="dxa"/>
              <w:left w:w="15" w:type="dxa"/>
              <w:bottom w:w="0" w:type="dxa"/>
              <w:right w:w="15" w:type="dxa"/>
            </w:tcMar>
            <w:vAlign w:val="center"/>
            <w:hideMark/>
          </w:tcPr>
          <w:p w14:paraId="6308EC64" w14:textId="77777777" w:rsidR="00214972" w:rsidRPr="001E5747" w:rsidRDefault="00214972" w:rsidP="00214972">
            <w:pPr>
              <w:jc w:val="right"/>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 xml:space="preserve">Score </w:t>
            </w:r>
            <w:r w:rsidRPr="001E5747">
              <w:rPr>
                <w:rFonts w:ascii="Calibri" w:eastAsia="Times New Roman" w:hAnsi="Calibri" w:cs="Calibri"/>
                <w:color w:val="FFFFFF"/>
                <w:sz w:val="16"/>
                <w:szCs w:val="16"/>
                <w:lang w:val="en-GB"/>
              </w:rPr>
              <w:t>for municipal management</w:t>
            </w:r>
          </w:p>
        </w:tc>
        <w:tc>
          <w:tcPr>
            <w:tcW w:w="908" w:type="pct"/>
            <w:tcBorders>
              <w:top w:val="nil"/>
              <w:left w:val="nil"/>
              <w:bottom w:val="single" w:sz="4" w:space="0" w:color="auto"/>
              <w:right w:val="single" w:sz="8" w:space="0" w:color="auto"/>
            </w:tcBorders>
            <w:shd w:val="clear" w:color="000000" w:fill="31869B"/>
            <w:tcMar>
              <w:top w:w="15" w:type="dxa"/>
              <w:left w:w="15" w:type="dxa"/>
              <w:bottom w:w="0" w:type="dxa"/>
              <w:right w:w="15" w:type="dxa"/>
            </w:tcMar>
            <w:vAlign w:val="center"/>
            <w:hideMark/>
          </w:tcPr>
          <w:p w14:paraId="6861AB31"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0</w:t>
            </w:r>
          </w:p>
        </w:tc>
      </w:tr>
      <w:tr w:rsidR="00214972" w:rsidRPr="001E5747" w14:paraId="60AD2590" w14:textId="77777777" w:rsidTr="00B739C3">
        <w:trPr>
          <w:trHeight w:val="424"/>
        </w:trPr>
        <w:tc>
          <w:tcPr>
            <w:tcW w:w="195" w:type="pct"/>
            <w:tcBorders>
              <w:top w:val="nil"/>
              <w:left w:val="single" w:sz="8" w:space="0" w:color="auto"/>
              <w:bottom w:val="single" w:sz="4" w:space="0" w:color="auto"/>
              <w:right w:val="single" w:sz="4" w:space="0" w:color="auto"/>
            </w:tcBorders>
            <w:shd w:val="clear" w:color="000000" w:fill="92CDDC"/>
            <w:tcMar>
              <w:top w:w="15" w:type="dxa"/>
              <w:left w:w="15" w:type="dxa"/>
              <w:bottom w:w="0" w:type="dxa"/>
              <w:right w:w="15" w:type="dxa"/>
            </w:tcMar>
            <w:vAlign w:val="center"/>
            <w:hideMark/>
          </w:tcPr>
          <w:p w14:paraId="184D371F"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lastRenderedPageBreak/>
              <w:t>VII</w:t>
            </w:r>
          </w:p>
        </w:tc>
        <w:tc>
          <w:tcPr>
            <w:tcW w:w="3897" w:type="pct"/>
            <w:tcBorders>
              <w:top w:val="nil"/>
              <w:left w:val="nil"/>
              <w:right w:val="nil"/>
            </w:tcBorders>
            <w:tcMar>
              <w:top w:w="15" w:type="dxa"/>
              <w:left w:w="15" w:type="dxa"/>
              <w:bottom w:w="0" w:type="dxa"/>
              <w:right w:w="15" w:type="dxa"/>
            </w:tcMar>
            <w:vAlign w:val="center"/>
            <w:hideMark/>
          </w:tcPr>
          <w:p w14:paraId="65485229" w14:textId="77777777" w:rsidR="00214972" w:rsidRPr="001E5747" w:rsidRDefault="00214972" w:rsidP="00214972">
            <w:pPr>
              <w:rPr>
                <w:rFonts w:ascii="Calibri" w:eastAsia="Times New Roman" w:hAnsi="Calibri" w:cs="Calibri"/>
                <w:color w:val="000000"/>
                <w:sz w:val="18"/>
                <w:szCs w:val="16"/>
                <w:lang w:val="en-GB"/>
              </w:rPr>
            </w:pPr>
            <w:r w:rsidRPr="001E5747">
              <w:rPr>
                <w:rFonts w:ascii="Calibri" w:eastAsia="Times New Roman" w:hAnsi="Calibri" w:cs="Calibri"/>
                <w:color w:val="000000"/>
                <w:sz w:val="18"/>
                <w:szCs w:val="19"/>
                <w:lang w:val="en-GB"/>
              </w:rPr>
              <w:t>Administrative services</w:t>
            </w:r>
          </w:p>
        </w:tc>
        <w:tc>
          <w:tcPr>
            <w:tcW w:w="908" w:type="pct"/>
            <w:tcBorders>
              <w:top w:val="single" w:sz="8" w:space="0" w:color="auto"/>
              <w:left w:val="single" w:sz="4" w:space="0" w:color="auto"/>
              <w:bottom w:val="single" w:sz="4" w:space="0" w:color="000000"/>
              <w:right w:val="single" w:sz="8" w:space="0" w:color="auto"/>
            </w:tcBorders>
            <w:shd w:val="clear" w:color="000000" w:fill="FFFFFF"/>
            <w:tcMar>
              <w:top w:w="15" w:type="dxa"/>
              <w:left w:w="15" w:type="dxa"/>
              <w:bottom w:w="0" w:type="dxa"/>
              <w:right w:w="15" w:type="dxa"/>
            </w:tcMar>
            <w:vAlign w:val="center"/>
            <w:hideMark/>
          </w:tcPr>
          <w:p w14:paraId="2284EE0D" w14:textId="77777777" w:rsidR="00214972" w:rsidRPr="001E5747" w:rsidRDefault="00214972" w:rsidP="00214972">
            <w:pPr>
              <w:jc w:val="center"/>
              <w:rPr>
                <w:rFonts w:ascii="Arial" w:eastAsia="Times New Roman" w:hAnsi="Arial" w:cs="Arial"/>
                <w:color w:val="000000"/>
                <w:sz w:val="16"/>
                <w:szCs w:val="16"/>
                <w:lang w:val="en-GB"/>
              </w:rPr>
            </w:pPr>
            <w:r w:rsidRPr="001E5747">
              <w:rPr>
                <w:rFonts w:ascii="Arial" w:eastAsia="Times New Roman" w:hAnsi="Arial" w:cs="Arial"/>
                <w:color w:val="000000"/>
                <w:sz w:val="16"/>
                <w:szCs w:val="16"/>
                <w:lang w:val="en-GB"/>
              </w:rPr>
              <w:t>0</w:t>
            </w:r>
          </w:p>
        </w:tc>
      </w:tr>
      <w:tr w:rsidR="00214972" w:rsidRPr="001E5747" w14:paraId="586FC246" w14:textId="77777777" w:rsidTr="00B739C3">
        <w:trPr>
          <w:trHeight w:val="325"/>
        </w:trPr>
        <w:tc>
          <w:tcPr>
            <w:tcW w:w="195" w:type="pct"/>
            <w:tcBorders>
              <w:top w:val="nil"/>
              <w:left w:val="single" w:sz="8" w:space="0" w:color="auto"/>
              <w:bottom w:val="single" w:sz="8" w:space="0" w:color="000000"/>
              <w:right w:val="single" w:sz="4" w:space="0" w:color="auto"/>
            </w:tcBorders>
            <w:shd w:val="clear" w:color="000000" w:fill="92CDDC"/>
            <w:tcMar>
              <w:top w:w="15" w:type="dxa"/>
              <w:left w:w="15" w:type="dxa"/>
              <w:bottom w:w="0" w:type="dxa"/>
              <w:right w:w="15" w:type="dxa"/>
            </w:tcMar>
            <w:vAlign w:val="center"/>
            <w:hideMark/>
          </w:tcPr>
          <w:p w14:paraId="6D86F208"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VIII</w:t>
            </w:r>
          </w:p>
        </w:tc>
        <w:tc>
          <w:tcPr>
            <w:tcW w:w="3897" w:type="pct"/>
            <w:tcBorders>
              <w:top w:val="single" w:sz="8" w:space="0" w:color="auto"/>
              <w:left w:val="nil"/>
              <w:right w:val="nil"/>
            </w:tcBorders>
            <w:tcMar>
              <w:top w:w="15" w:type="dxa"/>
              <w:left w:w="15" w:type="dxa"/>
              <w:bottom w:w="0" w:type="dxa"/>
              <w:right w:w="15" w:type="dxa"/>
            </w:tcMar>
            <w:vAlign w:val="center"/>
            <w:hideMark/>
          </w:tcPr>
          <w:p w14:paraId="6D000C3F" w14:textId="77777777" w:rsidR="00214972" w:rsidRPr="001E5747" w:rsidRDefault="00214972" w:rsidP="00214972">
            <w:pPr>
              <w:rPr>
                <w:rFonts w:ascii="Calibri" w:eastAsia="Times New Roman" w:hAnsi="Calibri" w:cs="Calibri"/>
                <w:color w:val="000000"/>
                <w:sz w:val="18"/>
                <w:szCs w:val="16"/>
                <w:lang w:val="en-GB"/>
              </w:rPr>
            </w:pPr>
            <w:r w:rsidRPr="001E5747">
              <w:rPr>
                <w:rFonts w:ascii="Calibri" w:eastAsia="Times New Roman" w:hAnsi="Calibri" w:cs="Calibri"/>
                <w:color w:val="000000"/>
                <w:sz w:val="18"/>
                <w:szCs w:val="19"/>
                <w:lang w:val="en-GB"/>
              </w:rPr>
              <w:t xml:space="preserve">Spatial planning, public </w:t>
            </w:r>
            <w:r w:rsidR="00D246A0" w:rsidRPr="001E5747">
              <w:rPr>
                <w:rFonts w:ascii="Calibri" w:eastAsia="Times New Roman" w:hAnsi="Calibri" w:cs="Calibri"/>
                <w:color w:val="000000"/>
                <w:sz w:val="18"/>
                <w:szCs w:val="19"/>
                <w:lang w:val="en-GB"/>
              </w:rPr>
              <w:t>transport</w:t>
            </w:r>
            <w:r w:rsidRPr="001E5747">
              <w:rPr>
                <w:rFonts w:ascii="Calibri" w:eastAsia="Times New Roman" w:hAnsi="Calibri" w:cs="Calibri"/>
                <w:color w:val="000000"/>
                <w:sz w:val="18"/>
                <w:szCs w:val="19"/>
                <w:lang w:val="en-GB"/>
              </w:rPr>
              <w:t xml:space="preserve"> and environment</w:t>
            </w:r>
          </w:p>
        </w:tc>
        <w:tc>
          <w:tcPr>
            <w:tcW w:w="908" w:type="pct"/>
            <w:tcBorders>
              <w:top w:val="nil"/>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14:paraId="35E2CA18" w14:textId="77777777" w:rsidR="00214972" w:rsidRPr="001E5747" w:rsidRDefault="00214972" w:rsidP="00214972">
            <w:pPr>
              <w:jc w:val="center"/>
              <w:rPr>
                <w:rFonts w:ascii="Arial" w:eastAsia="Times New Roman" w:hAnsi="Arial" w:cs="Arial"/>
                <w:color w:val="000000"/>
                <w:sz w:val="16"/>
                <w:szCs w:val="16"/>
                <w:lang w:val="en-GB"/>
              </w:rPr>
            </w:pPr>
            <w:r w:rsidRPr="001E5747">
              <w:rPr>
                <w:rFonts w:ascii="Arial" w:eastAsia="Times New Roman" w:hAnsi="Arial" w:cs="Arial"/>
                <w:color w:val="000000"/>
                <w:sz w:val="16"/>
                <w:szCs w:val="16"/>
                <w:lang w:val="en-GB"/>
              </w:rPr>
              <w:t>0</w:t>
            </w:r>
          </w:p>
        </w:tc>
      </w:tr>
      <w:tr w:rsidR="00214972" w:rsidRPr="001E5747" w14:paraId="42391A69" w14:textId="77777777" w:rsidTr="00B739C3">
        <w:trPr>
          <w:trHeight w:val="325"/>
        </w:trPr>
        <w:tc>
          <w:tcPr>
            <w:tcW w:w="195" w:type="pct"/>
            <w:tcBorders>
              <w:top w:val="single" w:sz="4" w:space="0" w:color="auto"/>
              <w:left w:val="single" w:sz="8" w:space="0" w:color="auto"/>
              <w:bottom w:val="single" w:sz="8" w:space="0" w:color="000000"/>
              <w:right w:val="single" w:sz="4" w:space="0" w:color="auto"/>
            </w:tcBorders>
            <w:shd w:val="clear" w:color="000000" w:fill="92CDDC"/>
            <w:tcMar>
              <w:top w:w="15" w:type="dxa"/>
              <w:left w:w="15" w:type="dxa"/>
              <w:bottom w:w="0" w:type="dxa"/>
              <w:right w:w="15" w:type="dxa"/>
            </w:tcMar>
            <w:vAlign w:val="center"/>
            <w:hideMark/>
          </w:tcPr>
          <w:p w14:paraId="527CE32D"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IX</w:t>
            </w:r>
          </w:p>
        </w:tc>
        <w:tc>
          <w:tcPr>
            <w:tcW w:w="3897" w:type="pct"/>
            <w:tcBorders>
              <w:top w:val="single" w:sz="8" w:space="0" w:color="auto"/>
              <w:left w:val="nil"/>
              <w:right w:val="nil"/>
            </w:tcBorders>
            <w:tcMar>
              <w:top w:w="15" w:type="dxa"/>
              <w:left w:w="15" w:type="dxa"/>
              <w:bottom w:w="0" w:type="dxa"/>
              <w:right w:w="15" w:type="dxa"/>
            </w:tcMar>
            <w:vAlign w:val="center"/>
            <w:hideMark/>
          </w:tcPr>
          <w:p w14:paraId="1C2416D5" w14:textId="77777777" w:rsidR="00214972" w:rsidRPr="001E5747" w:rsidRDefault="00214972" w:rsidP="00214972">
            <w:pPr>
              <w:rPr>
                <w:rFonts w:ascii="Calibri" w:eastAsia="Times New Roman" w:hAnsi="Calibri" w:cs="Calibri"/>
                <w:color w:val="000000"/>
                <w:sz w:val="18"/>
                <w:szCs w:val="16"/>
                <w:lang w:val="en-GB"/>
              </w:rPr>
            </w:pPr>
            <w:r w:rsidRPr="001E5747">
              <w:rPr>
                <w:rFonts w:ascii="Calibri" w:eastAsia="Times New Roman" w:hAnsi="Calibri" w:cs="Calibri"/>
                <w:color w:val="000000"/>
                <w:sz w:val="18"/>
                <w:szCs w:val="19"/>
                <w:lang w:val="en-GB"/>
              </w:rPr>
              <w:t>Pre-university education</w:t>
            </w:r>
          </w:p>
        </w:tc>
        <w:tc>
          <w:tcPr>
            <w:tcW w:w="908" w:type="pct"/>
            <w:tcBorders>
              <w:top w:val="nil"/>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14:paraId="2F8CA8EB" w14:textId="77777777" w:rsidR="00214972" w:rsidRPr="001E5747" w:rsidRDefault="00214972" w:rsidP="00214972">
            <w:pPr>
              <w:jc w:val="center"/>
              <w:rPr>
                <w:rFonts w:ascii="Arial" w:eastAsia="Times New Roman" w:hAnsi="Arial" w:cs="Arial"/>
                <w:color w:val="000000"/>
                <w:sz w:val="16"/>
                <w:szCs w:val="16"/>
                <w:lang w:val="en-GB"/>
              </w:rPr>
            </w:pPr>
            <w:r w:rsidRPr="001E5747">
              <w:rPr>
                <w:rFonts w:ascii="Arial" w:eastAsia="Times New Roman" w:hAnsi="Arial" w:cs="Arial"/>
                <w:color w:val="000000"/>
                <w:sz w:val="16"/>
                <w:szCs w:val="16"/>
                <w:lang w:val="en-GB"/>
              </w:rPr>
              <w:t>0</w:t>
            </w:r>
          </w:p>
        </w:tc>
      </w:tr>
      <w:tr w:rsidR="00214972" w:rsidRPr="001E5747" w14:paraId="65E413B0" w14:textId="77777777" w:rsidTr="00B739C3">
        <w:trPr>
          <w:trHeight w:val="415"/>
        </w:trPr>
        <w:tc>
          <w:tcPr>
            <w:tcW w:w="195" w:type="pct"/>
            <w:tcBorders>
              <w:top w:val="single" w:sz="4" w:space="0" w:color="auto"/>
              <w:left w:val="single" w:sz="8" w:space="0" w:color="auto"/>
              <w:bottom w:val="single" w:sz="8" w:space="0" w:color="000000"/>
              <w:right w:val="single" w:sz="4" w:space="0" w:color="auto"/>
            </w:tcBorders>
            <w:shd w:val="clear" w:color="000000" w:fill="92CDDC"/>
            <w:tcMar>
              <w:top w:w="15" w:type="dxa"/>
              <w:left w:w="15" w:type="dxa"/>
              <w:bottom w:w="0" w:type="dxa"/>
              <w:right w:w="15" w:type="dxa"/>
            </w:tcMar>
            <w:vAlign w:val="center"/>
            <w:hideMark/>
          </w:tcPr>
          <w:p w14:paraId="23B6FC39"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X</w:t>
            </w:r>
          </w:p>
        </w:tc>
        <w:tc>
          <w:tcPr>
            <w:tcW w:w="3897" w:type="pct"/>
            <w:tcBorders>
              <w:top w:val="single" w:sz="8" w:space="0" w:color="auto"/>
              <w:left w:val="nil"/>
              <w:right w:val="nil"/>
            </w:tcBorders>
            <w:tcMar>
              <w:top w:w="15" w:type="dxa"/>
              <w:left w:w="15" w:type="dxa"/>
              <w:bottom w:w="0" w:type="dxa"/>
              <w:right w:w="15" w:type="dxa"/>
            </w:tcMar>
            <w:vAlign w:val="center"/>
            <w:hideMark/>
          </w:tcPr>
          <w:p w14:paraId="3DF6D486" w14:textId="77777777" w:rsidR="00214972" w:rsidRPr="001E5747" w:rsidRDefault="00214972" w:rsidP="00214972">
            <w:pPr>
              <w:rPr>
                <w:rFonts w:ascii="Calibri" w:eastAsia="Times New Roman" w:hAnsi="Calibri" w:cs="Calibri"/>
                <w:color w:val="000000"/>
                <w:sz w:val="18"/>
                <w:szCs w:val="16"/>
                <w:lang w:val="en-GB"/>
              </w:rPr>
            </w:pPr>
            <w:r w:rsidRPr="001E5747">
              <w:rPr>
                <w:rFonts w:ascii="Calibri" w:eastAsia="Times New Roman" w:hAnsi="Calibri" w:cs="Calibri"/>
                <w:color w:val="000000"/>
                <w:sz w:val="18"/>
                <w:szCs w:val="19"/>
                <w:lang w:val="en-GB"/>
              </w:rPr>
              <w:t>Primary Health Care (PHC)</w:t>
            </w:r>
          </w:p>
        </w:tc>
        <w:tc>
          <w:tcPr>
            <w:tcW w:w="908" w:type="pc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14:paraId="4143ECE6" w14:textId="77777777" w:rsidR="00214972" w:rsidRPr="001E5747" w:rsidRDefault="00214972" w:rsidP="00214972">
            <w:pPr>
              <w:jc w:val="center"/>
              <w:rPr>
                <w:rFonts w:ascii="Arial" w:eastAsia="Times New Roman" w:hAnsi="Arial" w:cs="Arial"/>
                <w:color w:val="000000"/>
                <w:sz w:val="16"/>
                <w:szCs w:val="16"/>
                <w:lang w:val="en-GB"/>
              </w:rPr>
            </w:pPr>
            <w:r w:rsidRPr="001E5747">
              <w:rPr>
                <w:rFonts w:ascii="Arial" w:eastAsia="Times New Roman" w:hAnsi="Arial" w:cs="Arial"/>
                <w:color w:val="000000"/>
                <w:sz w:val="16"/>
                <w:szCs w:val="16"/>
                <w:lang w:val="en-GB"/>
              </w:rPr>
              <w:t>0</w:t>
            </w:r>
          </w:p>
        </w:tc>
      </w:tr>
      <w:tr w:rsidR="00214972" w:rsidRPr="001E5747" w14:paraId="5961B7AE" w14:textId="77777777" w:rsidTr="00B739C3">
        <w:trPr>
          <w:trHeight w:val="537"/>
        </w:trPr>
        <w:tc>
          <w:tcPr>
            <w:tcW w:w="4092" w:type="pct"/>
            <w:gridSpan w:val="2"/>
            <w:tcBorders>
              <w:top w:val="single" w:sz="8" w:space="0" w:color="auto"/>
              <w:left w:val="single" w:sz="8" w:space="0" w:color="auto"/>
              <w:bottom w:val="single" w:sz="8" w:space="0" w:color="auto"/>
              <w:right w:val="single" w:sz="4" w:space="0" w:color="auto"/>
            </w:tcBorders>
            <w:shd w:val="clear" w:color="000000" w:fill="31869B"/>
            <w:tcMar>
              <w:top w:w="15" w:type="dxa"/>
              <w:left w:w="15" w:type="dxa"/>
              <w:bottom w:w="0" w:type="dxa"/>
              <w:right w:w="15" w:type="dxa"/>
            </w:tcMar>
            <w:vAlign w:val="center"/>
            <w:hideMark/>
          </w:tcPr>
          <w:p w14:paraId="79D4227F" w14:textId="77777777" w:rsidR="00214972" w:rsidRPr="001E5747" w:rsidRDefault="00214972" w:rsidP="00214972">
            <w:pPr>
              <w:jc w:val="right"/>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 xml:space="preserve">Score </w:t>
            </w:r>
            <w:r w:rsidRPr="001E5747">
              <w:rPr>
                <w:rFonts w:ascii="Calibri" w:eastAsia="Times New Roman" w:hAnsi="Calibri" w:cs="Calibri"/>
                <w:color w:val="FFFFFF"/>
                <w:sz w:val="16"/>
                <w:szCs w:val="16"/>
                <w:lang w:val="en-GB"/>
              </w:rPr>
              <w:t>for service delivery</w:t>
            </w:r>
          </w:p>
        </w:tc>
        <w:tc>
          <w:tcPr>
            <w:tcW w:w="908" w:type="pct"/>
            <w:tcBorders>
              <w:top w:val="nil"/>
              <w:left w:val="nil"/>
              <w:bottom w:val="single" w:sz="8" w:space="0" w:color="auto"/>
              <w:right w:val="single" w:sz="8" w:space="0" w:color="auto"/>
            </w:tcBorders>
            <w:shd w:val="clear" w:color="000000" w:fill="31869B"/>
            <w:tcMar>
              <w:top w:w="15" w:type="dxa"/>
              <w:left w:w="15" w:type="dxa"/>
              <w:bottom w:w="0" w:type="dxa"/>
              <w:right w:w="15" w:type="dxa"/>
            </w:tcMar>
            <w:vAlign w:val="center"/>
            <w:hideMark/>
          </w:tcPr>
          <w:p w14:paraId="5A3C60FD"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0</w:t>
            </w:r>
          </w:p>
        </w:tc>
      </w:tr>
      <w:tr w:rsidR="00214972" w:rsidRPr="001E5747" w14:paraId="418EC449" w14:textId="77777777" w:rsidTr="00B739C3">
        <w:trPr>
          <w:trHeight w:val="121"/>
        </w:trPr>
        <w:tc>
          <w:tcPr>
            <w:tcW w:w="195" w:type="pct"/>
            <w:tcBorders>
              <w:top w:val="nil"/>
              <w:left w:val="single" w:sz="8" w:space="0" w:color="auto"/>
              <w:bottom w:val="nil"/>
              <w:right w:val="nil"/>
            </w:tcBorders>
            <w:noWrap/>
            <w:tcMar>
              <w:top w:w="15" w:type="dxa"/>
              <w:left w:w="15" w:type="dxa"/>
              <w:bottom w:w="0" w:type="dxa"/>
              <w:right w:w="15" w:type="dxa"/>
            </w:tcMar>
            <w:vAlign w:val="bottom"/>
            <w:hideMark/>
          </w:tcPr>
          <w:p w14:paraId="14D06C06" w14:textId="77777777" w:rsidR="00214972" w:rsidRPr="001E5747" w:rsidRDefault="00214972" w:rsidP="00214972">
            <w:pPr>
              <w:rPr>
                <w:rFonts w:ascii="Calibri" w:eastAsia="Times New Roman" w:hAnsi="Calibri" w:cs="Calibri"/>
                <w:color w:val="000000"/>
                <w:sz w:val="16"/>
                <w:szCs w:val="16"/>
                <w:lang w:val="en-GB"/>
              </w:rPr>
            </w:pPr>
            <w:r w:rsidRPr="001E5747">
              <w:rPr>
                <w:rFonts w:ascii="Calibri" w:eastAsia="Times New Roman" w:hAnsi="Calibri" w:cs="Calibri"/>
                <w:color w:val="000000"/>
                <w:sz w:val="16"/>
                <w:szCs w:val="16"/>
                <w:lang w:val="en-GB"/>
              </w:rPr>
              <w:t> </w:t>
            </w:r>
          </w:p>
        </w:tc>
        <w:tc>
          <w:tcPr>
            <w:tcW w:w="4805" w:type="pct"/>
            <w:gridSpan w:val="2"/>
            <w:tcBorders>
              <w:top w:val="nil"/>
              <w:left w:val="nil"/>
              <w:bottom w:val="nil"/>
              <w:right w:val="single" w:sz="8" w:space="0" w:color="auto"/>
            </w:tcBorders>
            <w:noWrap/>
            <w:tcMar>
              <w:top w:w="15" w:type="dxa"/>
              <w:left w:w="15" w:type="dxa"/>
              <w:bottom w:w="0" w:type="dxa"/>
              <w:right w:w="15" w:type="dxa"/>
            </w:tcMar>
            <w:vAlign w:val="bottom"/>
            <w:hideMark/>
          </w:tcPr>
          <w:p w14:paraId="1ACCE58B" w14:textId="77777777" w:rsidR="00214972" w:rsidRPr="001E5747" w:rsidRDefault="00214972" w:rsidP="00214972">
            <w:pPr>
              <w:rPr>
                <w:rFonts w:ascii="Calibri" w:eastAsia="Times New Roman" w:hAnsi="Calibri" w:cs="Calibri"/>
                <w:color w:val="000000"/>
                <w:sz w:val="2"/>
                <w:szCs w:val="16"/>
                <w:lang w:val="en-GB"/>
              </w:rPr>
            </w:pPr>
            <w:r w:rsidRPr="001E5747">
              <w:rPr>
                <w:rFonts w:ascii="Calibri" w:eastAsia="Times New Roman" w:hAnsi="Calibri" w:cs="Calibri"/>
                <w:color w:val="000000"/>
                <w:sz w:val="16"/>
                <w:szCs w:val="16"/>
                <w:lang w:val="en-GB"/>
              </w:rPr>
              <w:t> </w:t>
            </w:r>
          </w:p>
        </w:tc>
      </w:tr>
      <w:tr w:rsidR="00214972" w:rsidRPr="001E5747" w14:paraId="31B7AF15" w14:textId="77777777" w:rsidTr="00B739C3">
        <w:trPr>
          <w:trHeight w:val="450"/>
        </w:trPr>
        <w:tc>
          <w:tcPr>
            <w:tcW w:w="4092" w:type="pct"/>
            <w:gridSpan w:val="2"/>
            <w:tcBorders>
              <w:top w:val="single" w:sz="8" w:space="0" w:color="auto"/>
              <w:left w:val="single" w:sz="8" w:space="0" w:color="auto"/>
              <w:bottom w:val="single" w:sz="8" w:space="0" w:color="auto"/>
              <w:right w:val="single" w:sz="4" w:space="0" w:color="auto"/>
            </w:tcBorders>
            <w:shd w:val="clear" w:color="000000" w:fill="215967"/>
            <w:tcMar>
              <w:top w:w="15" w:type="dxa"/>
              <w:left w:w="15" w:type="dxa"/>
              <w:bottom w:w="0" w:type="dxa"/>
              <w:right w:w="15" w:type="dxa"/>
            </w:tcMar>
            <w:vAlign w:val="center"/>
            <w:hideMark/>
          </w:tcPr>
          <w:p w14:paraId="1D0D069A" w14:textId="77777777" w:rsidR="00214972" w:rsidRPr="001E5747" w:rsidRDefault="00214972" w:rsidP="00214972">
            <w:pPr>
              <w:jc w:val="right"/>
              <w:rPr>
                <w:rFonts w:ascii="Arial" w:eastAsia="Times New Roman" w:hAnsi="Arial" w:cs="Arial"/>
                <w:b/>
                <w:bCs/>
                <w:color w:val="FFFFFF"/>
                <w:sz w:val="16"/>
                <w:szCs w:val="16"/>
                <w:lang w:val="en-GB"/>
              </w:rPr>
            </w:pPr>
            <w:r w:rsidRPr="001E5747">
              <w:rPr>
                <w:rFonts w:ascii="Arial" w:eastAsia="Times New Roman" w:hAnsi="Arial" w:cs="Arial"/>
                <w:b/>
                <w:bCs/>
                <w:color w:val="FFFFFF"/>
                <w:sz w:val="16"/>
                <w:szCs w:val="16"/>
                <w:lang w:val="en-GB"/>
              </w:rPr>
              <w:t>Final Score</w:t>
            </w:r>
          </w:p>
        </w:tc>
        <w:tc>
          <w:tcPr>
            <w:tcW w:w="908" w:type="pct"/>
            <w:tcBorders>
              <w:top w:val="single" w:sz="8" w:space="0" w:color="auto"/>
              <w:left w:val="nil"/>
              <w:bottom w:val="single" w:sz="8" w:space="0" w:color="auto"/>
              <w:right w:val="single" w:sz="8" w:space="0" w:color="auto"/>
            </w:tcBorders>
            <w:shd w:val="clear" w:color="000000" w:fill="215967"/>
            <w:tcMar>
              <w:top w:w="15" w:type="dxa"/>
              <w:left w:w="15" w:type="dxa"/>
              <w:bottom w:w="0" w:type="dxa"/>
              <w:right w:w="15" w:type="dxa"/>
            </w:tcMar>
            <w:vAlign w:val="center"/>
            <w:hideMark/>
          </w:tcPr>
          <w:p w14:paraId="17C312DF"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0</w:t>
            </w:r>
          </w:p>
        </w:tc>
      </w:tr>
    </w:tbl>
    <w:p w14:paraId="6BD1FB05" w14:textId="5473FBC9" w:rsidR="000D0694" w:rsidRDefault="000D0694">
      <w:pPr>
        <w:rPr>
          <w:lang w:val="en-GB"/>
        </w:rPr>
      </w:pPr>
    </w:p>
    <w:tbl>
      <w:tblPr>
        <w:tblW w:w="14329" w:type="dxa"/>
        <w:tblLook w:val="04A0" w:firstRow="1" w:lastRow="0" w:firstColumn="1" w:lastColumn="0" w:noHBand="0" w:noVBand="1"/>
      </w:tblPr>
      <w:tblGrid>
        <w:gridCol w:w="326"/>
        <w:gridCol w:w="1943"/>
        <w:gridCol w:w="2424"/>
        <w:gridCol w:w="819"/>
        <w:gridCol w:w="1538"/>
        <w:gridCol w:w="2341"/>
        <w:gridCol w:w="5016"/>
      </w:tblGrid>
      <w:tr w:rsidR="001D116F" w:rsidRPr="00050E7F" w14:paraId="5E07D2AC" w14:textId="77777777" w:rsidTr="001D116F">
        <w:trPr>
          <w:trHeight w:val="603"/>
        </w:trPr>
        <w:tc>
          <w:tcPr>
            <w:tcW w:w="14329" w:type="dxa"/>
            <w:gridSpan w:val="7"/>
            <w:tcBorders>
              <w:top w:val="single" w:sz="8" w:space="0" w:color="auto"/>
              <w:left w:val="single" w:sz="8" w:space="0" w:color="auto"/>
              <w:bottom w:val="single" w:sz="4" w:space="0" w:color="auto"/>
              <w:right w:val="single" w:sz="8" w:space="0" w:color="000000"/>
            </w:tcBorders>
            <w:shd w:val="clear" w:color="000000" w:fill="1F4E78"/>
            <w:vAlign w:val="center"/>
            <w:hideMark/>
          </w:tcPr>
          <w:p w14:paraId="1E55D638" w14:textId="7B41C794" w:rsidR="001D116F" w:rsidRPr="00050E7F" w:rsidRDefault="001D116F" w:rsidP="00023C23">
            <w:pPr>
              <w:jc w:val="center"/>
              <w:rPr>
                <w:rFonts w:ascii="Calibri Light" w:eastAsia="Times New Roman" w:hAnsi="Calibri Light" w:cs="Calibri Light"/>
                <w:b/>
                <w:bCs/>
                <w:color w:val="FFFFFF"/>
                <w:sz w:val="22"/>
                <w:szCs w:val="22"/>
              </w:rPr>
            </w:pPr>
            <w:bookmarkStart w:id="133" w:name="_Hlk172045103"/>
            <w:proofErr w:type="spellStart"/>
            <w:r w:rsidRPr="00192347">
              <w:rPr>
                <w:rFonts w:ascii="Calibri Light" w:eastAsia="Times New Roman" w:hAnsi="Calibri Light" w:cs="Calibri Light"/>
                <w:b/>
                <w:bCs/>
                <w:color w:val="FFFFFF"/>
                <w:sz w:val="22"/>
                <w:szCs w:val="22"/>
              </w:rPr>
              <w:t>Assessment</w:t>
            </w:r>
            <w:proofErr w:type="spellEnd"/>
            <w:r w:rsidRPr="00192347">
              <w:rPr>
                <w:rFonts w:ascii="Calibri Light" w:eastAsia="Times New Roman" w:hAnsi="Calibri Light" w:cs="Calibri Light"/>
                <w:b/>
                <w:bCs/>
                <w:color w:val="FFFFFF"/>
                <w:sz w:val="22"/>
                <w:szCs w:val="22"/>
              </w:rPr>
              <w:t xml:space="preserve"> </w:t>
            </w:r>
            <w:proofErr w:type="spellStart"/>
            <w:r w:rsidRPr="00192347">
              <w:rPr>
                <w:rFonts w:ascii="Calibri Light" w:eastAsia="Times New Roman" w:hAnsi="Calibri Light" w:cs="Calibri Light"/>
                <w:b/>
                <w:bCs/>
                <w:color w:val="FFFFFF"/>
                <w:sz w:val="22"/>
                <w:szCs w:val="22"/>
              </w:rPr>
              <w:t>of</w:t>
            </w:r>
            <w:proofErr w:type="spellEnd"/>
            <w:r w:rsidRPr="00192347">
              <w:rPr>
                <w:rFonts w:ascii="Calibri Light" w:eastAsia="Times New Roman" w:hAnsi="Calibri Light" w:cs="Calibri Light"/>
                <w:b/>
                <w:bCs/>
                <w:color w:val="FFFFFF"/>
                <w:sz w:val="22"/>
                <w:szCs w:val="22"/>
              </w:rPr>
              <w:t xml:space="preserve"> minimum </w:t>
            </w:r>
            <w:proofErr w:type="spellStart"/>
            <w:r w:rsidRPr="00192347">
              <w:rPr>
                <w:rFonts w:ascii="Calibri Light" w:eastAsia="Times New Roman" w:hAnsi="Calibri Light" w:cs="Calibri Light"/>
                <w:b/>
                <w:bCs/>
                <w:color w:val="FFFFFF"/>
                <w:sz w:val="22"/>
                <w:szCs w:val="22"/>
              </w:rPr>
              <w:t>conditions</w:t>
            </w:r>
            <w:proofErr w:type="spellEnd"/>
            <w:r w:rsidRPr="00192347">
              <w:rPr>
                <w:rFonts w:ascii="Calibri Light" w:eastAsia="Times New Roman" w:hAnsi="Calibri Light" w:cs="Calibri Light"/>
                <w:b/>
                <w:bCs/>
                <w:color w:val="FFFFFF"/>
                <w:sz w:val="22"/>
                <w:szCs w:val="22"/>
              </w:rPr>
              <w:t xml:space="preserve"> </w:t>
            </w:r>
            <w:proofErr w:type="spellStart"/>
            <w:r w:rsidRPr="00192347">
              <w:rPr>
                <w:rFonts w:ascii="Calibri Light" w:eastAsia="Times New Roman" w:hAnsi="Calibri Light" w:cs="Calibri Light"/>
                <w:b/>
                <w:bCs/>
                <w:color w:val="FFFFFF"/>
                <w:sz w:val="22"/>
                <w:szCs w:val="22"/>
              </w:rPr>
              <w:t>for</w:t>
            </w:r>
            <w:proofErr w:type="spellEnd"/>
            <w:r w:rsidRPr="00192347">
              <w:rPr>
                <w:rFonts w:ascii="Calibri Light" w:eastAsia="Times New Roman" w:hAnsi="Calibri Light" w:cs="Calibri Light"/>
                <w:b/>
                <w:bCs/>
                <w:color w:val="FFFFFF"/>
                <w:sz w:val="22"/>
                <w:szCs w:val="22"/>
              </w:rPr>
              <w:t xml:space="preserve"> 202</w:t>
            </w:r>
            <w:r w:rsidR="009403FE">
              <w:rPr>
                <w:rFonts w:ascii="Calibri Light" w:eastAsia="Times New Roman" w:hAnsi="Calibri Light" w:cs="Calibri Light"/>
                <w:b/>
                <w:bCs/>
                <w:color w:val="FFFFFF"/>
                <w:sz w:val="22"/>
                <w:szCs w:val="22"/>
              </w:rPr>
              <w:t>4</w:t>
            </w:r>
            <w:r w:rsidRPr="00192347">
              <w:rPr>
                <w:rFonts w:ascii="Calibri Light" w:eastAsia="Times New Roman" w:hAnsi="Calibri Light" w:cs="Calibri Light"/>
                <w:b/>
                <w:bCs/>
                <w:color w:val="FFFFFF"/>
                <w:sz w:val="22"/>
                <w:szCs w:val="22"/>
              </w:rPr>
              <w:t xml:space="preserve"> </w:t>
            </w:r>
            <w:proofErr w:type="spellStart"/>
            <w:r w:rsidRPr="00192347">
              <w:rPr>
                <w:rFonts w:ascii="Calibri Light" w:eastAsia="Times New Roman" w:hAnsi="Calibri Light" w:cs="Calibri Light"/>
                <w:b/>
                <w:bCs/>
                <w:color w:val="FFFFFF"/>
                <w:sz w:val="22"/>
                <w:szCs w:val="22"/>
              </w:rPr>
              <w:t>for</w:t>
            </w:r>
            <w:proofErr w:type="spellEnd"/>
            <w:r w:rsidRPr="00192347">
              <w:rPr>
                <w:rFonts w:ascii="Calibri Light" w:eastAsia="Times New Roman" w:hAnsi="Calibri Light" w:cs="Calibri Light"/>
                <w:b/>
                <w:bCs/>
                <w:color w:val="FFFFFF"/>
                <w:sz w:val="22"/>
                <w:szCs w:val="22"/>
              </w:rPr>
              <w:t xml:space="preserve"> the 202</w:t>
            </w:r>
            <w:r w:rsidR="009403FE">
              <w:rPr>
                <w:rFonts w:ascii="Calibri Light" w:eastAsia="Times New Roman" w:hAnsi="Calibri Light" w:cs="Calibri Light"/>
                <w:b/>
                <w:bCs/>
                <w:color w:val="FFFFFF"/>
                <w:sz w:val="22"/>
                <w:szCs w:val="22"/>
              </w:rPr>
              <w:t>6</w:t>
            </w:r>
            <w:r w:rsidRPr="00192347">
              <w:rPr>
                <w:rFonts w:ascii="Calibri Light" w:eastAsia="Times New Roman" w:hAnsi="Calibri Light" w:cs="Calibri Light"/>
                <w:b/>
                <w:bCs/>
                <w:color w:val="FFFFFF"/>
                <w:sz w:val="22"/>
                <w:szCs w:val="22"/>
              </w:rPr>
              <w:t xml:space="preserve"> </w:t>
            </w:r>
            <w:proofErr w:type="spellStart"/>
            <w:r w:rsidRPr="00192347">
              <w:rPr>
                <w:rFonts w:ascii="Calibri Light" w:eastAsia="Times New Roman" w:hAnsi="Calibri Light" w:cs="Calibri Light"/>
                <w:b/>
                <w:bCs/>
                <w:color w:val="FFFFFF"/>
                <w:sz w:val="22"/>
                <w:szCs w:val="22"/>
              </w:rPr>
              <w:t>municipal</w:t>
            </w:r>
            <w:proofErr w:type="spellEnd"/>
            <w:r w:rsidRPr="00192347">
              <w:rPr>
                <w:rFonts w:ascii="Calibri Light" w:eastAsia="Times New Roman" w:hAnsi="Calibri Light" w:cs="Calibri Light"/>
                <w:b/>
                <w:bCs/>
                <w:color w:val="FFFFFF"/>
                <w:sz w:val="22"/>
                <w:szCs w:val="22"/>
              </w:rPr>
              <w:t xml:space="preserve"> </w:t>
            </w:r>
            <w:proofErr w:type="spellStart"/>
            <w:r w:rsidRPr="00192347">
              <w:rPr>
                <w:rFonts w:ascii="Calibri Light" w:eastAsia="Times New Roman" w:hAnsi="Calibri Light" w:cs="Calibri Light"/>
                <w:b/>
                <w:bCs/>
                <w:color w:val="FFFFFF"/>
                <w:sz w:val="22"/>
                <w:szCs w:val="22"/>
              </w:rPr>
              <w:t>performance</w:t>
            </w:r>
            <w:proofErr w:type="spellEnd"/>
            <w:r w:rsidRPr="00192347">
              <w:rPr>
                <w:rFonts w:ascii="Calibri Light" w:eastAsia="Times New Roman" w:hAnsi="Calibri Light" w:cs="Calibri Light"/>
                <w:b/>
                <w:bCs/>
                <w:color w:val="FFFFFF"/>
                <w:sz w:val="22"/>
                <w:szCs w:val="22"/>
              </w:rPr>
              <w:t xml:space="preserve"> </w:t>
            </w:r>
            <w:proofErr w:type="spellStart"/>
            <w:r w:rsidRPr="00192347">
              <w:rPr>
                <w:rFonts w:ascii="Calibri Light" w:eastAsia="Times New Roman" w:hAnsi="Calibri Light" w:cs="Calibri Light"/>
                <w:b/>
                <w:bCs/>
                <w:color w:val="FFFFFF"/>
                <w:sz w:val="22"/>
                <w:szCs w:val="22"/>
              </w:rPr>
              <w:t>grant</w:t>
            </w:r>
            <w:proofErr w:type="spellEnd"/>
            <w:r w:rsidRPr="00192347">
              <w:rPr>
                <w:rFonts w:ascii="Calibri Light" w:eastAsia="Times New Roman" w:hAnsi="Calibri Light" w:cs="Calibri Light"/>
                <w:b/>
                <w:bCs/>
                <w:color w:val="FFFFFF"/>
                <w:sz w:val="22"/>
                <w:szCs w:val="22"/>
              </w:rPr>
              <w:t xml:space="preserve"> - </w:t>
            </w:r>
            <w:proofErr w:type="spellStart"/>
            <w:r w:rsidRPr="00192347">
              <w:rPr>
                <w:rFonts w:ascii="Calibri Light" w:eastAsia="Times New Roman" w:hAnsi="Calibri Light" w:cs="Calibri Light"/>
                <w:b/>
                <w:bCs/>
                <w:color w:val="FFFFFF"/>
                <w:sz w:val="22"/>
                <w:szCs w:val="22"/>
              </w:rPr>
              <w:t>Municipality</w:t>
            </w:r>
            <w:proofErr w:type="spellEnd"/>
            <w:r w:rsidRPr="00192347">
              <w:rPr>
                <w:rFonts w:ascii="Calibri Light" w:eastAsia="Times New Roman" w:hAnsi="Calibri Light" w:cs="Calibri Light"/>
                <w:b/>
                <w:bCs/>
                <w:color w:val="FFFFFF"/>
                <w:sz w:val="22"/>
                <w:szCs w:val="22"/>
              </w:rPr>
              <w:t xml:space="preserve"> XXX</w:t>
            </w:r>
          </w:p>
        </w:tc>
      </w:tr>
      <w:tr w:rsidR="001D116F" w:rsidRPr="00050E7F" w14:paraId="412CD443" w14:textId="77777777" w:rsidTr="001D116F">
        <w:trPr>
          <w:trHeight w:val="174"/>
        </w:trPr>
        <w:tc>
          <w:tcPr>
            <w:tcW w:w="304" w:type="dxa"/>
            <w:tcBorders>
              <w:top w:val="nil"/>
              <w:left w:val="single" w:sz="8" w:space="0" w:color="auto"/>
              <w:bottom w:val="nil"/>
              <w:right w:val="nil"/>
            </w:tcBorders>
            <w:noWrap/>
            <w:vAlign w:val="center"/>
            <w:hideMark/>
          </w:tcPr>
          <w:p w14:paraId="6D29F064" w14:textId="77777777" w:rsidR="001D116F" w:rsidRPr="00050E7F" w:rsidRDefault="001D116F" w:rsidP="00023C23">
            <w:pPr>
              <w:rPr>
                <w:rFonts w:ascii="Calibri Light" w:eastAsia="Times New Roman" w:hAnsi="Calibri Light" w:cs="Calibri Light"/>
                <w:color w:val="000000"/>
                <w:sz w:val="22"/>
                <w:szCs w:val="22"/>
              </w:rPr>
            </w:pPr>
          </w:p>
        </w:tc>
        <w:tc>
          <w:tcPr>
            <w:tcW w:w="1943" w:type="dxa"/>
            <w:tcBorders>
              <w:top w:val="nil"/>
              <w:left w:val="nil"/>
              <w:bottom w:val="nil"/>
              <w:right w:val="nil"/>
            </w:tcBorders>
            <w:noWrap/>
            <w:vAlign w:val="bottom"/>
            <w:hideMark/>
          </w:tcPr>
          <w:p w14:paraId="7CF81958" w14:textId="77777777" w:rsidR="001D116F" w:rsidRPr="00050E7F" w:rsidRDefault="001D116F" w:rsidP="00023C23">
            <w:pPr>
              <w:jc w:val="center"/>
              <w:rPr>
                <w:rFonts w:ascii="Calibri Light" w:eastAsia="Times New Roman" w:hAnsi="Calibri Light" w:cs="Calibri Light"/>
                <w:color w:val="000000"/>
                <w:sz w:val="22"/>
                <w:szCs w:val="22"/>
              </w:rPr>
            </w:pPr>
          </w:p>
        </w:tc>
        <w:tc>
          <w:tcPr>
            <w:tcW w:w="2424" w:type="dxa"/>
            <w:tcBorders>
              <w:top w:val="nil"/>
              <w:left w:val="nil"/>
              <w:bottom w:val="nil"/>
              <w:right w:val="nil"/>
            </w:tcBorders>
            <w:noWrap/>
            <w:vAlign w:val="bottom"/>
            <w:hideMark/>
          </w:tcPr>
          <w:p w14:paraId="54F15042" w14:textId="77777777" w:rsidR="001D116F" w:rsidRPr="00050E7F" w:rsidRDefault="001D116F" w:rsidP="00023C23">
            <w:pPr>
              <w:rPr>
                <w:rFonts w:ascii="Calibri Light" w:eastAsia="Times New Roman" w:hAnsi="Calibri Light" w:cs="Calibri Light"/>
                <w:sz w:val="22"/>
                <w:szCs w:val="22"/>
              </w:rPr>
            </w:pPr>
          </w:p>
        </w:tc>
        <w:tc>
          <w:tcPr>
            <w:tcW w:w="760" w:type="dxa"/>
            <w:tcBorders>
              <w:top w:val="nil"/>
              <w:left w:val="nil"/>
              <w:bottom w:val="nil"/>
              <w:right w:val="nil"/>
            </w:tcBorders>
            <w:noWrap/>
            <w:vAlign w:val="bottom"/>
            <w:hideMark/>
          </w:tcPr>
          <w:p w14:paraId="48A0E797" w14:textId="77777777" w:rsidR="001D116F" w:rsidRPr="00050E7F" w:rsidRDefault="001D116F" w:rsidP="00023C23">
            <w:pPr>
              <w:rPr>
                <w:rFonts w:ascii="Calibri Light" w:eastAsia="Times New Roman" w:hAnsi="Calibri Light" w:cs="Calibri Light"/>
                <w:sz w:val="22"/>
                <w:szCs w:val="22"/>
              </w:rPr>
            </w:pPr>
          </w:p>
        </w:tc>
        <w:tc>
          <w:tcPr>
            <w:tcW w:w="1538" w:type="dxa"/>
            <w:tcBorders>
              <w:top w:val="nil"/>
              <w:left w:val="nil"/>
              <w:bottom w:val="nil"/>
              <w:right w:val="nil"/>
            </w:tcBorders>
            <w:noWrap/>
            <w:vAlign w:val="bottom"/>
            <w:hideMark/>
          </w:tcPr>
          <w:p w14:paraId="5FE1701C" w14:textId="77777777" w:rsidR="001D116F" w:rsidRPr="00050E7F" w:rsidRDefault="001D116F" w:rsidP="00023C23">
            <w:pPr>
              <w:rPr>
                <w:rFonts w:ascii="Calibri Light" w:eastAsia="Times New Roman" w:hAnsi="Calibri Light" w:cs="Calibri Light"/>
                <w:sz w:val="22"/>
                <w:szCs w:val="22"/>
              </w:rPr>
            </w:pPr>
          </w:p>
        </w:tc>
        <w:tc>
          <w:tcPr>
            <w:tcW w:w="2341" w:type="dxa"/>
            <w:tcBorders>
              <w:top w:val="nil"/>
              <w:left w:val="nil"/>
              <w:bottom w:val="nil"/>
              <w:right w:val="nil"/>
            </w:tcBorders>
            <w:noWrap/>
            <w:vAlign w:val="bottom"/>
            <w:hideMark/>
          </w:tcPr>
          <w:p w14:paraId="6696BD5C" w14:textId="77777777" w:rsidR="001D116F" w:rsidRPr="00050E7F" w:rsidRDefault="001D116F" w:rsidP="00023C23">
            <w:pPr>
              <w:rPr>
                <w:rFonts w:ascii="Calibri Light" w:eastAsia="Times New Roman" w:hAnsi="Calibri Light" w:cs="Calibri Light"/>
                <w:sz w:val="22"/>
                <w:szCs w:val="22"/>
              </w:rPr>
            </w:pPr>
          </w:p>
        </w:tc>
        <w:tc>
          <w:tcPr>
            <w:tcW w:w="5016" w:type="dxa"/>
            <w:tcBorders>
              <w:top w:val="nil"/>
              <w:left w:val="nil"/>
              <w:bottom w:val="nil"/>
              <w:right w:val="single" w:sz="8" w:space="0" w:color="auto"/>
            </w:tcBorders>
            <w:noWrap/>
            <w:vAlign w:val="bottom"/>
            <w:hideMark/>
          </w:tcPr>
          <w:p w14:paraId="3FEB4E6F" w14:textId="77777777" w:rsidR="001D116F" w:rsidRPr="00050E7F" w:rsidRDefault="001D116F" w:rsidP="00023C23">
            <w:pPr>
              <w:rPr>
                <w:rFonts w:ascii="Calibri Light" w:eastAsia="Times New Roman" w:hAnsi="Calibri Light" w:cs="Calibri Light"/>
                <w:color w:val="000000"/>
                <w:sz w:val="22"/>
                <w:szCs w:val="22"/>
              </w:rPr>
            </w:pPr>
            <w:r w:rsidRPr="00050E7F">
              <w:rPr>
                <w:rFonts w:ascii="Calibri Light" w:eastAsia="Times New Roman" w:hAnsi="Calibri Light" w:cs="Calibri Light"/>
                <w:color w:val="000000"/>
                <w:sz w:val="22"/>
                <w:szCs w:val="22"/>
              </w:rPr>
              <w:t> </w:t>
            </w:r>
          </w:p>
        </w:tc>
      </w:tr>
      <w:tr w:rsidR="001D116F" w:rsidRPr="00050E7F" w14:paraId="55BD85D3" w14:textId="77777777" w:rsidTr="001D116F">
        <w:trPr>
          <w:trHeight w:val="1038"/>
        </w:trPr>
        <w:tc>
          <w:tcPr>
            <w:tcW w:w="304" w:type="dxa"/>
            <w:tcBorders>
              <w:top w:val="single" w:sz="8" w:space="0" w:color="auto"/>
              <w:left w:val="single" w:sz="8" w:space="0" w:color="auto"/>
              <w:bottom w:val="single" w:sz="8" w:space="0" w:color="auto"/>
              <w:right w:val="single" w:sz="8" w:space="0" w:color="auto"/>
            </w:tcBorders>
            <w:shd w:val="clear" w:color="000000" w:fill="2F75B5"/>
            <w:noWrap/>
            <w:vAlign w:val="center"/>
            <w:hideMark/>
          </w:tcPr>
          <w:p w14:paraId="6FD7E34E" w14:textId="77777777" w:rsidR="001D116F" w:rsidRPr="00050E7F" w:rsidRDefault="001D116F" w:rsidP="00023C23">
            <w:pPr>
              <w:jc w:val="center"/>
              <w:rPr>
                <w:rFonts w:ascii="Calibri Light" w:eastAsia="Times New Roman" w:hAnsi="Calibri Light" w:cs="Calibri Light"/>
                <w:b/>
                <w:bCs/>
                <w:color w:val="FFFFFF"/>
                <w:sz w:val="22"/>
                <w:szCs w:val="22"/>
                <w:lang w:val="en-US"/>
              </w:rPr>
            </w:pPr>
            <w:r w:rsidRPr="00050E7F">
              <w:rPr>
                <w:rFonts w:ascii="Calibri Light" w:eastAsia="Times New Roman" w:hAnsi="Calibri Light" w:cs="Calibri Light"/>
                <w:b/>
                <w:bCs/>
                <w:color w:val="FFFFFF"/>
                <w:sz w:val="22"/>
                <w:szCs w:val="22"/>
                <w:lang w:val="en-US"/>
              </w:rPr>
              <w:t>#</w:t>
            </w:r>
          </w:p>
        </w:tc>
        <w:tc>
          <w:tcPr>
            <w:tcW w:w="1943" w:type="dxa"/>
            <w:tcBorders>
              <w:top w:val="single" w:sz="8" w:space="0" w:color="auto"/>
              <w:left w:val="nil"/>
              <w:bottom w:val="single" w:sz="8" w:space="0" w:color="auto"/>
              <w:right w:val="single" w:sz="4" w:space="0" w:color="auto"/>
            </w:tcBorders>
            <w:shd w:val="clear" w:color="000000" w:fill="2F75B5"/>
            <w:vAlign w:val="center"/>
            <w:hideMark/>
          </w:tcPr>
          <w:p w14:paraId="483826CA" w14:textId="77777777" w:rsidR="001D116F" w:rsidRPr="00050E7F" w:rsidRDefault="001D116F" w:rsidP="00023C23">
            <w:pPr>
              <w:jc w:val="center"/>
              <w:rPr>
                <w:rFonts w:ascii="Calibri Light" w:eastAsia="Times New Roman" w:hAnsi="Calibri Light" w:cs="Calibri Light"/>
                <w:b/>
                <w:bCs/>
                <w:color w:val="FFFFFF"/>
                <w:sz w:val="22"/>
                <w:szCs w:val="22"/>
                <w:lang w:val="en-US"/>
              </w:rPr>
            </w:pPr>
            <w:r>
              <w:rPr>
                <w:rFonts w:ascii="Calibri-Bold" w:hAnsi="Calibri-Bold" w:cs="Calibri-Bold"/>
                <w:b/>
                <w:bCs/>
                <w:color w:val="FFFFFF"/>
                <w:sz w:val="15"/>
                <w:szCs w:val="15"/>
                <w:lang w:val="en-US"/>
              </w:rPr>
              <w:t>Minimum condition</w:t>
            </w:r>
          </w:p>
        </w:tc>
        <w:tc>
          <w:tcPr>
            <w:tcW w:w="2424" w:type="dxa"/>
            <w:tcBorders>
              <w:top w:val="single" w:sz="8" w:space="0" w:color="auto"/>
              <w:left w:val="nil"/>
              <w:bottom w:val="single" w:sz="8" w:space="0" w:color="auto"/>
              <w:right w:val="single" w:sz="4" w:space="0" w:color="auto"/>
            </w:tcBorders>
            <w:shd w:val="clear" w:color="000000" w:fill="2F75B5"/>
            <w:vAlign w:val="center"/>
            <w:hideMark/>
          </w:tcPr>
          <w:p w14:paraId="2D34EC2D" w14:textId="77777777" w:rsidR="001D116F" w:rsidRPr="00050E7F" w:rsidRDefault="001D116F" w:rsidP="00023C23">
            <w:pPr>
              <w:jc w:val="center"/>
              <w:rPr>
                <w:rFonts w:ascii="Calibri Light" w:eastAsia="Times New Roman" w:hAnsi="Calibri Light" w:cs="Calibri Light"/>
                <w:b/>
                <w:bCs/>
                <w:color w:val="FFFFFF"/>
                <w:sz w:val="22"/>
                <w:szCs w:val="22"/>
                <w:lang w:val="en-US"/>
              </w:rPr>
            </w:pPr>
            <w:r>
              <w:rPr>
                <w:rFonts w:ascii="Calibri-Bold" w:hAnsi="Calibri-Bold" w:cs="Calibri-Bold"/>
                <w:b/>
                <w:bCs/>
                <w:color w:val="FFFFFF"/>
                <w:sz w:val="15"/>
                <w:szCs w:val="15"/>
                <w:lang w:val="en-US"/>
              </w:rPr>
              <w:t>Scoring guideline</w:t>
            </w:r>
          </w:p>
        </w:tc>
        <w:tc>
          <w:tcPr>
            <w:tcW w:w="760" w:type="dxa"/>
            <w:tcBorders>
              <w:top w:val="single" w:sz="8" w:space="0" w:color="auto"/>
              <w:left w:val="nil"/>
              <w:bottom w:val="single" w:sz="8" w:space="0" w:color="auto"/>
              <w:right w:val="single" w:sz="4" w:space="0" w:color="auto"/>
            </w:tcBorders>
            <w:shd w:val="clear" w:color="000000" w:fill="2F75B5"/>
            <w:vAlign w:val="center"/>
            <w:hideMark/>
          </w:tcPr>
          <w:p w14:paraId="62553730" w14:textId="77777777" w:rsidR="001D116F" w:rsidRPr="00192347" w:rsidRDefault="001D116F" w:rsidP="00023C23">
            <w:pPr>
              <w:autoSpaceDE w:val="0"/>
              <w:autoSpaceDN w:val="0"/>
              <w:adjustRightInd w:val="0"/>
              <w:rPr>
                <w:rFonts w:ascii="Calibri-Bold" w:hAnsi="Calibri-Bold" w:cs="Calibri-Bold"/>
                <w:b/>
                <w:bCs/>
                <w:color w:val="FFFFFF"/>
                <w:sz w:val="15"/>
                <w:szCs w:val="15"/>
                <w:lang w:val="en-US"/>
              </w:rPr>
            </w:pPr>
            <w:r>
              <w:rPr>
                <w:rFonts w:ascii="Calibri-Bold" w:hAnsi="Calibri-Bold" w:cs="Calibri-Bold"/>
                <w:b/>
                <w:bCs/>
                <w:color w:val="FFFFFF"/>
                <w:sz w:val="15"/>
                <w:szCs w:val="15"/>
                <w:lang w:val="en-US"/>
              </w:rPr>
              <w:t>Value according to source</w:t>
            </w:r>
          </w:p>
        </w:tc>
        <w:tc>
          <w:tcPr>
            <w:tcW w:w="1538" w:type="dxa"/>
            <w:tcBorders>
              <w:top w:val="single" w:sz="8" w:space="0" w:color="auto"/>
              <w:left w:val="nil"/>
              <w:bottom w:val="single" w:sz="8" w:space="0" w:color="auto"/>
              <w:right w:val="single" w:sz="4" w:space="0" w:color="auto"/>
            </w:tcBorders>
            <w:shd w:val="clear" w:color="000000" w:fill="2F75B5"/>
            <w:vAlign w:val="center"/>
            <w:hideMark/>
          </w:tcPr>
          <w:p w14:paraId="7A331928" w14:textId="77777777" w:rsidR="001D116F" w:rsidRPr="00050E7F" w:rsidRDefault="001D116F" w:rsidP="00023C23">
            <w:pPr>
              <w:jc w:val="center"/>
              <w:rPr>
                <w:rFonts w:ascii="Calibri Light" w:eastAsia="Times New Roman" w:hAnsi="Calibri Light" w:cs="Calibri Light"/>
                <w:b/>
                <w:bCs/>
                <w:color w:val="FFFFFF"/>
                <w:sz w:val="22"/>
                <w:szCs w:val="22"/>
                <w:lang w:val="en-US"/>
              </w:rPr>
            </w:pPr>
            <w:r w:rsidRPr="00192347">
              <w:rPr>
                <w:rFonts w:ascii="Calibri-Bold" w:hAnsi="Calibri-Bold" w:cs="Calibri-Bold"/>
                <w:b/>
                <w:bCs/>
                <w:color w:val="FFFFFF"/>
                <w:sz w:val="15"/>
                <w:szCs w:val="15"/>
                <w:lang w:val="en-US"/>
              </w:rPr>
              <w:t>Assessment</w:t>
            </w:r>
          </w:p>
        </w:tc>
        <w:tc>
          <w:tcPr>
            <w:tcW w:w="2341" w:type="dxa"/>
            <w:tcBorders>
              <w:top w:val="single" w:sz="8" w:space="0" w:color="auto"/>
              <w:left w:val="nil"/>
              <w:bottom w:val="single" w:sz="8" w:space="0" w:color="auto"/>
              <w:right w:val="single" w:sz="4" w:space="0" w:color="auto"/>
            </w:tcBorders>
            <w:shd w:val="clear" w:color="000000" w:fill="2F75B5"/>
            <w:vAlign w:val="center"/>
            <w:hideMark/>
          </w:tcPr>
          <w:p w14:paraId="155902E1" w14:textId="77777777" w:rsidR="001D116F" w:rsidRPr="00050E7F" w:rsidRDefault="001D116F" w:rsidP="00023C23">
            <w:pPr>
              <w:jc w:val="center"/>
              <w:rPr>
                <w:rFonts w:ascii="Calibri Light" w:eastAsia="Times New Roman" w:hAnsi="Calibri Light" w:cs="Calibri Light"/>
                <w:b/>
                <w:bCs/>
                <w:color w:val="FFFFFF"/>
                <w:sz w:val="22"/>
                <w:szCs w:val="22"/>
                <w:lang w:val="en-US"/>
              </w:rPr>
            </w:pPr>
            <w:r w:rsidRPr="00192347">
              <w:rPr>
                <w:rFonts w:ascii="Calibri Light" w:eastAsia="Times New Roman" w:hAnsi="Calibri Light" w:cs="Calibri Light"/>
                <w:b/>
                <w:bCs/>
                <w:color w:val="FFFFFF"/>
                <w:sz w:val="22"/>
                <w:szCs w:val="22"/>
                <w:lang w:val="en-US"/>
              </w:rPr>
              <w:t>Source of data</w:t>
            </w:r>
            <w:r w:rsidRPr="00050E7F">
              <w:rPr>
                <w:rFonts w:ascii="Calibri Light" w:eastAsia="Times New Roman" w:hAnsi="Calibri Light" w:cs="Calibri Light"/>
                <w:b/>
                <w:bCs/>
                <w:color w:val="FFFFFF"/>
                <w:sz w:val="22"/>
                <w:szCs w:val="22"/>
                <w:lang w:val="en-US"/>
              </w:rPr>
              <w:t>*</w:t>
            </w:r>
          </w:p>
        </w:tc>
        <w:tc>
          <w:tcPr>
            <w:tcW w:w="5016" w:type="dxa"/>
            <w:tcBorders>
              <w:top w:val="single" w:sz="8" w:space="0" w:color="auto"/>
              <w:left w:val="nil"/>
              <w:bottom w:val="single" w:sz="8" w:space="0" w:color="auto"/>
              <w:right w:val="single" w:sz="8" w:space="0" w:color="auto"/>
            </w:tcBorders>
            <w:shd w:val="clear" w:color="000000" w:fill="2F75B5"/>
            <w:vAlign w:val="center"/>
            <w:hideMark/>
          </w:tcPr>
          <w:p w14:paraId="12D02238" w14:textId="77777777" w:rsidR="001D116F" w:rsidRPr="00050E7F" w:rsidRDefault="001D116F" w:rsidP="00023C23">
            <w:pPr>
              <w:jc w:val="center"/>
              <w:rPr>
                <w:rFonts w:ascii="Calibri Light" w:eastAsia="Times New Roman" w:hAnsi="Calibri Light" w:cs="Calibri Light"/>
                <w:b/>
                <w:bCs/>
                <w:color w:val="FFFFFF"/>
                <w:sz w:val="22"/>
                <w:szCs w:val="22"/>
                <w:lang w:val="sv-SE"/>
              </w:rPr>
            </w:pPr>
            <w:r>
              <w:rPr>
                <w:rFonts w:ascii="Calibri-Bold" w:hAnsi="Calibri-Bold" w:cs="Calibri-Bold"/>
                <w:b/>
                <w:bCs/>
                <w:color w:val="FFFFFF"/>
                <w:sz w:val="15"/>
                <w:szCs w:val="15"/>
                <w:lang w:val="en-US"/>
              </w:rPr>
              <w:t>Comments</w:t>
            </w:r>
          </w:p>
        </w:tc>
      </w:tr>
      <w:tr w:rsidR="001D116F" w:rsidRPr="00050E7F" w14:paraId="551C4CF5" w14:textId="77777777" w:rsidTr="001D116F">
        <w:trPr>
          <w:trHeight w:val="1082"/>
        </w:trPr>
        <w:tc>
          <w:tcPr>
            <w:tcW w:w="304" w:type="dxa"/>
            <w:vMerge w:val="restart"/>
            <w:tcBorders>
              <w:top w:val="nil"/>
              <w:left w:val="single" w:sz="4" w:space="0" w:color="auto"/>
              <w:right w:val="single" w:sz="8" w:space="0" w:color="auto"/>
            </w:tcBorders>
            <w:shd w:val="clear" w:color="000000" w:fill="9BC2E6"/>
            <w:vAlign w:val="center"/>
            <w:hideMark/>
          </w:tcPr>
          <w:p w14:paraId="62C3D46E" w14:textId="77777777" w:rsidR="001D116F" w:rsidRPr="00050E7F" w:rsidRDefault="001D116F" w:rsidP="00023C23">
            <w:pPr>
              <w:jc w:val="center"/>
              <w:rPr>
                <w:rFonts w:ascii="Calibri Light" w:eastAsia="Times New Roman" w:hAnsi="Calibri Light" w:cs="Calibri Light"/>
                <w:b/>
                <w:bCs/>
                <w:color w:val="000000"/>
                <w:sz w:val="22"/>
                <w:szCs w:val="22"/>
                <w:lang w:val="en-US"/>
              </w:rPr>
            </w:pPr>
          </w:p>
        </w:tc>
        <w:tc>
          <w:tcPr>
            <w:tcW w:w="1943" w:type="dxa"/>
            <w:tcBorders>
              <w:top w:val="nil"/>
              <w:left w:val="nil"/>
              <w:bottom w:val="single" w:sz="4" w:space="0" w:color="000000"/>
              <w:right w:val="single" w:sz="4" w:space="0" w:color="auto"/>
            </w:tcBorders>
            <w:vAlign w:val="center"/>
            <w:hideMark/>
          </w:tcPr>
          <w:p w14:paraId="0DB96591"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Municipalities shall report</w:t>
            </w:r>
          </w:p>
          <w:p w14:paraId="1C7A2AD8"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data for their performance</w:t>
            </w:r>
          </w:p>
          <w:p w14:paraId="15CA58AB"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according to set timeframe</w:t>
            </w:r>
          </w:p>
          <w:p w14:paraId="0EB85471" w14:textId="77777777" w:rsidR="001D116F" w:rsidRPr="00050E7F" w:rsidRDefault="001D116F" w:rsidP="00023C23">
            <w:pPr>
              <w:rPr>
                <w:rFonts w:ascii="Calibri Light" w:eastAsia="Times New Roman" w:hAnsi="Calibri Light" w:cs="Calibri Light"/>
                <w:color w:val="000000"/>
                <w:sz w:val="22"/>
                <w:szCs w:val="22"/>
                <w:lang w:val="en-US"/>
              </w:rPr>
            </w:pPr>
            <w:r>
              <w:rPr>
                <w:rFonts w:ascii="Calibri" w:hAnsi="Calibri" w:cs="Calibri"/>
                <w:sz w:val="12"/>
                <w:szCs w:val="12"/>
                <w:lang w:val="en-US"/>
              </w:rPr>
              <w:t>on MPMS</w:t>
            </w:r>
          </w:p>
        </w:tc>
        <w:tc>
          <w:tcPr>
            <w:tcW w:w="2424" w:type="dxa"/>
            <w:tcBorders>
              <w:top w:val="nil"/>
              <w:left w:val="nil"/>
              <w:bottom w:val="single" w:sz="4" w:space="0" w:color="000000"/>
              <w:right w:val="single" w:sz="4" w:space="0" w:color="auto"/>
            </w:tcBorders>
            <w:shd w:val="clear" w:color="000000" w:fill="FFFFFF"/>
            <w:vAlign w:val="center"/>
            <w:hideMark/>
          </w:tcPr>
          <w:p w14:paraId="508C2EFE"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Yes, if the municipality reported on time on MPMS.</w:t>
            </w:r>
          </w:p>
          <w:p w14:paraId="2CF3AC1A" w14:textId="77777777" w:rsidR="001D116F" w:rsidRPr="00050E7F" w:rsidRDefault="001D116F" w:rsidP="00023C23">
            <w:pPr>
              <w:rPr>
                <w:rFonts w:ascii="Calibri Light" w:eastAsia="Times New Roman" w:hAnsi="Calibri Light" w:cs="Calibri Light"/>
                <w:sz w:val="22"/>
                <w:szCs w:val="22"/>
                <w:lang w:val="en-US"/>
              </w:rPr>
            </w:pPr>
            <w:r>
              <w:rPr>
                <w:rFonts w:ascii="Calibri" w:hAnsi="Calibri" w:cs="Calibri"/>
                <w:sz w:val="12"/>
                <w:szCs w:val="12"/>
                <w:lang w:val="en-US"/>
              </w:rPr>
              <w:t>No, If the municipality has reported after the set timeframe on MPMS.</w:t>
            </w:r>
            <w:r w:rsidRPr="00050E7F">
              <w:rPr>
                <w:rFonts w:ascii="Calibri Light" w:eastAsia="Times New Roman" w:hAnsi="Calibri Light" w:cs="Calibri Light"/>
                <w:sz w:val="22"/>
                <w:szCs w:val="22"/>
                <w:lang w:val="en-US"/>
              </w:rPr>
              <w:br/>
              <w:t xml:space="preserve">     </w:t>
            </w:r>
          </w:p>
        </w:tc>
        <w:tc>
          <w:tcPr>
            <w:tcW w:w="760" w:type="dxa"/>
            <w:tcBorders>
              <w:top w:val="nil"/>
              <w:left w:val="nil"/>
              <w:bottom w:val="single" w:sz="4" w:space="0" w:color="000000"/>
              <w:right w:val="single" w:sz="4" w:space="0" w:color="auto"/>
            </w:tcBorders>
            <w:vAlign w:val="center"/>
            <w:hideMark/>
          </w:tcPr>
          <w:p w14:paraId="1B1E3584" w14:textId="77777777" w:rsidR="001D116F" w:rsidRPr="00050E7F" w:rsidRDefault="001D116F" w:rsidP="00023C23">
            <w:pPr>
              <w:jc w:val="cente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 </w:t>
            </w:r>
          </w:p>
        </w:tc>
        <w:tc>
          <w:tcPr>
            <w:tcW w:w="1538" w:type="dxa"/>
            <w:tcBorders>
              <w:top w:val="nil"/>
              <w:left w:val="nil"/>
              <w:bottom w:val="single" w:sz="4" w:space="0" w:color="000000"/>
              <w:right w:val="single" w:sz="4" w:space="0" w:color="auto"/>
            </w:tcBorders>
            <w:shd w:val="clear" w:color="000000" w:fill="FFFFFF"/>
            <w:vAlign w:val="center"/>
            <w:hideMark/>
          </w:tcPr>
          <w:p w14:paraId="70F7DB26" w14:textId="77777777" w:rsidR="001D116F" w:rsidRPr="00050E7F" w:rsidRDefault="001D116F" w:rsidP="00023C23">
            <w:pPr>
              <w:jc w:val="center"/>
              <w:rPr>
                <w:rFonts w:ascii="Calibri Light" w:eastAsia="Times New Roman" w:hAnsi="Calibri Light" w:cs="Calibri Light"/>
                <w:color w:val="FF0000"/>
                <w:sz w:val="22"/>
                <w:szCs w:val="22"/>
                <w:lang w:val="en-US"/>
              </w:rPr>
            </w:pPr>
            <w:r w:rsidRPr="00050E7F">
              <w:rPr>
                <w:rFonts w:ascii="Calibri Light" w:eastAsia="Times New Roman" w:hAnsi="Calibri Light" w:cs="Calibri Light"/>
                <w:color w:val="FF0000"/>
                <w:sz w:val="22"/>
                <w:szCs w:val="22"/>
                <w:lang w:val="en-US"/>
              </w:rPr>
              <w:t> </w:t>
            </w:r>
          </w:p>
        </w:tc>
        <w:tc>
          <w:tcPr>
            <w:tcW w:w="2341" w:type="dxa"/>
            <w:tcBorders>
              <w:top w:val="nil"/>
              <w:left w:val="nil"/>
              <w:bottom w:val="single" w:sz="4" w:space="0" w:color="000000"/>
              <w:right w:val="single" w:sz="4" w:space="0" w:color="auto"/>
            </w:tcBorders>
            <w:shd w:val="clear" w:color="000000" w:fill="FFFFFF"/>
            <w:vAlign w:val="center"/>
            <w:hideMark/>
          </w:tcPr>
          <w:p w14:paraId="6F9F249B" w14:textId="77777777" w:rsidR="001D116F" w:rsidRPr="00050E7F" w:rsidRDefault="001D116F" w:rsidP="00023C23">
            <w:pPr>
              <w:jc w:val="center"/>
              <w:rPr>
                <w:rFonts w:ascii="Calibri Light" w:eastAsia="Times New Roman" w:hAnsi="Calibri Light" w:cs="Calibri Light"/>
                <w:color w:val="000000"/>
                <w:sz w:val="22"/>
                <w:szCs w:val="22"/>
                <w:lang w:val="sv-SE"/>
              </w:rPr>
            </w:pPr>
            <w:r>
              <w:rPr>
                <w:rFonts w:ascii="Calibri" w:hAnsi="Calibri" w:cs="Calibri"/>
                <w:sz w:val="12"/>
                <w:szCs w:val="12"/>
                <w:lang w:val="en-US"/>
              </w:rPr>
              <w:t>Report of MPMS, MLGA</w:t>
            </w:r>
          </w:p>
        </w:tc>
        <w:tc>
          <w:tcPr>
            <w:tcW w:w="5016" w:type="dxa"/>
            <w:tcBorders>
              <w:top w:val="nil"/>
              <w:left w:val="nil"/>
              <w:bottom w:val="single" w:sz="4" w:space="0" w:color="000000"/>
              <w:right w:val="single" w:sz="8" w:space="0" w:color="auto"/>
            </w:tcBorders>
            <w:shd w:val="clear" w:color="000000" w:fill="FFFFFF"/>
            <w:noWrap/>
            <w:vAlign w:val="center"/>
            <w:hideMark/>
          </w:tcPr>
          <w:p w14:paraId="474C4C6A" w14:textId="77777777" w:rsidR="001D116F" w:rsidRPr="00050E7F" w:rsidRDefault="001D116F" w:rsidP="00023C23">
            <w:pPr>
              <w:jc w:val="center"/>
              <w:rPr>
                <w:rFonts w:ascii="Calibri Light" w:eastAsia="Times New Roman" w:hAnsi="Calibri Light" w:cs="Calibri Light"/>
                <w:color w:val="000000"/>
                <w:sz w:val="22"/>
                <w:szCs w:val="22"/>
                <w:lang w:val="sv-SE"/>
              </w:rPr>
            </w:pPr>
            <w:r w:rsidRPr="00050E7F">
              <w:rPr>
                <w:rFonts w:ascii="Calibri Light" w:eastAsia="Times New Roman" w:hAnsi="Calibri Light" w:cs="Calibri Light"/>
                <w:color w:val="000000"/>
                <w:sz w:val="22"/>
                <w:szCs w:val="22"/>
                <w:lang w:val="sv-SE"/>
              </w:rPr>
              <w:t> </w:t>
            </w:r>
          </w:p>
        </w:tc>
      </w:tr>
      <w:tr w:rsidR="001D116F" w:rsidRPr="00050E7F" w14:paraId="45B5CB8B" w14:textId="77777777" w:rsidTr="001D116F">
        <w:trPr>
          <w:trHeight w:val="1335"/>
        </w:trPr>
        <w:tc>
          <w:tcPr>
            <w:tcW w:w="304" w:type="dxa"/>
            <w:vMerge/>
            <w:tcBorders>
              <w:left w:val="single" w:sz="4" w:space="0" w:color="auto"/>
              <w:right w:val="single" w:sz="8" w:space="0" w:color="auto"/>
            </w:tcBorders>
            <w:vAlign w:val="center"/>
            <w:hideMark/>
          </w:tcPr>
          <w:p w14:paraId="39C133A9" w14:textId="77777777" w:rsidR="001D116F" w:rsidRPr="00050E7F" w:rsidRDefault="001D116F" w:rsidP="00023C23">
            <w:pPr>
              <w:rPr>
                <w:rFonts w:ascii="Calibri Light" w:eastAsia="Times New Roman" w:hAnsi="Calibri Light" w:cs="Calibri Light"/>
                <w:b/>
                <w:bCs/>
                <w:color w:val="000000"/>
                <w:sz w:val="22"/>
                <w:szCs w:val="22"/>
                <w:lang w:val="sv-SE"/>
              </w:rPr>
            </w:pPr>
          </w:p>
        </w:tc>
        <w:tc>
          <w:tcPr>
            <w:tcW w:w="1943" w:type="dxa"/>
            <w:tcBorders>
              <w:top w:val="nil"/>
              <w:left w:val="nil"/>
              <w:bottom w:val="single" w:sz="4" w:space="0" w:color="000000"/>
              <w:right w:val="single" w:sz="4" w:space="0" w:color="auto"/>
            </w:tcBorders>
            <w:vAlign w:val="center"/>
            <w:hideMark/>
          </w:tcPr>
          <w:p w14:paraId="43E7C05F"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Municipalities shall review</w:t>
            </w:r>
          </w:p>
          <w:p w14:paraId="2CCBDE85"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their municipal acts deemed</w:t>
            </w:r>
          </w:p>
          <w:p w14:paraId="24245E46"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illegal by the supervisory</w:t>
            </w:r>
          </w:p>
          <w:p w14:paraId="2241619F"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authorities according to</w:t>
            </w:r>
          </w:p>
          <w:p w14:paraId="414AE176" w14:textId="77777777" w:rsidR="001D116F" w:rsidRPr="00050E7F" w:rsidRDefault="001D116F" w:rsidP="00023C23">
            <w:pPr>
              <w:rPr>
                <w:rFonts w:ascii="Calibri Light" w:eastAsia="Times New Roman" w:hAnsi="Calibri Light" w:cs="Calibri Light"/>
                <w:color w:val="000000"/>
                <w:sz w:val="22"/>
                <w:szCs w:val="22"/>
                <w:lang w:val="sv-SE"/>
              </w:rPr>
            </w:pPr>
            <w:r>
              <w:rPr>
                <w:rFonts w:ascii="Calibri" w:hAnsi="Calibri" w:cs="Calibri"/>
                <w:sz w:val="12"/>
                <w:szCs w:val="12"/>
                <w:lang w:val="en-US"/>
              </w:rPr>
              <w:t>legal requirements</w:t>
            </w:r>
          </w:p>
        </w:tc>
        <w:tc>
          <w:tcPr>
            <w:tcW w:w="2424" w:type="dxa"/>
            <w:tcBorders>
              <w:top w:val="nil"/>
              <w:left w:val="nil"/>
              <w:bottom w:val="single" w:sz="4" w:space="0" w:color="000000"/>
              <w:right w:val="single" w:sz="4" w:space="0" w:color="auto"/>
            </w:tcBorders>
            <w:shd w:val="clear" w:color="000000" w:fill="FFFFFF"/>
            <w:vAlign w:val="center"/>
            <w:hideMark/>
          </w:tcPr>
          <w:p w14:paraId="70B83764"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Yes, if the municipality has reviewed the legal acts by the municipal</w:t>
            </w:r>
          </w:p>
          <w:p w14:paraId="6631FB20"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assembly</w:t>
            </w:r>
          </w:p>
          <w:p w14:paraId="267BE7F2"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No, if the municipality has not reviewed the legal acts by the municipal</w:t>
            </w:r>
          </w:p>
          <w:p w14:paraId="7A7E0946" w14:textId="77777777" w:rsidR="001D116F" w:rsidRPr="00050E7F" w:rsidRDefault="001D116F" w:rsidP="00023C23">
            <w:pPr>
              <w:rPr>
                <w:rFonts w:ascii="Calibri Light" w:eastAsia="Times New Roman" w:hAnsi="Calibri Light" w:cs="Calibri Light"/>
                <w:sz w:val="22"/>
                <w:szCs w:val="22"/>
                <w:lang w:val="sv-SE"/>
              </w:rPr>
            </w:pPr>
            <w:r>
              <w:rPr>
                <w:rFonts w:ascii="Calibri" w:hAnsi="Calibri" w:cs="Calibri"/>
                <w:sz w:val="12"/>
                <w:szCs w:val="12"/>
                <w:lang w:val="en-US"/>
              </w:rPr>
              <w:t>assembly</w:t>
            </w:r>
          </w:p>
        </w:tc>
        <w:tc>
          <w:tcPr>
            <w:tcW w:w="760" w:type="dxa"/>
            <w:tcBorders>
              <w:top w:val="nil"/>
              <w:left w:val="nil"/>
              <w:bottom w:val="single" w:sz="4" w:space="0" w:color="000000"/>
              <w:right w:val="single" w:sz="4" w:space="0" w:color="auto"/>
            </w:tcBorders>
            <w:vAlign w:val="center"/>
            <w:hideMark/>
          </w:tcPr>
          <w:p w14:paraId="5036C4E1" w14:textId="77777777" w:rsidR="001D116F" w:rsidRPr="00050E7F" w:rsidRDefault="001D116F" w:rsidP="00023C23">
            <w:pPr>
              <w:jc w:val="center"/>
              <w:rPr>
                <w:rFonts w:ascii="Calibri Light" w:eastAsia="Times New Roman" w:hAnsi="Calibri Light" w:cs="Calibri Light"/>
                <w:sz w:val="22"/>
                <w:szCs w:val="22"/>
                <w:lang w:val="sv-SE"/>
              </w:rPr>
            </w:pPr>
            <w:r w:rsidRPr="00050E7F">
              <w:rPr>
                <w:rFonts w:ascii="Calibri Light" w:eastAsia="Times New Roman" w:hAnsi="Calibri Light" w:cs="Calibri Light"/>
                <w:sz w:val="22"/>
                <w:szCs w:val="22"/>
                <w:lang w:val="en-US"/>
              </w:rPr>
              <w:t> </w:t>
            </w:r>
          </w:p>
        </w:tc>
        <w:tc>
          <w:tcPr>
            <w:tcW w:w="1538" w:type="dxa"/>
            <w:tcBorders>
              <w:top w:val="nil"/>
              <w:left w:val="nil"/>
              <w:bottom w:val="single" w:sz="4" w:space="0" w:color="000000"/>
              <w:right w:val="single" w:sz="4" w:space="0" w:color="auto"/>
            </w:tcBorders>
            <w:shd w:val="clear" w:color="000000" w:fill="FFFFFF"/>
            <w:vAlign w:val="center"/>
            <w:hideMark/>
          </w:tcPr>
          <w:p w14:paraId="602BCEB8" w14:textId="77777777" w:rsidR="001D116F" w:rsidRPr="00050E7F" w:rsidRDefault="001D116F" w:rsidP="00023C23">
            <w:pPr>
              <w:jc w:val="center"/>
              <w:rPr>
                <w:rFonts w:ascii="Calibri Light" w:eastAsia="Times New Roman" w:hAnsi="Calibri Light" w:cs="Calibri Light"/>
                <w:color w:val="FF0000"/>
                <w:sz w:val="22"/>
                <w:szCs w:val="22"/>
                <w:lang w:val="sv-SE"/>
              </w:rPr>
            </w:pPr>
            <w:r w:rsidRPr="00050E7F">
              <w:rPr>
                <w:rFonts w:ascii="Calibri Light" w:eastAsia="Times New Roman" w:hAnsi="Calibri Light" w:cs="Calibri Light"/>
                <w:color w:val="FF0000"/>
                <w:sz w:val="22"/>
                <w:szCs w:val="22"/>
                <w:lang w:val="en-US"/>
              </w:rPr>
              <w:t> </w:t>
            </w:r>
          </w:p>
        </w:tc>
        <w:tc>
          <w:tcPr>
            <w:tcW w:w="2341" w:type="dxa"/>
            <w:tcBorders>
              <w:top w:val="nil"/>
              <w:left w:val="nil"/>
              <w:bottom w:val="single" w:sz="4" w:space="0" w:color="000000"/>
              <w:right w:val="single" w:sz="4" w:space="0" w:color="auto"/>
            </w:tcBorders>
            <w:shd w:val="clear" w:color="000000" w:fill="FFFFFF"/>
            <w:vAlign w:val="center"/>
            <w:hideMark/>
          </w:tcPr>
          <w:p w14:paraId="0BA640AA"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MLG Report on the functioning of</w:t>
            </w:r>
          </w:p>
          <w:p w14:paraId="040B68BE" w14:textId="77777777" w:rsidR="001D116F" w:rsidRPr="00050E7F" w:rsidRDefault="001D116F" w:rsidP="00023C23">
            <w:pPr>
              <w:jc w:val="center"/>
              <w:rPr>
                <w:rFonts w:ascii="Calibri Light" w:eastAsia="Times New Roman" w:hAnsi="Calibri Light" w:cs="Calibri Light"/>
                <w:color w:val="000000"/>
                <w:sz w:val="22"/>
                <w:szCs w:val="22"/>
                <w:lang w:val="en-US"/>
              </w:rPr>
            </w:pPr>
            <w:r>
              <w:rPr>
                <w:rFonts w:ascii="Calibri" w:hAnsi="Calibri" w:cs="Calibri"/>
                <w:sz w:val="12"/>
                <w:szCs w:val="12"/>
                <w:lang w:val="en-US"/>
              </w:rPr>
              <w:t>municipalities</w:t>
            </w:r>
          </w:p>
        </w:tc>
        <w:tc>
          <w:tcPr>
            <w:tcW w:w="5016" w:type="dxa"/>
            <w:tcBorders>
              <w:top w:val="nil"/>
              <w:left w:val="nil"/>
              <w:bottom w:val="single" w:sz="4" w:space="0" w:color="000000"/>
              <w:right w:val="single" w:sz="8" w:space="0" w:color="auto"/>
            </w:tcBorders>
            <w:shd w:val="clear" w:color="000000" w:fill="FFFFFF"/>
            <w:noWrap/>
            <w:vAlign w:val="center"/>
            <w:hideMark/>
          </w:tcPr>
          <w:p w14:paraId="44BDF03A" w14:textId="77777777" w:rsidR="001D116F" w:rsidRPr="00050E7F" w:rsidRDefault="001D116F" w:rsidP="00023C23">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 </w:t>
            </w:r>
          </w:p>
        </w:tc>
      </w:tr>
      <w:tr w:rsidR="001D116F" w:rsidRPr="00050E7F" w14:paraId="591C6D5B" w14:textId="77777777" w:rsidTr="001D116F">
        <w:trPr>
          <w:trHeight w:val="812"/>
        </w:trPr>
        <w:tc>
          <w:tcPr>
            <w:tcW w:w="304" w:type="dxa"/>
            <w:vMerge/>
            <w:tcBorders>
              <w:left w:val="single" w:sz="4" w:space="0" w:color="auto"/>
              <w:right w:val="single" w:sz="8" w:space="0" w:color="auto"/>
            </w:tcBorders>
            <w:shd w:val="clear" w:color="000000" w:fill="DDEBF7"/>
            <w:noWrap/>
            <w:vAlign w:val="center"/>
            <w:hideMark/>
          </w:tcPr>
          <w:p w14:paraId="6A4E719B" w14:textId="77777777" w:rsidR="001D116F" w:rsidRPr="00050E7F" w:rsidRDefault="001D116F" w:rsidP="00023C23">
            <w:pPr>
              <w:rPr>
                <w:rFonts w:ascii="Calibri Light" w:eastAsia="Times New Roman" w:hAnsi="Calibri Light" w:cs="Calibri Light"/>
                <w:b/>
                <w:bCs/>
                <w:color w:val="000000"/>
                <w:sz w:val="22"/>
                <w:szCs w:val="22"/>
                <w:lang w:val="en-US"/>
              </w:rPr>
            </w:pPr>
          </w:p>
        </w:tc>
        <w:tc>
          <w:tcPr>
            <w:tcW w:w="1943" w:type="dxa"/>
            <w:tcBorders>
              <w:top w:val="nil"/>
              <w:left w:val="nil"/>
              <w:bottom w:val="single" w:sz="8" w:space="0" w:color="auto"/>
              <w:right w:val="single" w:sz="4" w:space="0" w:color="auto"/>
            </w:tcBorders>
            <w:vAlign w:val="center"/>
          </w:tcPr>
          <w:p w14:paraId="5E69268A"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The annual audit opinion at</w:t>
            </w:r>
          </w:p>
          <w:p w14:paraId="02F8772B"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least unmodified opinion</w:t>
            </w:r>
          </w:p>
          <w:p w14:paraId="110069D7" w14:textId="77777777" w:rsidR="001D116F" w:rsidRPr="00050E7F" w:rsidRDefault="001D116F" w:rsidP="00023C23">
            <w:pPr>
              <w:rPr>
                <w:rFonts w:ascii="Calibri Light" w:eastAsia="Times New Roman" w:hAnsi="Calibri Light" w:cs="Calibri Light"/>
                <w:color w:val="000000"/>
                <w:sz w:val="22"/>
                <w:szCs w:val="22"/>
                <w:lang w:val="en-US"/>
              </w:rPr>
            </w:pPr>
            <w:r>
              <w:rPr>
                <w:rFonts w:ascii="Calibri" w:hAnsi="Calibri" w:cs="Calibri"/>
                <w:sz w:val="12"/>
                <w:szCs w:val="12"/>
                <w:lang w:val="en-US"/>
              </w:rPr>
              <w:t>with emphasis of matter</w:t>
            </w:r>
          </w:p>
        </w:tc>
        <w:tc>
          <w:tcPr>
            <w:tcW w:w="2424" w:type="dxa"/>
            <w:tcBorders>
              <w:top w:val="nil"/>
              <w:left w:val="nil"/>
              <w:bottom w:val="single" w:sz="8" w:space="0" w:color="auto"/>
              <w:right w:val="single" w:sz="4" w:space="0" w:color="auto"/>
            </w:tcBorders>
            <w:vAlign w:val="center"/>
          </w:tcPr>
          <w:p w14:paraId="57E91FF1"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Yes, if municipality receives unmodified opinion or unmodified opinion</w:t>
            </w:r>
          </w:p>
          <w:p w14:paraId="257B524B"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with emphasis of matter;</w:t>
            </w:r>
          </w:p>
          <w:p w14:paraId="0710D6C0" w14:textId="77777777" w:rsidR="001D116F" w:rsidRPr="00050E7F" w:rsidRDefault="001D116F" w:rsidP="00023C23">
            <w:pPr>
              <w:rPr>
                <w:rFonts w:ascii="Calibri Light" w:eastAsia="Times New Roman" w:hAnsi="Calibri Light" w:cs="Calibri Light"/>
                <w:sz w:val="22"/>
                <w:szCs w:val="22"/>
                <w:lang w:val="en-US"/>
              </w:rPr>
            </w:pPr>
            <w:r>
              <w:rPr>
                <w:rFonts w:ascii="Calibri" w:hAnsi="Calibri" w:cs="Calibri"/>
                <w:sz w:val="12"/>
                <w:szCs w:val="12"/>
                <w:lang w:val="en-US"/>
              </w:rPr>
              <w:t>No, if municipality receives qualified or adverse opinion, and if NAO disclaims an opinion.</w:t>
            </w:r>
          </w:p>
        </w:tc>
        <w:tc>
          <w:tcPr>
            <w:tcW w:w="760" w:type="dxa"/>
            <w:tcBorders>
              <w:top w:val="nil"/>
              <w:left w:val="nil"/>
              <w:bottom w:val="single" w:sz="8" w:space="0" w:color="auto"/>
              <w:right w:val="single" w:sz="4" w:space="0" w:color="auto"/>
            </w:tcBorders>
            <w:vAlign w:val="center"/>
            <w:hideMark/>
          </w:tcPr>
          <w:p w14:paraId="2C0B2C83" w14:textId="77777777" w:rsidR="001D116F" w:rsidRPr="00050E7F" w:rsidRDefault="001D116F" w:rsidP="00023C23">
            <w:pPr>
              <w:jc w:val="cente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 </w:t>
            </w:r>
          </w:p>
        </w:tc>
        <w:tc>
          <w:tcPr>
            <w:tcW w:w="1538" w:type="dxa"/>
            <w:tcBorders>
              <w:top w:val="nil"/>
              <w:left w:val="nil"/>
              <w:bottom w:val="single" w:sz="8" w:space="0" w:color="auto"/>
              <w:right w:val="single" w:sz="4" w:space="0" w:color="auto"/>
            </w:tcBorders>
            <w:vAlign w:val="center"/>
            <w:hideMark/>
          </w:tcPr>
          <w:p w14:paraId="43B7703C" w14:textId="77777777" w:rsidR="001D116F" w:rsidRPr="00050E7F" w:rsidRDefault="001D116F" w:rsidP="00023C23">
            <w:pPr>
              <w:jc w:val="center"/>
              <w:rPr>
                <w:rFonts w:ascii="Calibri Light" w:eastAsia="Times New Roman" w:hAnsi="Calibri Light" w:cs="Calibri Light"/>
                <w:color w:val="FF0000"/>
                <w:sz w:val="22"/>
                <w:szCs w:val="22"/>
                <w:lang w:val="en-US"/>
              </w:rPr>
            </w:pPr>
            <w:r w:rsidRPr="00050E7F">
              <w:rPr>
                <w:rFonts w:ascii="Calibri Light" w:eastAsia="Times New Roman" w:hAnsi="Calibri Light" w:cs="Calibri Light"/>
                <w:color w:val="FF0000"/>
                <w:sz w:val="22"/>
                <w:szCs w:val="22"/>
                <w:lang w:val="en-US"/>
              </w:rPr>
              <w:t> </w:t>
            </w:r>
          </w:p>
        </w:tc>
        <w:tc>
          <w:tcPr>
            <w:tcW w:w="2341" w:type="dxa"/>
            <w:tcBorders>
              <w:top w:val="nil"/>
              <w:left w:val="nil"/>
              <w:bottom w:val="single" w:sz="8" w:space="0" w:color="auto"/>
              <w:right w:val="single" w:sz="4" w:space="0" w:color="auto"/>
            </w:tcBorders>
            <w:shd w:val="clear" w:color="000000" w:fill="FFFFFF"/>
            <w:vAlign w:val="center"/>
            <w:hideMark/>
          </w:tcPr>
          <w:p w14:paraId="6F59950C" w14:textId="77777777" w:rsidR="001D116F" w:rsidRPr="00050E7F" w:rsidRDefault="001D116F" w:rsidP="00023C23">
            <w:pPr>
              <w:jc w:val="center"/>
              <w:rPr>
                <w:rFonts w:ascii="Calibri Light" w:eastAsia="Times New Roman" w:hAnsi="Calibri Light" w:cs="Calibri Light"/>
                <w:color w:val="000000"/>
                <w:sz w:val="22"/>
                <w:szCs w:val="22"/>
                <w:lang w:val="en-US"/>
              </w:rPr>
            </w:pPr>
            <w:r>
              <w:rPr>
                <w:rFonts w:ascii="Calibri" w:hAnsi="Calibri" w:cs="Calibri"/>
                <w:sz w:val="12"/>
                <w:szCs w:val="12"/>
                <w:lang w:val="en-US"/>
              </w:rPr>
              <w:t>NAO regularity audit report</w:t>
            </w:r>
          </w:p>
        </w:tc>
        <w:tc>
          <w:tcPr>
            <w:tcW w:w="5016" w:type="dxa"/>
            <w:tcBorders>
              <w:top w:val="nil"/>
              <w:left w:val="nil"/>
              <w:bottom w:val="single" w:sz="8" w:space="0" w:color="auto"/>
              <w:right w:val="single" w:sz="8" w:space="0" w:color="auto"/>
            </w:tcBorders>
            <w:noWrap/>
            <w:vAlign w:val="center"/>
            <w:hideMark/>
          </w:tcPr>
          <w:p w14:paraId="5AB7D2BC" w14:textId="77777777" w:rsidR="001D116F" w:rsidRPr="00050E7F" w:rsidRDefault="001D116F" w:rsidP="00023C23">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 </w:t>
            </w:r>
          </w:p>
        </w:tc>
      </w:tr>
      <w:tr w:rsidR="001D116F" w:rsidRPr="00050E7F" w14:paraId="67D7F948" w14:textId="77777777" w:rsidTr="001D116F">
        <w:trPr>
          <w:trHeight w:val="50"/>
        </w:trPr>
        <w:tc>
          <w:tcPr>
            <w:tcW w:w="304" w:type="dxa"/>
            <w:vMerge/>
            <w:tcBorders>
              <w:left w:val="single" w:sz="4" w:space="0" w:color="auto"/>
              <w:bottom w:val="single" w:sz="8" w:space="0" w:color="000000"/>
              <w:right w:val="single" w:sz="8" w:space="0" w:color="auto"/>
            </w:tcBorders>
            <w:vAlign w:val="center"/>
            <w:hideMark/>
          </w:tcPr>
          <w:p w14:paraId="329C2DF3" w14:textId="77777777" w:rsidR="001D116F" w:rsidRPr="00050E7F" w:rsidRDefault="001D116F" w:rsidP="00023C23">
            <w:pPr>
              <w:rPr>
                <w:rFonts w:ascii="Calibri Light" w:eastAsia="Times New Roman" w:hAnsi="Calibri Light" w:cs="Calibri Light"/>
                <w:b/>
                <w:bCs/>
                <w:color w:val="000000"/>
                <w:sz w:val="22"/>
                <w:szCs w:val="22"/>
                <w:lang w:val="en-US"/>
              </w:rPr>
            </w:pPr>
          </w:p>
        </w:tc>
        <w:tc>
          <w:tcPr>
            <w:tcW w:w="1943" w:type="dxa"/>
            <w:tcBorders>
              <w:top w:val="nil"/>
              <w:left w:val="nil"/>
              <w:bottom w:val="nil"/>
              <w:right w:val="single" w:sz="4" w:space="0" w:color="auto"/>
            </w:tcBorders>
            <w:vAlign w:val="center"/>
            <w:hideMark/>
          </w:tcPr>
          <w:p w14:paraId="2C9BA0B7" w14:textId="77777777" w:rsidR="001D116F" w:rsidRPr="00192347" w:rsidRDefault="001D116F" w:rsidP="00023C23">
            <w:pPr>
              <w:autoSpaceDE w:val="0"/>
              <w:autoSpaceDN w:val="0"/>
              <w:adjustRightInd w:val="0"/>
              <w:rPr>
                <w:rFonts w:ascii="Calibri" w:hAnsi="Calibri" w:cs="Calibri"/>
                <w:sz w:val="12"/>
                <w:szCs w:val="12"/>
                <w:lang w:val="en-US"/>
              </w:rPr>
            </w:pPr>
            <w:r w:rsidRPr="00192347">
              <w:rPr>
                <w:rFonts w:ascii="Calibri" w:hAnsi="Calibri" w:cs="Calibri"/>
                <w:sz w:val="12"/>
                <w:szCs w:val="12"/>
                <w:lang w:val="en-US"/>
              </w:rPr>
              <w:t>At least 75% of the budget</w:t>
            </w:r>
          </w:p>
          <w:p w14:paraId="6971535C" w14:textId="77777777" w:rsidR="001D116F" w:rsidRPr="00192347" w:rsidRDefault="001D116F" w:rsidP="00023C23">
            <w:pPr>
              <w:autoSpaceDE w:val="0"/>
              <w:autoSpaceDN w:val="0"/>
              <w:adjustRightInd w:val="0"/>
              <w:rPr>
                <w:rFonts w:ascii="Calibri" w:hAnsi="Calibri" w:cs="Calibri"/>
                <w:sz w:val="12"/>
                <w:szCs w:val="12"/>
                <w:lang w:val="en-US"/>
              </w:rPr>
            </w:pPr>
            <w:r w:rsidRPr="00192347">
              <w:rPr>
                <w:rFonts w:ascii="Calibri" w:hAnsi="Calibri" w:cs="Calibri"/>
                <w:sz w:val="12"/>
                <w:szCs w:val="12"/>
                <w:lang w:val="en-US"/>
              </w:rPr>
              <w:t>for capital investments</w:t>
            </w:r>
          </w:p>
          <w:p w14:paraId="3B97EA2E" w14:textId="77777777" w:rsidR="001D116F" w:rsidRPr="00050E7F" w:rsidRDefault="001D116F" w:rsidP="00023C23">
            <w:pPr>
              <w:autoSpaceDE w:val="0"/>
              <w:autoSpaceDN w:val="0"/>
              <w:adjustRightInd w:val="0"/>
              <w:rPr>
                <w:rFonts w:ascii="Calibri Light" w:eastAsia="Times New Roman" w:hAnsi="Calibri Light" w:cs="Calibri Light"/>
                <w:color w:val="000000"/>
                <w:sz w:val="22"/>
                <w:szCs w:val="22"/>
                <w:lang w:val="en-US"/>
              </w:rPr>
            </w:pPr>
            <w:r w:rsidRPr="00192347">
              <w:rPr>
                <w:rFonts w:ascii="Calibri" w:hAnsi="Calibri" w:cs="Calibri"/>
                <w:sz w:val="12"/>
                <w:szCs w:val="12"/>
                <w:lang w:val="en-US"/>
              </w:rPr>
              <w:t>spent</w:t>
            </w:r>
          </w:p>
        </w:tc>
        <w:tc>
          <w:tcPr>
            <w:tcW w:w="2424" w:type="dxa"/>
            <w:tcBorders>
              <w:top w:val="nil"/>
              <w:left w:val="nil"/>
              <w:bottom w:val="nil"/>
              <w:right w:val="single" w:sz="4" w:space="0" w:color="auto"/>
            </w:tcBorders>
            <w:vAlign w:val="center"/>
            <w:hideMark/>
          </w:tcPr>
          <w:p w14:paraId="4DFFC6EB" w14:textId="77777777" w:rsidR="001D116F" w:rsidRPr="00192347" w:rsidRDefault="001D116F" w:rsidP="00023C23">
            <w:pPr>
              <w:autoSpaceDE w:val="0"/>
              <w:autoSpaceDN w:val="0"/>
              <w:adjustRightInd w:val="0"/>
              <w:rPr>
                <w:rFonts w:ascii="Calibri" w:hAnsi="Calibri" w:cs="Calibri"/>
                <w:sz w:val="12"/>
                <w:szCs w:val="12"/>
                <w:lang w:val="en-US"/>
              </w:rPr>
            </w:pPr>
            <w:r w:rsidRPr="00192347">
              <w:rPr>
                <w:rFonts w:ascii="Calibri" w:hAnsi="Calibri" w:cs="Calibri"/>
                <w:sz w:val="12"/>
                <w:szCs w:val="12"/>
                <w:lang w:val="en-US"/>
              </w:rPr>
              <w:t>Yes, if municipality receives unmodified opinion or unmodified opinion</w:t>
            </w:r>
          </w:p>
          <w:p w14:paraId="687F07E6" w14:textId="77777777" w:rsidR="001D116F" w:rsidRPr="00192347" w:rsidRDefault="001D116F" w:rsidP="00023C23">
            <w:pPr>
              <w:autoSpaceDE w:val="0"/>
              <w:autoSpaceDN w:val="0"/>
              <w:adjustRightInd w:val="0"/>
              <w:rPr>
                <w:rFonts w:ascii="Calibri" w:hAnsi="Calibri" w:cs="Calibri"/>
                <w:sz w:val="12"/>
                <w:szCs w:val="12"/>
                <w:lang w:val="en-US"/>
              </w:rPr>
            </w:pPr>
            <w:r w:rsidRPr="00192347">
              <w:rPr>
                <w:rFonts w:ascii="Calibri" w:hAnsi="Calibri" w:cs="Calibri"/>
                <w:sz w:val="12"/>
                <w:szCs w:val="12"/>
                <w:lang w:val="en-US"/>
              </w:rPr>
              <w:t>with emphasis of matter;</w:t>
            </w:r>
          </w:p>
          <w:p w14:paraId="6C5EFD49" w14:textId="77777777" w:rsidR="001D116F" w:rsidRPr="00192347" w:rsidRDefault="001D116F" w:rsidP="00023C23">
            <w:pPr>
              <w:autoSpaceDE w:val="0"/>
              <w:autoSpaceDN w:val="0"/>
              <w:adjustRightInd w:val="0"/>
              <w:rPr>
                <w:rFonts w:ascii="Calibri" w:hAnsi="Calibri" w:cs="Calibri"/>
                <w:sz w:val="12"/>
                <w:szCs w:val="12"/>
                <w:lang w:val="en-US"/>
              </w:rPr>
            </w:pPr>
            <w:r w:rsidRPr="00192347">
              <w:rPr>
                <w:rFonts w:ascii="Calibri" w:hAnsi="Calibri" w:cs="Calibri"/>
                <w:sz w:val="12"/>
                <w:szCs w:val="12"/>
                <w:lang w:val="en-US"/>
              </w:rPr>
              <w:t>No, if municipality receives qualified or adverse opinion, and if NAO</w:t>
            </w:r>
          </w:p>
          <w:p w14:paraId="1327C798" w14:textId="77777777" w:rsidR="001D116F" w:rsidRPr="00050E7F" w:rsidRDefault="001D116F" w:rsidP="00023C23">
            <w:pPr>
              <w:autoSpaceDE w:val="0"/>
              <w:autoSpaceDN w:val="0"/>
              <w:adjustRightInd w:val="0"/>
              <w:rPr>
                <w:rFonts w:ascii="Calibri Light" w:eastAsia="Times New Roman" w:hAnsi="Calibri Light" w:cs="Calibri Light"/>
                <w:sz w:val="22"/>
                <w:szCs w:val="22"/>
                <w:lang w:val="en-US"/>
              </w:rPr>
            </w:pPr>
            <w:r w:rsidRPr="00192347">
              <w:rPr>
                <w:rFonts w:ascii="Calibri" w:hAnsi="Calibri" w:cs="Calibri"/>
                <w:sz w:val="12"/>
                <w:szCs w:val="12"/>
                <w:lang w:val="en-US"/>
              </w:rPr>
              <w:t>disclaims an opinion.</w:t>
            </w:r>
          </w:p>
        </w:tc>
        <w:tc>
          <w:tcPr>
            <w:tcW w:w="760" w:type="dxa"/>
            <w:tcBorders>
              <w:top w:val="nil"/>
              <w:left w:val="single" w:sz="4" w:space="0" w:color="auto"/>
              <w:bottom w:val="single" w:sz="8" w:space="0" w:color="000000"/>
              <w:right w:val="single" w:sz="4" w:space="0" w:color="auto"/>
            </w:tcBorders>
            <w:vAlign w:val="center"/>
            <w:hideMark/>
          </w:tcPr>
          <w:p w14:paraId="7820BF3F" w14:textId="77777777" w:rsidR="001D116F" w:rsidRPr="00050E7F" w:rsidRDefault="001D116F" w:rsidP="00023C23">
            <w:pPr>
              <w:jc w:val="cente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 </w:t>
            </w:r>
          </w:p>
        </w:tc>
        <w:tc>
          <w:tcPr>
            <w:tcW w:w="1538" w:type="dxa"/>
            <w:tcBorders>
              <w:top w:val="nil"/>
              <w:left w:val="nil"/>
              <w:bottom w:val="single" w:sz="4" w:space="0" w:color="000000"/>
              <w:right w:val="single" w:sz="4" w:space="0" w:color="auto"/>
            </w:tcBorders>
            <w:vAlign w:val="center"/>
            <w:hideMark/>
          </w:tcPr>
          <w:p w14:paraId="1B55DA76" w14:textId="77777777" w:rsidR="001D116F" w:rsidRPr="00050E7F" w:rsidRDefault="001D116F" w:rsidP="00023C23">
            <w:pPr>
              <w:jc w:val="center"/>
              <w:rPr>
                <w:rFonts w:ascii="Calibri Light" w:eastAsia="Times New Roman" w:hAnsi="Calibri Light" w:cs="Calibri Light"/>
                <w:color w:val="FF0000"/>
                <w:sz w:val="22"/>
                <w:szCs w:val="22"/>
                <w:lang w:val="en-US"/>
              </w:rPr>
            </w:pPr>
            <w:r w:rsidRPr="00050E7F">
              <w:rPr>
                <w:rFonts w:ascii="Calibri Light" w:eastAsia="Times New Roman" w:hAnsi="Calibri Light" w:cs="Calibri Light"/>
                <w:color w:val="FF0000"/>
                <w:sz w:val="22"/>
                <w:szCs w:val="22"/>
                <w:lang w:val="en-US"/>
              </w:rPr>
              <w:t> </w:t>
            </w:r>
          </w:p>
        </w:tc>
        <w:tc>
          <w:tcPr>
            <w:tcW w:w="2341" w:type="dxa"/>
            <w:tcBorders>
              <w:top w:val="nil"/>
              <w:left w:val="nil"/>
              <w:bottom w:val="single" w:sz="4" w:space="0" w:color="000000"/>
              <w:right w:val="single" w:sz="4" w:space="0" w:color="auto"/>
            </w:tcBorders>
            <w:shd w:val="clear" w:color="000000" w:fill="FFFFFF"/>
            <w:vAlign w:val="center"/>
            <w:hideMark/>
          </w:tcPr>
          <w:p w14:paraId="47AA9D09" w14:textId="77777777" w:rsidR="001D116F" w:rsidRPr="00050E7F" w:rsidRDefault="001D116F" w:rsidP="00023C23">
            <w:pPr>
              <w:jc w:val="center"/>
              <w:rPr>
                <w:rFonts w:ascii="Calibri Light" w:eastAsia="Times New Roman" w:hAnsi="Calibri Light" w:cs="Calibri Light"/>
                <w:color w:val="000000"/>
                <w:sz w:val="22"/>
                <w:szCs w:val="22"/>
                <w:lang w:val="en-US"/>
              </w:rPr>
            </w:pPr>
            <w:r>
              <w:rPr>
                <w:rFonts w:ascii="Calibri" w:hAnsi="Calibri" w:cs="Calibri"/>
                <w:sz w:val="12"/>
                <w:szCs w:val="12"/>
                <w:lang w:val="en-US"/>
              </w:rPr>
              <w:t>NAO regularity audit report</w:t>
            </w:r>
          </w:p>
        </w:tc>
        <w:tc>
          <w:tcPr>
            <w:tcW w:w="5016" w:type="dxa"/>
            <w:tcBorders>
              <w:top w:val="nil"/>
              <w:left w:val="nil"/>
              <w:bottom w:val="single" w:sz="4" w:space="0" w:color="auto"/>
              <w:right w:val="single" w:sz="8" w:space="0" w:color="auto"/>
            </w:tcBorders>
            <w:noWrap/>
            <w:vAlign w:val="center"/>
            <w:hideMark/>
          </w:tcPr>
          <w:p w14:paraId="775736A3" w14:textId="77777777" w:rsidR="001D116F" w:rsidRPr="00050E7F" w:rsidRDefault="001D116F" w:rsidP="00023C23">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 </w:t>
            </w:r>
          </w:p>
        </w:tc>
      </w:tr>
      <w:tr w:rsidR="001D116F" w:rsidRPr="00050E7F" w14:paraId="36FDACA4" w14:textId="77777777" w:rsidTr="001D116F">
        <w:trPr>
          <w:trHeight w:val="233"/>
        </w:trPr>
        <w:tc>
          <w:tcPr>
            <w:tcW w:w="304" w:type="dxa"/>
            <w:tcBorders>
              <w:top w:val="nil"/>
              <w:left w:val="single" w:sz="4" w:space="0" w:color="auto"/>
              <w:bottom w:val="nil"/>
              <w:right w:val="single" w:sz="4" w:space="0" w:color="auto"/>
            </w:tcBorders>
            <w:noWrap/>
            <w:vAlign w:val="center"/>
            <w:hideMark/>
          </w:tcPr>
          <w:p w14:paraId="638338EA" w14:textId="77777777" w:rsidR="001D116F" w:rsidRPr="00050E7F" w:rsidRDefault="001D116F" w:rsidP="00023C23">
            <w:pPr>
              <w:jc w:val="center"/>
              <w:rPr>
                <w:rFonts w:ascii="Calibri Light" w:eastAsia="Times New Roman" w:hAnsi="Calibri Light" w:cs="Calibri Light"/>
                <w:color w:val="000000"/>
                <w:sz w:val="22"/>
                <w:szCs w:val="22"/>
                <w:lang w:val="en-US"/>
              </w:rPr>
            </w:pPr>
          </w:p>
        </w:tc>
        <w:tc>
          <w:tcPr>
            <w:tcW w:w="1943" w:type="dxa"/>
            <w:tcBorders>
              <w:top w:val="single" w:sz="8" w:space="0" w:color="auto"/>
              <w:left w:val="single" w:sz="4" w:space="0" w:color="auto"/>
              <w:bottom w:val="single" w:sz="4" w:space="0" w:color="auto"/>
              <w:right w:val="nil"/>
            </w:tcBorders>
            <w:shd w:val="clear" w:color="000000" w:fill="FFFFFF"/>
            <w:vAlign w:val="center"/>
            <w:hideMark/>
          </w:tcPr>
          <w:p w14:paraId="3C2B4937" w14:textId="77777777" w:rsidR="001D116F" w:rsidRPr="00050E7F" w:rsidRDefault="001D116F" w:rsidP="00023C23">
            <w:pPr>
              <w:jc w:val="center"/>
              <w:rPr>
                <w:rFonts w:ascii="Calibri Light" w:eastAsia="Times New Roman" w:hAnsi="Calibri Light" w:cs="Calibri Light"/>
                <w:sz w:val="22"/>
                <w:szCs w:val="22"/>
                <w:lang w:val="en-US"/>
              </w:rPr>
            </w:pPr>
            <w:r w:rsidRPr="00262DF2">
              <w:rPr>
                <w:rFonts w:ascii="Calibri Light" w:eastAsia="Times New Roman" w:hAnsi="Calibri Light" w:cs="Calibri Light"/>
                <w:b/>
                <w:bCs/>
                <w:sz w:val="22"/>
                <w:szCs w:val="22"/>
              </w:rPr>
              <w:t> </w:t>
            </w:r>
          </w:p>
        </w:tc>
        <w:tc>
          <w:tcPr>
            <w:tcW w:w="2424" w:type="dxa"/>
            <w:tcBorders>
              <w:top w:val="nil"/>
              <w:left w:val="single" w:sz="4" w:space="0" w:color="auto"/>
              <w:bottom w:val="nil"/>
              <w:right w:val="single" w:sz="4" w:space="0" w:color="000000"/>
            </w:tcBorders>
            <w:vAlign w:val="bottom"/>
            <w:hideMark/>
          </w:tcPr>
          <w:p w14:paraId="63A4A582" w14:textId="77777777" w:rsidR="001D116F" w:rsidRPr="00050E7F" w:rsidRDefault="001D116F" w:rsidP="00023C23">
            <w:pPr>
              <w:rPr>
                <w:rFonts w:ascii="Calibri Light" w:eastAsia="Times New Roman" w:hAnsi="Calibri Light" w:cs="Calibri Light"/>
                <w:sz w:val="22"/>
                <w:szCs w:val="22"/>
                <w:lang w:val="en-US"/>
              </w:rPr>
            </w:pPr>
            <w:r>
              <w:rPr>
                <w:rFonts w:ascii="Calibri" w:hAnsi="Calibri" w:cs="Calibri"/>
                <w:sz w:val="9"/>
                <w:szCs w:val="9"/>
                <w:lang w:val="en-US"/>
              </w:rPr>
              <w:t>** NAO - National Audit Office</w:t>
            </w:r>
          </w:p>
        </w:tc>
        <w:tc>
          <w:tcPr>
            <w:tcW w:w="760" w:type="dxa"/>
            <w:hideMark/>
          </w:tcPr>
          <w:p w14:paraId="3E6E66F6" w14:textId="77777777" w:rsidR="001D116F" w:rsidRPr="00050E7F" w:rsidRDefault="001D116F" w:rsidP="00023C23">
            <w:pPr>
              <w:rPr>
                <w:rFonts w:ascii="Calibri Light" w:eastAsia="Times New Roman" w:hAnsi="Calibri Light" w:cs="Calibri Light"/>
                <w:sz w:val="22"/>
                <w:szCs w:val="22"/>
                <w:lang w:val="en-US"/>
              </w:rPr>
            </w:pPr>
          </w:p>
        </w:tc>
        <w:tc>
          <w:tcPr>
            <w:tcW w:w="1538" w:type="dxa"/>
            <w:tcBorders>
              <w:top w:val="nil"/>
              <w:left w:val="nil"/>
              <w:bottom w:val="single" w:sz="4" w:space="0" w:color="auto"/>
              <w:right w:val="nil"/>
            </w:tcBorders>
            <w:vAlign w:val="center"/>
            <w:hideMark/>
          </w:tcPr>
          <w:p w14:paraId="2C70B313" w14:textId="77777777" w:rsidR="001D116F" w:rsidRPr="00050E7F" w:rsidRDefault="001D116F" w:rsidP="00023C23">
            <w:pPr>
              <w:jc w:val="center"/>
              <w:rPr>
                <w:rFonts w:ascii="Calibri Light" w:eastAsia="Times New Roman" w:hAnsi="Calibri Light" w:cs="Calibri Light"/>
                <w:sz w:val="22"/>
                <w:szCs w:val="22"/>
                <w:lang w:val="en-US"/>
              </w:rPr>
            </w:pPr>
          </w:p>
        </w:tc>
        <w:tc>
          <w:tcPr>
            <w:tcW w:w="2341" w:type="dxa"/>
            <w:tcBorders>
              <w:top w:val="nil"/>
              <w:left w:val="nil"/>
              <w:bottom w:val="single" w:sz="4" w:space="0" w:color="auto"/>
              <w:right w:val="nil"/>
            </w:tcBorders>
            <w:vAlign w:val="center"/>
            <w:hideMark/>
          </w:tcPr>
          <w:p w14:paraId="7A92B338" w14:textId="77777777" w:rsidR="001D116F" w:rsidRPr="00050E7F" w:rsidRDefault="001D116F" w:rsidP="00023C23">
            <w:pPr>
              <w:jc w:val="center"/>
              <w:rPr>
                <w:rFonts w:ascii="Calibri Light" w:eastAsia="Times New Roman" w:hAnsi="Calibri Light" w:cs="Calibri Light"/>
                <w:sz w:val="22"/>
                <w:szCs w:val="22"/>
                <w:lang w:val="en-US"/>
              </w:rPr>
            </w:pPr>
          </w:p>
        </w:tc>
        <w:tc>
          <w:tcPr>
            <w:tcW w:w="5016" w:type="dxa"/>
            <w:tcBorders>
              <w:top w:val="single" w:sz="4" w:space="0" w:color="auto"/>
              <w:left w:val="nil"/>
              <w:bottom w:val="nil"/>
              <w:right w:val="nil"/>
            </w:tcBorders>
            <w:noWrap/>
            <w:vAlign w:val="center"/>
            <w:hideMark/>
          </w:tcPr>
          <w:p w14:paraId="68F26AF2" w14:textId="77777777" w:rsidR="001D116F" w:rsidRPr="00050E7F" w:rsidRDefault="001D116F" w:rsidP="00023C23">
            <w:pPr>
              <w:jc w:val="center"/>
              <w:rPr>
                <w:rFonts w:ascii="Calibri Light" w:eastAsia="Times New Roman" w:hAnsi="Calibri Light" w:cs="Calibri Light"/>
                <w:sz w:val="22"/>
                <w:szCs w:val="22"/>
                <w:lang w:val="en-US"/>
              </w:rPr>
            </w:pPr>
          </w:p>
        </w:tc>
      </w:tr>
      <w:tr w:rsidR="001D116F" w:rsidRPr="00050E7F" w14:paraId="755B15BB" w14:textId="77777777" w:rsidTr="001D116F">
        <w:trPr>
          <w:trHeight w:val="52"/>
        </w:trPr>
        <w:tc>
          <w:tcPr>
            <w:tcW w:w="5433" w:type="dxa"/>
            <w:gridSpan w:val="4"/>
            <w:vMerge w:val="restart"/>
            <w:tcBorders>
              <w:top w:val="single" w:sz="8" w:space="0" w:color="auto"/>
              <w:left w:val="single" w:sz="8" w:space="0" w:color="auto"/>
              <w:bottom w:val="single" w:sz="8" w:space="0" w:color="000000"/>
              <w:right w:val="single" w:sz="4" w:space="0" w:color="000000"/>
            </w:tcBorders>
            <w:shd w:val="clear" w:color="000000" w:fill="44546A"/>
            <w:vAlign w:val="center"/>
            <w:hideMark/>
          </w:tcPr>
          <w:p w14:paraId="3CD4EA8B" w14:textId="77777777" w:rsidR="001D116F" w:rsidRPr="00262DF2" w:rsidRDefault="001D116F" w:rsidP="00023C23">
            <w:pPr>
              <w:jc w:val="right"/>
              <w:rPr>
                <w:rFonts w:ascii="Calibri Light" w:eastAsia="Times New Roman" w:hAnsi="Calibri Light" w:cs="Calibri Light"/>
                <w:b/>
                <w:bCs/>
                <w:color w:val="FFFFFF"/>
                <w:sz w:val="22"/>
                <w:szCs w:val="22"/>
              </w:rPr>
            </w:pPr>
            <w:r>
              <w:rPr>
                <w:rFonts w:ascii="Calibri-Bold" w:hAnsi="Calibri-Bold" w:cs="Calibri-Bold"/>
                <w:b/>
                <w:bCs/>
                <w:color w:val="FFFFFF"/>
                <w:sz w:val="17"/>
                <w:szCs w:val="17"/>
                <w:lang w:val="en-US"/>
              </w:rPr>
              <w:t>Municipality has fulfilled/did not fulfilled all minimum conditions</w:t>
            </w:r>
          </w:p>
        </w:tc>
        <w:tc>
          <w:tcPr>
            <w:tcW w:w="1538" w:type="dxa"/>
            <w:tcBorders>
              <w:top w:val="single" w:sz="4" w:space="0" w:color="auto"/>
              <w:left w:val="nil"/>
              <w:bottom w:val="single" w:sz="8" w:space="0" w:color="auto"/>
              <w:right w:val="nil"/>
            </w:tcBorders>
            <w:shd w:val="clear" w:color="000000" w:fill="FFFFFF"/>
            <w:vAlign w:val="center"/>
            <w:hideMark/>
          </w:tcPr>
          <w:p w14:paraId="4F369D9A" w14:textId="77777777" w:rsidR="001D116F" w:rsidRPr="00262DF2" w:rsidRDefault="001D116F" w:rsidP="00023C23">
            <w:pPr>
              <w:jc w:val="center"/>
              <w:rPr>
                <w:rFonts w:ascii="Calibri Light" w:eastAsia="Times New Roman" w:hAnsi="Calibri Light" w:cs="Calibri Light"/>
                <w:b/>
                <w:bCs/>
                <w:sz w:val="22"/>
                <w:szCs w:val="22"/>
              </w:rPr>
            </w:pPr>
            <w:r>
              <w:rPr>
                <w:rFonts w:ascii="Calibri-Bold" w:hAnsi="Calibri-Bold" w:cs="Calibri-Bold"/>
                <w:b/>
                <w:bCs/>
                <w:sz w:val="12"/>
                <w:szCs w:val="12"/>
                <w:lang w:val="en-US"/>
              </w:rPr>
              <w:t>YES/NO</w:t>
            </w:r>
            <w:r w:rsidRPr="00050E7F">
              <w:rPr>
                <w:rFonts w:ascii="Calibri Light" w:eastAsia="Times New Roman" w:hAnsi="Calibri Light" w:cs="Calibri Light"/>
                <w:b/>
                <w:bCs/>
                <w:sz w:val="22"/>
                <w:szCs w:val="22"/>
                <w:lang w:val="sv-SE"/>
              </w:rPr>
              <w:t> </w:t>
            </w:r>
          </w:p>
        </w:tc>
        <w:tc>
          <w:tcPr>
            <w:tcW w:w="735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14:paraId="7D49053E" w14:textId="77777777" w:rsidR="001D116F" w:rsidRPr="00C442F0" w:rsidRDefault="001D116F" w:rsidP="00023C23">
            <w:pPr>
              <w:jc w:val="right"/>
              <w:rPr>
                <w:rFonts w:ascii="Calibri Light" w:eastAsia="Times New Roman" w:hAnsi="Calibri Light" w:cs="Calibri Light"/>
                <w:color w:val="000000"/>
                <w:sz w:val="18"/>
                <w:szCs w:val="18"/>
                <w:lang w:val="sv-SE"/>
              </w:rPr>
            </w:pPr>
            <w:r w:rsidRPr="00C442F0">
              <w:rPr>
                <w:rFonts w:ascii="Calibri Light" w:eastAsia="Times New Roman" w:hAnsi="Calibri Light" w:cs="Calibri Light"/>
                <w:color w:val="000000"/>
                <w:sz w:val="18"/>
                <w:szCs w:val="18"/>
                <w:lang w:val="en-US"/>
              </w:rPr>
              <w:t xml:space="preserve">Result is referred </w:t>
            </w:r>
            <w:proofErr w:type="spellStart"/>
            <w:r w:rsidRPr="00C442F0">
              <w:rPr>
                <w:rFonts w:ascii="Calibri Light" w:eastAsia="Times New Roman" w:hAnsi="Calibri Light" w:cs="Calibri Light"/>
                <w:color w:val="000000"/>
                <w:sz w:val="18"/>
                <w:szCs w:val="18"/>
                <w:lang w:val="en-US"/>
              </w:rPr>
              <w:t>theversion</w:t>
            </w:r>
            <w:proofErr w:type="spellEnd"/>
            <w:r w:rsidRPr="00C442F0">
              <w:rPr>
                <w:rFonts w:ascii="Calibri Light" w:eastAsia="Times New Roman" w:hAnsi="Calibri Light" w:cs="Calibri Light"/>
                <w:color w:val="000000"/>
                <w:sz w:val="18"/>
                <w:szCs w:val="18"/>
                <w:lang w:val="en-US"/>
              </w:rPr>
              <w:t xml:space="preserve"> in </w:t>
            </w:r>
            <w:proofErr w:type="spellStart"/>
            <w:r w:rsidRPr="00C442F0">
              <w:rPr>
                <w:rFonts w:ascii="Calibri Light" w:eastAsia="Times New Roman" w:hAnsi="Calibri Light" w:cs="Calibri Light"/>
                <w:color w:val="000000"/>
                <w:sz w:val="18"/>
                <w:szCs w:val="18"/>
                <w:lang w:val="en-US"/>
              </w:rPr>
              <w:t>albanian</w:t>
            </w:r>
            <w:proofErr w:type="spellEnd"/>
            <w:r w:rsidRPr="00C442F0">
              <w:rPr>
                <w:rFonts w:ascii="Calibri Light" w:eastAsia="Times New Roman" w:hAnsi="Calibri Light" w:cs="Calibri Light"/>
                <w:color w:val="000000"/>
                <w:sz w:val="18"/>
                <w:szCs w:val="18"/>
                <w:lang w:val="en-US"/>
              </w:rPr>
              <w:t xml:space="preserve"> </w:t>
            </w:r>
            <w:proofErr w:type="spellStart"/>
            <w:r w:rsidRPr="00C442F0">
              <w:rPr>
                <w:rFonts w:ascii="Calibri Light" w:eastAsia="Times New Roman" w:hAnsi="Calibri Light" w:cs="Calibri Light"/>
                <w:color w:val="000000"/>
                <w:sz w:val="18"/>
                <w:szCs w:val="18"/>
                <w:lang w:val="en-US"/>
              </w:rPr>
              <w:t>lanuage</w:t>
            </w:r>
            <w:proofErr w:type="spellEnd"/>
            <w:r w:rsidRPr="00C442F0">
              <w:rPr>
                <w:rFonts w:ascii="Calibri Light" w:eastAsia="Times New Roman" w:hAnsi="Calibri Light" w:cs="Calibri Light"/>
                <w:color w:val="000000"/>
                <w:sz w:val="18"/>
                <w:szCs w:val="18"/>
                <w:lang w:val="en-US"/>
              </w:rPr>
              <w:t xml:space="preserve"> of the source data</w:t>
            </w:r>
          </w:p>
        </w:tc>
      </w:tr>
      <w:tr w:rsidR="001D116F" w:rsidRPr="00050E7F" w14:paraId="3B6D3420" w14:textId="77777777" w:rsidTr="001D116F">
        <w:trPr>
          <w:trHeight w:val="124"/>
        </w:trPr>
        <w:tc>
          <w:tcPr>
            <w:tcW w:w="5433" w:type="dxa"/>
            <w:gridSpan w:val="4"/>
            <w:vMerge/>
            <w:tcBorders>
              <w:top w:val="single" w:sz="8" w:space="0" w:color="auto"/>
              <w:left w:val="single" w:sz="8" w:space="0" w:color="auto"/>
              <w:bottom w:val="single" w:sz="8" w:space="0" w:color="000000"/>
              <w:right w:val="single" w:sz="4" w:space="0" w:color="000000"/>
            </w:tcBorders>
            <w:vAlign w:val="center"/>
          </w:tcPr>
          <w:p w14:paraId="425D8AAA" w14:textId="77777777" w:rsidR="001D116F" w:rsidRPr="00050E7F" w:rsidRDefault="001D116F" w:rsidP="00023C23">
            <w:pPr>
              <w:rPr>
                <w:rFonts w:ascii="Calibri Light" w:eastAsia="Times New Roman" w:hAnsi="Calibri Light" w:cs="Calibri Light"/>
                <w:b/>
                <w:bCs/>
                <w:color w:val="FFFFFF"/>
                <w:sz w:val="22"/>
                <w:szCs w:val="22"/>
                <w:lang w:val="sv-SE"/>
              </w:rPr>
            </w:pPr>
          </w:p>
        </w:tc>
        <w:tc>
          <w:tcPr>
            <w:tcW w:w="1538" w:type="dxa"/>
            <w:tcBorders>
              <w:top w:val="nil"/>
              <w:left w:val="nil"/>
              <w:bottom w:val="single" w:sz="8" w:space="0" w:color="auto"/>
              <w:right w:val="nil"/>
            </w:tcBorders>
            <w:shd w:val="clear" w:color="000000" w:fill="FFFFFF"/>
            <w:vAlign w:val="center"/>
          </w:tcPr>
          <w:p w14:paraId="199D6C9C" w14:textId="77777777" w:rsidR="001D116F" w:rsidRPr="00050E7F" w:rsidRDefault="001D116F" w:rsidP="00023C23">
            <w:pPr>
              <w:jc w:val="center"/>
              <w:rPr>
                <w:rFonts w:ascii="Calibri Light" w:eastAsia="Times New Roman" w:hAnsi="Calibri Light" w:cs="Calibri Light"/>
                <w:b/>
                <w:bCs/>
                <w:sz w:val="22"/>
                <w:szCs w:val="22"/>
                <w:lang w:val="sv-SE"/>
              </w:rPr>
            </w:pPr>
          </w:p>
        </w:tc>
        <w:tc>
          <w:tcPr>
            <w:tcW w:w="7357" w:type="dxa"/>
            <w:gridSpan w:val="2"/>
            <w:tcBorders>
              <w:top w:val="nil"/>
              <w:left w:val="single" w:sz="4" w:space="0" w:color="auto"/>
              <w:bottom w:val="single" w:sz="4" w:space="0" w:color="auto"/>
              <w:right w:val="single" w:sz="4" w:space="0" w:color="000000"/>
            </w:tcBorders>
            <w:shd w:val="clear" w:color="000000" w:fill="FFFFFF"/>
            <w:vAlign w:val="bottom"/>
          </w:tcPr>
          <w:p w14:paraId="475C4FC6" w14:textId="77777777" w:rsidR="001D116F" w:rsidRPr="00050E7F" w:rsidRDefault="001D116F" w:rsidP="00023C23">
            <w:pPr>
              <w:jc w:val="right"/>
              <w:rPr>
                <w:rFonts w:ascii="Calibri Light" w:eastAsia="Times New Roman" w:hAnsi="Calibri Light" w:cs="Calibri Light"/>
                <w:color w:val="000000"/>
                <w:sz w:val="22"/>
                <w:szCs w:val="22"/>
                <w:lang w:val="en-US"/>
              </w:rPr>
            </w:pPr>
          </w:p>
        </w:tc>
      </w:tr>
      <w:bookmarkEnd w:id="133"/>
    </w:tbl>
    <w:p w14:paraId="32B78CCC" w14:textId="77777777" w:rsidR="00A53741" w:rsidRDefault="00A53741">
      <w:pPr>
        <w:rPr>
          <w:lang w:val="en-GB"/>
        </w:rPr>
      </w:pPr>
    </w:p>
    <w:p w14:paraId="21EC9DE4" w14:textId="77777777" w:rsidR="000D0694" w:rsidRDefault="000D0694">
      <w:pPr>
        <w:rPr>
          <w:lang w:val="en-GB"/>
        </w:rPr>
      </w:pPr>
    </w:p>
    <w:tbl>
      <w:tblPr>
        <w:tblW w:w="14148" w:type="dxa"/>
        <w:tblLayout w:type="fixed"/>
        <w:tblLook w:val="04A0" w:firstRow="1" w:lastRow="0" w:firstColumn="1" w:lastColumn="0" w:noHBand="0" w:noVBand="1"/>
      </w:tblPr>
      <w:tblGrid>
        <w:gridCol w:w="558"/>
        <w:gridCol w:w="2435"/>
        <w:gridCol w:w="2577"/>
        <w:gridCol w:w="1818"/>
        <w:gridCol w:w="910"/>
        <w:gridCol w:w="1710"/>
        <w:gridCol w:w="1260"/>
        <w:gridCol w:w="2880"/>
      </w:tblGrid>
      <w:tr w:rsidR="00603693" w:rsidRPr="00A37A51" w14:paraId="3F9C04CB" w14:textId="77777777" w:rsidTr="0035453C">
        <w:trPr>
          <w:trHeight w:val="555"/>
        </w:trPr>
        <w:tc>
          <w:tcPr>
            <w:tcW w:w="14148" w:type="dxa"/>
            <w:gridSpan w:val="8"/>
            <w:tcBorders>
              <w:top w:val="single" w:sz="8" w:space="0" w:color="auto"/>
              <w:left w:val="single" w:sz="8" w:space="0" w:color="auto"/>
              <w:bottom w:val="single" w:sz="4" w:space="0" w:color="auto"/>
              <w:right w:val="single" w:sz="8" w:space="0" w:color="000000"/>
            </w:tcBorders>
            <w:shd w:val="clear" w:color="000000" w:fill="215C98"/>
            <w:vAlign w:val="center"/>
            <w:hideMark/>
          </w:tcPr>
          <w:p w14:paraId="6C34C6C5" w14:textId="34B2A58C" w:rsidR="00CE196C" w:rsidRPr="00A37A51" w:rsidRDefault="00CE196C" w:rsidP="00CE196C">
            <w:pPr>
              <w:jc w:val="center"/>
              <w:rPr>
                <w:rFonts w:asciiTheme="majorHAnsi" w:eastAsia="Times New Roman" w:hAnsiTheme="majorHAnsi" w:cstheme="majorHAnsi"/>
                <w:b/>
                <w:bCs/>
                <w:color w:val="FFFFFF"/>
                <w:sz w:val="18"/>
                <w:szCs w:val="18"/>
                <w:lang w:val="en-US"/>
              </w:rPr>
            </w:pPr>
            <w:bookmarkStart w:id="134" w:name="RANGE!A1:D48"/>
            <w:r w:rsidRPr="00A37A51">
              <w:rPr>
                <w:rFonts w:asciiTheme="majorHAnsi" w:eastAsia="Times New Roman" w:hAnsiTheme="majorHAnsi" w:cstheme="majorHAnsi"/>
                <w:b/>
                <w:bCs/>
                <w:color w:val="FFFFFF"/>
                <w:sz w:val="18"/>
                <w:szCs w:val="18"/>
                <w:lang w:val="en-US"/>
              </w:rPr>
              <w:t>Performance Assessment 202</w:t>
            </w:r>
            <w:r w:rsidR="009403FE">
              <w:rPr>
                <w:rFonts w:asciiTheme="majorHAnsi" w:eastAsia="Times New Roman" w:hAnsiTheme="majorHAnsi" w:cstheme="majorHAnsi"/>
                <w:b/>
                <w:bCs/>
                <w:color w:val="FFFFFF"/>
                <w:sz w:val="18"/>
                <w:szCs w:val="18"/>
                <w:lang w:val="en-US"/>
              </w:rPr>
              <w:t>4</w:t>
            </w:r>
            <w:r w:rsidRPr="00A37A51">
              <w:rPr>
                <w:rFonts w:asciiTheme="majorHAnsi" w:eastAsia="Times New Roman" w:hAnsiTheme="majorHAnsi" w:cstheme="majorHAnsi"/>
                <w:b/>
                <w:bCs/>
                <w:color w:val="FFFFFF"/>
                <w:sz w:val="18"/>
                <w:szCs w:val="18"/>
                <w:lang w:val="en-US"/>
              </w:rPr>
              <w:t xml:space="preserve"> – Municipality XXX</w:t>
            </w:r>
            <w:bookmarkEnd w:id="134"/>
          </w:p>
        </w:tc>
      </w:tr>
      <w:tr w:rsidR="00603693" w:rsidRPr="00A37A51" w14:paraId="01BAAA9C" w14:textId="77777777" w:rsidTr="0035453C">
        <w:trPr>
          <w:trHeight w:val="241"/>
        </w:trPr>
        <w:tc>
          <w:tcPr>
            <w:tcW w:w="14148" w:type="dxa"/>
            <w:gridSpan w:val="8"/>
            <w:tcBorders>
              <w:top w:val="single" w:sz="4" w:space="0" w:color="auto"/>
              <w:left w:val="single" w:sz="8" w:space="0" w:color="auto"/>
              <w:bottom w:val="single" w:sz="4" w:space="0" w:color="auto"/>
              <w:right w:val="single" w:sz="8" w:space="0" w:color="000000"/>
            </w:tcBorders>
            <w:vAlign w:val="center"/>
            <w:hideMark/>
          </w:tcPr>
          <w:p w14:paraId="6ECD002D"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 </w:t>
            </w:r>
          </w:p>
        </w:tc>
      </w:tr>
      <w:tr w:rsidR="00CE196C" w:rsidRPr="00A37A51" w14:paraId="3FE5292E" w14:textId="77777777" w:rsidTr="00F502E8">
        <w:trPr>
          <w:trHeight w:val="724"/>
        </w:trPr>
        <w:tc>
          <w:tcPr>
            <w:tcW w:w="558" w:type="dxa"/>
            <w:tcBorders>
              <w:top w:val="nil"/>
              <w:left w:val="single" w:sz="8" w:space="0" w:color="auto"/>
              <w:bottom w:val="single" w:sz="4" w:space="0" w:color="auto"/>
              <w:right w:val="single" w:sz="4" w:space="0" w:color="auto"/>
            </w:tcBorders>
            <w:shd w:val="clear" w:color="000000" w:fill="215C98"/>
            <w:vAlign w:val="center"/>
            <w:hideMark/>
          </w:tcPr>
          <w:p w14:paraId="3529B38F"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w:t>
            </w:r>
          </w:p>
        </w:tc>
        <w:tc>
          <w:tcPr>
            <w:tcW w:w="2435" w:type="dxa"/>
            <w:tcBorders>
              <w:top w:val="single" w:sz="4" w:space="0" w:color="auto"/>
              <w:left w:val="nil"/>
              <w:bottom w:val="single" w:sz="4" w:space="0" w:color="auto"/>
              <w:right w:val="single" w:sz="4" w:space="0" w:color="auto"/>
            </w:tcBorders>
            <w:shd w:val="clear" w:color="000000" w:fill="215C98"/>
            <w:vAlign w:val="center"/>
            <w:hideMark/>
          </w:tcPr>
          <w:p w14:paraId="1BDA36BD"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Indicator</w:t>
            </w:r>
          </w:p>
        </w:tc>
        <w:tc>
          <w:tcPr>
            <w:tcW w:w="2577" w:type="dxa"/>
            <w:tcBorders>
              <w:top w:val="nil"/>
              <w:left w:val="nil"/>
              <w:bottom w:val="single" w:sz="4" w:space="0" w:color="auto"/>
              <w:right w:val="single" w:sz="4" w:space="0" w:color="auto"/>
            </w:tcBorders>
            <w:shd w:val="clear" w:color="000000" w:fill="215C98"/>
            <w:vAlign w:val="center"/>
            <w:hideMark/>
          </w:tcPr>
          <w:p w14:paraId="1D72B692"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xml:space="preserve">Assessment guidelines </w:t>
            </w:r>
          </w:p>
        </w:tc>
        <w:tc>
          <w:tcPr>
            <w:tcW w:w="1818" w:type="dxa"/>
            <w:tcBorders>
              <w:top w:val="nil"/>
              <w:left w:val="nil"/>
              <w:bottom w:val="single" w:sz="4" w:space="0" w:color="auto"/>
              <w:right w:val="single" w:sz="4" w:space="0" w:color="auto"/>
            </w:tcBorders>
            <w:shd w:val="clear" w:color="000000" w:fill="215C98"/>
            <w:vAlign w:val="center"/>
            <w:hideMark/>
          </w:tcPr>
          <w:p w14:paraId="54D2C492"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Value as in the source</w:t>
            </w:r>
          </w:p>
        </w:tc>
        <w:tc>
          <w:tcPr>
            <w:tcW w:w="910" w:type="dxa"/>
            <w:tcBorders>
              <w:top w:val="nil"/>
              <w:left w:val="nil"/>
              <w:bottom w:val="single" w:sz="4" w:space="0" w:color="auto"/>
              <w:right w:val="single" w:sz="4" w:space="0" w:color="auto"/>
            </w:tcBorders>
            <w:shd w:val="clear" w:color="000000" w:fill="215C98"/>
            <w:vAlign w:val="center"/>
            <w:hideMark/>
          </w:tcPr>
          <w:p w14:paraId="34CC0475"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Max.</w:t>
            </w:r>
            <w:r w:rsidRPr="00A37A51">
              <w:rPr>
                <w:rFonts w:asciiTheme="majorHAnsi" w:eastAsia="Times New Roman" w:hAnsiTheme="majorHAnsi" w:cstheme="majorHAnsi"/>
                <w:b/>
                <w:bCs/>
                <w:color w:val="FFFFFF"/>
                <w:sz w:val="18"/>
                <w:szCs w:val="18"/>
                <w:lang w:val="en-US"/>
              </w:rPr>
              <w:br/>
              <w:t xml:space="preserve"> score</w:t>
            </w:r>
          </w:p>
        </w:tc>
        <w:tc>
          <w:tcPr>
            <w:tcW w:w="1710" w:type="dxa"/>
            <w:tcBorders>
              <w:top w:val="nil"/>
              <w:left w:val="nil"/>
              <w:bottom w:val="single" w:sz="4" w:space="0" w:color="auto"/>
              <w:right w:val="single" w:sz="4" w:space="0" w:color="auto"/>
            </w:tcBorders>
            <w:shd w:val="clear" w:color="000000" w:fill="215C98"/>
            <w:vAlign w:val="center"/>
            <w:hideMark/>
          </w:tcPr>
          <w:p w14:paraId="11D3DA2B"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Assessment</w:t>
            </w:r>
          </w:p>
        </w:tc>
        <w:tc>
          <w:tcPr>
            <w:tcW w:w="1260" w:type="dxa"/>
            <w:tcBorders>
              <w:top w:val="nil"/>
              <w:left w:val="nil"/>
              <w:bottom w:val="single" w:sz="4" w:space="0" w:color="auto"/>
              <w:right w:val="single" w:sz="4" w:space="0" w:color="auto"/>
            </w:tcBorders>
            <w:shd w:val="clear" w:color="000000" w:fill="215C98"/>
            <w:vAlign w:val="center"/>
            <w:hideMark/>
          </w:tcPr>
          <w:p w14:paraId="0765590C" w14:textId="77777777" w:rsidR="00CE196C" w:rsidRPr="00A37A51" w:rsidRDefault="00CE196C" w:rsidP="00CE196C">
            <w:pPr>
              <w:spacing w:after="240"/>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Data Source</w:t>
            </w:r>
          </w:p>
        </w:tc>
        <w:tc>
          <w:tcPr>
            <w:tcW w:w="2880" w:type="dxa"/>
            <w:tcBorders>
              <w:top w:val="nil"/>
              <w:left w:val="nil"/>
              <w:bottom w:val="single" w:sz="4" w:space="0" w:color="auto"/>
              <w:right w:val="single" w:sz="8" w:space="0" w:color="auto"/>
            </w:tcBorders>
            <w:shd w:val="clear" w:color="000000" w:fill="215C98"/>
            <w:vAlign w:val="center"/>
            <w:hideMark/>
          </w:tcPr>
          <w:p w14:paraId="5615E864"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Comments</w:t>
            </w:r>
          </w:p>
        </w:tc>
      </w:tr>
      <w:tr w:rsidR="00CE196C" w:rsidRPr="00A37A51" w14:paraId="5716BF4B" w14:textId="77777777" w:rsidTr="00F502E8">
        <w:trPr>
          <w:trHeight w:val="724"/>
        </w:trPr>
        <w:tc>
          <w:tcPr>
            <w:tcW w:w="558" w:type="dxa"/>
            <w:tcBorders>
              <w:top w:val="nil"/>
              <w:left w:val="single" w:sz="8" w:space="0" w:color="auto"/>
              <w:bottom w:val="single" w:sz="4" w:space="0" w:color="auto"/>
              <w:right w:val="single" w:sz="4" w:space="0" w:color="auto"/>
            </w:tcBorders>
            <w:shd w:val="clear" w:color="000000" w:fill="215C98"/>
            <w:vAlign w:val="center"/>
            <w:hideMark/>
          </w:tcPr>
          <w:p w14:paraId="728E9C5C"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1</w:t>
            </w:r>
          </w:p>
        </w:tc>
        <w:tc>
          <w:tcPr>
            <w:tcW w:w="2435" w:type="dxa"/>
            <w:tcBorders>
              <w:top w:val="single" w:sz="4" w:space="0" w:color="auto"/>
              <w:left w:val="nil"/>
              <w:bottom w:val="single" w:sz="4" w:space="0" w:color="auto"/>
              <w:right w:val="single" w:sz="4" w:space="0" w:color="auto"/>
            </w:tcBorders>
            <w:shd w:val="clear" w:color="000000" w:fill="215C98"/>
            <w:vAlign w:val="center"/>
            <w:hideMark/>
          </w:tcPr>
          <w:p w14:paraId="641158B3"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Democratic Governance</w:t>
            </w:r>
          </w:p>
        </w:tc>
        <w:tc>
          <w:tcPr>
            <w:tcW w:w="2577" w:type="dxa"/>
            <w:tcBorders>
              <w:top w:val="nil"/>
              <w:left w:val="nil"/>
              <w:bottom w:val="single" w:sz="4" w:space="0" w:color="auto"/>
              <w:right w:val="single" w:sz="4" w:space="0" w:color="auto"/>
            </w:tcBorders>
            <w:shd w:val="clear" w:color="000000" w:fill="215C98"/>
            <w:vAlign w:val="center"/>
            <w:hideMark/>
          </w:tcPr>
          <w:p w14:paraId="0884BECC"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1818" w:type="dxa"/>
            <w:tcBorders>
              <w:top w:val="nil"/>
              <w:left w:val="nil"/>
              <w:bottom w:val="single" w:sz="4" w:space="0" w:color="auto"/>
              <w:right w:val="single" w:sz="4" w:space="0" w:color="auto"/>
            </w:tcBorders>
            <w:shd w:val="clear" w:color="000000" w:fill="215C98"/>
            <w:vAlign w:val="center"/>
            <w:hideMark/>
          </w:tcPr>
          <w:p w14:paraId="67983D92"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910" w:type="dxa"/>
            <w:tcBorders>
              <w:top w:val="nil"/>
              <w:left w:val="nil"/>
              <w:bottom w:val="single" w:sz="4" w:space="0" w:color="auto"/>
              <w:right w:val="single" w:sz="4" w:space="0" w:color="auto"/>
            </w:tcBorders>
            <w:shd w:val="clear" w:color="000000" w:fill="215C98"/>
            <w:vAlign w:val="center"/>
            <w:hideMark/>
          </w:tcPr>
          <w:p w14:paraId="567F0359" w14:textId="7FC78C4B" w:rsidR="00CE196C" w:rsidRPr="00A37A51" w:rsidRDefault="006E0888" w:rsidP="00CE196C">
            <w:pPr>
              <w:jc w:val="center"/>
              <w:rPr>
                <w:rFonts w:asciiTheme="majorHAnsi" w:eastAsia="Times New Roman" w:hAnsiTheme="majorHAnsi" w:cstheme="majorHAnsi"/>
                <w:b/>
                <w:bCs/>
                <w:color w:val="FFFFFF"/>
                <w:sz w:val="18"/>
                <w:szCs w:val="18"/>
                <w:lang w:val="en-US"/>
              </w:rPr>
            </w:pPr>
            <w:r>
              <w:rPr>
                <w:rFonts w:asciiTheme="majorHAnsi" w:eastAsia="Times New Roman" w:hAnsiTheme="majorHAnsi" w:cstheme="majorHAnsi"/>
                <w:b/>
                <w:bCs/>
                <w:color w:val="FFFFFF"/>
                <w:sz w:val="18"/>
                <w:szCs w:val="18"/>
                <w:lang w:val="en-US"/>
              </w:rPr>
              <w:t>40</w:t>
            </w:r>
          </w:p>
        </w:tc>
        <w:tc>
          <w:tcPr>
            <w:tcW w:w="1710" w:type="dxa"/>
            <w:tcBorders>
              <w:top w:val="nil"/>
              <w:left w:val="nil"/>
              <w:bottom w:val="single" w:sz="4" w:space="0" w:color="auto"/>
              <w:right w:val="single" w:sz="4" w:space="0" w:color="auto"/>
            </w:tcBorders>
            <w:shd w:val="clear" w:color="000000" w:fill="215C98"/>
            <w:vAlign w:val="center"/>
            <w:hideMark/>
          </w:tcPr>
          <w:p w14:paraId="61B04A17"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1260" w:type="dxa"/>
            <w:tcBorders>
              <w:top w:val="nil"/>
              <w:left w:val="nil"/>
              <w:bottom w:val="single" w:sz="4" w:space="0" w:color="auto"/>
              <w:right w:val="single" w:sz="4" w:space="0" w:color="auto"/>
            </w:tcBorders>
            <w:shd w:val="clear" w:color="000000" w:fill="215C98"/>
            <w:vAlign w:val="center"/>
            <w:hideMark/>
          </w:tcPr>
          <w:p w14:paraId="43174F9D"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4" w:space="0" w:color="auto"/>
              <w:right w:val="single" w:sz="8" w:space="0" w:color="auto"/>
            </w:tcBorders>
            <w:shd w:val="clear" w:color="000000" w:fill="215C98"/>
            <w:vAlign w:val="center"/>
            <w:hideMark/>
          </w:tcPr>
          <w:p w14:paraId="70560C27"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r w:rsidR="006033A8" w:rsidRPr="00A37A51" w14:paraId="5C56FF6C" w14:textId="77777777" w:rsidTr="00F502E8">
        <w:trPr>
          <w:trHeight w:val="458"/>
        </w:trPr>
        <w:tc>
          <w:tcPr>
            <w:tcW w:w="558" w:type="dxa"/>
            <w:tcBorders>
              <w:top w:val="nil"/>
              <w:left w:val="single" w:sz="8" w:space="0" w:color="auto"/>
              <w:bottom w:val="single" w:sz="4" w:space="0" w:color="auto"/>
              <w:right w:val="single" w:sz="4" w:space="0" w:color="auto"/>
            </w:tcBorders>
            <w:shd w:val="clear" w:color="000000" w:fill="A6C9EC"/>
            <w:vAlign w:val="center"/>
            <w:hideMark/>
          </w:tcPr>
          <w:p w14:paraId="6BE1ED15"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I</w:t>
            </w:r>
          </w:p>
        </w:tc>
        <w:tc>
          <w:tcPr>
            <w:tcW w:w="6830" w:type="dxa"/>
            <w:gridSpan w:val="3"/>
            <w:tcBorders>
              <w:top w:val="single" w:sz="4" w:space="0" w:color="auto"/>
              <w:left w:val="nil"/>
              <w:bottom w:val="single" w:sz="4" w:space="0" w:color="auto"/>
              <w:right w:val="single" w:sz="4" w:space="0" w:color="auto"/>
            </w:tcBorders>
            <w:shd w:val="clear" w:color="000000" w:fill="A6C9EC"/>
            <w:vAlign w:val="center"/>
            <w:hideMark/>
          </w:tcPr>
          <w:p w14:paraId="555139F6"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Role of the Municipal Assembly as an oversight body</w:t>
            </w:r>
          </w:p>
        </w:tc>
        <w:tc>
          <w:tcPr>
            <w:tcW w:w="910" w:type="dxa"/>
            <w:tcBorders>
              <w:top w:val="nil"/>
              <w:left w:val="nil"/>
              <w:bottom w:val="single" w:sz="4" w:space="0" w:color="auto"/>
              <w:right w:val="single" w:sz="4" w:space="0" w:color="auto"/>
            </w:tcBorders>
            <w:shd w:val="clear" w:color="000000" w:fill="A6C9EC"/>
            <w:vAlign w:val="center"/>
            <w:hideMark/>
          </w:tcPr>
          <w:p w14:paraId="28296B9C"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12</w:t>
            </w:r>
          </w:p>
        </w:tc>
        <w:tc>
          <w:tcPr>
            <w:tcW w:w="1710" w:type="dxa"/>
            <w:tcBorders>
              <w:top w:val="nil"/>
              <w:left w:val="nil"/>
              <w:bottom w:val="single" w:sz="4" w:space="0" w:color="auto"/>
              <w:right w:val="single" w:sz="4" w:space="0" w:color="auto"/>
            </w:tcBorders>
            <w:shd w:val="clear" w:color="000000" w:fill="A6C9EC"/>
            <w:vAlign w:val="center"/>
            <w:hideMark/>
          </w:tcPr>
          <w:p w14:paraId="5811FFF6"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1260" w:type="dxa"/>
            <w:tcBorders>
              <w:top w:val="nil"/>
              <w:left w:val="nil"/>
              <w:bottom w:val="single" w:sz="4" w:space="0" w:color="auto"/>
              <w:right w:val="single" w:sz="4" w:space="0" w:color="auto"/>
            </w:tcBorders>
            <w:shd w:val="clear" w:color="000000" w:fill="A6C9EC"/>
            <w:vAlign w:val="center"/>
            <w:hideMark/>
          </w:tcPr>
          <w:p w14:paraId="4595545D"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4" w:space="0" w:color="auto"/>
              <w:right w:val="single" w:sz="8" w:space="0" w:color="auto"/>
            </w:tcBorders>
            <w:shd w:val="clear" w:color="000000" w:fill="A6C9EC"/>
            <w:vAlign w:val="center"/>
            <w:hideMark/>
          </w:tcPr>
          <w:p w14:paraId="0CD23F04"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r w:rsidR="00CE196C" w:rsidRPr="00A37A51" w14:paraId="4C98AAD4" w14:textId="77777777" w:rsidTr="00F502E8">
        <w:trPr>
          <w:trHeight w:val="796"/>
        </w:trPr>
        <w:tc>
          <w:tcPr>
            <w:tcW w:w="558" w:type="dxa"/>
            <w:tcBorders>
              <w:top w:val="nil"/>
              <w:left w:val="single" w:sz="8" w:space="0" w:color="auto"/>
              <w:bottom w:val="single" w:sz="4" w:space="0" w:color="auto"/>
              <w:right w:val="single" w:sz="4" w:space="0" w:color="auto"/>
            </w:tcBorders>
            <w:shd w:val="clear" w:color="000000" w:fill="215C98"/>
            <w:vAlign w:val="center"/>
            <w:hideMark/>
          </w:tcPr>
          <w:p w14:paraId="34FFF6D2"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1</w:t>
            </w:r>
          </w:p>
        </w:tc>
        <w:tc>
          <w:tcPr>
            <w:tcW w:w="2435" w:type="dxa"/>
            <w:tcBorders>
              <w:top w:val="single" w:sz="4" w:space="0" w:color="auto"/>
              <w:left w:val="nil"/>
              <w:bottom w:val="single" w:sz="4" w:space="0" w:color="auto"/>
              <w:right w:val="single" w:sz="4" w:space="0" w:color="000000"/>
            </w:tcBorders>
            <w:vAlign w:val="center"/>
            <w:hideMark/>
          </w:tcPr>
          <w:p w14:paraId="5AACA856"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Timely approval of the annual municipal budget proposal</w:t>
            </w:r>
          </w:p>
        </w:tc>
        <w:tc>
          <w:tcPr>
            <w:tcW w:w="2577" w:type="dxa"/>
            <w:tcBorders>
              <w:top w:val="nil"/>
              <w:left w:val="nil"/>
              <w:bottom w:val="single" w:sz="4" w:space="0" w:color="auto"/>
              <w:right w:val="single" w:sz="4" w:space="0" w:color="auto"/>
            </w:tcBorders>
            <w:vAlign w:val="center"/>
            <w:hideMark/>
          </w:tcPr>
          <w:p w14:paraId="2CC2C11D" w14:textId="4DC5F0CC"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0 points if the result in MPMS is up to 29.99%,</w:t>
            </w:r>
            <w:r w:rsidRPr="00A37A51">
              <w:rPr>
                <w:rFonts w:asciiTheme="majorHAnsi" w:eastAsia="Times New Roman" w:hAnsiTheme="majorHAnsi" w:cstheme="majorHAnsi"/>
                <w:color w:val="000000"/>
                <w:sz w:val="18"/>
                <w:szCs w:val="18"/>
                <w:lang w:val="en-US"/>
              </w:rPr>
              <w:br/>
              <w:t xml:space="preserve">• 1 point if the result in MPMS is </w:t>
            </w:r>
            <w:r w:rsidR="00FB57F4">
              <w:rPr>
                <w:rFonts w:asciiTheme="majorHAnsi" w:eastAsia="Times New Roman" w:hAnsiTheme="majorHAnsi" w:cstheme="majorHAnsi"/>
                <w:color w:val="000000"/>
                <w:sz w:val="18"/>
                <w:szCs w:val="18"/>
                <w:lang w:val="en-US"/>
              </w:rPr>
              <w:t>70.00</w:t>
            </w:r>
            <w:r w:rsidRPr="00A37A51">
              <w:rPr>
                <w:rFonts w:asciiTheme="majorHAnsi" w:eastAsia="Times New Roman" w:hAnsiTheme="majorHAnsi" w:cstheme="majorHAnsi"/>
                <w:color w:val="000000"/>
                <w:sz w:val="18"/>
                <w:szCs w:val="18"/>
                <w:lang w:val="en-US"/>
              </w:rPr>
              <w:t xml:space="preserve">%, </w:t>
            </w:r>
            <w:r w:rsidRPr="00A37A51">
              <w:rPr>
                <w:rFonts w:asciiTheme="majorHAnsi" w:eastAsia="Times New Roman" w:hAnsiTheme="majorHAnsi" w:cstheme="majorHAnsi"/>
                <w:color w:val="000000"/>
                <w:sz w:val="18"/>
                <w:szCs w:val="18"/>
                <w:lang w:val="en-US"/>
              </w:rPr>
              <w:br/>
              <w:t>• 2 points if the result in MPMS is 100%.</w:t>
            </w:r>
          </w:p>
        </w:tc>
        <w:tc>
          <w:tcPr>
            <w:tcW w:w="1818" w:type="dxa"/>
            <w:tcBorders>
              <w:top w:val="nil"/>
              <w:left w:val="nil"/>
              <w:bottom w:val="single" w:sz="4" w:space="0" w:color="auto"/>
              <w:right w:val="single" w:sz="4" w:space="0" w:color="auto"/>
            </w:tcBorders>
            <w:noWrap/>
            <w:vAlign w:val="bottom"/>
            <w:hideMark/>
          </w:tcPr>
          <w:p w14:paraId="46772F28"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6558DF28"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2</w:t>
            </w:r>
          </w:p>
        </w:tc>
        <w:tc>
          <w:tcPr>
            <w:tcW w:w="1710" w:type="dxa"/>
            <w:tcBorders>
              <w:top w:val="nil"/>
              <w:left w:val="nil"/>
              <w:bottom w:val="single" w:sz="4" w:space="0" w:color="auto"/>
              <w:right w:val="single" w:sz="4" w:space="0" w:color="auto"/>
            </w:tcBorders>
            <w:noWrap/>
            <w:vAlign w:val="center"/>
            <w:hideMark/>
          </w:tcPr>
          <w:p w14:paraId="1D75E244"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4E761149"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 xml:space="preserve">Indicator </w:t>
            </w:r>
            <w:proofErr w:type="gramStart"/>
            <w:r w:rsidRPr="00A37A51">
              <w:rPr>
                <w:rFonts w:asciiTheme="majorHAnsi" w:eastAsia="Times New Roman" w:hAnsiTheme="majorHAnsi" w:cstheme="majorHAnsi"/>
                <w:color w:val="000000"/>
                <w:sz w:val="18"/>
                <w:szCs w:val="18"/>
                <w:lang w:val="en-US"/>
              </w:rPr>
              <w:t>number  3</w:t>
            </w:r>
            <w:proofErr w:type="gramEnd"/>
            <w:r w:rsidRPr="00A37A51">
              <w:rPr>
                <w:rFonts w:asciiTheme="majorHAnsi" w:eastAsia="Times New Roman" w:hAnsiTheme="majorHAnsi" w:cstheme="majorHAnsi"/>
                <w:color w:val="000000"/>
                <w:sz w:val="18"/>
                <w:szCs w:val="18"/>
                <w:lang w:val="en-US"/>
              </w:rPr>
              <w:t>.2.1</w:t>
            </w:r>
          </w:p>
        </w:tc>
        <w:tc>
          <w:tcPr>
            <w:tcW w:w="2880" w:type="dxa"/>
            <w:tcBorders>
              <w:top w:val="nil"/>
              <w:left w:val="nil"/>
              <w:bottom w:val="single" w:sz="4" w:space="0" w:color="auto"/>
              <w:right w:val="single" w:sz="4" w:space="0" w:color="auto"/>
            </w:tcBorders>
            <w:noWrap/>
            <w:vAlign w:val="bottom"/>
            <w:hideMark/>
          </w:tcPr>
          <w:p w14:paraId="2281FB68"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3EB565E2" w14:textId="77777777" w:rsidTr="00F502E8">
        <w:trPr>
          <w:trHeight w:val="796"/>
        </w:trPr>
        <w:tc>
          <w:tcPr>
            <w:tcW w:w="558" w:type="dxa"/>
            <w:tcBorders>
              <w:top w:val="nil"/>
              <w:left w:val="single" w:sz="8" w:space="0" w:color="auto"/>
              <w:bottom w:val="single" w:sz="4" w:space="0" w:color="auto"/>
              <w:right w:val="single" w:sz="4" w:space="0" w:color="auto"/>
            </w:tcBorders>
            <w:shd w:val="clear" w:color="000000" w:fill="215C98"/>
            <w:vAlign w:val="center"/>
            <w:hideMark/>
          </w:tcPr>
          <w:p w14:paraId="7DFD0633"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2</w:t>
            </w:r>
          </w:p>
        </w:tc>
        <w:tc>
          <w:tcPr>
            <w:tcW w:w="2435" w:type="dxa"/>
            <w:tcBorders>
              <w:top w:val="single" w:sz="4" w:space="0" w:color="auto"/>
              <w:left w:val="nil"/>
              <w:bottom w:val="single" w:sz="4" w:space="0" w:color="auto"/>
              <w:right w:val="single" w:sz="4" w:space="0" w:color="000000"/>
            </w:tcBorders>
            <w:vAlign w:val="center"/>
            <w:hideMark/>
          </w:tcPr>
          <w:p w14:paraId="6EE3DB6B"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Discussion of quarterly budget reports by the Municipal Assembly</w:t>
            </w:r>
          </w:p>
        </w:tc>
        <w:tc>
          <w:tcPr>
            <w:tcW w:w="2577" w:type="dxa"/>
            <w:tcBorders>
              <w:top w:val="nil"/>
              <w:left w:val="nil"/>
              <w:bottom w:val="single" w:sz="4" w:space="0" w:color="auto"/>
              <w:right w:val="single" w:sz="4" w:space="0" w:color="auto"/>
            </w:tcBorders>
            <w:vAlign w:val="center"/>
            <w:hideMark/>
          </w:tcPr>
          <w:p w14:paraId="366592AE"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 0 points if the result in MPMS is up to 49.99%, </w:t>
            </w:r>
            <w:r w:rsidRPr="00A37A51">
              <w:rPr>
                <w:rFonts w:asciiTheme="majorHAnsi" w:eastAsia="Times New Roman" w:hAnsiTheme="majorHAnsi" w:cstheme="majorHAnsi"/>
                <w:color w:val="000000"/>
                <w:sz w:val="18"/>
                <w:szCs w:val="18"/>
                <w:lang w:val="en-US"/>
              </w:rPr>
              <w:br/>
              <w:t xml:space="preserve">• </w:t>
            </w:r>
            <w:proofErr w:type="gramStart"/>
            <w:r w:rsidRPr="00A37A51">
              <w:rPr>
                <w:rFonts w:asciiTheme="majorHAnsi" w:eastAsia="Times New Roman" w:hAnsiTheme="majorHAnsi" w:cstheme="majorHAnsi"/>
                <w:color w:val="000000"/>
                <w:sz w:val="18"/>
                <w:szCs w:val="18"/>
                <w:lang w:val="en-US"/>
              </w:rPr>
              <w:t>2  point</w:t>
            </w:r>
            <w:proofErr w:type="gramEnd"/>
            <w:r w:rsidRPr="00A37A51">
              <w:rPr>
                <w:rFonts w:asciiTheme="majorHAnsi" w:eastAsia="Times New Roman" w:hAnsiTheme="majorHAnsi" w:cstheme="majorHAnsi"/>
                <w:color w:val="000000"/>
                <w:sz w:val="18"/>
                <w:szCs w:val="18"/>
                <w:lang w:val="en-US"/>
              </w:rPr>
              <w:t xml:space="preserve"> if the result in MPMS is 50% - 74.99%, </w:t>
            </w:r>
            <w:r w:rsidRPr="00A37A51">
              <w:rPr>
                <w:rFonts w:asciiTheme="majorHAnsi" w:eastAsia="Times New Roman" w:hAnsiTheme="majorHAnsi" w:cstheme="majorHAnsi"/>
                <w:color w:val="000000"/>
                <w:sz w:val="18"/>
                <w:szCs w:val="18"/>
                <w:lang w:val="en-US"/>
              </w:rPr>
              <w:br/>
            </w:r>
            <w:r w:rsidRPr="00A37A51">
              <w:rPr>
                <w:rFonts w:asciiTheme="majorHAnsi" w:eastAsia="Times New Roman" w:hAnsiTheme="majorHAnsi" w:cstheme="majorHAnsi"/>
                <w:color w:val="000000"/>
                <w:sz w:val="18"/>
                <w:szCs w:val="18"/>
                <w:lang w:val="en-US"/>
              </w:rPr>
              <w:lastRenderedPageBreak/>
              <w:t>• 4 point if the result in MPMS is75% - 100%.</w:t>
            </w:r>
          </w:p>
        </w:tc>
        <w:tc>
          <w:tcPr>
            <w:tcW w:w="1818" w:type="dxa"/>
            <w:tcBorders>
              <w:top w:val="nil"/>
              <w:left w:val="nil"/>
              <w:bottom w:val="single" w:sz="4" w:space="0" w:color="auto"/>
              <w:right w:val="single" w:sz="4" w:space="0" w:color="auto"/>
            </w:tcBorders>
            <w:noWrap/>
            <w:vAlign w:val="bottom"/>
            <w:hideMark/>
          </w:tcPr>
          <w:p w14:paraId="0A7EAADC" w14:textId="77777777" w:rsidR="006E0888" w:rsidRDefault="006E0888" w:rsidP="00CE196C">
            <w:pPr>
              <w:jc w:val="center"/>
              <w:rPr>
                <w:rFonts w:asciiTheme="majorHAnsi" w:eastAsia="Times New Roman" w:hAnsiTheme="majorHAnsi" w:cstheme="majorHAnsi"/>
                <w:color w:val="000000"/>
                <w:sz w:val="18"/>
                <w:szCs w:val="18"/>
                <w:lang w:val="en-US"/>
              </w:rPr>
            </w:pPr>
          </w:p>
          <w:p w14:paraId="71B8EBF5" w14:textId="6F1EC529"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vAlign w:val="center"/>
            <w:hideMark/>
          </w:tcPr>
          <w:p w14:paraId="5E411289"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4</w:t>
            </w:r>
          </w:p>
        </w:tc>
        <w:tc>
          <w:tcPr>
            <w:tcW w:w="1710" w:type="dxa"/>
            <w:tcBorders>
              <w:top w:val="nil"/>
              <w:left w:val="nil"/>
              <w:bottom w:val="single" w:sz="4" w:space="0" w:color="auto"/>
              <w:right w:val="single" w:sz="4" w:space="0" w:color="auto"/>
            </w:tcBorders>
            <w:vAlign w:val="center"/>
            <w:hideMark/>
          </w:tcPr>
          <w:p w14:paraId="0170E76B"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636A9896"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3.2.2</w:t>
            </w:r>
          </w:p>
        </w:tc>
        <w:tc>
          <w:tcPr>
            <w:tcW w:w="2880" w:type="dxa"/>
            <w:tcBorders>
              <w:top w:val="nil"/>
              <w:left w:val="nil"/>
              <w:bottom w:val="single" w:sz="4" w:space="0" w:color="auto"/>
              <w:right w:val="single" w:sz="4" w:space="0" w:color="auto"/>
            </w:tcBorders>
            <w:noWrap/>
            <w:vAlign w:val="bottom"/>
            <w:hideMark/>
          </w:tcPr>
          <w:p w14:paraId="0B6C8C7C"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69561BDD" w14:textId="77777777" w:rsidTr="006E0888">
        <w:trPr>
          <w:trHeight w:val="796"/>
        </w:trPr>
        <w:tc>
          <w:tcPr>
            <w:tcW w:w="558" w:type="dxa"/>
            <w:tcBorders>
              <w:top w:val="nil"/>
              <w:left w:val="single" w:sz="8" w:space="0" w:color="auto"/>
              <w:bottom w:val="single" w:sz="4" w:space="0" w:color="auto"/>
              <w:right w:val="single" w:sz="4" w:space="0" w:color="auto"/>
            </w:tcBorders>
            <w:shd w:val="clear" w:color="000000" w:fill="215C98"/>
            <w:vAlign w:val="center"/>
            <w:hideMark/>
          </w:tcPr>
          <w:p w14:paraId="2C591C9C"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3</w:t>
            </w:r>
          </w:p>
        </w:tc>
        <w:tc>
          <w:tcPr>
            <w:tcW w:w="2435" w:type="dxa"/>
            <w:tcBorders>
              <w:top w:val="single" w:sz="4" w:space="0" w:color="auto"/>
              <w:left w:val="nil"/>
              <w:bottom w:val="single" w:sz="4" w:space="0" w:color="auto"/>
              <w:right w:val="single" w:sz="4" w:space="0" w:color="000000"/>
            </w:tcBorders>
            <w:shd w:val="clear" w:color="auto" w:fill="FFFFFF" w:themeFill="background1"/>
            <w:vAlign w:val="center"/>
            <w:hideMark/>
          </w:tcPr>
          <w:p w14:paraId="71AB4AEF"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Discussion on the previous year municipal performance report by the Municipal Assembly</w:t>
            </w:r>
          </w:p>
        </w:tc>
        <w:tc>
          <w:tcPr>
            <w:tcW w:w="2577" w:type="dxa"/>
            <w:tcBorders>
              <w:top w:val="nil"/>
              <w:left w:val="nil"/>
              <w:bottom w:val="single" w:sz="4" w:space="0" w:color="auto"/>
              <w:right w:val="single" w:sz="4" w:space="0" w:color="auto"/>
            </w:tcBorders>
            <w:shd w:val="clear" w:color="auto" w:fill="FFFFFF" w:themeFill="background1"/>
            <w:vAlign w:val="center"/>
            <w:hideMark/>
          </w:tcPr>
          <w:p w14:paraId="5366B0DA"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 0 points if the result in MPMS is lower than 100%,</w:t>
            </w:r>
            <w:r w:rsidRPr="00A37A51">
              <w:rPr>
                <w:rFonts w:asciiTheme="majorHAnsi" w:eastAsia="Times New Roman" w:hAnsiTheme="majorHAnsi" w:cstheme="majorHAnsi"/>
                <w:sz w:val="18"/>
                <w:szCs w:val="18"/>
                <w:lang w:val="en-US"/>
              </w:rPr>
              <w:br/>
              <w:t xml:space="preserve">•2 points if the result in MPMS </w:t>
            </w:r>
            <w:proofErr w:type="gramStart"/>
            <w:r w:rsidRPr="00A37A51">
              <w:rPr>
                <w:rFonts w:asciiTheme="majorHAnsi" w:eastAsia="Times New Roman" w:hAnsiTheme="majorHAnsi" w:cstheme="majorHAnsi"/>
                <w:sz w:val="18"/>
                <w:szCs w:val="18"/>
                <w:lang w:val="en-US"/>
              </w:rPr>
              <w:t>is  100</w:t>
            </w:r>
            <w:proofErr w:type="gramEnd"/>
            <w:r w:rsidRPr="00A37A51">
              <w:rPr>
                <w:rFonts w:asciiTheme="majorHAnsi" w:eastAsia="Times New Roman" w:hAnsiTheme="majorHAnsi" w:cstheme="majorHAnsi"/>
                <w:sz w:val="18"/>
                <w:szCs w:val="18"/>
                <w:lang w:val="en-US"/>
              </w:rPr>
              <w:t>%.</w:t>
            </w:r>
          </w:p>
        </w:tc>
        <w:tc>
          <w:tcPr>
            <w:tcW w:w="1818" w:type="dxa"/>
            <w:tcBorders>
              <w:top w:val="nil"/>
              <w:left w:val="nil"/>
              <w:bottom w:val="single" w:sz="4" w:space="0" w:color="auto"/>
              <w:right w:val="single" w:sz="4" w:space="0" w:color="auto"/>
            </w:tcBorders>
            <w:shd w:val="clear" w:color="auto" w:fill="FFFFFF" w:themeFill="background1"/>
            <w:noWrap/>
            <w:vAlign w:val="bottom"/>
            <w:hideMark/>
          </w:tcPr>
          <w:p w14:paraId="259B891E"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shd w:val="clear" w:color="auto" w:fill="FFFFFF" w:themeFill="background1"/>
            <w:noWrap/>
            <w:vAlign w:val="center"/>
            <w:hideMark/>
          </w:tcPr>
          <w:p w14:paraId="5AE80948"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2</w:t>
            </w:r>
          </w:p>
        </w:tc>
        <w:tc>
          <w:tcPr>
            <w:tcW w:w="1710" w:type="dxa"/>
            <w:tcBorders>
              <w:top w:val="nil"/>
              <w:left w:val="nil"/>
              <w:bottom w:val="single" w:sz="4" w:space="0" w:color="auto"/>
              <w:right w:val="single" w:sz="4" w:space="0" w:color="auto"/>
            </w:tcBorders>
            <w:shd w:val="clear" w:color="auto" w:fill="FFFFFF" w:themeFill="background1"/>
            <w:noWrap/>
            <w:vAlign w:val="center"/>
            <w:hideMark/>
          </w:tcPr>
          <w:p w14:paraId="12B8F0A4"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shd w:val="clear" w:color="auto" w:fill="FFFFFF" w:themeFill="background1"/>
            <w:vAlign w:val="bottom"/>
            <w:hideMark/>
          </w:tcPr>
          <w:p w14:paraId="5BF4831E"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 xml:space="preserve">Indicator </w:t>
            </w:r>
            <w:proofErr w:type="spellStart"/>
            <w:r w:rsidRPr="00A37A51">
              <w:rPr>
                <w:rFonts w:asciiTheme="majorHAnsi" w:eastAsia="Times New Roman" w:hAnsiTheme="majorHAnsi" w:cstheme="majorHAnsi"/>
                <w:color w:val="000000"/>
                <w:sz w:val="18"/>
                <w:szCs w:val="18"/>
                <w:lang w:val="en-US"/>
              </w:rPr>
              <w:t>numbert</w:t>
            </w:r>
            <w:proofErr w:type="spellEnd"/>
            <w:r w:rsidRPr="00A37A51">
              <w:rPr>
                <w:rFonts w:asciiTheme="majorHAnsi" w:eastAsia="Times New Roman" w:hAnsiTheme="majorHAnsi" w:cstheme="majorHAnsi"/>
                <w:color w:val="000000"/>
                <w:sz w:val="18"/>
                <w:szCs w:val="18"/>
                <w:lang w:val="en-US"/>
              </w:rPr>
              <w:t xml:space="preserve"> 3.2.3</w:t>
            </w:r>
          </w:p>
        </w:tc>
        <w:tc>
          <w:tcPr>
            <w:tcW w:w="2880" w:type="dxa"/>
            <w:tcBorders>
              <w:top w:val="nil"/>
              <w:left w:val="nil"/>
              <w:bottom w:val="single" w:sz="4" w:space="0" w:color="auto"/>
              <w:right w:val="single" w:sz="4" w:space="0" w:color="auto"/>
            </w:tcBorders>
            <w:shd w:val="clear" w:color="auto" w:fill="FFFFFF" w:themeFill="background1"/>
            <w:vAlign w:val="bottom"/>
            <w:hideMark/>
          </w:tcPr>
          <w:p w14:paraId="4E56F0F0" w14:textId="2F86E2C3" w:rsidR="00CE196C" w:rsidRPr="00A37A51" w:rsidRDefault="00CE196C" w:rsidP="00B92BD1">
            <w:pPr>
              <w:jc w:val="center"/>
              <w:rPr>
                <w:rFonts w:asciiTheme="majorHAnsi" w:eastAsia="Times New Roman" w:hAnsiTheme="majorHAnsi" w:cstheme="majorHAnsi"/>
                <w:color w:val="000000"/>
                <w:sz w:val="18"/>
                <w:szCs w:val="18"/>
                <w:lang w:val="en-US"/>
              </w:rPr>
            </w:pPr>
          </w:p>
        </w:tc>
      </w:tr>
      <w:tr w:rsidR="00CE196C" w:rsidRPr="00A37A51" w14:paraId="44B6333A" w14:textId="77777777" w:rsidTr="006E0888">
        <w:trPr>
          <w:trHeight w:val="796"/>
        </w:trPr>
        <w:tc>
          <w:tcPr>
            <w:tcW w:w="558" w:type="dxa"/>
            <w:tcBorders>
              <w:top w:val="nil"/>
              <w:left w:val="single" w:sz="8" w:space="0" w:color="auto"/>
              <w:bottom w:val="single" w:sz="4" w:space="0" w:color="auto"/>
              <w:right w:val="single" w:sz="4" w:space="0" w:color="auto"/>
            </w:tcBorders>
            <w:shd w:val="clear" w:color="000000" w:fill="215C98"/>
            <w:vAlign w:val="center"/>
            <w:hideMark/>
          </w:tcPr>
          <w:p w14:paraId="7A7EEF84"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4</w:t>
            </w:r>
          </w:p>
        </w:tc>
        <w:tc>
          <w:tcPr>
            <w:tcW w:w="2435" w:type="dxa"/>
            <w:tcBorders>
              <w:top w:val="single" w:sz="4" w:space="0" w:color="auto"/>
              <w:left w:val="nil"/>
              <w:bottom w:val="single" w:sz="4" w:space="0" w:color="auto"/>
              <w:right w:val="single" w:sz="4" w:space="0" w:color="000000"/>
            </w:tcBorders>
            <w:shd w:val="clear" w:color="auto" w:fill="FFFFFF" w:themeFill="background1"/>
            <w:vAlign w:val="center"/>
            <w:hideMark/>
          </w:tcPr>
          <w:p w14:paraId="72B7959C" w14:textId="6B5B02FD" w:rsidR="00CE196C" w:rsidRPr="00A37A51" w:rsidRDefault="00B11F5A" w:rsidP="00CE196C">
            <w:pPr>
              <w:rPr>
                <w:rFonts w:asciiTheme="majorHAnsi" w:eastAsia="Times New Roman" w:hAnsiTheme="majorHAnsi" w:cstheme="majorHAnsi"/>
                <w:color w:val="000000"/>
                <w:sz w:val="18"/>
                <w:szCs w:val="18"/>
                <w:lang w:val="en-US"/>
              </w:rPr>
            </w:pPr>
            <w:r w:rsidRPr="00B11F5A">
              <w:rPr>
                <w:rFonts w:asciiTheme="majorHAnsi" w:eastAsia="Times New Roman" w:hAnsiTheme="majorHAnsi" w:cstheme="majorHAnsi"/>
                <w:color w:val="000000"/>
                <w:sz w:val="18"/>
                <w:szCs w:val="18"/>
                <w:lang w:val="en-US"/>
              </w:rPr>
              <w:t>Discussion of the external auditor's report and action plan for addressing the recommendations in the Municipal Assembly</w:t>
            </w:r>
          </w:p>
        </w:tc>
        <w:tc>
          <w:tcPr>
            <w:tcW w:w="2577" w:type="dxa"/>
            <w:tcBorders>
              <w:top w:val="nil"/>
              <w:left w:val="nil"/>
              <w:bottom w:val="single" w:sz="4" w:space="0" w:color="auto"/>
              <w:right w:val="single" w:sz="4" w:space="0" w:color="auto"/>
            </w:tcBorders>
            <w:shd w:val="clear" w:color="auto" w:fill="FFFFFF" w:themeFill="background1"/>
            <w:vAlign w:val="center"/>
            <w:hideMark/>
          </w:tcPr>
          <w:p w14:paraId="07F368DA"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0 points if the result in MPMS is up to 50%,</w:t>
            </w:r>
            <w:r w:rsidRPr="00A37A51">
              <w:rPr>
                <w:rFonts w:asciiTheme="majorHAnsi" w:eastAsia="Times New Roman" w:hAnsiTheme="majorHAnsi" w:cstheme="majorHAnsi"/>
                <w:color w:val="000000"/>
                <w:sz w:val="18"/>
                <w:szCs w:val="18"/>
                <w:lang w:val="en-US"/>
              </w:rPr>
              <w:br/>
              <w:t xml:space="preserve">• 1 point if the result in MPMS is 50%, </w:t>
            </w:r>
            <w:r w:rsidRPr="00A37A51">
              <w:rPr>
                <w:rFonts w:asciiTheme="majorHAnsi" w:eastAsia="Times New Roman" w:hAnsiTheme="majorHAnsi" w:cstheme="majorHAnsi"/>
                <w:color w:val="000000"/>
                <w:sz w:val="18"/>
                <w:szCs w:val="18"/>
                <w:lang w:val="en-US"/>
              </w:rPr>
              <w:br/>
              <w:t>• 2 point if the result in MPMS is 100%.</w:t>
            </w:r>
          </w:p>
        </w:tc>
        <w:tc>
          <w:tcPr>
            <w:tcW w:w="1818" w:type="dxa"/>
            <w:tcBorders>
              <w:top w:val="nil"/>
              <w:left w:val="nil"/>
              <w:bottom w:val="single" w:sz="4" w:space="0" w:color="auto"/>
              <w:right w:val="single" w:sz="4" w:space="0" w:color="auto"/>
            </w:tcBorders>
            <w:shd w:val="clear" w:color="auto" w:fill="FFFFFF" w:themeFill="background1"/>
            <w:noWrap/>
            <w:vAlign w:val="bottom"/>
            <w:hideMark/>
          </w:tcPr>
          <w:p w14:paraId="200A2B52"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shd w:val="clear" w:color="auto" w:fill="FFFFFF" w:themeFill="background1"/>
            <w:noWrap/>
            <w:vAlign w:val="center"/>
            <w:hideMark/>
          </w:tcPr>
          <w:p w14:paraId="412C9E23"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2</w:t>
            </w:r>
          </w:p>
        </w:tc>
        <w:tc>
          <w:tcPr>
            <w:tcW w:w="1710" w:type="dxa"/>
            <w:tcBorders>
              <w:top w:val="nil"/>
              <w:left w:val="nil"/>
              <w:bottom w:val="single" w:sz="4" w:space="0" w:color="auto"/>
              <w:right w:val="single" w:sz="4" w:space="0" w:color="auto"/>
            </w:tcBorders>
            <w:shd w:val="clear" w:color="auto" w:fill="FFFFFF" w:themeFill="background1"/>
            <w:noWrap/>
            <w:vAlign w:val="center"/>
            <w:hideMark/>
          </w:tcPr>
          <w:p w14:paraId="67BB8B24"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shd w:val="clear" w:color="auto" w:fill="FFFFFF" w:themeFill="background1"/>
            <w:vAlign w:val="bottom"/>
            <w:hideMark/>
          </w:tcPr>
          <w:p w14:paraId="20D5C989"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3.2.4</w:t>
            </w:r>
          </w:p>
        </w:tc>
        <w:tc>
          <w:tcPr>
            <w:tcW w:w="2880" w:type="dxa"/>
            <w:tcBorders>
              <w:top w:val="nil"/>
              <w:left w:val="nil"/>
              <w:bottom w:val="single" w:sz="4" w:space="0" w:color="auto"/>
              <w:right w:val="single" w:sz="4" w:space="0" w:color="auto"/>
            </w:tcBorders>
            <w:shd w:val="clear" w:color="auto" w:fill="FFFFFF" w:themeFill="background1"/>
            <w:vAlign w:val="bottom"/>
            <w:hideMark/>
          </w:tcPr>
          <w:p w14:paraId="44A13DFF" w14:textId="77777777" w:rsidR="00CE196C" w:rsidRPr="00A37A51" w:rsidRDefault="00CE196C" w:rsidP="00CE196C">
            <w:pPr>
              <w:rPr>
                <w:rFonts w:asciiTheme="majorHAnsi" w:eastAsia="Times New Roman" w:hAnsiTheme="majorHAnsi" w:cstheme="majorHAnsi"/>
                <w:color w:val="000000"/>
                <w:sz w:val="18"/>
                <w:szCs w:val="18"/>
                <w:lang w:val="en-US"/>
              </w:rPr>
            </w:pPr>
          </w:p>
        </w:tc>
      </w:tr>
      <w:tr w:rsidR="00CE196C" w:rsidRPr="00A37A51" w14:paraId="7AB02950" w14:textId="77777777" w:rsidTr="00F502E8">
        <w:trPr>
          <w:trHeight w:val="796"/>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029F189F"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5</w:t>
            </w:r>
          </w:p>
        </w:tc>
        <w:tc>
          <w:tcPr>
            <w:tcW w:w="2435" w:type="dxa"/>
            <w:tcBorders>
              <w:top w:val="single" w:sz="4" w:space="0" w:color="auto"/>
              <w:left w:val="nil"/>
              <w:bottom w:val="single" w:sz="4" w:space="0" w:color="auto"/>
              <w:right w:val="single" w:sz="4" w:space="0" w:color="000000"/>
            </w:tcBorders>
            <w:vAlign w:val="center"/>
            <w:hideMark/>
          </w:tcPr>
          <w:p w14:paraId="2C804ED3" w14:textId="5A3826CF" w:rsidR="00CE196C" w:rsidRPr="00A37A51" w:rsidRDefault="00967098" w:rsidP="00CE196C">
            <w:pPr>
              <w:rPr>
                <w:rFonts w:asciiTheme="majorHAnsi" w:eastAsia="Times New Roman" w:hAnsiTheme="majorHAnsi" w:cstheme="majorHAnsi"/>
                <w:color w:val="000000"/>
                <w:sz w:val="18"/>
                <w:szCs w:val="18"/>
                <w:lang w:val="en-US"/>
              </w:rPr>
            </w:pPr>
            <w:r w:rsidRPr="00967098">
              <w:rPr>
                <w:rFonts w:asciiTheme="majorHAnsi" w:eastAsia="Times New Roman" w:hAnsiTheme="majorHAnsi" w:cstheme="majorHAnsi"/>
                <w:color w:val="000000"/>
                <w:sz w:val="18"/>
                <w:szCs w:val="18"/>
                <w:lang w:val="en-US"/>
              </w:rPr>
              <w:t>Municipal Assembly meetings with the participation of the Mayor</w:t>
            </w:r>
          </w:p>
        </w:tc>
        <w:tc>
          <w:tcPr>
            <w:tcW w:w="2577" w:type="dxa"/>
            <w:tcBorders>
              <w:top w:val="nil"/>
              <w:left w:val="nil"/>
              <w:bottom w:val="single" w:sz="4" w:space="0" w:color="auto"/>
              <w:right w:val="single" w:sz="4" w:space="0" w:color="auto"/>
            </w:tcBorders>
            <w:vAlign w:val="center"/>
            <w:hideMark/>
          </w:tcPr>
          <w:p w14:paraId="515CBDEF"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  0 points if the result in MPMS </w:t>
            </w:r>
            <w:proofErr w:type="gramStart"/>
            <w:r w:rsidRPr="00A37A51">
              <w:rPr>
                <w:rFonts w:asciiTheme="majorHAnsi" w:eastAsia="Times New Roman" w:hAnsiTheme="majorHAnsi" w:cstheme="majorHAnsi"/>
                <w:color w:val="000000"/>
                <w:sz w:val="18"/>
                <w:szCs w:val="18"/>
                <w:lang w:val="en-US"/>
              </w:rPr>
              <w:t>is  49.99</w:t>
            </w:r>
            <w:proofErr w:type="gramEnd"/>
            <w:r w:rsidRPr="00A37A51">
              <w:rPr>
                <w:rFonts w:asciiTheme="majorHAnsi" w:eastAsia="Times New Roman" w:hAnsiTheme="majorHAnsi" w:cstheme="majorHAnsi"/>
                <w:color w:val="000000"/>
                <w:sz w:val="18"/>
                <w:szCs w:val="18"/>
                <w:lang w:val="en-US"/>
              </w:rPr>
              <w:t xml:space="preserve">%, </w:t>
            </w:r>
            <w:r w:rsidRPr="00A37A51">
              <w:rPr>
                <w:rFonts w:asciiTheme="majorHAnsi" w:eastAsia="Times New Roman" w:hAnsiTheme="majorHAnsi" w:cstheme="majorHAnsi"/>
                <w:color w:val="000000"/>
                <w:sz w:val="18"/>
                <w:szCs w:val="18"/>
                <w:lang w:val="en-US"/>
              </w:rPr>
              <w:br/>
              <w:t xml:space="preserve">•  1 points if the result in MPMS is ë 50% - 99.99%, </w:t>
            </w:r>
            <w:r w:rsidRPr="00A37A51">
              <w:rPr>
                <w:rFonts w:asciiTheme="majorHAnsi" w:eastAsia="Times New Roman" w:hAnsiTheme="majorHAnsi" w:cstheme="majorHAnsi"/>
                <w:color w:val="000000"/>
                <w:sz w:val="18"/>
                <w:szCs w:val="18"/>
                <w:lang w:val="en-US"/>
              </w:rPr>
              <w:br/>
              <w:t>•  2 points if the result in MPMS is equal to or higher than  100%.</w:t>
            </w:r>
          </w:p>
        </w:tc>
        <w:tc>
          <w:tcPr>
            <w:tcW w:w="1818" w:type="dxa"/>
            <w:tcBorders>
              <w:top w:val="nil"/>
              <w:left w:val="nil"/>
              <w:bottom w:val="single" w:sz="4" w:space="0" w:color="auto"/>
              <w:right w:val="single" w:sz="4" w:space="0" w:color="auto"/>
            </w:tcBorders>
            <w:noWrap/>
            <w:vAlign w:val="bottom"/>
            <w:hideMark/>
          </w:tcPr>
          <w:p w14:paraId="6DEF5D07"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12D0C244"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2</w:t>
            </w:r>
          </w:p>
        </w:tc>
        <w:tc>
          <w:tcPr>
            <w:tcW w:w="1710" w:type="dxa"/>
            <w:tcBorders>
              <w:top w:val="nil"/>
              <w:left w:val="nil"/>
              <w:bottom w:val="single" w:sz="4" w:space="0" w:color="auto"/>
              <w:right w:val="single" w:sz="4" w:space="0" w:color="auto"/>
            </w:tcBorders>
            <w:noWrap/>
            <w:vAlign w:val="center"/>
            <w:hideMark/>
          </w:tcPr>
          <w:p w14:paraId="6DB973C1"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7E9AB722"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3.2.6</w:t>
            </w:r>
          </w:p>
        </w:tc>
        <w:tc>
          <w:tcPr>
            <w:tcW w:w="2880" w:type="dxa"/>
            <w:tcBorders>
              <w:top w:val="nil"/>
              <w:left w:val="nil"/>
              <w:bottom w:val="single" w:sz="4" w:space="0" w:color="auto"/>
              <w:right w:val="single" w:sz="4" w:space="0" w:color="auto"/>
            </w:tcBorders>
            <w:noWrap/>
            <w:vAlign w:val="bottom"/>
            <w:hideMark/>
          </w:tcPr>
          <w:p w14:paraId="107095A8"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6033A8" w:rsidRPr="00A37A51" w14:paraId="1776179E" w14:textId="77777777" w:rsidTr="00F502E8">
        <w:trPr>
          <w:trHeight w:val="881"/>
        </w:trPr>
        <w:tc>
          <w:tcPr>
            <w:tcW w:w="558" w:type="dxa"/>
            <w:tcBorders>
              <w:top w:val="nil"/>
              <w:left w:val="single" w:sz="8" w:space="0" w:color="auto"/>
              <w:bottom w:val="single" w:sz="4" w:space="0" w:color="auto"/>
              <w:right w:val="single" w:sz="4" w:space="0" w:color="auto"/>
            </w:tcBorders>
            <w:shd w:val="clear" w:color="000000" w:fill="A6C9EC"/>
            <w:noWrap/>
            <w:vAlign w:val="center"/>
            <w:hideMark/>
          </w:tcPr>
          <w:p w14:paraId="47D0B22D"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II</w:t>
            </w:r>
          </w:p>
        </w:tc>
        <w:tc>
          <w:tcPr>
            <w:tcW w:w="6830" w:type="dxa"/>
            <w:gridSpan w:val="3"/>
            <w:tcBorders>
              <w:top w:val="single" w:sz="4" w:space="0" w:color="auto"/>
              <w:left w:val="nil"/>
              <w:bottom w:val="single" w:sz="4" w:space="0" w:color="auto"/>
              <w:right w:val="single" w:sz="4" w:space="0" w:color="000000"/>
            </w:tcBorders>
            <w:shd w:val="clear" w:color="000000" w:fill="A6C9EC"/>
            <w:vAlign w:val="center"/>
            <w:hideMark/>
          </w:tcPr>
          <w:p w14:paraId="2C503CF1"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xml:space="preserve">Participation, consultation and inclusion </w:t>
            </w:r>
            <w:proofErr w:type="gramStart"/>
            <w:r w:rsidRPr="00A37A51">
              <w:rPr>
                <w:rFonts w:asciiTheme="majorHAnsi" w:eastAsia="Times New Roman" w:hAnsiTheme="majorHAnsi" w:cstheme="majorHAnsi"/>
                <w:b/>
                <w:bCs/>
                <w:color w:val="FFFFFF"/>
                <w:sz w:val="18"/>
                <w:szCs w:val="18"/>
                <w:lang w:val="en-US"/>
              </w:rPr>
              <w:t>of  citizens</w:t>
            </w:r>
            <w:proofErr w:type="gramEnd"/>
          </w:p>
        </w:tc>
        <w:tc>
          <w:tcPr>
            <w:tcW w:w="910" w:type="dxa"/>
            <w:tcBorders>
              <w:top w:val="nil"/>
              <w:left w:val="nil"/>
              <w:bottom w:val="single" w:sz="4" w:space="0" w:color="auto"/>
              <w:right w:val="single" w:sz="4" w:space="0" w:color="auto"/>
            </w:tcBorders>
            <w:shd w:val="clear" w:color="000000" w:fill="A6C9EC"/>
            <w:vAlign w:val="center"/>
            <w:hideMark/>
          </w:tcPr>
          <w:p w14:paraId="1D3EC62A"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12</w:t>
            </w:r>
          </w:p>
        </w:tc>
        <w:tc>
          <w:tcPr>
            <w:tcW w:w="1710" w:type="dxa"/>
            <w:tcBorders>
              <w:top w:val="nil"/>
              <w:left w:val="nil"/>
              <w:bottom w:val="single" w:sz="4" w:space="0" w:color="auto"/>
              <w:right w:val="single" w:sz="4" w:space="0" w:color="auto"/>
            </w:tcBorders>
            <w:shd w:val="clear" w:color="000000" w:fill="A6C9EC"/>
            <w:vAlign w:val="center"/>
            <w:hideMark/>
          </w:tcPr>
          <w:p w14:paraId="0C450038"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0</w:t>
            </w:r>
          </w:p>
        </w:tc>
        <w:tc>
          <w:tcPr>
            <w:tcW w:w="1260" w:type="dxa"/>
            <w:tcBorders>
              <w:top w:val="nil"/>
              <w:left w:val="nil"/>
              <w:bottom w:val="single" w:sz="4" w:space="0" w:color="auto"/>
              <w:right w:val="single" w:sz="4" w:space="0" w:color="auto"/>
            </w:tcBorders>
            <w:shd w:val="clear" w:color="000000" w:fill="A6C9EC"/>
            <w:vAlign w:val="center"/>
            <w:hideMark/>
          </w:tcPr>
          <w:p w14:paraId="4E261858"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4" w:space="0" w:color="auto"/>
              <w:right w:val="single" w:sz="8" w:space="0" w:color="auto"/>
            </w:tcBorders>
            <w:shd w:val="clear" w:color="000000" w:fill="A6C9EC"/>
            <w:vAlign w:val="center"/>
            <w:hideMark/>
          </w:tcPr>
          <w:p w14:paraId="2680C40F"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r w:rsidR="00CE196C" w:rsidRPr="00A37A51" w14:paraId="5D767D16" w14:textId="77777777" w:rsidTr="00F502E8">
        <w:trPr>
          <w:trHeight w:val="1086"/>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30B3F41F"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6</w:t>
            </w:r>
          </w:p>
        </w:tc>
        <w:tc>
          <w:tcPr>
            <w:tcW w:w="2435" w:type="dxa"/>
            <w:tcBorders>
              <w:top w:val="single" w:sz="4" w:space="0" w:color="auto"/>
              <w:left w:val="nil"/>
              <w:bottom w:val="single" w:sz="4" w:space="0" w:color="auto"/>
              <w:right w:val="single" w:sz="4" w:space="0" w:color="auto"/>
            </w:tcBorders>
            <w:vAlign w:val="center"/>
            <w:hideMark/>
          </w:tcPr>
          <w:p w14:paraId="02A922BB" w14:textId="1A95C0CD" w:rsidR="00CE196C" w:rsidRPr="00A37A51" w:rsidRDefault="009440E8" w:rsidP="00CE196C">
            <w:pPr>
              <w:rPr>
                <w:rFonts w:asciiTheme="majorHAnsi" w:eastAsia="Times New Roman" w:hAnsiTheme="majorHAnsi" w:cstheme="majorHAnsi"/>
                <w:sz w:val="18"/>
                <w:szCs w:val="18"/>
                <w:lang w:val="en-US"/>
              </w:rPr>
            </w:pPr>
            <w:r w:rsidRPr="009440E8">
              <w:rPr>
                <w:rFonts w:asciiTheme="majorHAnsi" w:eastAsia="Times New Roman" w:hAnsiTheme="majorHAnsi" w:cstheme="majorHAnsi"/>
                <w:sz w:val="18"/>
                <w:szCs w:val="18"/>
                <w:lang w:val="en-US"/>
              </w:rPr>
              <w:t>Citizen participation in public consultations, disaggregated by gender</w:t>
            </w:r>
          </w:p>
        </w:tc>
        <w:tc>
          <w:tcPr>
            <w:tcW w:w="2577" w:type="dxa"/>
            <w:tcBorders>
              <w:top w:val="nil"/>
              <w:left w:val="nil"/>
              <w:bottom w:val="single" w:sz="4" w:space="0" w:color="auto"/>
              <w:right w:val="single" w:sz="4" w:space="0" w:color="auto"/>
            </w:tcBorders>
            <w:shd w:val="clear" w:color="000000" w:fill="FFFFFF"/>
            <w:vAlign w:val="center"/>
            <w:hideMark/>
          </w:tcPr>
          <w:p w14:paraId="2DA60EC4"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 xml:space="preserve">• 0 points if the average of two indicators of the result in MPMS is lower than 39.99%, </w:t>
            </w:r>
            <w:r w:rsidRPr="00A37A51">
              <w:rPr>
                <w:rFonts w:asciiTheme="majorHAnsi" w:eastAsia="Times New Roman" w:hAnsiTheme="majorHAnsi" w:cstheme="majorHAnsi"/>
                <w:sz w:val="18"/>
                <w:szCs w:val="18"/>
                <w:lang w:val="en-US"/>
              </w:rPr>
              <w:br/>
              <w:t xml:space="preserve">• 1 point if the average of two indicators in MPMS is from 40% - 69.99%, </w:t>
            </w:r>
            <w:r w:rsidRPr="00A37A51">
              <w:rPr>
                <w:rFonts w:asciiTheme="majorHAnsi" w:eastAsia="Times New Roman" w:hAnsiTheme="majorHAnsi" w:cstheme="majorHAnsi"/>
                <w:sz w:val="18"/>
                <w:szCs w:val="18"/>
                <w:lang w:val="en-US"/>
              </w:rPr>
              <w:br/>
              <w:t xml:space="preserve">• 2 points if the average of two indicators in MPMS is form 70% - 89.99%, </w:t>
            </w:r>
            <w:r w:rsidRPr="00A37A51">
              <w:rPr>
                <w:rFonts w:asciiTheme="majorHAnsi" w:eastAsia="Times New Roman" w:hAnsiTheme="majorHAnsi" w:cstheme="majorHAnsi"/>
                <w:sz w:val="18"/>
                <w:szCs w:val="18"/>
                <w:lang w:val="en-US"/>
              </w:rPr>
              <w:br/>
              <w:t>• 4 points if the average of two indicators in MPMS is equal to or higher than 90%.</w:t>
            </w:r>
          </w:p>
        </w:tc>
        <w:tc>
          <w:tcPr>
            <w:tcW w:w="1818" w:type="dxa"/>
            <w:tcBorders>
              <w:top w:val="nil"/>
              <w:left w:val="nil"/>
              <w:bottom w:val="single" w:sz="4" w:space="0" w:color="auto"/>
              <w:right w:val="single" w:sz="4" w:space="0" w:color="auto"/>
            </w:tcBorders>
            <w:noWrap/>
            <w:vAlign w:val="bottom"/>
            <w:hideMark/>
          </w:tcPr>
          <w:p w14:paraId="56913CD6"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1CD7C119"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4</w:t>
            </w:r>
          </w:p>
        </w:tc>
        <w:tc>
          <w:tcPr>
            <w:tcW w:w="1710" w:type="dxa"/>
            <w:tcBorders>
              <w:top w:val="nil"/>
              <w:left w:val="nil"/>
              <w:bottom w:val="single" w:sz="4" w:space="0" w:color="auto"/>
              <w:right w:val="single" w:sz="4" w:space="0" w:color="auto"/>
            </w:tcBorders>
            <w:noWrap/>
            <w:vAlign w:val="center"/>
            <w:hideMark/>
          </w:tcPr>
          <w:p w14:paraId="1C17B061"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53D639FA"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3.1.2 and 13.2.3</w:t>
            </w:r>
          </w:p>
        </w:tc>
        <w:tc>
          <w:tcPr>
            <w:tcW w:w="2880" w:type="dxa"/>
            <w:tcBorders>
              <w:top w:val="nil"/>
              <w:left w:val="nil"/>
              <w:bottom w:val="single" w:sz="4" w:space="0" w:color="auto"/>
              <w:right w:val="single" w:sz="8" w:space="0" w:color="auto"/>
            </w:tcBorders>
            <w:noWrap/>
            <w:vAlign w:val="bottom"/>
            <w:hideMark/>
          </w:tcPr>
          <w:p w14:paraId="5C7B0343"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2A56BA34"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02E38711"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lastRenderedPageBreak/>
              <w:t>7</w:t>
            </w:r>
          </w:p>
        </w:tc>
        <w:tc>
          <w:tcPr>
            <w:tcW w:w="2435" w:type="dxa"/>
            <w:tcBorders>
              <w:top w:val="single" w:sz="4" w:space="0" w:color="auto"/>
              <w:left w:val="nil"/>
              <w:bottom w:val="single" w:sz="4" w:space="0" w:color="auto"/>
              <w:right w:val="single" w:sz="4" w:space="0" w:color="auto"/>
            </w:tcBorders>
            <w:vAlign w:val="center"/>
            <w:hideMark/>
          </w:tcPr>
          <w:p w14:paraId="6DC1597C" w14:textId="06F1A9E2" w:rsidR="00CE196C" w:rsidRPr="00A37A51" w:rsidRDefault="00DF5465" w:rsidP="00CE196C">
            <w:pPr>
              <w:rPr>
                <w:rFonts w:asciiTheme="majorHAnsi" w:eastAsia="Times New Roman" w:hAnsiTheme="majorHAnsi" w:cstheme="majorHAnsi"/>
                <w:color w:val="000000"/>
                <w:sz w:val="18"/>
                <w:szCs w:val="18"/>
                <w:lang w:val="en-US"/>
              </w:rPr>
            </w:pPr>
            <w:r w:rsidRPr="00DF5465">
              <w:rPr>
                <w:rFonts w:asciiTheme="majorHAnsi" w:eastAsia="Times New Roman" w:hAnsiTheme="majorHAnsi" w:cstheme="majorHAnsi"/>
                <w:color w:val="000000"/>
                <w:sz w:val="18"/>
                <w:szCs w:val="18"/>
                <w:lang w:val="en-US"/>
              </w:rPr>
              <w:t>Municipal acts and local policy documents consulted with the public</w:t>
            </w:r>
          </w:p>
        </w:tc>
        <w:tc>
          <w:tcPr>
            <w:tcW w:w="2577" w:type="dxa"/>
            <w:tcBorders>
              <w:top w:val="nil"/>
              <w:left w:val="nil"/>
              <w:bottom w:val="single" w:sz="4" w:space="0" w:color="auto"/>
              <w:right w:val="single" w:sz="4" w:space="0" w:color="auto"/>
            </w:tcBorders>
            <w:shd w:val="clear" w:color="000000" w:fill="FFFFFF"/>
            <w:vAlign w:val="center"/>
            <w:hideMark/>
          </w:tcPr>
          <w:p w14:paraId="2D92E0BD"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 0 points if the result in MPMS is up to 39.99%,</w:t>
            </w:r>
            <w:r w:rsidRPr="00A37A51">
              <w:rPr>
                <w:rFonts w:asciiTheme="majorHAnsi" w:eastAsia="Times New Roman" w:hAnsiTheme="majorHAnsi" w:cstheme="majorHAnsi"/>
                <w:sz w:val="18"/>
                <w:szCs w:val="18"/>
                <w:lang w:val="en-US"/>
              </w:rPr>
              <w:br/>
              <w:t xml:space="preserve">• 1 point if the result in MPMS is 40% - 69.99%, </w:t>
            </w:r>
            <w:r w:rsidRPr="00A37A51">
              <w:rPr>
                <w:rFonts w:asciiTheme="majorHAnsi" w:eastAsia="Times New Roman" w:hAnsiTheme="majorHAnsi" w:cstheme="majorHAnsi"/>
                <w:sz w:val="18"/>
                <w:szCs w:val="18"/>
                <w:lang w:val="en-US"/>
              </w:rPr>
              <w:br/>
              <w:t xml:space="preserve">• 2 points if the result in MPMS is 70% - 89.99%, </w:t>
            </w:r>
            <w:r w:rsidRPr="00A37A51">
              <w:rPr>
                <w:rFonts w:asciiTheme="majorHAnsi" w:eastAsia="Times New Roman" w:hAnsiTheme="majorHAnsi" w:cstheme="majorHAnsi"/>
                <w:sz w:val="18"/>
                <w:szCs w:val="18"/>
                <w:lang w:val="en-US"/>
              </w:rPr>
              <w:br/>
              <w:t>• 4 points if the result in MPMS is equal to or higher than 90%.</w:t>
            </w:r>
          </w:p>
        </w:tc>
        <w:tc>
          <w:tcPr>
            <w:tcW w:w="1818" w:type="dxa"/>
            <w:tcBorders>
              <w:top w:val="nil"/>
              <w:left w:val="nil"/>
              <w:bottom w:val="single" w:sz="4" w:space="0" w:color="auto"/>
              <w:right w:val="single" w:sz="4" w:space="0" w:color="auto"/>
            </w:tcBorders>
            <w:noWrap/>
            <w:vAlign w:val="bottom"/>
            <w:hideMark/>
          </w:tcPr>
          <w:p w14:paraId="76C4726C"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6966892D"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4</w:t>
            </w:r>
          </w:p>
        </w:tc>
        <w:tc>
          <w:tcPr>
            <w:tcW w:w="1710" w:type="dxa"/>
            <w:tcBorders>
              <w:top w:val="nil"/>
              <w:left w:val="nil"/>
              <w:bottom w:val="single" w:sz="4" w:space="0" w:color="auto"/>
              <w:right w:val="single" w:sz="4" w:space="0" w:color="auto"/>
            </w:tcBorders>
            <w:noWrap/>
            <w:vAlign w:val="center"/>
            <w:hideMark/>
          </w:tcPr>
          <w:p w14:paraId="1DA96B93"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0790B348"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3.1.4</w:t>
            </w:r>
          </w:p>
        </w:tc>
        <w:tc>
          <w:tcPr>
            <w:tcW w:w="2880" w:type="dxa"/>
            <w:tcBorders>
              <w:top w:val="nil"/>
              <w:left w:val="nil"/>
              <w:bottom w:val="single" w:sz="4" w:space="0" w:color="auto"/>
              <w:right w:val="single" w:sz="8" w:space="0" w:color="auto"/>
            </w:tcBorders>
            <w:noWrap/>
            <w:vAlign w:val="bottom"/>
            <w:hideMark/>
          </w:tcPr>
          <w:p w14:paraId="553A9291"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7E17F47A"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32B939BC"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8</w:t>
            </w:r>
          </w:p>
        </w:tc>
        <w:tc>
          <w:tcPr>
            <w:tcW w:w="2435" w:type="dxa"/>
            <w:tcBorders>
              <w:top w:val="single" w:sz="4" w:space="0" w:color="auto"/>
              <w:left w:val="nil"/>
              <w:bottom w:val="single" w:sz="4" w:space="0" w:color="auto"/>
              <w:right w:val="single" w:sz="4" w:space="0" w:color="auto"/>
            </w:tcBorders>
            <w:shd w:val="clear" w:color="000000" w:fill="FFFFFF"/>
            <w:vAlign w:val="center"/>
            <w:hideMark/>
          </w:tcPr>
          <w:p w14:paraId="06E8A87C" w14:textId="2FC2C872" w:rsidR="00CE196C" w:rsidRPr="00A37A51" w:rsidRDefault="00493E5C" w:rsidP="00CE196C">
            <w:pPr>
              <w:rPr>
                <w:rFonts w:asciiTheme="majorHAnsi" w:eastAsia="Times New Roman" w:hAnsiTheme="majorHAnsi" w:cstheme="majorHAnsi"/>
                <w:sz w:val="18"/>
                <w:szCs w:val="18"/>
                <w:lang w:val="en-US"/>
              </w:rPr>
            </w:pPr>
            <w:r w:rsidRPr="00493E5C">
              <w:rPr>
                <w:rFonts w:asciiTheme="majorHAnsi" w:eastAsia="Times New Roman" w:hAnsiTheme="majorHAnsi" w:cstheme="majorHAnsi"/>
                <w:sz w:val="18"/>
                <w:szCs w:val="18"/>
                <w:lang w:val="en-US"/>
              </w:rPr>
              <w:t xml:space="preserve">Public hearings on the </w:t>
            </w:r>
            <w:proofErr w:type="gramStart"/>
            <w:r w:rsidRPr="00493E5C">
              <w:rPr>
                <w:rFonts w:asciiTheme="majorHAnsi" w:eastAsia="Times New Roman" w:hAnsiTheme="majorHAnsi" w:cstheme="majorHAnsi"/>
                <w:sz w:val="18"/>
                <w:szCs w:val="18"/>
                <w:lang w:val="en-US"/>
              </w:rPr>
              <w:t>Medium Term</w:t>
            </w:r>
            <w:proofErr w:type="gramEnd"/>
            <w:r w:rsidRPr="00493E5C">
              <w:rPr>
                <w:rFonts w:asciiTheme="majorHAnsi" w:eastAsia="Times New Roman" w:hAnsiTheme="majorHAnsi" w:cstheme="majorHAnsi"/>
                <w:sz w:val="18"/>
                <w:szCs w:val="18"/>
                <w:lang w:val="en-US"/>
              </w:rPr>
              <w:t xml:space="preserve"> Budget Framework (MTBF) and municipal budget (proportionally to # of residents)</w:t>
            </w:r>
          </w:p>
        </w:tc>
        <w:tc>
          <w:tcPr>
            <w:tcW w:w="2577" w:type="dxa"/>
            <w:tcBorders>
              <w:top w:val="nil"/>
              <w:left w:val="nil"/>
              <w:bottom w:val="single" w:sz="4" w:space="0" w:color="auto"/>
              <w:right w:val="single" w:sz="4" w:space="0" w:color="auto"/>
            </w:tcBorders>
            <w:shd w:val="clear" w:color="000000" w:fill="FFFFFF"/>
            <w:vAlign w:val="center"/>
            <w:hideMark/>
          </w:tcPr>
          <w:p w14:paraId="26943F97"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 0 points if the result in MPMS is up to 39.99%,</w:t>
            </w:r>
            <w:r w:rsidRPr="00A37A51">
              <w:rPr>
                <w:rFonts w:asciiTheme="majorHAnsi" w:eastAsia="Times New Roman" w:hAnsiTheme="majorHAnsi" w:cstheme="majorHAnsi"/>
                <w:sz w:val="18"/>
                <w:szCs w:val="18"/>
                <w:lang w:val="en-US"/>
              </w:rPr>
              <w:br/>
              <w:t xml:space="preserve">• 1 point if the result in MPMS is 40% - 69.99%, </w:t>
            </w:r>
            <w:r w:rsidRPr="00A37A51">
              <w:rPr>
                <w:rFonts w:asciiTheme="majorHAnsi" w:eastAsia="Times New Roman" w:hAnsiTheme="majorHAnsi" w:cstheme="majorHAnsi"/>
                <w:sz w:val="18"/>
                <w:szCs w:val="18"/>
                <w:lang w:val="en-US"/>
              </w:rPr>
              <w:br/>
              <w:t xml:space="preserve">• 2 points if the result in MPMS is 70% - 89.99%, </w:t>
            </w:r>
            <w:r w:rsidRPr="00A37A51">
              <w:rPr>
                <w:rFonts w:asciiTheme="majorHAnsi" w:eastAsia="Times New Roman" w:hAnsiTheme="majorHAnsi" w:cstheme="majorHAnsi"/>
                <w:sz w:val="18"/>
                <w:szCs w:val="18"/>
                <w:lang w:val="en-US"/>
              </w:rPr>
              <w:br/>
              <w:t>• 4 points if the result in MPMS is equal to or higher than 90%.</w:t>
            </w:r>
          </w:p>
        </w:tc>
        <w:tc>
          <w:tcPr>
            <w:tcW w:w="1818" w:type="dxa"/>
            <w:tcBorders>
              <w:top w:val="nil"/>
              <w:left w:val="nil"/>
              <w:bottom w:val="single" w:sz="4" w:space="0" w:color="auto"/>
              <w:right w:val="single" w:sz="4" w:space="0" w:color="auto"/>
            </w:tcBorders>
            <w:noWrap/>
            <w:vAlign w:val="bottom"/>
            <w:hideMark/>
          </w:tcPr>
          <w:p w14:paraId="20585395"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shd w:val="clear" w:color="000000" w:fill="FFFFFF"/>
            <w:noWrap/>
            <w:vAlign w:val="center"/>
            <w:hideMark/>
          </w:tcPr>
          <w:p w14:paraId="778B38CB"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4</w:t>
            </w:r>
          </w:p>
        </w:tc>
        <w:tc>
          <w:tcPr>
            <w:tcW w:w="1710" w:type="dxa"/>
            <w:tcBorders>
              <w:top w:val="nil"/>
              <w:left w:val="nil"/>
              <w:bottom w:val="single" w:sz="4" w:space="0" w:color="auto"/>
              <w:right w:val="single" w:sz="4" w:space="0" w:color="auto"/>
            </w:tcBorders>
            <w:shd w:val="clear" w:color="000000" w:fill="FFFFFF"/>
            <w:noWrap/>
            <w:vAlign w:val="center"/>
            <w:hideMark/>
          </w:tcPr>
          <w:p w14:paraId="330EB065"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5591D4DA"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3.1.5</w:t>
            </w:r>
          </w:p>
        </w:tc>
        <w:tc>
          <w:tcPr>
            <w:tcW w:w="2880" w:type="dxa"/>
            <w:tcBorders>
              <w:top w:val="nil"/>
              <w:left w:val="nil"/>
              <w:bottom w:val="single" w:sz="4" w:space="0" w:color="auto"/>
              <w:right w:val="single" w:sz="8" w:space="0" w:color="auto"/>
            </w:tcBorders>
            <w:noWrap/>
            <w:vAlign w:val="bottom"/>
            <w:hideMark/>
          </w:tcPr>
          <w:p w14:paraId="569F97F2"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6033A8" w:rsidRPr="00A37A51" w14:paraId="05B6741C"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A6C9EC"/>
            <w:noWrap/>
            <w:vAlign w:val="center"/>
            <w:hideMark/>
          </w:tcPr>
          <w:p w14:paraId="44B61A2F"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III</w:t>
            </w:r>
          </w:p>
        </w:tc>
        <w:tc>
          <w:tcPr>
            <w:tcW w:w="6830" w:type="dxa"/>
            <w:gridSpan w:val="3"/>
            <w:tcBorders>
              <w:top w:val="single" w:sz="4" w:space="0" w:color="auto"/>
              <w:left w:val="nil"/>
              <w:bottom w:val="single" w:sz="4" w:space="0" w:color="auto"/>
              <w:right w:val="single" w:sz="4" w:space="0" w:color="auto"/>
            </w:tcBorders>
            <w:shd w:val="clear" w:color="000000" w:fill="A6C9EC"/>
            <w:vAlign w:val="center"/>
            <w:hideMark/>
          </w:tcPr>
          <w:p w14:paraId="19174921"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Transparency, access to information and integrity</w:t>
            </w:r>
          </w:p>
        </w:tc>
        <w:tc>
          <w:tcPr>
            <w:tcW w:w="910" w:type="dxa"/>
            <w:tcBorders>
              <w:top w:val="nil"/>
              <w:left w:val="nil"/>
              <w:bottom w:val="single" w:sz="4" w:space="0" w:color="auto"/>
              <w:right w:val="single" w:sz="4" w:space="0" w:color="auto"/>
            </w:tcBorders>
            <w:shd w:val="clear" w:color="000000" w:fill="A6C9EC"/>
            <w:vAlign w:val="center"/>
            <w:hideMark/>
          </w:tcPr>
          <w:p w14:paraId="2D5D387A"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16</w:t>
            </w:r>
          </w:p>
        </w:tc>
        <w:tc>
          <w:tcPr>
            <w:tcW w:w="1710" w:type="dxa"/>
            <w:tcBorders>
              <w:top w:val="nil"/>
              <w:left w:val="nil"/>
              <w:bottom w:val="single" w:sz="4" w:space="0" w:color="auto"/>
              <w:right w:val="single" w:sz="4" w:space="0" w:color="auto"/>
            </w:tcBorders>
            <w:shd w:val="clear" w:color="000000" w:fill="A6C9EC"/>
            <w:vAlign w:val="center"/>
            <w:hideMark/>
          </w:tcPr>
          <w:p w14:paraId="6C4C70B7"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0</w:t>
            </w:r>
          </w:p>
        </w:tc>
        <w:tc>
          <w:tcPr>
            <w:tcW w:w="1260" w:type="dxa"/>
            <w:tcBorders>
              <w:top w:val="nil"/>
              <w:left w:val="nil"/>
              <w:bottom w:val="single" w:sz="4" w:space="0" w:color="auto"/>
              <w:right w:val="single" w:sz="4" w:space="0" w:color="auto"/>
            </w:tcBorders>
            <w:shd w:val="clear" w:color="000000" w:fill="A6C9EC"/>
            <w:vAlign w:val="center"/>
            <w:hideMark/>
          </w:tcPr>
          <w:p w14:paraId="4B8D18DC"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4" w:space="0" w:color="auto"/>
              <w:right w:val="single" w:sz="8" w:space="0" w:color="auto"/>
            </w:tcBorders>
            <w:shd w:val="clear" w:color="000000" w:fill="A6C9EC"/>
            <w:vAlign w:val="center"/>
            <w:hideMark/>
          </w:tcPr>
          <w:p w14:paraId="7EFF9DD7"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r w:rsidR="00CE196C" w:rsidRPr="00A37A51" w14:paraId="2CBD8557"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3E6088D4"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9</w:t>
            </w:r>
          </w:p>
        </w:tc>
        <w:tc>
          <w:tcPr>
            <w:tcW w:w="2435" w:type="dxa"/>
            <w:tcBorders>
              <w:top w:val="single" w:sz="4" w:space="0" w:color="auto"/>
              <w:left w:val="nil"/>
              <w:bottom w:val="single" w:sz="4" w:space="0" w:color="auto"/>
              <w:right w:val="single" w:sz="4" w:space="0" w:color="auto"/>
            </w:tcBorders>
            <w:vAlign w:val="center"/>
            <w:hideMark/>
          </w:tcPr>
          <w:p w14:paraId="186DFA7F"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Assembly meetings made public and broadcasted live online</w:t>
            </w:r>
          </w:p>
        </w:tc>
        <w:tc>
          <w:tcPr>
            <w:tcW w:w="2577" w:type="dxa"/>
            <w:tcBorders>
              <w:top w:val="nil"/>
              <w:left w:val="nil"/>
              <w:bottom w:val="single" w:sz="4" w:space="0" w:color="auto"/>
              <w:right w:val="single" w:sz="4" w:space="0" w:color="auto"/>
            </w:tcBorders>
            <w:vAlign w:val="center"/>
            <w:hideMark/>
          </w:tcPr>
          <w:p w14:paraId="4E2F8692" w14:textId="475BE523"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 xml:space="preserve">• 0 points if the result in MPMS is up to </w:t>
            </w:r>
            <w:r w:rsidR="00FB57F4" w:rsidRPr="00FB57F4">
              <w:rPr>
                <w:rFonts w:asciiTheme="majorHAnsi" w:eastAsia="Times New Roman" w:hAnsiTheme="majorHAnsi" w:cstheme="majorHAnsi"/>
                <w:sz w:val="18"/>
                <w:szCs w:val="18"/>
                <w:lang w:val="en-US"/>
              </w:rPr>
              <w:t>19,99%</w:t>
            </w:r>
            <w:r w:rsidRPr="00A37A51">
              <w:rPr>
                <w:rFonts w:asciiTheme="majorHAnsi" w:eastAsia="Times New Roman" w:hAnsiTheme="majorHAnsi" w:cstheme="majorHAnsi"/>
                <w:sz w:val="18"/>
                <w:szCs w:val="18"/>
                <w:lang w:val="en-US"/>
              </w:rPr>
              <w:t xml:space="preserve">, </w:t>
            </w:r>
            <w:r w:rsidRPr="00A37A51">
              <w:rPr>
                <w:rFonts w:asciiTheme="majorHAnsi" w:eastAsia="Times New Roman" w:hAnsiTheme="majorHAnsi" w:cstheme="majorHAnsi"/>
                <w:sz w:val="18"/>
                <w:szCs w:val="18"/>
                <w:lang w:val="en-US"/>
              </w:rPr>
              <w:br/>
              <w:t xml:space="preserve">• 1 point if the result in MPMS is </w:t>
            </w:r>
            <w:r w:rsidR="00FB57F4" w:rsidRPr="00FB57F4">
              <w:rPr>
                <w:rFonts w:asciiTheme="majorHAnsi" w:eastAsia="Times New Roman" w:hAnsiTheme="majorHAnsi" w:cstheme="majorHAnsi"/>
                <w:sz w:val="18"/>
                <w:szCs w:val="18"/>
                <w:lang w:val="en-US"/>
              </w:rPr>
              <w:t>20,00%, - 59,99%,</w:t>
            </w:r>
            <w:r w:rsidRPr="00A37A51">
              <w:rPr>
                <w:rFonts w:asciiTheme="majorHAnsi" w:eastAsia="Times New Roman" w:hAnsiTheme="majorHAnsi" w:cstheme="majorHAnsi"/>
                <w:sz w:val="18"/>
                <w:szCs w:val="18"/>
                <w:lang w:val="en-US"/>
              </w:rPr>
              <w:t xml:space="preserve"> </w:t>
            </w:r>
            <w:r w:rsidRPr="00A37A51">
              <w:rPr>
                <w:rFonts w:asciiTheme="majorHAnsi" w:eastAsia="Times New Roman" w:hAnsiTheme="majorHAnsi" w:cstheme="majorHAnsi"/>
                <w:sz w:val="18"/>
                <w:szCs w:val="18"/>
                <w:lang w:val="en-US"/>
              </w:rPr>
              <w:br/>
              <w:t xml:space="preserve">• 2 points if the result in MPMS is 60% - 89.99%, </w:t>
            </w:r>
            <w:r w:rsidRPr="00A37A51">
              <w:rPr>
                <w:rFonts w:asciiTheme="majorHAnsi" w:eastAsia="Times New Roman" w:hAnsiTheme="majorHAnsi" w:cstheme="majorHAnsi"/>
                <w:sz w:val="18"/>
                <w:szCs w:val="18"/>
                <w:lang w:val="en-US"/>
              </w:rPr>
              <w:br/>
              <w:t>• 4 points if the result in MPMS is equal to or higher than 90%.</w:t>
            </w:r>
          </w:p>
        </w:tc>
        <w:tc>
          <w:tcPr>
            <w:tcW w:w="1818" w:type="dxa"/>
            <w:tcBorders>
              <w:top w:val="nil"/>
              <w:left w:val="nil"/>
              <w:bottom w:val="single" w:sz="4" w:space="0" w:color="auto"/>
              <w:right w:val="single" w:sz="4" w:space="0" w:color="auto"/>
            </w:tcBorders>
            <w:noWrap/>
            <w:vAlign w:val="bottom"/>
            <w:hideMark/>
          </w:tcPr>
          <w:p w14:paraId="104A5DDE"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0FFFC46D"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4</w:t>
            </w:r>
          </w:p>
        </w:tc>
        <w:tc>
          <w:tcPr>
            <w:tcW w:w="1710" w:type="dxa"/>
            <w:tcBorders>
              <w:top w:val="nil"/>
              <w:left w:val="nil"/>
              <w:bottom w:val="single" w:sz="4" w:space="0" w:color="auto"/>
              <w:right w:val="single" w:sz="4" w:space="0" w:color="auto"/>
            </w:tcBorders>
            <w:noWrap/>
            <w:vAlign w:val="center"/>
            <w:hideMark/>
          </w:tcPr>
          <w:p w14:paraId="621F349B"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62320230" w14:textId="14A7D2BD"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 xml:space="preserve">Indicator number </w:t>
            </w:r>
            <w:r w:rsidR="001D116F">
              <w:rPr>
                <w:rFonts w:ascii="Calibri Light" w:hAnsi="Calibri Light" w:cs="Calibri Light"/>
                <w:color w:val="000000"/>
                <w:sz w:val="18"/>
                <w:szCs w:val="18"/>
              </w:rPr>
              <w:t>2.1.1</w:t>
            </w:r>
          </w:p>
        </w:tc>
        <w:tc>
          <w:tcPr>
            <w:tcW w:w="2880" w:type="dxa"/>
            <w:tcBorders>
              <w:top w:val="nil"/>
              <w:left w:val="nil"/>
              <w:bottom w:val="single" w:sz="4" w:space="0" w:color="auto"/>
              <w:right w:val="single" w:sz="8" w:space="0" w:color="auto"/>
            </w:tcBorders>
            <w:noWrap/>
            <w:vAlign w:val="bottom"/>
            <w:hideMark/>
          </w:tcPr>
          <w:p w14:paraId="338ACA26"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700DA57D"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5448BF83"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10</w:t>
            </w:r>
          </w:p>
        </w:tc>
        <w:tc>
          <w:tcPr>
            <w:tcW w:w="2435" w:type="dxa"/>
            <w:tcBorders>
              <w:top w:val="single" w:sz="4" w:space="0" w:color="auto"/>
              <w:left w:val="nil"/>
              <w:bottom w:val="single" w:sz="4" w:space="0" w:color="auto"/>
              <w:right w:val="single" w:sz="4" w:space="0" w:color="auto"/>
            </w:tcBorders>
            <w:vAlign w:val="center"/>
            <w:hideMark/>
          </w:tcPr>
          <w:p w14:paraId="05E7EB52" w14:textId="22B149DD" w:rsidR="00CE196C" w:rsidRPr="00A37A51" w:rsidRDefault="00C928F8" w:rsidP="00CE196C">
            <w:pPr>
              <w:rPr>
                <w:rFonts w:asciiTheme="majorHAnsi" w:eastAsia="Times New Roman" w:hAnsiTheme="majorHAnsi" w:cstheme="majorHAnsi"/>
                <w:color w:val="000000"/>
                <w:sz w:val="18"/>
                <w:szCs w:val="18"/>
                <w:lang w:val="en-US"/>
              </w:rPr>
            </w:pPr>
            <w:r w:rsidRPr="00C928F8">
              <w:rPr>
                <w:rFonts w:asciiTheme="majorHAnsi" w:eastAsia="Times New Roman" w:hAnsiTheme="majorHAnsi" w:cstheme="majorHAnsi"/>
                <w:color w:val="000000"/>
                <w:sz w:val="18"/>
                <w:szCs w:val="18"/>
                <w:lang w:val="en-US"/>
              </w:rPr>
              <w:t>Meeting the criteria for municipal electronic website</w:t>
            </w:r>
          </w:p>
        </w:tc>
        <w:tc>
          <w:tcPr>
            <w:tcW w:w="2577" w:type="dxa"/>
            <w:tcBorders>
              <w:top w:val="nil"/>
              <w:left w:val="nil"/>
              <w:bottom w:val="single" w:sz="4" w:space="0" w:color="auto"/>
              <w:right w:val="single" w:sz="4" w:space="0" w:color="auto"/>
            </w:tcBorders>
            <w:vAlign w:val="center"/>
            <w:hideMark/>
          </w:tcPr>
          <w:p w14:paraId="2D3B5D64"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 xml:space="preserve">• </w:t>
            </w:r>
            <w:proofErr w:type="gramStart"/>
            <w:r w:rsidRPr="00A37A51">
              <w:rPr>
                <w:rFonts w:asciiTheme="majorHAnsi" w:eastAsia="Times New Roman" w:hAnsiTheme="majorHAnsi" w:cstheme="majorHAnsi"/>
                <w:sz w:val="18"/>
                <w:szCs w:val="18"/>
                <w:lang w:val="en-US"/>
              </w:rPr>
              <w:t>0  points</w:t>
            </w:r>
            <w:proofErr w:type="gramEnd"/>
            <w:r w:rsidRPr="00A37A51">
              <w:rPr>
                <w:rFonts w:asciiTheme="majorHAnsi" w:eastAsia="Times New Roman" w:hAnsiTheme="majorHAnsi" w:cstheme="majorHAnsi"/>
                <w:sz w:val="18"/>
                <w:szCs w:val="18"/>
                <w:lang w:val="en-US"/>
              </w:rPr>
              <w:t xml:space="preserve"> if the result in MPMS is up to  39.99%,</w:t>
            </w:r>
            <w:r w:rsidRPr="00A37A51">
              <w:rPr>
                <w:rFonts w:asciiTheme="majorHAnsi" w:eastAsia="Times New Roman" w:hAnsiTheme="majorHAnsi" w:cstheme="majorHAnsi"/>
                <w:sz w:val="18"/>
                <w:szCs w:val="18"/>
                <w:lang w:val="en-US"/>
              </w:rPr>
              <w:br/>
              <w:t xml:space="preserve">• 1 point if the result in MPMS is 40%-59,99%, </w:t>
            </w:r>
            <w:r w:rsidRPr="00A37A51">
              <w:rPr>
                <w:rFonts w:asciiTheme="majorHAnsi" w:eastAsia="Times New Roman" w:hAnsiTheme="majorHAnsi" w:cstheme="majorHAnsi"/>
                <w:sz w:val="18"/>
                <w:szCs w:val="18"/>
                <w:lang w:val="en-US"/>
              </w:rPr>
              <w:br/>
              <w:t>• 2 points if the result in MPMS is 60%-79.99%.</w:t>
            </w:r>
            <w:r w:rsidRPr="00A37A51">
              <w:rPr>
                <w:rFonts w:asciiTheme="majorHAnsi" w:eastAsia="Times New Roman" w:hAnsiTheme="majorHAnsi" w:cstheme="majorHAnsi"/>
                <w:sz w:val="18"/>
                <w:szCs w:val="18"/>
                <w:lang w:val="en-US"/>
              </w:rPr>
              <w:br/>
              <w:t>•3 points if the result in MPMS is higher or equal to 80%.</w:t>
            </w:r>
          </w:p>
        </w:tc>
        <w:tc>
          <w:tcPr>
            <w:tcW w:w="1818" w:type="dxa"/>
            <w:tcBorders>
              <w:top w:val="nil"/>
              <w:left w:val="nil"/>
              <w:bottom w:val="single" w:sz="4" w:space="0" w:color="auto"/>
              <w:right w:val="single" w:sz="4" w:space="0" w:color="auto"/>
            </w:tcBorders>
            <w:noWrap/>
            <w:vAlign w:val="bottom"/>
            <w:hideMark/>
          </w:tcPr>
          <w:p w14:paraId="597A8C6F"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4D6A66A0"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3</w:t>
            </w:r>
          </w:p>
        </w:tc>
        <w:tc>
          <w:tcPr>
            <w:tcW w:w="1710" w:type="dxa"/>
            <w:tcBorders>
              <w:top w:val="nil"/>
              <w:left w:val="nil"/>
              <w:bottom w:val="single" w:sz="4" w:space="0" w:color="auto"/>
              <w:right w:val="single" w:sz="4" w:space="0" w:color="auto"/>
            </w:tcBorders>
            <w:noWrap/>
            <w:vAlign w:val="center"/>
            <w:hideMark/>
          </w:tcPr>
          <w:p w14:paraId="05EFDBF9"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5DD69CBF"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2.1.3</w:t>
            </w:r>
          </w:p>
        </w:tc>
        <w:tc>
          <w:tcPr>
            <w:tcW w:w="2880" w:type="dxa"/>
            <w:tcBorders>
              <w:top w:val="nil"/>
              <w:left w:val="nil"/>
              <w:bottom w:val="single" w:sz="4" w:space="0" w:color="auto"/>
              <w:right w:val="single" w:sz="8" w:space="0" w:color="auto"/>
            </w:tcBorders>
            <w:noWrap/>
            <w:vAlign w:val="bottom"/>
            <w:hideMark/>
          </w:tcPr>
          <w:p w14:paraId="0D483B8F"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6F52F52C"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4D32DCD4"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lastRenderedPageBreak/>
              <w:t>11</w:t>
            </w:r>
          </w:p>
        </w:tc>
        <w:tc>
          <w:tcPr>
            <w:tcW w:w="2435" w:type="dxa"/>
            <w:tcBorders>
              <w:top w:val="single" w:sz="4" w:space="0" w:color="auto"/>
              <w:left w:val="nil"/>
              <w:bottom w:val="single" w:sz="4" w:space="0" w:color="auto"/>
              <w:right w:val="single" w:sz="4" w:space="0" w:color="auto"/>
            </w:tcBorders>
            <w:vAlign w:val="center"/>
            <w:hideMark/>
          </w:tcPr>
          <w:p w14:paraId="334EA229"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Publication of public procurement documents of the municipality</w:t>
            </w:r>
          </w:p>
        </w:tc>
        <w:tc>
          <w:tcPr>
            <w:tcW w:w="2577" w:type="dxa"/>
            <w:tcBorders>
              <w:top w:val="nil"/>
              <w:left w:val="nil"/>
              <w:bottom w:val="single" w:sz="4" w:space="0" w:color="auto"/>
              <w:right w:val="single" w:sz="4" w:space="0" w:color="auto"/>
            </w:tcBorders>
            <w:vAlign w:val="center"/>
            <w:hideMark/>
          </w:tcPr>
          <w:p w14:paraId="6AAFBD02"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 xml:space="preserve">•  0 points if the result in MPMS is up to 49.99%, </w:t>
            </w:r>
            <w:r w:rsidRPr="00A37A51">
              <w:rPr>
                <w:rFonts w:asciiTheme="majorHAnsi" w:eastAsia="Times New Roman" w:hAnsiTheme="majorHAnsi" w:cstheme="majorHAnsi"/>
                <w:sz w:val="18"/>
                <w:szCs w:val="18"/>
                <w:lang w:val="en-US"/>
              </w:rPr>
              <w:br/>
            </w:r>
            <w:proofErr w:type="gramStart"/>
            <w:r w:rsidRPr="00A37A51">
              <w:rPr>
                <w:rFonts w:asciiTheme="majorHAnsi" w:eastAsia="Times New Roman" w:hAnsiTheme="majorHAnsi" w:cstheme="majorHAnsi"/>
                <w:sz w:val="18"/>
                <w:szCs w:val="18"/>
                <w:lang w:val="en-US"/>
              </w:rPr>
              <w:t>•  1</w:t>
            </w:r>
            <w:proofErr w:type="gramEnd"/>
            <w:r w:rsidRPr="00A37A51">
              <w:rPr>
                <w:rFonts w:asciiTheme="majorHAnsi" w:eastAsia="Times New Roman" w:hAnsiTheme="majorHAnsi" w:cstheme="majorHAnsi"/>
                <w:sz w:val="18"/>
                <w:szCs w:val="18"/>
                <w:lang w:val="en-US"/>
              </w:rPr>
              <w:t xml:space="preserve"> point if the result in MPMS is 49.99% - 74,99%, </w:t>
            </w:r>
            <w:r w:rsidRPr="00A37A51">
              <w:rPr>
                <w:rFonts w:asciiTheme="majorHAnsi" w:eastAsia="Times New Roman" w:hAnsiTheme="majorHAnsi" w:cstheme="majorHAnsi"/>
                <w:sz w:val="18"/>
                <w:szCs w:val="18"/>
                <w:lang w:val="en-US"/>
              </w:rPr>
              <w:br/>
              <w:t>•  3 points if the result in MPMS is equal to or higher than 75%</w:t>
            </w:r>
          </w:p>
        </w:tc>
        <w:tc>
          <w:tcPr>
            <w:tcW w:w="1818" w:type="dxa"/>
            <w:tcBorders>
              <w:top w:val="nil"/>
              <w:left w:val="nil"/>
              <w:bottom w:val="single" w:sz="4" w:space="0" w:color="auto"/>
              <w:right w:val="single" w:sz="4" w:space="0" w:color="auto"/>
            </w:tcBorders>
            <w:noWrap/>
            <w:vAlign w:val="bottom"/>
            <w:hideMark/>
          </w:tcPr>
          <w:p w14:paraId="72F2E5D1"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6B6778EF"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3</w:t>
            </w:r>
          </w:p>
        </w:tc>
        <w:tc>
          <w:tcPr>
            <w:tcW w:w="1710" w:type="dxa"/>
            <w:tcBorders>
              <w:top w:val="nil"/>
              <w:left w:val="nil"/>
              <w:bottom w:val="single" w:sz="4" w:space="0" w:color="auto"/>
              <w:right w:val="single" w:sz="4" w:space="0" w:color="auto"/>
            </w:tcBorders>
            <w:noWrap/>
            <w:vAlign w:val="center"/>
            <w:hideMark/>
          </w:tcPr>
          <w:p w14:paraId="7B976C52"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7B237D99"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2.2.2</w:t>
            </w:r>
          </w:p>
        </w:tc>
        <w:tc>
          <w:tcPr>
            <w:tcW w:w="2880" w:type="dxa"/>
            <w:tcBorders>
              <w:top w:val="nil"/>
              <w:left w:val="nil"/>
              <w:bottom w:val="single" w:sz="4" w:space="0" w:color="auto"/>
              <w:right w:val="single" w:sz="8" w:space="0" w:color="auto"/>
            </w:tcBorders>
            <w:noWrap/>
            <w:vAlign w:val="bottom"/>
            <w:hideMark/>
          </w:tcPr>
          <w:p w14:paraId="1B964182"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755BE311"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53CD7C9D"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12</w:t>
            </w:r>
          </w:p>
        </w:tc>
        <w:tc>
          <w:tcPr>
            <w:tcW w:w="2435" w:type="dxa"/>
            <w:tcBorders>
              <w:top w:val="single" w:sz="4" w:space="0" w:color="auto"/>
              <w:left w:val="nil"/>
              <w:bottom w:val="single" w:sz="4" w:space="0" w:color="auto"/>
              <w:right w:val="single" w:sz="4" w:space="0" w:color="auto"/>
            </w:tcBorders>
            <w:vAlign w:val="center"/>
            <w:hideMark/>
          </w:tcPr>
          <w:p w14:paraId="0D3265FC"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Publication of reports of public consultation processes </w:t>
            </w:r>
          </w:p>
        </w:tc>
        <w:tc>
          <w:tcPr>
            <w:tcW w:w="2577" w:type="dxa"/>
            <w:tcBorders>
              <w:top w:val="nil"/>
              <w:left w:val="nil"/>
              <w:bottom w:val="single" w:sz="4" w:space="0" w:color="auto"/>
              <w:right w:val="single" w:sz="4" w:space="0" w:color="auto"/>
            </w:tcBorders>
            <w:vAlign w:val="center"/>
            <w:hideMark/>
          </w:tcPr>
          <w:p w14:paraId="617F2AF1"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 xml:space="preserve">• 0 points if the result in MPMS is up </w:t>
            </w:r>
            <w:proofErr w:type="gramStart"/>
            <w:r w:rsidRPr="00A37A51">
              <w:rPr>
                <w:rFonts w:asciiTheme="majorHAnsi" w:eastAsia="Times New Roman" w:hAnsiTheme="majorHAnsi" w:cstheme="majorHAnsi"/>
                <w:sz w:val="18"/>
                <w:szCs w:val="18"/>
                <w:lang w:val="en-US"/>
              </w:rPr>
              <w:t>to  39.99</w:t>
            </w:r>
            <w:proofErr w:type="gramEnd"/>
            <w:r w:rsidRPr="00A37A51">
              <w:rPr>
                <w:rFonts w:asciiTheme="majorHAnsi" w:eastAsia="Times New Roman" w:hAnsiTheme="majorHAnsi" w:cstheme="majorHAnsi"/>
                <w:sz w:val="18"/>
                <w:szCs w:val="18"/>
                <w:lang w:val="en-US"/>
              </w:rPr>
              <w:t>%,</w:t>
            </w:r>
            <w:r w:rsidRPr="00A37A51">
              <w:rPr>
                <w:rFonts w:asciiTheme="majorHAnsi" w:eastAsia="Times New Roman" w:hAnsiTheme="majorHAnsi" w:cstheme="majorHAnsi"/>
                <w:sz w:val="18"/>
                <w:szCs w:val="18"/>
                <w:lang w:val="en-US"/>
              </w:rPr>
              <w:br/>
              <w:t>• 1 point if the result in MPMS is  40% - 59.99%,</w:t>
            </w:r>
            <w:r w:rsidRPr="00A37A51">
              <w:rPr>
                <w:rFonts w:asciiTheme="majorHAnsi" w:eastAsia="Times New Roman" w:hAnsiTheme="majorHAnsi" w:cstheme="majorHAnsi"/>
                <w:sz w:val="18"/>
                <w:szCs w:val="18"/>
                <w:lang w:val="en-US"/>
              </w:rPr>
              <w:br/>
              <w:t>• 2 point if the result in MPMS is  60% - 89.99%,</w:t>
            </w:r>
            <w:r w:rsidRPr="00A37A51">
              <w:rPr>
                <w:rFonts w:asciiTheme="majorHAnsi" w:eastAsia="Times New Roman" w:hAnsiTheme="majorHAnsi" w:cstheme="majorHAnsi"/>
                <w:sz w:val="18"/>
                <w:szCs w:val="18"/>
                <w:lang w:val="en-US"/>
              </w:rPr>
              <w:br/>
              <w:t>• 4 points if the result in MPMS is equal to or higher than  90%.</w:t>
            </w:r>
          </w:p>
        </w:tc>
        <w:tc>
          <w:tcPr>
            <w:tcW w:w="1818" w:type="dxa"/>
            <w:tcBorders>
              <w:top w:val="nil"/>
              <w:left w:val="nil"/>
              <w:bottom w:val="single" w:sz="4" w:space="0" w:color="auto"/>
              <w:right w:val="single" w:sz="4" w:space="0" w:color="auto"/>
            </w:tcBorders>
            <w:noWrap/>
            <w:vAlign w:val="bottom"/>
            <w:hideMark/>
          </w:tcPr>
          <w:p w14:paraId="669F5ACE"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0A6B8953"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4</w:t>
            </w:r>
          </w:p>
        </w:tc>
        <w:tc>
          <w:tcPr>
            <w:tcW w:w="1710" w:type="dxa"/>
            <w:tcBorders>
              <w:top w:val="nil"/>
              <w:left w:val="nil"/>
              <w:bottom w:val="single" w:sz="4" w:space="0" w:color="auto"/>
              <w:right w:val="single" w:sz="4" w:space="0" w:color="auto"/>
            </w:tcBorders>
            <w:noWrap/>
            <w:vAlign w:val="center"/>
            <w:hideMark/>
          </w:tcPr>
          <w:p w14:paraId="5A7FEBA0"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787F34FC"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3.1.6</w:t>
            </w:r>
          </w:p>
        </w:tc>
        <w:tc>
          <w:tcPr>
            <w:tcW w:w="2880" w:type="dxa"/>
            <w:tcBorders>
              <w:top w:val="nil"/>
              <w:left w:val="nil"/>
              <w:bottom w:val="single" w:sz="4" w:space="0" w:color="auto"/>
              <w:right w:val="single" w:sz="8" w:space="0" w:color="auto"/>
            </w:tcBorders>
            <w:noWrap/>
            <w:vAlign w:val="bottom"/>
            <w:hideMark/>
          </w:tcPr>
          <w:p w14:paraId="43209BE9"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63AFC087"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7F1E87C4"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13</w:t>
            </w:r>
          </w:p>
        </w:tc>
        <w:tc>
          <w:tcPr>
            <w:tcW w:w="2435" w:type="dxa"/>
            <w:tcBorders>
              <w:top w:val="single" w:sz="4" w:space="0" w:color="auto"/>
              <w:left w:val="nil"/>
              <w:bottom w:val="single" w:sz="4" w:space="0" w:color="auto"/>
              <w:right w:val="single" w:sz="4" w:space="0" w:color="auto"/>
            </w:tcBorders>
            <w:vAlign w:val="center"/>
            <w:hideMark/>
          </w:tcPr>
          <w:p w14:paraId="514B6C34"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Reporting the annual Integrity Plan before the Municipal Assembly</w:t>
            </w:r>
          </w:p>
        </w:tc>
        <w:tc>
          <w:tcPr>
            <w:tcW w:w="2577" w:type="dxa"/>
            <w:tcBorders>
              <w:top w:val="nil"/>
              <w:left w:val="nil"/>
              <w:bottom w:val="single" w:sz="4" w:space="0" w:color="auto"/>
              <w:right w:val="single" w:sz="4" w:space="0" w:color="auto"/>
            </w:tcBorders>
            <w:vAlign w:val="center"/>
            <w:hideMark/>
          </w:tcPr>
          <w:p w14:paraId="5582E66C"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 xml:space="preserve">• 0 points if the result in MPMS is lower than 100%, </w:t>
            </w:r>
            <w:r w:rsidRPr="00A37A51">
              <w:rPr>
                <w:rFonts w:asciiTheme="majorHAnsi" w:eastAsia="Times New Roman" w:hAnsiTheme="majorHAnsi" w:cstheme="majorHAnsi"/>
                <w:sz w:val="18"/>
                <w:szCs w:val="18"/>
                <w:lang w:val="en-US"/>
              </w:rPr>
              <w:br/>
              <w:t>• 2 points if the result in MPMS is 100</w:t>
            </w:r>
            <w:proofErr w:type="gramStart"/>
            <w:r w:rsidRPr="00A37A51">
              <w:rPr>
                <w:rFonts w:asciiTheme="majorHAnsi" w:eastAsia="Times New Roman" w:hAnsiTheme="majorHAnsi" w:cstheme="majorHAnsi"/>
                <w:sz w:val="18"/>
                <w:szCs w:val="18"/>
                <w:lang w:val="en-US"/>
              </w:rPr>
              <w:t>%..</w:t>
            </w:r>
            <w:proofErr w:type="gramEnd"/>
          </w:p>
        </w:tc>
        <w:tc>
          <w:tcPr>
            <w:tcW w:w="1818" w:type="dxa"/>
            <w:tcBorders>
              <w:top w:val="nil"/>
              <w:left w:val="nil"/>
              <w:bottom w:val="single" w:sz="4" w:space="0" w:color="auto"/>
              <w:right w:val="single" w:sz="4" w:space="0" w:color="auto"/>
            </w:tcBorders>
            <w:noWrap/>
            <w:vAlign w:val="bottom"/>
            <w:hideMark/>
          </w:tcPr>
          <w:p w14:paraId="19CEADC8"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28ED7E64"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2</w:t>
            </w:r>
          </w:p>
        </w:tc>
        <w:tc>
          <w:tcPr>
            <w:tcW w:w="1710" w:type="dxa"/>
            <w:tcBorders>
              <w:top w:val="nil"/>
              <w:left w:val="nil"/>
              <w:bottom w:val="single" w:sz="4" w:space="0" w:color="auto"/>
              <w:right w:val="single" w:sz="4" w:space="0" w:color="auto"/>
            </w:tcBorders>
            <w:noWrap/>
            <w:vAlign w:val="center"/>
            <w:hideMark/>
          </w:tcPr>
          <w:p w14:paraId="3A1686AA"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0D38F46A"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3.4.1</w:t>
            </w:r>
          </w:p>
        </w:tc>
        <w:tc>
          <w:tcPr>
            <w:tcW w:w="2880" w:type="dxa"/>
            <w:tcBorders>
              <w:top w:val="nil"/>
              <w:left w:val="nil"/>
              <w:bottom w:val="single" w:sz="4" w:space="0" w:color="auto"/>
              <w:right w:val="single" w:sz="8" w:space="0" w:color="auto"/>
            </w:tcBorders>
            <w:noWrap/>
            <w:vAlign w:val="bottom"/>
            <w:hideMark/>
          </w:tcPr>
          <w:p w14:paraId="5D053304"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6033A8" w:rsidRPr="00A37A51" w14:paraId="1FEA7EDD"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5A2DA7E6"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2</w:t>
            </w:r>
          </w:p>
        </w:tc>
        <w:tc>
          <w:tcPr>
            <w:tcW w:w="6830" w:type="dxa"/>
            <w:gridSpan w:val="3"/>
            <w:tcBorders>
              <w:top w:val="single" w:sz="4" w:space="0" w:color="auto"/>
              <w:left w:val="nil"/>
              <w:bottom w:val="single" w:sz="4" w:space="0" w:color="auto"/>
              <w:right w:val="single" w:sz="4" w:space="0" w:color="auto"/>
            </w:tcBorders>
            <w:shd w:val="clear" w:color="000000" w:fill="215C98"/>
            <w:vAlign w:val="center"/>
            <w:hideMark/>
          </w:tcPr>
          <w:p w14:paraId="248F1AAB"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Municipal Management</w:t>
            </w:r>
          </w:p>
        </w:tc>
        <w:tc>
          <w:tcPr>
            <w:tcW w:w="910" w:type="dxa"/>
            <w:tcBorders>
              <w:top w:val="nil"/>
              <w:left w:val="nil"/>
              <w:bottom w:val="single" w:sz="4" w:space="0" w:color="auto"/>
              <w:right w:val="single" w:sz="4" w:space="0" w:color="auto"/>
            </w:tcBorders>
            <w:shd w:val="clear" w:color="000000" w:fill="215C98"/>
            <w:vAlign w:val="center"/>
            <w:hideMark/>
          </w:tcPr>
          <w:p w14:paraId="20FECC1E"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30</w:t>
            </w:r>
          </w:p>
        </w:tc>
        <w:tc>
          <w:tcPr>
            <w:tcW w:w="1710" w:type="dxa"/>
            <w:tcBorders>
              <w:top w:val="nil"/>
              <w:left w:val="nil"/>
              <w:bottom w:val="single" w:sz="4" w:space="0" w:color="auto"/>
              <w:right w:val="single" w:sz="4" w:space="0" w:color="auto"/>
            </w:tcBorders>
            <w:shd w:val="clear" w:color="000000" w:fill="215C98"/>
            <w:vAlign w:val="center"/>
            <w:hideMark/>
          </w:tcPr>
          <w:p w14:paraId="69E96500"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0</w:t>
            </w:r>
          </w:p>
        </w:tc>
        <w:tc>
          <w:tcPr>
            <w:tcW w:w="1260" w:type="dxa"/>
            <w:tcBorders>
              <w:top w:val="nil"/>
              <w:left w:val="nil"/>
              <w:bottom w:val="single" w:sz="4" w:space="0" w:color="auto"/>
              <w:right w:val="single" w:sz="4" w:space="0" w:color="auto"/>
            </w:tcBorders>
            <w:shd w:val="clear" w:color="000000" w:fill="215C98"/>
            <w:vAlign w:val="center"/>
            <w:hideMark/>
          </w:tcPr>
          <w:p w14:paraId="39D4A37E"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4" w:space="0" w:color="auto"/>
              <w:right w:val="single" w:sz="8" w:space="0" w:color="auto"/>
            </w:tcBorders>
            <w:shd w:val="clear" w:color="000000" w:fill="215C98"/>
            <w:vAlign w:val="center"/>
            <w:hideMark/>
          </w:tcPr>
          <w:p w14:paraId="2D90E13B"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r w:rsidR="00CE196C" w:rsidRPr="00A37A51" w14:paraId="50BEA5B9"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A6C9EC"/>
            <w:noWrap/>
            <w:vAlign w:val="center"/>
            <w:hideMark/>
          </w:tcPr>
          <w:p w14:paraId="4413FC82"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IV</w:t>
            </w:r>
          </w:p>
        </w:tc>
        <w:tc>
          <w:tcPr>
            <w:tcW w:w="5012" w:type="dxa"/>
            <w:gridSpan w:val="2"/>
            <w:tcBorders>
              <w:top w:val="single" w:sz="4" w:space="0" w:color="auto"/>
              <w:left w:val="nil"/>
              <w:bottom w:val="single" w:sz="4" w:space="0" w:color="auto"/>
              <w:right w:val="single" w:sz="4" w:space="0" w:color="auto"/>
            </w:tcBorders>
            <w:shd w:val="clear" w:color="000000" w:fill="A6C9EC"/>
            <w:vAlign w:val="center"/>
            <w:hideMark/>
          </w:tcPr>
          <w:p w14:paraId="4DCAF1A0"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Financial management</w:t>
            </w:r>
          </w:p>
        </w:tc>
        <w:tc>
          <w:tcPr>
            <w:tcW w:w="1818" w:type="dxa"/>
            <w:tcBorders>
              <w:top w:val="nil"/>
              <w:left w:val="nil"/>
              <w:bottom w:val="single" w:sz="4" w:space="0" w:color="auto"/>
              <w:right w:val="single" w:sz="4" w:space="0" w:color="auto"/>
            </w:tcBorders>
            <w:shd w:val="clear" w:color="000000" w:fill="A6C9EC"/>
            <w:vAlign w:val="center"/>
            <w:hideMark/>
          </w:tcPr>
          <w:p w14:paraId="7DA45E43"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910" w:type="dxa"/>
            <w:tcBorders>
              <w:top w:val="nil"/>
              <w:left w:val="nil"/>
              <w:bottom w:val="single" w:sz="4" w:space="0" w:color="auto"/>
              <w:right w:val="single" w:sz="4" w:space="0" w:color="auto"/>
            </w:tcBorders>
            <w:shd w:val="clear" w:color="000000" w:fill="A6C9EC"/>
            <w:vAlign w:val="center"/>
            <w:hideMark/>
          </w:tcPr>
          <w:p w14:paraId="25C13A0F" w14:textId="2944D5FD" w:rsidR="00CE196C" w:rsidRPr="00A37A51" w:rsidRDefault="006E0888" w:rsidP="00CE196C">
            <w:pPr>
              <w:jc w:val="center"/>
              <w:rPr>
                <w:rFonts w:asciiTheme="majorHAnsi" w:eastAsia="Times New Roman" w:hAnsiTheme="majorHAnsi" w:cstheme="majorHAnsi"/>
                <w:b/>
                <w:bCs/>
                <w:color w:val="FFFFFF"/>
                <w:sz w:val="18"/>
                <w:szCs w:val="18"/>
                <w:lang w:val="en-US"/>
              </w:rPr>
            </w:pPr>
            <w:r>
              <w:rPr>
                <w:rFonts w:asciiTheme="majorHAnsi" w:eastAsia="Times New Roman" w:hAnsiTheme="majorHAnsi" w:cstheme="majorHAnsi"/>
                <w:b/>
                <w:bCs/>
                <w:color w:val="FFFFFF"/>
                <w:sz w:val="18"/>
                <w:szCs w:val="18"/>
                <w:lang w:val="en-US"/>
              </w:rPr>
              <w:t>11</w:t>
            </w:r>
          </w:p>
        </w:tc>
        <w:tc>
          <w:tcPr>
            <w:tcW w:w="1710" w:type="dxa"/>
            <w:tcBorders>
              <w:top w:val="nil"/>
              <w:left w:val="nil"/>
              <w:bottom w:val="single" w:sz="4" w:space="0" w:color="auto"/>
              <w:right w:val="single" w:sz="4" w:space="0" w:color="auto"/>
            </w:tcBorders>
            <w:shd w:val="clear" w:color="000000" w:fill="A6C9EC"/>
            <w:vAlign w:val="center"/>
            <w:hideMark/>
          </w:tcPr>
          <w:p w14:paraId="00DD25E6"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0</w:t>
            </w:r>
          </w:p>
        </w:tc>
        <w:tc>
          <w:tcPr>
            <w:tcW w:w="1260" w:type="dxa"/>
            <w:tcBorders>
              <w:top w:val="nil"/>
              <w:left w:val="nil"/>
              <w:bottom w:val="single" w:sz="4" w:space="0" w:color="auto"/>
              <w:right w:val="single" w:sz="4" w:space="0" w:color="auto"/>
            </w:tcBorders>
            <w:shd w:val="clear" w:color="000000" w:fill="A6C9EC"/>
            <w:vAlign w:val="center"/>
            <w:hideMark/>
          </w:tcPr>
          <w:p w14:paraId="3F0390DE"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4" w:space="0" w:color="auto"/>
              <w:right w:val="single" w:sz="8" w:space="0" w:color="auto"/>
            </w:tcBorders>
            <w:shd w:val="clear" w:color="000000" w:fill="A6C9EC"/>
            <w:vAlign w:val="center"/>
            <w:hideMark/>
          </w:tcPr>
          <w:p w14:paraId="06D963DA"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r w:rsidR="00CE196C" w:rsidRPr="00A37A51" w14:paraId="326F9EDA" w14:textId="77777777" w:rsidTr="00F502E8">
        <w:trPr>
          <w:trHeight w:val="1134"/>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740AA5C1"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14</w:t>
            </w:r>
          </w:p>
        </w:tc>
        <w:tc>
          <w:tcPr>
            <w:tcW w:w="2435" w:type="dxa"/>
            <w:tcBorders>
              <w:top w:val="single" w:sz="4" w:space="0" w:color="auto"/>
              <w:left w:val="nil"/>
              <w:bottom w:val="single" w:sz="4" w:space="0" w:color="auto"/>
              <w:right w:val="single" w:sz="4" w:space="0" w:color="auto"/>
            </w:tcBorders>
            <w:vAlign w:val="bottom"/>
            <w:hideMark/>
          </w:tcPr>
          <w:p w14:paraId="5785D885"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Level of updating the property tax register</w:t>
            </w:r>
          </w:p>
        </w:tc>
        <w:tc>
          <w:tcPr>
            <w:tcW w:w="2577" w:type="dxa"/>
            <w:tcBorders>
              <w:top w:val="nil"/>
              <w:left w:val="nil"/>
              <w:bottom w:val="single" w:sz="4" w:space="0" w:color="auto"/>
              <w:right w:val="single" w:sz="4" w:space="0" w:color="auto"/>
            </w:tcBorders>
            <w:vAlign w:val="center"/>
            <w:hideMark/>
          </w:tcPr>
          <w:p w14:paraId="44D04673"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 xml:space="preserve">• 0 points if the result in MPMS is up to 84.99%, </w:t>
            </w:r>
            <w:r w:rsidRPr="00A37A51">
              <w:rPr>
                <w:rFonts w:asciiTheme="majorHAnsi" w:eastAsia="Times New Roman" w:hAnsiTheme="majorHAnsi" w:cstheme="majorHAnsi"/>
                <w:sz w:val="18"/>
                <w:szCs w:val="18"/>
                <w:lang w:val="en-US"/>
              </w:rPr>
              <w:br/>
              <w:t xml:space="preserve">• 1 point if the result in MPMS is 85% - 99.99%, </w:t>
            </w:r>
            <w:r w:rsidRPr="00A37A51">
              <w:rPr>
                <w:rFonts w:asciiTheme="majorHAnsi" w:eastAsia="Times New Roman" w:hAnsiTheme="majorHAnsi" w:cstheme="majorHAnsi"/>
                <w:sz w:val="18"/>
                <w:szCs w:val="18"/>
                <w:lang w:val="en-US"/>
              </w:rPr>
              <w:br/>
              <w:t>• 3 points if the result in MPMS is 100%</w:t>
            </w:r>
          </w:p>
        </w:tc>
        <w:tc>
          <w:tcPr>
            <w:tcW w:w="1818" w:type="dxa"/>
            <w:tcBorders>
              <w:top w:val="nil"/>
              <w:left w:val="nil"/>
              <w:bottom w:val="single" w:sz="4" w:space="0" w:color="auto"/>
              <w:right w:val="single" w:sz="4" w:space="0" w:color="auto"/>
            </w:tcBorders>
            <w:noWrap/>
            <w:vAlign w:val="bottom"/>
            <w:hideMark/>
          </w:tcPr>
          <w:p w14:paraId="052B8558"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71A73318"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3</w:t>
            </w:r>
          </w:p>
        </w:tc>
        <w:tc>
          <w:tcPr>
            <w:tcW w:w="1710" w:type="dxa"/>
            <w:tcBorders>
              <w:top w:val="nil"/>
              <w:left w:val="nil"/>
              <w:bottom w:val="single" w:sz="4" w:space="0" w:color="auto"/>
              <w:right w:val="single" w:sz="4" w:space="0" w:color="auto"/>
            </w:tcBorders>
            <w:noWrap/>
            <w:vAlign w:val="center"/>
            <w:hideMark/>
          </w:tcPr>
          <w:p w14:paraId="36600D6A"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1DEF725A"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16.1.3</w:t>
            </w:r>
          </w:p>
        </w:tc>
        <w:tc>
          <w:tcPr>
            <w:tcW w:w="2880" w:type="dxa"/>
            <w:tcBorders>
              <w:top w:val="nil"/>
              <w:left w:val="nil"/>
              <w:bottom w:val="single" w:sz="4" w:space="0" w:color="auto"/>
              <w:right w:val="single" w:sz="4" w:space="0" w:color="auto"/>
            </w:tcBorders>
            <w:vAlign w:val="bottom"/>
            <w:hideMark/>
          </w:tcPr>
          <w:p w14:paraId="0602AE2E"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2A5FBC77"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5FF6863A"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15</w:t>
            </w:r>
          </w:p>
        </w:tc>
        <w:tc>
          <w:tcPr>
            <w:tcW w:w="2435" w:type="dxa"/>
            <w:tcBorders>
              <w:top w:val="single" w:sz="4" w:space="0" w:color="auto"/>
              <w:left w:val="nil"/>
              <w:bottom w:val="single" w:sz="4" w:space="0" w:color="auto"/>
              <w:right w:val="single" w:sz="4" w:space="0" w:color="auto"/>
            </w:tcBorders>
            <w:vAlign w:val="bottom"/>
            <w:hideMark/>
          </w:tcPr>
          <w:p w14:paraId="0F88449A"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Level of property tax bill collection (no debts, interest, penalties)</w:t>
            </w:r>
          </w:p>
        </w:tc>
        <w:tc>
          <w:tcPr>
            <w:tcW w:w="2577" w:type="dxa"/>
            <w:tcBorders>
              <w:top w:val="nil"/>
              <w:left w:val="nil"/>
              <w:bottom w:val="nil"/>
              <w:right w:val="single" w:sz="4" w:space="0" w:color="auto"/>
            </w:tcBorders>
            <w:vAlign w:val="center"/>
            <w:hideMark/>
          </w:tcPr>
          <w:p w14:paraId="79BC8023"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 0 points if the result in MPMS is up to 39.99%, </w:t>
            </w:r>
            <w:r w:rsidRPr="00A37A51">
              <w:rPr>
                <w:rFonts w:asciiTheme="majorHAnsi" w:eastAsia="Times New Roman" w:hAnsiTheme="majorHAnsi" w:cstheme="majorHAnsi"/>
                <w:color w:val="000000"/>
                <w:sz w:val="18"/>
                <w:szCs w:val="18"/>
                <w:lang w:val="en-US"/>
              </w:rPr>
              <w:br/>
              <w:t xml:space="preserve">• 1 point if the result in MPMS is 40% - 59.99%, </w:t>
            </w:r>
            <w:r w:rsidRPr="00A37A51">
              <w:rPr>
                <w:rFonts w:asciiTheme="majorHAnsi" w:eastAsia="Times New Roman" w:hAnsiTheme="majorHAnsi" w:cstheme="majorHAnsi"/>
                <w:color w:val="000000"/>
                <w:sz w:val="18"/>
                <w:szCs w:val="18"/>
                <w:lang w:val="en-US"/>
              </w:rPr>
              <w:br/>
              <w:t xml:space="preserve">• 3 points if the result in MPMS is 60% - 84.99%, </w:t>
            </w:r>
            <w:r w:rsidRPr="00A37A51">
              <w:rPr>
                <w:rFonts w:asciiTheme="majorHAnsi" w:eastAsia="Times New Roman" w:hAnsiTheme="majorHAnsi" w:cstheme="majorHAnsi"/>
                <w:color w:val="000000"/>
                <w:sz w:val="18"/>
                <w:szCs w:val="18"/>
                <w:lang w:val="en-US"/>
              </w:rPr>
              <w:br/>
            </w:r>
            <w:r w:rsidRPr="00A37A51">
              <w:rPr>
                <w:rFonts w:asciiTheme="majorHAnsi" w:eastAsia="Times New Roman" w:hAnsiTheme="majorHAnsi" w:cstheme="majorHAnsi"/>
                <w:color w:val="000000"/>
                <w:sz w:val="18"/>
                <w:szCs w:val="18"/>
                <w:lang w:val="en-US"/>
              </w:rPr>
              <w:lastRenderedPageBreak/>
              <w:t>• 5 points if the result in MPMS is equal to or higher than 85%</w:t>
            </w:r>
          </w:p>
        </w:tc>
        <w:tc>
          <w:tcPr>
            <w:tcW w:w="1818" w:type="dxa"/>
            <w:tcBorders>
              <w:top w:val="nil"/>
              <w:left w:val="nil"/>
              <w:bottom w:val="single" w:sz="4" w:space="0" w:color="auto"/>
              <w:right w:val="single" w:sz="4" w:space="0" w:color="auto"/>
            </w:tcBorders>
            <w:noWrap/>
            <w:vAlign w:val="bottom"/>
            <w:hideMark/>
          </w:tcPr>
          <w:p w14:paraId="4F8CC7C2"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lastRenderedPageBreak/>
              <w:t>0.00%</w:t>
            </w:r>
          </w:p>
        </w:tc>
        <w:tc>
          <w:tcPr>
            <w:tcW w:w="910" w:type="dxa"/>
            <w:tcBorders>
              <w:top w:val="nil"/>
              <w:left w:val="nil"/>
              <w:bottom w:val="single" w:sz="4" w:space="0" w:color="auto"/>
              <w:right w:val="single" w:sz="4" w:space="0" w:color="auto"/>
            </w:tcBorders>
            <w:noWrap/>
            <w:vAlign w:val="center"/>
            <w:hideMark/>
          </w:tcPr>
          <w:p w14:paraId="66D83FDB"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5</w:t>
            </w:r>
          </w:p>
        </w:tc>
        <w:tc>
          <w:tcPr>
            <w:tcW w:w="1710" w:type="dxa"/>
            <w:tcBorders>
              <w:top w:val="nil"/>
              <w:left w:val="nil"/>
              <w:bottom w:val="single" w:sz="4" w:space="0" w:color="auto"/>
              <w:right w:val="single" w:sz="4" w:space="0" w:color="auto"/>
            </w:tcBorders>
            <w:noWrap/>
            <w:vAlign w:val="center"/>
            <w:hideMark/>
          </w:tcPr>
          <w:p w14:paraId="1116A15C"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2C38F002"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16.1.4</w:t>
            </w:r>
          </w:p>
        </w:tc>
        <w:tc>
          <w:tcPr>
            <w:tcW w:w="2880" w:type="dxa"/>
            <w:tcBorders>
              <w:top w:val="nil"/>
              <w:left w:val="nil"/>
              <w:bottom w:val="single" w:sz="4" w:space="0" w:color="auto"/>
              <w:right w:val="single" w:sz="8" w:space="0" w:color="auto"/>
            </w:tcBorders>
            <w:noWrap/>
            <w:vAlign w:val="bottom"/>
            <w:hideMark/>
          </w:tcPr>
          <w:p w14:paraId="1F5C4F4D"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0CADFA0E"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43BE7254"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 xml:space="preserve">16.a </w:t>
            </w:r>
          </w:p>
        </w:tc>
        <w:tc>
          <w:tcPr>
            <w:tcW w:w="2435" w:type="dxa"/>
            <w:tcBorders>
              <w:top w:val="single" w:sz="4" w:space="0" w:color="auto"/>
              <w:left w:val="nil"/>
              <w:bottom w:val="single" w:sz="4" w:space="0" w:color="auto"/>
              <w:right w:val="single" w:sz="4" w:space="0" w:color="auto"/>
            </w:tcBorders>
            <w:vAlign w:val="bottom"/>
            <w:hideMark/>
          </w:tcPr>
          <w:p w14:paraId="7C34D0C3"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Level of addressing the recommendations of the National Audit Office</w:t>
            </w:r>
          </w:p>
        </w:tc>
        <w:tc>
          <w:tcPr>
            <w:tcW w:w="2577" w:type="dxa"/>
            <w:tcBorders>
              <w:top w:val="single" w:sz="8" w:space="0" w:color="auto"/>
              <w:left w:val="dashed" w:sz="4" w:space="0" w:color="auto"/>
              <w:bottom w:val="dashed" w:sz="4" w:space="0" w:color="auto"/>
              <w:right w:val="dashed" w:sz="4" w:space="0" w:color="auto"/>
            </w:tcBorders>
            <w:vAlign w:val="center"/>
            <w:hideMark/>
          </w:tcPr>
          <w:p w14:paraId="1139B74A"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 0 points if the result in MPMS is up to 29.99%, </w:t>
            </w:r>
            <w:r w:rsidRPr="00A37A51">
              <w:rPr>
                <w:rFonts w:asciiTheme="majorHAnsi" w:eastAsia="Times New Roman" w:hAnsiTheme="majorHAnsi" w:cstheme="majorHAnsi"/>
                <w:color w:val="000000"/>
                <w:sz w:val="18"/>
                <w:szCs w:val="18"/>
                <w:lang w:val="en-US"/>
              </w:rPr>
              <w:br/>
              <w:t xml:space="preserve">• </w:t>
            </w:r>
            <w:proofErr w:type="gramStart"/>
            <w:r w:rsidRPr="00A37A51">
              <w:rPr>
                <w:rFonts w:asciiTheme="majorHAnsi" w:eastAsia="Times New Roman" w:hAnsiTheme="majorHAnsi" w:cstheme="majorHAnsi"/>
                <w:color w:val="000000"/>
                <w:sz w:val="18"/>
                <w:szCs w:val="18"/>
                <w:lang w:val="en-US"/>
              </w:rPr>
              <w:t>1  point</w:t>
            </w:r>
            <w:proofErr w:type="gramEnd"/>
            <w:r w:rsidRPr="00A37A51">
              <w:rPr>
                <w:rFonts w:asciiTheme="majorHAnsi" w:eastAsia="Times New Roman" w:hAnsiTheme="majorHAnsi" w:cstheme="majorHAnsi"/>
                <w:color w:val="000000"/>
                <w:sz w:val="18"/>
                <w:szCs w:val="18"/>
                <w:lang w:val="en-US"/>
              </w:rPr>
              <w:t xml:space="preserve"> if the result in MPMS is 30% - 49.99%, </w:t>
            </w:r>
            <w:r w:rsidRPr="00A37A51">
              <w:rPr>
                <w:rFonts w:asciiTheme="majorHAnsi" w:eastAsia="Times New Roman" w:hAnsiTheme="majorHAnsi" w:cstheme="majorHAnsi"/>
                <w:color w:val="000000"/>
                <w:sz w:val="18"/>
                <w:szCs w:val="18"/>
                <w:lang w:val="en-US"/>
              </w:rPr>
              <w:br/>
              <w:t>• 2 point if the result in MPMS is ë 50% - 84.99%,</w:t>
            </w:r>
            <w:r w:rsidRPr="00A37A51">
              <w:rPr>
                <w:rFonts w:asciiTheme="majorHAnsi" w:eastAsia="Times New Roman" w:hAnsiTheme="majorHAnsi" w:cstheme="majorHAnsi"/>
                <w:color w:val="000000"/>
                <w:sz w:val="18"/>
                <w:szCs w:val="18"/>
                <w:lang w:val="en-US"/>
              </w:rPr>
              <w:br/>
              <w:t>• 3 points if the result in MPMS is equal to or higher than  85%.</w:t>
            </w:r>
          </w:p>
        </w:tc>
        <w:tc>
          <w:tcPr>
            <w:tcW w:w="1818" w:type="dxa"/>
            <w:tcBorders>
              <w:top w:val="nil"/>
              <w:left w:val="single" w:sz="4" w:space="0" w:color="auto"/>
              <w:bottom w:val="single" w:sz="4" w:space="0" w:color="auto"/>
              <w:right w:val="single" w:sz="4" w:space="0" w:color="auto"/>
            </w:tcBorders>
            <w:noWrap/>
            <w:vAlign w:val="bottom"/>
            <w:hideMark/>
          </w:tcPr>
          <w:p w14:paraId="6E393B77"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24AB3D2B"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3</w:t>
            </w:r>
          </w:p>
        </w:tc>
        <w:tc>
          <w:tcPr>
            <w:tcW w:w="1710" w:type="dxa"/>
            <w:tcBorders>
              <w:top w:val="nil"/>
              <w:left w:val="nil"/>
              <w:bottom w:val="single" w:sz="4" w:space="0" w:color="auto"/>
              <w:right w:val="single" w:sz="4" w:space="0" w:color="auto"/>
            </w:tcBorders>
            <w:noWrap/>
            <w:vAlign w:val="center"/>
            <w:hideMark/>
          </w:tcPr>
          <w:p w14:paraId="585654B0"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02FBDB61"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3.3.3</w:t>
            </w:r>
          </w:p>
        </w:tc>
        <w:tc>
          <w:tcPr>
            <w:tcW w:w="2880" w:type="dxa"/>
            <w:tcBorders>
              <w:top w:val="nil"/>
              <w:left w:val="nil"/>
              <w:bottom w:val="single" w:sz="4" w:space="0" w:color="auto"/>
              <w:right w:val="single" w:sz="8" w:space="0" w:color="auto"/>
            </w:tcBorders>
            <w:noWrap/>
            <w:vAlign w:val="bottom"/>
            <w:hideMark/>
          </w:tcPr>
          <w:p w14:paraId="131BB9E2"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275C39BD"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67203F95"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16 b.</w:t>
            </w:r>
          </w:p>
        </w:tc>
        <w:tc>
          <w:tcPr>
            <w:tcW w:w="2435" w:type="dxa"/>
            <w:tcBorders>
              <w:top w:val="single" w:sz="4" w:space="0" w:color="auto"/>
              <w:left w:val="nil"/>
              <w:bottom w:val="single" w:sz="4" w:space="0" w:color="auto"/>
              <w:right w:val="single" w:sz="4" w:space="0" w:color="auto"/>
            </w:tcBorders>
            <w:shd w:val="clear" w:color="auto" w:fill="FDE9D9" w:themeFill="accent6" w:themeFillTint="33"/>
            <w:vAlign w:val="bottom"/>
            <w:hideMark/>
          </w:tcPr>
          <w:p w14:paraId="5B341636"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Level of addressing the recommendations of the internal audit</w:t>
            </w:r>
          </w:p>
        </w:tc>
        <w:tc>
          <w:tcPr>
            <w:tcW w:w="2577" w:type="dxa"/>
            <w:tcBorders>
              <w:top w:val="nil"/>
              <w:left w:val="dashed" w:sz="4" w:space="0" w:color="auto"/>
              <w:bottom w:val="single" w:sz="8" w:space="0" w:color="auto"/>
              <w:right w:val="dashed" w:sz="4" w:space="0" w:color="auto"/>
            </w:tcBorders>
            <w:shd w:val="clear" w:color="auto" w:fill="FDE9D9" w:themeFill="accent6" w:themeFillTint="33"/>
            <w:vAlign w:val="center"/>
            <w:hideMark/>
          </w:tcPr>
          <w:p w14:paraId="784502B6"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 xml:space="preserve">• 0 points if the result in MPMS is up to 49.99%, </w:t>
            </w:r>
            <w:r w:rsidRPr="00A37A51">
              <w:rPr>
                <w:rFonts w:asciiTheme="majorHAnsi" w:eastAsia="Times New Roman" w:hAnsiTheme="majorHAnsi" w:cstheme="majorHAnsi"/>
                <w:sz w:val="18"/>
                <w:szCs w:val="18"/>
                <w:lang w:val="en-US"/>
              </w:rPr>
              <w:br/>
              <w:t>• 1 point if the result in MPMS is 50% - 84.99%,</w:t>
            </w:r>
            <w:r w:rsidRPr="00A37A51">
              <w:rPr>
                <w:rFonts w:asciiTheme="majorHAnsi" w:eastAsia="Times New Roman" w:hAnsiTheme="majorHAnsi" w:cstheme="majorHAnsi"/>
                <w:sz w:val="18"/>
                <w:szCs w:val="18"/>
                <w:lang w:val="en-US"/>
              </w:rPr>
              <w:br/>
              <w:t>• 2 points if the result in MPMS is equal to or higher than 85%.</w:t>
            </w:r>
          </w:p>
        </w:tc>
        <w:tc>
          <w:tcPr>
            <w:tcW w:w="1818"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14:paraId="0A85EBF1"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shd w:val="clear" w:color="auto" w:fill="FDE9D9" w:themeFill="accent6" w:themeFillTint="33"/>
            <w:noWrap/>
            <w:vAlign w:val="center"/>
            <w:hideMark/>
          </w:tcPr>
          <w:p w14:paraId="4EB93EB6"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2</w:t>
            </w:r>
          </w:p>
        </w:tc>
        <w:tc>
          <w:tcPr>
            <w:tcW w:w="1710" w:type="dxa"/>
            <w:tcBorders>
              <w:top w:val="nil"/>
              <w:left w:val="nil"/>
              <w:bottom w:val="single" w:sz="4" w:space="0" w:color="auto"/>
              <w:right w:val="single" w:sz="4" w:space="0" w:color="auto"/>
            </w:tcBorders>
            <w:shd w:val="clear" w:color="auto" w:fill="FDE9D9" w:themeFill="accent6" w:themeFillTint="33"/>
            <w:noWrap/>
            <w:vAlign w:val="center"/>
            <w:hideMark/>
          </w:tcPr>
          <w:p w14:paraId="33A7B4DE"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shd w:val="clear" w:color="auto" w:fill="FDE9D9" w:themeFill="accent6" w:themeFillTint="33"/>
            <w:vAlign w:val="bottom"/>
            <w:hideMark/>
          </w:tcPr>
          <w:p w14:paraId="43D27FF1"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 xml:space="preserve">Indicator </w:t>
            </w:r>
            <w:proofErr w:type="spellStart"/>
            <w:r w:rsidRPr="00A37A51">
              <w:rPr>
                <w:rFonts w:asciiTheme="majorHAnsi" w:eastAsia="Times New Roman" w:hAnsiTheme="majorHAnsi" w:cstheme="majorHAnsi"/>
                <w:color w:val="000000"/>
                <w:sz w:val="18"/>
                <w:szCs w:val="18"/>
                <w:lang w:val="en-US"/>
              </w:rPr>
              <w:t>numbert</w:t>
            </w:r>
            <w:proofErr w:type="spellEnd"/>
            <w:r w:rsidRPr="00A37A51">
              <w:rPr>
                <w:rFonts w:asciiTheme="majorHAnsi" w:eastAsia="Times New Roman" w:hAnsiTheme="majorHAnsi" w:cstheme="majorHAnsi"/>
                <w:color w:val="000000"/>
                <w:sz w:val="18"/>
                <w:szCs w:val="18"/>
                <w:lang w:val="en-US"/>
              </w:rPr>
              <w:t xml:space="preserve"> 3.2.5</w:t>
            </w:r>
          </w:p>
        </w:tc>
        <w:tc>
          <w:tcPr>
            <w:tcW w:w="2880" w:type="dxa"/>
            <w:tcBorders>
              <w:top w:val="nil"/>
              <w:left w:val="nil"/>
              <w:bottom w:val="single" w:sz="4" w:space="0" w:color="auto"/>
              <w:right w:val="single" w:sz="8" w:space="0" w:color="auto"/>
            </w:tcBorders>
            <w:shd w:val="clear" w:color="auto" w:fill="FDE9D9" w:themeFill="accent6" w:themeFillTint="33"/>
            <w:vAlign w:val="bottom"/>
            <w:hideMark/>
          </w:tcPr>
          <w:p w14:paraId="7D830B7A" w14:textId="212B1D81" w:rsidR="00CE196C" w:rsidRPr="00A37A51" w:rsidRDefault="00CE196C" w:rsidP="00B92BD1">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This indicator has not been assessed. For clarifications, </w:t>
            </w:r>
            <w:r w:rsidR="00B92BD1" w:rsidRPr="00A37A51">
              <w:rPr>
                <w:rFonts w:asciiTheme="majorHAnsi" w:eastAsia="Times New Roman" w:hAnsiTheme="majorHAnsi" w:cstheme="majorHAnsi"/>
                <w:color w:val="000000"/>
                <w:sz w:val="18"/>
                <w:szCs w:val="18"/>
                <w:lang w:val="en-US"/>
              </w:rPr>
              <w:t>please</w:t>
            </w:r>
            <w:r w:rsidRPr="00A37A51">
              <w:rPr>
                <w:rFonts w:asciiTheme="majorHAnsi" w:eastAsia="Times New Roman" w:hAnsiTheme="majorHAnsi" w:cstheme="majorHAnsi"/>
                <w:color w:val="000000"/>
                <w:sz w:val="18"/>
                <w:szCs w:val="18"/>
                <w:lang w:val="en-US"/>
              </w:rPr>
              <w:t xml:space="preserve"> refer to the rules of the municipal Performance-Based Grant for the fiscal year 202</w:t>
            </w:r>
            <w:r w:rsidR="00265DDF">
              <w:rPr>
                <w:rFonts w:asciiTheme="majorHAnsi" w:eastAsia="Times New Roman" w:hAnsiTheme="majorHAnsi" w:cstheme="majorHAnsi"/>
                <w:color w:val="000000"/>
                <w:sz w:val="18"/>
                <w:szCs w:val="18"/>
                <w:lang w:val="en-US"/>
              </w:rPr>
              <w:t>6</w:t>
            </w:r>
            <w:r w:rsidRPr="00A37A51">
              <w:rPr>
                <w:rFonts w:asciiTheme="majorHAnsi" w:eastAsia="Times New Roman" w:hAnsiTheme="majorHAnsi" w:cstheme="majorHAnsi"/>
                <w:color w:val="000000"/>
                <w:sz w:val="18"/>
                <w:szCs w:val="18"/>
                <w:lang w:val="en-US"/>
              </w:rPr>
              <w:t>.</w:t>
            </w:r>
          </w:p>
        </w:tc>
      </w:tr>
      <w:tr w:rsidR="006033A8" w:rsidRPr="00A37A51" w14:paraId="43BF2C69"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A6C9EC"/>
            <w:noWrap/>
            <w:vAlign w:val="center"/>
            <w:hideMark/>
          </w:tcPr>
          <w:p w14:paraId="181FC93A"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V</w:t>
            </w:r>
          </w:p>
        </w:tc>
        <w:tc>
          <w:tcPr>
            <w:tcW w:w="6830" w:type="dxa"/>
            <w:gridSpan w:val="3"/>
            <w:tcBorders>
              <w:top w:val="single" w:sz="4" w:space="0" w:color="auto"/>
              <w:left w:val="nil"/>
              <w:bottom w:val="single" w:sz="4" w:space="0" w:color="auto"/>
              <w:right w:val="single" w:sz="4" w:space="0" w:color="auto"/>
            </w:tcBorders>
            <w:shd w:val="clear" w:color="000000" w:fill="A6C9EC"/>
            <w:vAlign w:val="bottom"/>
            <w:hideMark/>
          </w:tcPr>
          <w:p w14:paraId="16776714"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xml:space="preserve">Contract management                                                                         </w:t>
            </w:r>
          </w:p>
        </w:tc>
        <w:tc>
          <w:tcPr>
            <w:tcW w:w="910" w:type="dxa"/>
            <w:tcBorders>
              <w:top w:val="nil"/>
              <w:left w:val="nil"/>
              <w:bottom w:val="single" w:sz="4" w:space="0" w:color="auto"/>
              <w:right w:val="single" w:sz="4" w:space="0" w:color="auto"/>
            </w:tcBorders>
            <w:shd w:val="clear" w:color="000000" w:fill="A6C9EC"/>
            <w:vAlign w:val="center"/>
            <w:hideMark/>
          </w:tcPr>
          <w:p w14:paraId="7DBA15CC"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7</w:t>
            </w:r>
          </w:p>
        </w:tc>
        <w:tc>
          <w:tcPr>
            <w:tcW w:w="1710" w:type="dxa"/>
            <w:tcBorders>
              <w:top w:val="nil"/>
              <w:left w:val="nil"/>
              <w:bottom w:val="single" w:sz="4" w:space="0" w:color="auto"/>
              <w:right w:val="single" w:sz="4" w:space="0" w:color="auto"/>
            </w:tcBorders>
            <w:shd w:val="clear" w:color="000000" w:fill="A6C9EC"/>
            <w:vAlign w:val="center"/>
            <w:hideMark/>
          </w:tcPr>
          <w:p w14:paraId="66E32167"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0</w:t>
            </w:r>
          </w:p>
        </w:tc>
        <w:tc>
          <w:tcPr>
            <w:tcW w:w="1260" w:type="dxa"/>
            <w:tcBorders>
              <w:top w:val="nil"/>
              <w:left w:val="nil"/>
              <w:bottom w:val="single" w:sz="4" w:space="0" w:color="auto"/>
              <w:right w:val="single" w:sz="4" w:space="0" w:color="auto"/>
            </w:tcBorders>
            <w:shd w:val="clear" w:color="000000" w:fill="A6C9EC"/>
            <w:vAlign w:val="center"/>
            <w:hideMark/>
          </w:tcPr>
          <w:p w14:paraId="328554A5"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4" w:space="0" w:color="auto"/>
              <w:right w:val="single" w:sz="8" w:space="0" w:color="auto"/>
            </w:tcBorders>
            <w:shd w:val="clear" w:color="000000" w:fill="A6C9EC"/>
            <w:vAlign w:val="center"/>
            <w:hideMark/>
          </w:tcPr>
          <w:p w14:paraId="400D0AD1"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r w:rsidR="00CE196C" w:rsidRPr="00A37A51" w14:paraId="23B67DF6"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6B4D51D1"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17</w:t>
            </w:r>
          </w:p>
        </w:tc>
        <w:tc>
          <w:tcPr>
            <w:tcW w:w="2435" w:type="dxa"/>
            <w:tcBorders>
              <w:top w:val="single" w:sz="4" w:space="0" w:color="auto"/>
              <w:left w:val="nil"/>
              <w:bottom w:val="single" w:sz="4" w:space="0" w:color="auto"/>
              <w:right w:val="single" w:sz="4" w:space="0" w:color="auto"/>
            </w:tcBorders>
            <w:vAlign w:val="bottom"/>
            <w:hideMark/>
          </w:tcPr>
          <w:p w14:paraId="1048BF6E"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br/>
              <w:t>Level of implementation of the procurement plan</w:t>
            </w:r>
          </w:p>
        </w:tc>
        <w:tc>
          <w:tcPr>
            <w:tcW w:w="2577" w:type="dxa"/>
            <w:tcBorders>
              <w:top w:val="nil"/>
              <w:left w:val="nil"/>
              <w:bottom w:val="single" w:sz="4" w:space="0" w:color="auto"/>
              <w:right w:val="single" w:sz="4" w:space="0" w:color="auto"/>
            </w:tcBorders>
            <w:vAlign w:val="center"/>
            <w:hideMark/>
          </w:tcPr>
          <w:p w14:paraId="51E4A638"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 0 points if the result in MPMS is up to 59.99%, </w:t>
            </w:r>
            <w:r w:rsidRPr="00A37A51">
              <w:rPr>
                <w:rFonts w:asciiTheme="majorHAnsi" w:eastAsia="Times New Roman" w:hAnsiTheme="majorHAnsi" w:cstheme="majorHAnsi"/>
                <w:color w:val="000000"/>
                <w:sz w:val="18"/>
                <w:szCs w:val="18"/>
                <w:lang w:val="en-US"/>
              </w:rPr>
              <w:br/>
              <w:t xml:space="preserve">• 1 point if the result in MPMS is 60% - 89.99%, </w:t>
            </w:r>
            <w:r w:rsidRPr="00A37A51">
              <w:rPr>
                <w:rFonts w:asciiTheme="majorHAnsi" w:eastAsia="Times New Roman" w:hAnsiTheme="majorHAnsi" w:cstheme="majorHAnsi"/>
                <w:color w:val="000000"/>
                <w:sz w:val="18"/>
                <w:szCs w:val="18"/>
                <w:lang w:val="en-US"/>
              </w:rPr>
              <w:br/>
              <w:t>• 3 points if the result in MPMS is equal to or higher than 90%.</w:t>
            </w:r>
          </w:p>
        </w:tc>
        <w:tc>
          <w:tcPr>
            <w:tcW w:w="1818" w:type="dxa"/>
            <w:tcBorders>
              <w:top w:val="nil"/>
              <w:left w:val="nil"/>
              <w:bottom w:val="single" w:sz="4" w:space="0" w:color="auto"/>
              <w:right w:val="single" w:sz="4" w:space="0" w:color="auto"/>
            </w:tcBorders>
            <w:noWrap/>
            <w:vAlign w:val="bottom"/>
            <w:hideMark/>
          </w:tcPr>
          <w:p w14:paraId="4BC98238"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0C9569F3"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3</w:t>
            </w:r>
          </w:p>
        </w:tc>
        <w:tc>
          <w:tcPr>
            <w:tcW w:w="1710" w:type="dxa"/>
            <w:tcBorders>
              <w:top w:val="nil"/>
              <w:left w:val="nil"/>
              <w:bottom w:val="single" w:sz="4" w:space="0" w:color="auto"/>
              <w:right w:val="single" w:sz="4" w:space="0" w:color="auto"/>
            </w:tcBorders>
            <w:noWrap/>
            <w:vAlign w:val="center"/>
            <w:hideMark/>
          </w:tcPr>
          <w:p w14:paraId="5B0E4D51"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4EB9058D"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3.3.1</w:t>
            </w:r>
          </w:p>
        </w:tc>
        <w:tc>
          <w:tcPr>
            <w:tcW w:w="2880" w:type="dxa"/>
            <w:tcBorders>
              <w:top w:val="nil"/>
              <w:left w:val="nil"/>
              <w:bottom w:val="single" w:sz="4" w:space="0" w:color="auto"/>
              <w:right w:val="single" w:sz="8" w:space="0" w:color="auto"/>
            </w:tcBorders>
            <w:noWrap/>
            <w:vAlign w:val="bottom"/>
            <w:hideMark/>
          </w:tcPr>
          <w:p w14:paraId="2B16C5FE"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6591DB45"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2B0B144B"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18</w:t>
            </w:r>
          </w:p>
        </w:tc>
        <w:tc>
          <w:tcPr>
            <w:tcW w:w="2435" w:type="dxa"/>
            <w:tcBorders>
              <w:top w:val="single" w:sz="4" w:space="0" w:color="auto"/>
              <w:left w:val="nil"/>
              <w:bottom w:val="single" w:sz="4" w:space="0" w:color="auto"/>
              <w:right w:val="single" w:sz="4" w:space="0" w:color="auto"/>
            </w:tcBorders>
            <w:vAlign w:val="bottom"/>
            <w:hideMark/>
          </w:tcPr>
          <w:p w14:paraId="6316577D" w14:textId="212F6AB6"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br/>
            </w:r>
            <w:r w:rsidR="00C928F8" w:rsidRPr="00C928F8">
              <w:rPr>
                <w:rFonts w:asciiTheme="majorHAnsi" w:eastAsia="Times New Roman" w:hAnsiTheme="majorHAnsi" w:cstheme="majorHAnsi"/>
                <w:color w:val="000000"/>
                <w:sz w:val="18"/>
                <w:szCs w:val="18"/>
                <w:lang w:val="en-US"/>
              </w:rPr>
              <w:t>Compilation and publication of the list of municipal properties planned for commissioning</w:t>
            </w:r>
          </w:p>
        </w:tc>
        <w:tc>
          <w:tcPr>
            <w:tcW w:w="2577" w:type="dxa"/>
            <w:tcBorders>
              <w:top w:val="nil"/>
              <w:left w:val="nil"/>
              <w:bottom w:val="single" w:sz="4" w:space="0" w:color="auto"/>
              <w:right w:val="single" w:sz="4" w:space="0" w:color="auto"/>
            </w:tcBorders>
            <w:vAlign w:val="center"/>
            <w:hideMark/>
          </w:tcPr>
          <w:p w14:paraId="6B2732DF"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 0 points if the result in MPMS is up to 49.99%, </w:t>
            </w:r>
            <w:r w:rsidRPr="00A37A51">
              <w:rPr>
                <w:rFonts w:asciiTheme="majorHAnsi" w:eastAsia="Times New Roman" w:hAnsiTheme="majorHAnsi" w:cstheme="majorHAnsi"/>
                <w:color w:val="000000"/>
                <w:sz w:val="18"/>
                <w:szCs w:val="18"/>
                <w:lang w:val="en-US"/>
              </w:rPr>
              <w:br/>
              <w:t>• 2 points if the result in MPMS is 50%,</w:t>
            </w:r>
            <w:r w:rsidRPr="00A37A51">
              <w:rPr>
                <w:rFonts w:asciiTheme="majorHAnsi" w:eastAsia="Times New Roman" w:hAnsiTheme="majorHAnsi" w:cstheme="majorHAnsi"/>
                <w:color w:val="000000"/>
                <w:sz w:val="18"/>
                <w:szCs w:val="18"/>
                <w:lang w:val="en-US"/>
              </w:rPr>
              <w:br/>
              <w:t>• 4 points if the result in MPMS is 100%.</w:t>
            </w:r>
          </w:p>
        </w:tc>
        <w:tc>
          <w:tcPr>
            <w:tcW w:w="1818" w:type="dxa"/>
            <w:tcBorders>
              <w:top w:val="nil"/>
              <w:left w:val="nil"/>
              <w:bottom w:val="single" w:sz="4" w:space="0" w:color="auto"/>
              <w:right w:val="single" w:sz="4" w:space="0" w:color="auto"/>
            </w:tcBorders>
            <w:noWrap/>
            <w:vAlign w:val="bottom"/>
            <w:hideMark/>
          </w:tcPr>
          <w:p w14:paraId="59D77465"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3999295F"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4</w:t>
            </w:r>
          </w:p>
        </w:tc>
        <w:tc>
          <w:tcPr>
            <w:tcW w:w="1710" w:type="dxa"/>
            <w:tcBorders>
              <w:top w:val="nil"/>
              <w:left w:val="nil"/>
              <w:bottom w:val="single" w:sz="4" w:space="0" w:color="auto"/>
              <w:right w:val="single" w:sz="4" w:space="0" w:color="auto"/>
            </w:tcBorders>
            <w:noWrap/>
            <w:vAlign w:val="center"/>
            <w:hideMark/>
          </w:tcPr>
          <w:p w14:paraId="43D503D1"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5E004EC0"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16.1.2</w:t>
            </w:r>
          </w:p>
        </w:tc>
        <w:tc>
          <w:tcPr>
            <w:tcW w:w="2880" w:type="dxa"/>
            <w:tcBorders>
              <w:top w:val="nil"/>
              <w:left w:val="nil"/>
              <w:bottom w:val="single" w:sz="4" w:space="0" w:color="auto"/>
              <w:right w:val="single" w:sz="8" w:space="0" w:color="auto"/>
            </w:tcBorders>
            <w:noWrap/>
            <w:vAlign w:val="bottom"/>
            <w:hideMark/>
          </w:tcPr>
          <w:p w14:paraId="4CDA162F"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6033A8" w:rsidRPr="00A37A51" w14:paraId="7BCABD5B"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A6C9EC"/>
            <w:noWrap/>
            <w:vAlign w:val="center"/>
            <w:hideMark/>
          </w:tcPr>
          <w:p w14:paraId="2795C9DF"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VI</w:t>
            </w:r>
          </w:p>
        </w:tc>
        <w:tc>
          <w:tcPr>
            <w:tcW w:w="6830" w:type="dxa"/>
            <w:gridSpan w:val="3"/>
            <w:tcBorders>
              <w:top w:val="single" w:sz="4" w:space="0" w:color="auto"/>
              <w:left w:val="nil"/>
              <w:bottom w:val="single" w:sz="4" w:space="0" w:color="auto"/>
              <w:right w:val="single" w:sz="4" w:space="0" w:color="auto"/>
            </w:tcBorders>
            <w:shd w:val="clear" w:color="000000" w:fill="A6C9EC"/>
            <w:vAlign w:val="bottom"/>
            <w:hideMark/>
          </w:tcPr>
          <w:p w14:paraId="386E47C1"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xml:space="preserve">Human resource Management </w:t>
            </w:r>
          </w:p>
        </w:tc>
        <w:tc>
          <w:tcPr>
            <w:tcW w:w="910" w:type="dxa"/>
            <w:tcBorders>
              <w:top w:val="nil"/>
              <w:left w:val="nil"/>
              <w:bottom w:val="single" w:sz="4" w:space="0" w:color="auto"/>
              <w:right w:val="single" w:sz="4" w:space="0" w:color="auto"/>
            </w:tcBorders>
            <w:shd w:val="clear" w:color="000000" w:fill="A6C9EC"/>
            <w:vAlign w:val="center"/>
            <w:hideMark/>
          </w:tcPr>
          <w:p w14:paraId="79C3857C"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10</w:t>
            </w:r>
          </w:p>
        </w:tc>
        <w:tc>
          <w:tcPr>
            <w:tcW w:w="1710" w:type="dxa"/>
            <w:tcBorders>
              <w:top w:val="nil"/>
              <w:left w:val="nil"/>
              <w:bottom w:val="single" w:sz="4" w:space="0" w:color="auto"/>
              <w:right w:val="single" w:sz="4" w:space="0" w:color="auto"/>
            </w:tcBorders>
            <w:shd w:val="clear" w:color="000000" w:fill="A6C9EC"/>
            <w:vAlign w:val="center"/>
            <w:hideMark/>
          </w:tcPr>
          <w:p w14:paraId="5CE4E619"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0</w:t>
            </w:r>
          </w:p>
        </w:tc>
        <w:tc>
          <w:tcPr>
            <w:tcW w:w="1260" w:type="dxa"/>
            <w:tcBorders>
              <w:top w:val="nil"/>
              <w:left w:val="nil"/>
              <w:bottom w:val="single" w:sz="4" w:space="0" w:color="auto"/>
              <w:right w:val="single" w:sz="4" w:space="0" w:color="auto"/>
            </w:tcBorders>
            <w:shd w:val="clear" w:color="000000" w:fill="A6C9EC"/>
            <w:vAlign w:val="center"/>
            <w:hideMark/>
          </w:tcPr>
          <w:p w14:paraId="545C3741"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4" w:space="0" w:color="auto"/>
              <w:right w:val="single" w:sz="8" w:space="0" w:color="auto"/>
            </w:tcBorders>
            <w:shd w:val="clear" w:color="000000" w:fill="A6C9EC"/>
            <w:vAlign w:val="center"/>
            <w:hideMark/>
          </w:tcPr>
          <w:p w14:paraId="70C0A136"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r w:rsidR="00CE196C" w:rsidRPr="00A37A51" w14:paraId="008D5CBC" w14:textId="77777777" w:rsidTr="006E088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6DE2AA7C"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lastRenderedPageBreak/>
              <w:t>19</w:t>
            </w:r>
          </w:p>
        </w:tc>
        <w:tc>
          <w:tcPr>
            <w:tcW w:w="2435" w:type="dxa"/>
            <w:tcBorders>
              <w:top w:val="single" w:sz="4" w:space="0" w:color="auto"/>
              <w:left w:val="nil"/>
              <w:bottom w:val="single" w:sz="4" w:space="0" w:color="auto"/>
              <w:right w:val="single" w:sz="4" w:space="0" w:color="auto"/>
            </w:tcBorders>
            <w:shd w:val="clear" w:color="auto" w:fill="FFFFFF" w:themeFill="background1"/>
            <w:vAlign w:val="bottom"/>
            <w:hideMark/>
          </w:tcPr>
          <w:p w14:paraId="2BB34FAF"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Drafting of the staff development plan</w:t>
            </w:r>
          </w:p>
        </w:tc>
        <w:tc>
          <w:tcPr>
            <w:tcW w:w="2577" w:type="dxa"/>
            <w:tcBorders>
              <w:top w:val="nil"/>
              <w:left w:val="nil"/>
              <w:bottom w:val="single" w:sz="4" w:space="0" w:color="auto"/>
              <w:right w:val="single" w:sz="4" w:space="0" w:color="auto"/>
            </w:tcBorders>
            <w:shd w:val="clear" w:color="auto" w:fill="FFFFFF" w:themeFill="background1"/>
            <w:vAlign w:val="center"/>
            <w:hideMark/>
          </w:tcPr>
          <w:p w14:paraId="1904B123"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  </w:t>
            </w:r>
            <w:proofErr w:type="gramStart"/>
            <w:r w:rsidRPr="00A37A51">
              <w:rPr>
                <w:rFonts w:asciiTheme="majorHAnsi" w:eastAsia="Times New Roman" w:hAnsiTheme="majorHAnsi" w:cstheme="majorHAnsi"/>
                <w:color w:val="000000"/>
                <w:sz w:val="18"/>
                <w:szCs w:val="18"/>
                <w:lang w:val="en-US"/>
              </w:rPr>
              <w:t>0  points</w:t>
            </w:r>
            <w:proofErr w:type="gramEnd"/>
            <w:r w:rsidRPr="00A37A51">
              <w:rPr>
                <w:rFonts w:asciiTheme="majorHAnsi" w:eastAsia="Times New Roman" w:hAnsiTheme="majorHAnsi" w:cstheme="majorHAnsi"/>
                <w:color w:val="000000"/>
                <w:sz w:val="18"/>
                <w:szCs w:val="18"/>
                <w:lang w:val="en-US"/>
              </w:rPr>
              <w:t xml:space="preserve"> if the result in MPMS is up to  49.99%, </w:t>
            </w:r>
            <w:r w:rsidRPr="00A37A51">
              <w:rPr>
                <w:rFonts w:asciiTheme="majorHAnsi" w:eastAsia="Times New Roman" w:hAnsiTheme="majorHAnsi" w:cstheme="majorHAnsi"/>
                <w:color w:val="000000"/>
                <w:sz w:val="18"/>
                <w:szCs w:val="18"/>
                <w:lang w:val="en-US"/>
              </w:rPr>
              <w:br/>
              <w:t xml:space="preserve">• 1 points if the result in MPMS is 50% - 79.99%, </w:t>
            </w:r>
            <w:r w:rsidRPr="00A37A51">
              <w:rPr>
                <w:rFonts w:asciiTheme="majorHAnsi" w:eastAsia="Times New Roman" w:hAnsiTheme="majorHAnsi" w:cstheme="majorHAnsi"/>
                <w:color w:val="000000"/>
                <w:sz w:val="18"/>
                <w:szCs w:val="18"/>
                <w:lang w:val="en-US"/>
              </w:rPr>
              <w:br/>
              <w:t>•  2 points if the result in MPMS is equal to or higher than 80%</w:t>
            </w:r>
          </w:p>
        </w:tc>
        <w:tc>
          <w:tcPr>
            <w:tcW w:w="1818" w:type="dxa"/>
            <w:tcBorders>
              <w:top w:val="nil"/>
              <w:left w:val="nil"/>
              <w:bottom w:val="single" w:sz="4" w:space="0" w:color="auto"/>
              <w:right w:val="single" w:sz="4" w:space="0" w:color="auto"/>
            </w:tcBorders>
            <w:shd w:val="clear" w:color="auto" w:fill="FFFFFF" w:themeFill="background1"/>
            <w:noWrap/>
            <w:vAlign w:val="bottom"/>
            <w:hideMark/>
          </w:tcPr>
          <w:p w14:paraId="640C46E8"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shd w:val="clear" w:color="auto" w:fill="FFFFFF" w:themeFill="background1"/>
            <w:noWrap/>
            <w:vAlign w:val="center"/>
            <w:hideMark/>
          </w:tcPr>
          <w:p w14:paraId="46091F27"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2</w:t>
            </w:r>
          </w:p>
        </w:tc>
        <w:tc>
          <w:tcPr>
            <w:tcW w:w="1710" w:type="dxa"/>
            <w:tcBorders>
              <w:top w:val="nil"/>
              <w:left w:val="nil"/>
              <w:bottom w:val="single" w:sz="4" w:space="0" w:color="auto"/>
              <w:right w:val="single" w:sz="4" w:space="0" w:color="auto"/>
            </w:tcBorders>
            <w:shd w:val="clear" w:color="auto" w:fill="FFFFFF" w:themeFill="background1"/>
            <w:noWrap/>
            <w:vAlign w:val="center"/>
            <w:hideMark/>
          </w:tcPr>
          <w:p w14:paraId="66FCF215"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shd w:val="clear" w:color="auto" w:fill="FFFFFF" w:themeFill="background1"/>
            <w:vAlign w:val="bottom"/>
            <w:hideMark/>
          </w:tcPr>
          <w:p w14:paraId="10E00472"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3.5.1</w:t>
            </w:r>
          </w:p>
        </w:tc>
        <w:tc>
          <w:tcPr>
            <w:tcW w:w="2880" w:type="dxa"/>
            <w:tcBorders>
              <w:top w:val="nil"/>
              <w:left w:val="nil"/>
              <w:bottom w:val="single" w:sz="4" w:space="0" w:color="auto"/>
              <w:right w:val="single" w:sz="8" w:space="0" w:color="auto"/>
            </w:tcBorders>
            <w:shd w:val="clear" w:color="auto" w:fill="FFFFFF" w:themeFill="background1"/>
            <w:vAlign w:val="bottom"/>
            <w:hideMark/>
          </w:tcPr>
          <w:p w14:paraId="7D1743B4" w14:textId="3A83F067" w:rsidR="00CE196C" w:rsidRPr="00A37A51" w:rsidRDefault="00CE196C" w:rsidP="00B92BD1">
            <w:pPr>
              <w:jc w:val="center"/>
              <w:rPr>
                <w:rFonts w:asciiTheme="majorHAnsi" w:eastAsia="Times New Roman" w:hAnsiTheme="majorHAnsi" w:cstheme="majorHAnsi"/>
                <w:color w:val="000000"/>
                <w:sz w:val="18"/>
                <w:szCs w:val="18"/>
                <w:lang w:val="en-US"/>
              </w:rPr>
            </w:pPr>
          </w:p>
        </w:tc>
      </w:tr>
      <w:tr w:rsidR="00CE196C" w:rsidRPr="00A37A51" w14:paraId="745C1157"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4A2B5404"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20</w:t>
            </w:r>
          </w:p>
        </w:tc>
        <w:tc>
          <w:tcPr>
            <w:tcW w:w="2435" w:type="dxa"/>
            <w:tcBorders>
              <w:top w:val="single" w:sz="4" w:space="0" w:color="auto"/>
              <w:left w:val="nil"/>
              <w:bottom w:val="single" w:sz="4" w:space="0" w:color="auto"/>
              <w:right w:val="single" w:sz="4" w:space="0" w:color="auto"/>
            </w:tcBorders>
            <w:vAlign w:val="bottom"/>
            <w:hideMark/>
          </w:tcPr>
          <w:p w14:paraId="7B42EE60"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Women in leadership positions in education, health and culture institutions</w:t>
            </w:r>
          </w:p>
        </w:tc>
        <w:tc>
          <w:tcPr>
            <w:tcW w:w="2577" w:type="dxa"/>
            <w:tcBorders>
              <w:top w:val="nil"/>
              <w:left w:val="nil"/>
              <w:bottom w:val="single" w:sz="4" w:space="0" w:color="auto"/>
              <w:right w:val="single" w:sz="4" w:space="0" w:color="auto"/>
            </w:tcBorders>
            <w:vAlign w:val="center"/>
            <w:hideMark/>
          </w:tcPr>
          <w:p w14:paraId="51BFC4C5"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 0 points if the result in MPMS is up to 49.99%, </w:t>
            </w:r>
            <w:r w:rsidRPr="00A37A51">
              <w:rPr>
                <w:rFonts w:asciiTheme="majorHAnsi" w:eastAsia="Times New Roman" w:hAnsiTheme="majorHAnsi" w:cstheme="majorHAnsi"/>
                <w:color w:val="000000"/>
                <w:sz w:val="18"/>
                <w:szCs w:val="18"/>
                <w:lang w:val="en-US"/>
              </w:rPr>
              <w:br/>
              <w:t xml:space="preserve">• 2 points if the result in MPMS is 50% - 79.99%, </w:t>
            </w:r>
            <w:r w:rsidRPr="00A37A51">
              <w:rPr>
                <w:rFonts w:asciiTheme="majorHAnsi" w:eastAsia="Times New Roman" w:hAnsiTheme="majorHAnsi" w:cstheme="majorHAnsi"/>
                <w:color w:val="000000"/>
                <w:sz w:val="18"/>
                <w:szCs w:val="18"/>
                <w:lang w:val="en-US"/>
              </w:rPr>
              <w:br/>
              <w:t>• 5 points if the result in MPMS is equal to or higher than 80%.</w:t>
            </w:r>
          </w:p>
        </w:tc>
        <w:tc>
          <w:tcPr>
            <w:tcW w:w="1818" w:type="dxa"/>
            <w:tcBorders>
              <w:top w:val="nil"/>
              <w:left w:val="nil"/>
              <w:bottom w:val="single" w:sz="4" w:space="0" w:color="auto"/>
              <w:right w:val="single" w:sz="4" w:space="0" w:color="auto"/>
            </w:tcBorders>
            <w:noWrap/>
            <w:vAlign w:val="bottom"/>
            <w:hideMark/>
          </w:tcPr>
          <w:p w14:paraId="44ECA8FC"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461BA935"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5</w:t>
            </w:r>
          </w:p>
        </w:tc>
        <w:tc>
          <w:tcPr>
            <w:tcW w:w="1710" w:type="dxa"/>
            <w:tcBorders>
              <w:top w:val="nil"/>
              <w:left w:val="nil"/>
              <w:bottom w:val="single" w:sz="4" w:space="0" w:color="auto"/>
              <w:right w:val="single" w:sz="4" w:space="0" w:color="auto"/>
            </w:tcBorders>
            <w:noWrap/>
            <w:vAlign w:val="center"/>
            <w:hideMark/>
          </w:tcPr>
          <w:p w14:paraId="2E37320B"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16879708"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13.1.2</w:t>
            </w:r>
          </w:p>
        </w:tc>
        <w:tc>
          <w:tcPr>
            <w:tcW w:w="2880" w:type="dxa"/>
            <w:tcBorders>
              <w:top w:val="nil"/>
              <w:left w:val="nil"/>
              <w:bottom w:val="single" w:sz="4" w:space="0" w:color="auto"/>
              <w:right w:val="single" w:sz="8" w:space="0" w:color="auto"/>
            </w:tcBorders>
            <w:noWrap/>
            <w:vAlign w:val="bottom"/>
            <w:hideMark/>
          </w:tcPr>
          <w:p w14:paraId="6AB9C8DF"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70B21391"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0B1219E4"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21</w:t>
            </w:r>
          </w:p>
        </w:tc>
        <w:tc>
          <w:tcPr>
            <w:tcW w:w="2435" w:type="dxa"/>
            <w:tcBorders>
              <w:top w:val="single" w:sz="4" w:space="0" w:color="auto"/>
              <w:left w:val="nil"/>
              <w:bottom w:val="single" w:sz="4" w:space="0" w:color="auto"/>
              <w:right w:val="single" w:sz="4" w:space="0" w:color="auto"/>
            </w:tcBorders>
            <w:vAlign w:val="bottom"/>
            <w:hideMark/>
          </w:tcPr>
          <w:p w14:paraId="5077E6DD"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Women appointed in political positions in the municipality</w:t>
            </w:r>
          </w:p>
        </w:tc>
        <w:tc>
          <w:tcPr>
            <w:tcW w:w="2577" w:type="dxa"/>
            <w:tcBorders>
              <w:top w:val="nil"/>
              <w:left w:val="nil"/>
              <w:bottom w:val="single" w:sz="4" w:space="0" w:color="auto"/>
              <w:right w:val="single" w:sz="4" w:space="0" w:color="auto"/>
            </w:tcBorders>
            <w:vAlign w:val="center"/>
            <w:hideMark/>
          </w:tcPr>
          <w:p w14:paraId="22E09E7A"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 0 points if the result in MPMS is up to 59.99%, </w:t>
            </w:r>
            <w:r w:rsidRPr="00A37A51">
              <w:rPr>
                <w:rFonts w:asciiTheme="majorHAnsi" w:eastAsia="Times New Roman" w:hAnsiTheme="majorHAnsi" w:cstheme="majorHAnsi"/>
                <w:color w:val="000000"/>
                <w:sz w:val="18"/>
                <w:szCs w:val="18"/>
                <w:lang w:val="en-US"/>
              </w:rPr>
              <w:br/>
              <w:t xml:space="preserve">• 1 point if the result in MPMS is 60% - 99.99%, </w:t>
            </w:r>
            <w:r w:rsidRPr="00A37A51">
              <w:rPr>
                <w:rFonts w:asciiTheme="majorHAnsi" w:eastAsia="Times New Roman" w:hAnsiTheme="majorHAnsi" w:cstheme="majorHAnsi"/>
                <w:color w:val="000000"/>
                <w:sz w:val="18"/>
                <w:szCs w:val="18"/>
                <w:lang w:val="en-US"/>
              </w:rPr>
              <w:br/>
              <w:t>• 3 points if the result in MPMS is equal to 100%.</w:t>
            </w:r>
          </w:p>
        </w:tc>
        <w:tc>
          <w:tcPr>
            <w:tcW w:w="1818" w:type="dxa"/>
            <w:tcBorders>
              <w:top w:val="nil"/>
              <w:left w:val="nil"/>
              <w:bottom w:val="single" w:sz="4" w:space="0" w:color="auto"/>
              <w:right w:val="single" w:sz="4" w:space="0" w:color="auto"/>
            </w:tcBorders>
            <w:noWrap/>
            <w:vAlign w:val="bottom"/>
            <w:hideMark/>
          </w:tcPr>
          <w:p w14:paraId="1E2C8145"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2C67EA77"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3</w:t>
            </w:r>
          </w:p>
        </w:tc>
        <w:tc>
          <w:tcPr>
            <w:tcW w:w="1710" w:type="dxa"/>
            <w:tcBorders>
              <w:top w:val="nil"/>
              <w:left w:val="nil"/>
              <w:bottom w:val="single" w:sz="4" w:space="0" w:color="auto"/>
              <w:right w:val="single" w:sz="4" w:space="0" w:color="auto"/>
            </w:tcBorders>
            <w:noWrap/>
            <w:vAlign w:val="center"/>
            <w:hideMark/>
          </w:tcPr>
          <w:p w14:paraId="299AAC20"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2DCA19BF"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 xml:space="preserve">Indicator </w:t>
            </w:r>
            <w:proofErr w:type="spellStart"/>
            <w:r w:rsidRPr="00A37A51">
              <w:rPr>
                <w:rFonts w:asciiTheme="majorHAnsi" w:eastAsia="Times New Roman" w:hAnsiTheme="majorHAnsi" w:cstheme="majorHAnsi"/>
                <w:color w:val="000000"/>
                <w:sz w:val="18"/>
                <w:szCs w:val="18"/>
                <w:lang w:val="en-US"/>
              </w:rPr>
              <w:t>numbert</w:t>
            </w:r>
            <w:proofErr w:type="spellEnd"/>
            <w:r w:rsidRPr="00A37A51">
              <w:rPr>
                <w:rFonts w:asciiTheme="majorHAnsi" w:eastAsia="Times New Roman" w:hAnsiTheme="majorHAnsi" w:cstheme="majorHAnsi"/>
                <w:color w:val="000000"/>
                <w:sz w:val="18"/>
                <w:szCs w:val="18"/>
                <w:lang w:val="en-US"/>
              </w:rPr>
              <w:t xml:space="preserve"> 13.1.3</w:t>
            </w:r>
          </w:p>
        </w:tc>
        <w:tc>
          <w:tcPr>
            <w:tcW w:w="2880" w:type="dxa"/>
            <w:tcBorders>
              <w:top w:val="nil"/>
              <w:left w:val="nil"/>
              <w:bottom w:val="single" w:sz="4" w:space="0" w:color="auto"/>
              <w:right w:val="single" w:sz="8" w:space="0" w:color="auto"/>
            </w:tcBorders>
            <w:noWrap/>
            <w:vAlign w:val="bottom"/>
            <w:hideMark/>
          </w:tcPr>
          <w:p w14:paraId="3D4A9139"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6033A8" w:rsidRPr="00A37A51" w14:paraId="2368E12D"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7AA59609"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3</w:t>
            </w:r>
          </w:p>
        </w:tc>
        <w:tc>
          <w:tcPr>
            <w:tcW w:w="6830" w:type="dxa"/>
            <w:gridSpan w:val="3"/>
            <w:tcBorders>
              <w:top w:val="single" w:sz="4" w:space="0" w:color="auto"/>
              <w:left w:val="nil"/>
              <w:bottom w:val="single" w:sz="4" w:space="0" w:color="auto"/>
              <w:right w:val="single" w:sz="4" w:space="0" w:color="auto"/>
            </w:tcBorders>
            <w:shd w:val="clear" w:color="000000" w:fill="215C98"/>
            <w:vAlign w:val="bottom"/>
            <w:hideMark/>
          </w:tcPr>
          <w:p w14:paraId="3D79DAEB"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Service provision</w:t>
            </w:r>
          </w:p>
        </w:tc>
        <w:tc>
          <w:tcPr>
            <w:tcW w:w="910" w:type="dxa"/>
            <w:tcBorders>
              <w:top w:val="nil"/>
              <w:left w:val="nil"/>
              <w:bottom w:val="single" w:sz="4" w:space="0" w:color="auto"/>
              <w:right w:val="single" w:sz="4" w:space="0" w:color="auto"/>
            </w:tcBorders>
            <w:shd w:val="clear" w:color="000000" w:fill="215C98"/>
            <w:vAlign w:val="center"/>
            <w:hideMark/>
          </w:tcPr>
          <w:p w14:paraId="06D048C2"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30</w:t>
            </w:r>
          </w:p>
        </w:tc>
        <w:tc>
          <w:tcPr>
            <w:tcW w:w="1710" w:type="dxa"/>
            <w:tcBorders>
              <w:top w:val="nil"/>
              <w:left w:val="nil"/>
              <w:bottom w:val="single" w:sz="4" w:space="0" w:color="auto"/>
              <w:right w:val="single" w:sz="4" w:space="0" w:color="auto"/>
            </w:tcBorders>
            <w:shd w:val="clear" w:color="000000" w:fill="215C98"/>
            <w:vAlign w:val="center"/>
            <w:hideMark/>
          </w:tcPr>
          <w:p w14:paraId="7F83F6B7"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0</w:t>
            </w:r>
          </w:p>
        </w:tc>
        <w:tc>
          <w:tcPr>
            <w:tcW w:w="1260" w:type="dxa"/>
            <w:tcBorders>
              <w:top w:val="nil"/>
              <w:left w:val="nil"/>
              <w:bottom w:val="single" w:sz="4" w:space="0" w:color="auto"/>
              <w:right w:val="single" w:sz="4" w:space="0" w:color="auto"/>
            </w:tcBorders>
            <w:shd w:val="clear" w:color="000000" w:fill="215C98"/>
            <w:vAlign w:val="center"/>
            <w:hideMark/>
          </w:tcPr>
          <w:p w14:paraId="049CCC2F"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4" w:space="0" w:color="auto"/>
              <w:right w:val="single" w:sz="8" w:space="0" w:color="auto"/>
            </w:tcBorders>
            <w:shd w:val="clear" w:color="000000" w:fill="215C98"/>
            <w:vAlign w:val="center"/>
            <w:hideMark/>
          </w:tcPr>
          <w:p w14:paraId="0E51EABD"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r w:rsidR="006033A8" w:rsidRPr="00A37A51" w14:paraId="41E35A24"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A6C9EC"/>
            <w:noWrap/>
            <w:vAlign w:val="center"/>
            <w:hideMark/>
          </w:tcPr>
          <w:p w14:paraId="5E0F96F6"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VII</w:t>
            </w:r>
          </w:p>
        </w:tc>
        <w:tc>
          <w:tcPr>
            <w:tcW w:w="6830" w:type="dxa"/>
            <w:gridSpan w:val="3"/>
            <w:tcBorders>
              <w:top w:val="single" w:sz="4" w:space="0" w:color="auto"/>
              <w:left w:val="nil"/>
              <w:bottom w:val="single" w:sz="4" w:space="0" w:color="auto"/>
              <w:right w:val="single" w:sz="4" w:space="0" w:color="auto"/>
            </w:tcBorders>
            <w:shd w:val="clear" w:color="000000" w:fill="A6C9EC"/>
            <w:vAlign w:val="bottom"/>
            <w:hideMark/>
          </w:tcPr>
          <w:p w14:paraId="171F543B"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xml:space="preserve">Administrative services </w:t>
            </w:r>
          </w:p>
        </w:tc>
        <w:tc>
          <w:tcPr>
            <w:tcW w:w="910" w:type="dxa"/>
            <w:tcBorders>
              <w:top w:val="nil"/>
              <w:left w:val="nil"/>
              <w:bottom w:val="single" w:sz="4" w:space="0" w:color="auto"/>
              <w:right w:val="single" w:sz="4" w:space="0" w:color="auto"/>
            </w:tcBorders>
            <w:shd w:val="clear" w:color="000000" w:fill="A6C9EC"/>
            <w:vAlign w:val="center"/>
            <w:hideMark/>
          </w:tcPr>
          <w:p w14:paraId="27EF0E63"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6</w:t>
            </w:r>
          </w:p>
        </w:tc>
        <w:tc>
          <w:tcPr>
            <w:tcW w:w="1710" w:type="dxa"/>
            <w:tcBorders>
              <w:top w:val="nil"/>
              <w:left w:val="nil"/>
              <w:bottom w:val="single" w:sz="4" w:space="0" w:color="auto"/>
              <w:right w:val="single" w:sz="4" w:space="0" w:color="auto"/>
            </w:tcBorders>
            <w:shd w:val="clear" w:color="000000" w:fill="A6C9EC"/>
            <w:vAlign w:val="center"/>
            <w:hideMark/>
          </w:tcPr>
          <w:p w14:paraId="1907B339"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0</w:t>
            </w:r>
          </w:p>
        </w:tc>
        <w:tc>
          <w:tcPr>
            <w:tcW w:w="1260" w:type="dxa"/>
            <w:tcBorders>
              <w:top w:val="nil"/>
              <w:left w:val="nil"/>
              <w:bottom w:val="single" w:sz="4" w:space="0" w:color="auto"/>
              <w:right w:val="single" w:sz="4" w:space="0" w:color="auto"/>
            </w:tcBorders>
            <w:shd w:val="clear" w:color="000000" w:fill="A6C9EC"/>
            <w:vAlign w:val="center"/>
            <w:hideMark/>
          </w:tcPr>
          <w:p w14:paraId="57736194"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4" w:space="0" w:color="auto"/>
              <w:right w:val="single" w:sz="8" w:space="0" w:color="auto"/>
            </w:tcBorders>
            <w:shd w:val="clear" w:color="000000" w:fill="A6C9EC"/>
            <w:vAlign w:val="center"/>
            <w:hideMark/>
          </w:tcPr>
          <w:p w14:paraId="00735CBC"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r w:rsidR="00CE196C" w:rsidRPr="00A37A51" w14:paraId="4422748D" w14:textId="77777777" w:rsidTr="006E088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35320A5E"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22</w:t>
            </w:r>
          </w:p>
        </w:tc>
        <w:tc>
          <w:tcPr>
            <w:tcW w:w="2435" w:type="dxa"/>
            <w:tcBorders>
              <w:top w:val="single" w:sz="4" w:space="0" w:color="auto"/>
              <w:left w:val="nil"/>
              <w:bottom w:val="single" w:sz="4" w:space="0" w:color="auto"/>
              <w:right w:val="single" w:sz="4" w:space="0" w:color="auto"/>
            </w:tcBorders>
            <w:shd w:val="clear" w:color="auto" w:fill="FFFFFF" w:themeFill="background1"/>
            <w:vAlign w:val="bottom"/>
            <w:hideMark/>
          </w:tcPr>
          <w:p w14:paraId="5BC49762" w14:textId="0C34C21D" w:rsidR="00CE196C" w:rsidRPr="00A37A51" w:rsidRDefault="004F43C4" w:rsidP="00CE196C">
            <w:pPr>
              <w:rPr>
                <w:rFonts w:asciiTheme="majorHAnsi" w:eastAsia="Times New Roman" w:hAnsiTheme="majorHAnsi" w:cstheme="majorHAnsi"/>
                <w:sz w:val="18"/>
                <w:szCs w:val="18"/>
                <w:lang w:val="en-US"/>
              </w:rPr>
            </w:pPr>
            <w:r w:rsidRPr="004F43C4">
              <w:rPr>
                <w:rFonts w:asciiTheme="majorHAnsi" w:eastAsia="Times New Roman" w:hAnsiTheme="majorHAnsi" w:cstheme="majorHAnsi"/>
                <w:sz w:val="18"/>
                <w:szCs w:val="18"/>
                <w:lang w:val="en-US"/>
              </w:rPr>
              <w:t>Simplified administrative services to reduce the administrative burden at the municipal level</w:t>
            </w:r>
          </w:p>
        </w:tc>
        <w:tc>
          <w:tcPr>
            <w:tcW w:w="2577" w:type="dxa"/>
            <w:tcBorders>
              <w:top w:val="nil"/>
              <w:left w:val="nil"/>
              <w:bottom w:val="single" w:sz="4" w:space="0" w:color="auto"/>
              <w:right w:val="single" w:sz="4" w:space="0" w:color="auto"/>
            </w:tcBorders>
            <w:shd w:val="clear" w:color="auto" w:fill="FFFFFF" w:themeFill="background1"/>
            <w:vAlign w:val="center"/>
            <w:hideMark/>
          </w:tcPr>
          <w:p w14:paraId="1FF05F46"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 xml:space="preserve">• 0 points if the result in MPMS is up to 49.99%, </w:t>
            </w:r>
            <w:r w:rsidRPr="00A37A51">
              <w:rPr>
                <w:rFonts w:asciiTheme="majorHAnsi" w:eastAsia="Times New Roman" w:hAnsiTheme="majorHAnsi" w:cstheme="majorHAnsi"/>
                <w:sz w:val="18"/>
                <w:szCs w:val="18"/>
                <w:lang w:val="en-US"/>
              </w:rPr>
              <w:br/>
              <w:t xml:space="preserve">• 1 point if the result in MPMS is 50% - 69.99%, </w:t>
            </w:r>
            <w:r w:rsidRPr="00A37A51">
              <w:rPr>
                <w:rFonts w:asciiTheme="majorHAnsi" w:eastAsia="Times New Roman" w:hAnsiTheme="majorHAnsi" w:cstheme="majorHAnsi"/>
                <w:sz w:val="18"/>
                <w:szCs w:val="18"/>
                <w:lang w:val="en-US"/>
              </w:rPr>
              <w:br/>
              <w:t xml:space="preserve">• 2 points if the result in MPMS is 70% - 89.99%, </w:t>
            </w:r>
            <w:r w:rsidRPr="00A37A51">
              <w:rPr>
                <w:rFonts w:asciiTheme="majorHAnsi" w:eastAsia="Times New Roman" w:hAnsiTheme="majorHAnsi" w:cstheme="majorHAnsi"/>
                <w:sz w:val="18"/>
                <w:szCs w:val="18"/>
                <w:lang w:val="en-US"/>
              </w:rPr>
              <w:br/>
              <w:t>• 4 points if the result in MPMS is equal to or higher than 90%.</w:t>
            </w:r>
          </w:p>
        </w:tc>
        <w:tc>
          <w:tcPr>
            <w:tcW w:w="1818" w:type="dxa"/>
            <w:tcBorders>
              <w:top w:val="nil"/>
              <w:left w:val="nil"/>
              <w:bottom w:val="single" w:sz="4" w:space="0" w:color="auto"/>
              <w:right w:val="single" w:sz="4" w:space="0" w:color="auto"/>
            </w:tcBorders>
            <w:shd w:val="clear" w:color="auto" w:fill="FFFFFF" w:themeFill="background1"/>
            <w:noWrap/>
            <w:vAlign w:val="bottom"/>
            <w:hideMark/>
          </w:tcPr>
          <w:p w14:paraId="6383BDA5"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shd w:val="clear" w:color="auto" w:fill="FFFFFF" w:themeFill="background1"/>
            <w:noWrap/>
            <w:vAlign w:val="center"/>
            <w:hideMark/>
          </w:tcPr>
          <w:p w14:paraId="500F4C24"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4</w:t>
            </w:r>
          </w:p>
        </w:tc>
        <w:tc>
          <w:tcPr>
            <w:tcW w:w="1710" w:type="dxa"/>
            <w:tcBorders>
              <w:top w:val="nil"/>
              <w:left w:val="nil"/>
              <w:bottom w:val="single" w:sz="4" w:space="0" w:color="auto"/>
              <w:right w:val="single" w:sz="4" w:space="0" w:color="auto"/>
            </w:tcBorders>
            <w:shd w:val="clear" w:color="auto" w:fill="FFFFFF" w:themeFill="background1"/>
            <w:noWrap/>
            <w:vAlign w:val="center"/>
            <w:hideMark/>
          </w:tcPr>
          <w:p w14:paraId="75E8DBD0"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shd w:val="clear" w:color="auto" w:fill="FFFFFF" w:themeFill="background1"/>
            <w:vAlign w:val="bottom"/>
            <w:hideMark/>
          </w:tcPr>
          <w:p w14:paraId="0145B97F" w14:textId="78A07BAA"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1.1.</w:t>
            </w:r>
            <w:r w:rsidR="00F502E8">
              <w:rPr>
                <w:rFonts w:asciiTheme="majorHAnsi" w:eastAsia="Times New Roman" w:hAnsiTheme="majorHAnsi" w:cstheme="majorHAnsi"/>
                <w:color w:val="000000"/>
                <w:sz w:val="18"/>
                <w:szCs w:val="18"/>
                <w:lang w:val="en-US"/>
              </w:rPr>
              <w:t>4</w:t>
            </w:r>
          </w:p>
        </w:tc>
        <w:tc>
          <w:tcPr>
            <w:tcW w:w="2880" w:type="dxa"/>
            <w:tcBorders>
              <w:top w:val="nil"/>
              <w:left w:val="nil"/>
              <w:bottom w:val="single" w:sz="4" w:space="0" w:color="auto"/>
              <w:right w:val="single" w:sz="4" w:space="0" w:color="auto"/>
            </w:tcBorders>
            <w:shd w:val="clear" w:color="auto" w:fill="FFFFFF" w:themeFill="background1"/>
            <w:vAlign w:val="bottom"/>
            <w:hideMark/>
          </w:tcPr>
          <w:p w14:paraId="6AE9E539" w14:textId="72AA749C"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3F99662A"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1A7A8D4E"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23</w:t>
            </w:r>
          </w:p>
        </w:tc>
        <w:tc>
          <w:tcPr>
            <w:tcW w:w="2435" w:type="dxa"/>
            <w:tcBorders>
              <w:top w:val="single" w:sz="4" w:space="0" w:color="auto"/>
              <w:left w:val="nil"/>
              <w:bottom w:val="single" w:sz="4" w:space="0" w:color="auto"/>
              <w:right w:val="single" w:sz="4" w:space="0" w:color="auto"/>
            </w:tcBorders>
            <w:vAlign w:val="center"/>
            <w:hideMark/>
          </w:tcPr>
          <w:p w14:paraId="6A8BA3ED"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Reviewed building permit requests</w:t>
            </w:r>
          </w:p>
        </w:tc>
        <w:tc>
          <w:tcPr>
            <w:tcW w:w="2577" w:type="dxa"/>
            <w:tcBorders>
              <w:top w:val="nil"/>
              <w:left w:val="nil"/>
              <w:bottom w:val="single" w:sz="4" w:space="0" w:color="auto"/>
              <w:right w:val="single" w:sz="4" w:space="0" w:color="auto"/>
            </w:tcBorders>
            <w:vAlign w:val="center"/>
            <w:hideMark/>
          </w:tcPr>
          <w:p w14:paraId="0A1CBCF4"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 xml:space="preserve">• 0 points if the result in MPMS is up to 49.99%, </w:t>
            </w:r>
            <w:r w:rsidRPr="00A37A51">
              <w:rPr>
                <w:rFonts w:asciiTheme="majorHAnsi" w:eastAsia="Times New Roman" w:hAnsiTheme="majorHAnsi" w:cstheme="majorHAnsi"/>
                <w:sz w:val="18"/>
                <w:szCs w:val="18"/>
                <w:lang w:val="en-US"/>
              </w:rPr>
              <w:br/>
              <w:t xml:space="preserve">• 1 point if the result in MPMS is 50% - 89.99% </w:t>
            </w:r>
            <w:r w:rsidRPr="00A37A51">
              <w:rPr>
                <w:rFonts w:asciiTheme="majorHAnsi" w:eastAsia="Times New Roman" w:hAnsiTheme="majorHAnsi" w:cstheme="majorHAnsi"/>
                <w:sz w:val="18"/>
                <w:szCs w:val="18"/>
                <w:lang w:val="en-US"/>
              </w:rPr>
              <w:br/>
            </w:r>
            <w:r w:rsidRPr="00A37A51">
              <w:rPr>
                <w:rFonts w:asciiTheme="majorHAnsi" w:eastAsia="Times New Roman" w:hAnsiTheme="majorHAnsi" w:cstheme="majorHAnsi"/>
                <w:sz w:val="18"/>
                <w:szCs w:val="18"/>
                <w:lang w:val="en-US"/>
              </w:rPr>
              <w:lastRenderedPageBreak/>
              <w:t>• 2 points if the result in MPMS is equal to or higher than 90%.</w:t>
            </w:r>
          </w:p>
        </w:tc>
        <w:tc>
          <w:tcPr>
            <w:tcW w:w="1818" w:type="dxa"/>
            <w:tcBorders>
              <w:top w:val="nil"/>
              <w:left w:val="nil"/>
              <w:bottom w:val="single" w:sz="4" w:space="0" w:color="auto"/>
              <w:right w:val="single" w:sz="4" w:space="0" w:color="auto"/>
            </w:tcBorders>
            <w:noWrap/>
            <w:vAlign w:val="bottom"/>
            <w:hideMark/>
          </w:tcPr>
          <w:p w14:paraId="0B8987CE"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lastRenderedPageBreak/>
              <w:t>0.00%</w:t>
            </w:r>
          </w:p>
        </w:tc>
        <w:tc>
          <w:tcPr>
            <w:tcW w:w="910" w:type="dxa"/>
            <w:tcBorders>
              <w:top w:val="nil"/>
              <w:left w:val="nil"/>
              <w:bottom w:val="single" w:sz="4" w:space="0" w:color="auto"/>
              <w:right w:val="single" w:sz="4" w:space="0" w:color="auto"/>
            </w:tcBorders>
            <w:shd w:val="clear" w:color="000000" w:fill="FFFFFF"/>
            <w:noWrap/>
            <w:vAlign w:val="center"/>
            <w:hideMark/>
          </w:tcPr>
          <w:p w14:paraId="362B8EED"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2</w:t>
            </w:r>
          </w:p>
        </w:tc>
        <w:tc>
          <w:tcPr>
            <w:tcW w:w="1710" w:type="dxa"/>
            <w:tcBorders>
              <w:top w:val="nil"/>
              <w:left w:val="nil"/>
              <w:bottom w:val="single" w:sz="4" w:space="0" w:color="auto"/>
              <w:right w:val="single" w:sz="4" w:space="0" w:color="auto"/>
            </w:tcBorders>
            <w:shd w:val="clear" w:color="000000" w:fill="FFFFFF"/>
            <w:noWrap/>
            <w:vAlign w:val="center"/>
            <w:hideMark/>
          </w:tcPr>
          <w:p w14:paraId="4016F091"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4B17B5AE"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7.2.1</w:t>
            </w:r>
          </w:p>
        </w:tc>
        <w:tc>
          <w:tcPr>
            <w:tcW w:w="2880" w:type="dxa"/>
            <w:tcBorders>
              <w:top w:val="nil"/>
              <w:left w:val="nil"/>
              <w:bottom w:val="single" w:sz="4" w:space="0" w:color="auto"/>
              <w:right w:val="single" w:sz="8" w:space="0" w:color="auto"/>
            </w:tcBorders>
            <w:noWrap/>
            <w:vAlign w:val="bottom"/>
            <w:hideMark/>
          </w:tcPr>
          <w:p w14:paraId="67A1A73B"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6033A8" w:rsidRPr="00A37A51" w14:paraId="4EACC8C4" w14:textId="77777777" w:rsidTr="00F502E8">
        <w:trPr>
          <w:trHeight w:val="566"/>
        </w:trPr>
        <w:tc>
          <w:tcPr>
            <w:tcW w:w="558" w:type="dxa"/>
            <w:tcBorders>
              <w:top w:val="nil"/>
              <w:left w:val="single" w:sz="8" w:space="0" w:color="auto"/>
              <w:bottom w:val="single" w:sz="4" w:space="0" w:color="auto"/>
              <w:right w:val="single" w:sz="4" w:space="0" w:color="auto"/>
            </w:tcBorders>
            <w:shd w:val="clear" w:color="000000" w:fill="A6C9EC"/>
            <w:noWrap/>
            <w:vAlign w:val="center"/>
            <w:hideMark/>
          </w:tcPr>
          <w:p w14:paraId="7AF12A07"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VIII</w:t>
            </w:r>
          </w:p>
        </w:tc>
        <w:tc>
          <w:tcPr>
            <w:tcW w:w="6830" w:type="dxa"/>
            <w:gridSpan w:val="3"/>
            <w:tcBorders>
              <w:top w:val="single" w:sz="4" w:space="0" w:color="auto"/>
              <w:left w:val="nil"/>
              <w:bottom w:val="single" w:sz="4" w:space="0" w:color="auto"/>
              <w:right w:val="single" w:sz="4" w:space="0" w:color="auto"/>
            </w:tcBorders>
            <w:shd w:val="clear" w:color="000000" w:fill="A6C9EC"/>
            <w:vAlign w:val="center"/>
            <w:hideMark/>
          </w:tcPr>
          <w:p w14:paraId="10E64768" w14:textId="77777777" w:rsidR="00CE196C" w:rsidRPr="00A37A51" w:rsidRDefault="00CE196C" w:rsidP="00CE196C">
            <w:pPr>
              <w:spacing w:after="240"/>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xml:space="preserve">Spatial planning, public transport and environmental protection                       </w:t>
            </w:r>
          </w:p>
        </w:tc>
        <w:tc>
          <w:tcPr>
            <w:tcW w:w="910" w:type="dxa"/>
            <w:tcBorders>
              <w:top w:val="nil"/>
              <w:left w:val="nil"/>
              <w:bottom w:val="single" w:sz="4" w:space="0" w:color="auto"/>
              <w:right w:val="single" w:sz="4" w:space="0" w:color="auto"/>
            </w:tcBorders>
            <w:shd w:val="clear" w:color="000000" w:fill="A6C9EC"/>
            <w:vAlign w:val="center"/>
            <w:hideMark/>
          </w:tcPr>
          <w:p w14:paraId="6D4E13CE"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8</w:t>
            </w:r>
          </w:p>
        </w:tc>
        <w:tc>
          <w:tcPr>
            <w:tcW w:w="1710" w:type="dxa"/>
            <w:tcBorders>
              <w:top w:val="nil"/>
              <w:left w:val="nil"/>
              <w:bottom w:val="single" w:sz="4" w:space="0" w:color="auto"/>
              <w:right w:val="single" w:sz="4" w:space="0" w:color="auto"/>
            </w:tcBorders>
            <w:shd w:val="clear" w:color="000000" w:fill="A6C9EC"/>
            <w:vAlign w:val="center"/>
            <w:hideMark/>
          </w:tcPr>
          <w:p w14:paraId="675ABA6C"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0</w:t>
            </w:r>
          </w:p>
        </w:tc>
        <w:tc>
          <w:tcPr>
            <w:tcW w:w="1260" w:type="dxa"/>
            <w:tcBorders>
              <w:top w:val="nil"/>
              <w:left w:val="nil"/>
              <w:bottom w:val="single" w:sz="4" w:space="0" w:color="auto"/>
              <w:right w:val="single" w:sz="4" w:space="0" w:color="auto"/>
            </w:tcBorders>
            <w:shd w:val="clear" w:color="000000" w:fill="A6C9EC"/>
            <w:vAlign w:val="center"/>
            <w:hideMark/>
          </w:tcPr>
          <w:p w14:paraId="1EAEB35A"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4" w:space="0" w:color="auto"/>
              <w:right w:val="single" w:sz="8" w:space="0" w:color="auto"/>
            </w:tcBorders>
            <w:shd w:val="clear" w:color="000000" w:fill="A6C9EC"/>
            <w:vAlign w:val="center"/>
            <w:hideMark/>
          </w:tcPr>
          <w:p w14:paraId="2F234FAD"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r w:rsidR="00CE196C" w:rsidRPr="00A37A51" w14:paraId="682A60E4"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39FB9CAB"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24</w:t>
            </w:r>
          </w:p>
        </w:tc>
        <w:tc>
          <w:tcPr>
            <w:tcW w:w="2435" w:type="dxa"/>
            <w:tcBorders>
              <w:top w:val="single" w:sz="4" w:space="0" w:color="auto"/>
              <w:left w:val="nil"/>
              <w:bottom w:val="single" w:sz="4" w:space="0" w:color="auto"/>
              <w:right w:val="single" w:sz="4" w:space="0" w:color="000000"/>
            </w:tcBorders>
            <w:vAlign w:val="center"/>
            <w:hideMark/>
          </w:tcPr>
          <w:p w14:paraId="04B621C5" w14:textId="187E5F65" w:rsidR="00CE196C" w:rsidRPr="00A37A51" w:rsidRDefault="003B216E" w:rsidP="00CE196C">
            <w:pPr>
              <w:rPr>
                <w:rFonts w:asciiTheme="majorHAnsi" w:eastAsia="Times New Roman" w:hAnsiTheme="majorHAnsi" w:cstheme="majorHAnsi"/>
                <w:color w:val="000000"/>
                <w:sz w:val="18"/>
                <w:szCs w:val="18"/>
                <w:lang w:val="en-US"/>
              </w:rPr>
            </w:pPr>
            <w:r w:rsidRPr="003B216E">
              <w:rPr>
                <w:rFonts w:asciiTheme="majorHAnsi" w:eastAsia="Times New Roman" w:hAnsiTheme="majorHAnsi" w:cstheme="majorHAnsi"/>
                <w:color w:val="000000"/>
                <w:sz w:val="18"/>
                <w:szCs w:val="18"/>
                <w:lang w:val="en-US"/>
              </w:rPr>
              <w:t>The surface area of the territory of the municipalities covered according to the municipal development plans</w:t>
            </w:r>
          </w:p>
        </w:tc>
        <w:tc>
          <w:tcPr>
            <w:tcW w:w="2577" w:type="dxa"/>
            <w:tcBorders>
              <w:top w:val="nil"/>
              <w:left w:val="nil"/>
              <w:bottom w:val="single" w:sz="4" w:space="0" w:color="auto"/>
              <w:right w:val="single" w:sz="4" w:space="0" w:color="auto"/>
            </w:tcBorders>
            <w:vAlign w:val="center"/>
            <w:hideMark/>
          </w:tcPr>
          <w:p w14:paraId="5A3A2748"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  </w:t>
            </w:r>
            <w:proofErr w:type="gramStart"/>
            <w:r w:rsidRPr="00A37A51">
              <w:rPr>
                <w:rFonts w:asciiTheme="majorHAnsi" w:eastAsia="Times New Roman" w:hAnsiTheme="majorHAnsi" w:cstheme="majorHAnsi"/>
                <w:color w:val="000000"/>
                <w:sz w:val="18"/>
                <w:szCs w:val="18"/>
                <w:lang w:val="en-US"/>
              </w:rPr>
              <w:t>0  points</w:t>
            </w:r>
            <w:proofErr w:type="gramEnd"/>
            <w:r w:rsidRPr="00A37A51">
              <w:rPr>
                <w:rFonts w:asciiTheme="majorHAnsi" w:eastAsia="Times New Roman" w:hAnsiTheme="majorHAnsi" w:cstheme="majorHAnsi"/>
                <w:color w:val="000000"/>
                <w:sz w:val="18"/>
                <w:szCs w:val="18"/>
                <w:lang w:val="en-US"/>
              </w:rPr>
              <w:t xml:space="preserve"> if the result in MPMS is up to29,99%, </w:t>
            </w:r>
            <w:r w:rsidRPr="00A37A51">
              <w:rPr>
                <w:rFonts w:asciiTheme="majorHAnsi" w:eastAsia="Times New Roman" w:hAnsiTheme="majorHAnsi" w:cstheme="majorHAnsi"/>
                <w:color w:val="000000"/>
                <w:sz w:val="18"/>
                <w:szCs w:val="18"/>
                <w:lang w:val="en-US"/>
              </w:rPr>
              <w:br/>
              <w:t xml:space="preserve">•  1 point if the result in MPMS is 30%, </w:t>
            </w:r>
            <w:r w:rsidRPr="00A37A51">
              <w:rPr>
                <w:rFonts w:asciiTheme="majorHAnsi" w:eastAsia="Times New Roman" w:hAnsiTheme="majorHAnsi" w:cstheme="majorHAnsi"/>
                <w:color w:val="000000"/>
                <w:sz w:val="18"/>
                <w:szCs w:val="18"/>
                <w:lang w:val="en-US"/>
              </w:rPr>
              <w:br/>
              <w:t xml:space="preserve">•  3  points if the result in MPMS is equal to or higher than 30% </w:t>
            </w:r>
          </w:p>
        </w:tc>
        <w:tc>
          <w:tcPr>
            <w:tcW w:w="1818" w:type="dxa"/>
            <w:tcBorders>
              <w:top w:val="nil"/>
              <w:left w:val="nil"/>
              <w:bottom w:val="single" w:sz="4" w:space="0" w:color="auto"/>
              <w:right w:val="single" w:sz="4" w:space="0" w:color="auto"/>
            </w:tcBorders>
            <w:noWrap/>
            <w:vAlign w:val="bottom"/>
            <w:hideMark/>
          </w:tcPr>
          <w:p w14:paraId="0401CF26"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54749E0D"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3</w:t>
            </w:r>
          </w:p>
        </w:tc>
        <w:tc>
          <w:tcPr>
            <w:tcW w:w="1710" w:type="dxa"/>
            <w:tcBorders>
              <w:top w:val="nil"/>
              <w:left w:val="nil"/>
              <w:bottom w:val="single" w:sz="4" w:space="0" w:color="auto"/>
              <w:right w:val="single" w:sz="4" w:space="0" w:color="auto"/>
            </w:tcBorders>
            <w:noWrap/>
            <w:vAlign w:val="center"/>
            <w:hideMark/>
          </w:tcPr>
          <w:p w14:paraId="18E029DF"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6AB31EFC"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7.1.1</w:t>
            </w:r>
          </w:p>
        </w:tc>
        <w:tc>
          <w:tcPr>
            <w:tcW w:w="2880" w:type="dxa"/>
            <w:tcBorders>
              <w:top w:val="nil"/>
              <w:left w:val="nil"/>
              <w:bottom w:val="single" w:sz="4" w:space="0" w:color="auto"/>
              <w:right w:val="single" w:sz="4" w:space="0" w:color="auto"/>
            </w:tcBorders>
            <w:vAlign w:val="bottom"/>
            <w:hideMark/>
          </w:tcPr>
          <w:p w14:paraId="74B8949E"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55764D1A"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3CD3EF75"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25</w:t>
            </w:r>
          </w:p>
        </w:tc>
        <w:tc>
          <w:tcPr>
            <w:tcW w:w="2435" w:type="dxa"/>
            <w:tcBorders>
              <w:top w:val="single" w:sz="4" w:space="0" w:color="auto"/>
              <w:left w:val="nil"/>
              <w:bottom w:val="single" w:sz="4" w:space="0" w:color="auto"/>
              <w:right w:val="single" w:sz="4" w:space="0" w:color="000000"/>
            </w:tcBorders>
            <w:vAlign w:val="center"/>
            <w:hideMark/>
          </w:tcPr>
          <w:p w14:paraId="2996332C"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Settlements involved in local public transport </w:t>
            </w:r>
          </w:p>
        </w:tc>
        <w:tc>
          <w:tcPr>
            <w:tcW w:w="2577" w:type="dxa"/>
            <w:tcBorders>
              <w:top w:val="nil"/>
              <w:left w:val="nil"/>
              <w:bottom w:val="single" w:sz="4" w:space="0" w:color="auto"/>
              <w:right w:val="single" w:sz="4" w:space="0" w:color="auto"/>
            </w:tcBorders>
            <w:vAlign w:val="center"/>
            <w:hideMark/>
          </w:tcPr>
          <w:p w14:paraId="0235E665"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 0 points if the result in MPMS is up to 49.99%, </w:t>
            </w:r>
            <w:r w:rsidRPr="00A37A51">
              <w:rPr>
                <w:rFonts w:asciiTheme="majorHAnsi" w:eastAsia="Times New Roman" w:hAnsiTheme="majorHAnsi" w:cstheme="majorHAnsi"/>
                <w:color w:val="000000"/>
                <w:sz w:val="18"/>
                <w:szCs w:val="18"/>
                <w:lang w:val="en-US"/>
              </w:rPr>
              <w:br/>
              <w:t xml:space="preserve">• 1 point if the result in MPMS is 50% - 79.99%, </w:t>
            </w:r>
            <w:r w:rsidRPr="00A37A51">
              <w:rPr>
                <w:rFonts w:asciiTheme="majorHAnsi" w:eastAsia="Times New Roman" w:hAnsiTheme="majorHAnsi" w:cstheme="majorHAnsi"/>
                <w:color w:val="000000"/>
                <w:sz w:val="18"/>
                <w:szCs w:val="18"/>
                <w:lang w:val="en-US"/>
              </w:rPr>
              <w:br/>
              <w:t>• 3 points if the result in MPMS is equal to or higher than 80%.</w:t>
            </w:r>
          </w:p>
        </w:tc>
        <w:tc>
          <w:tcPr>
            <w:tcW w:w="1818" w:type="dxa"/>
            <w:tcBorders>
              <w:top w:val="nil"/>
              <w:left w:val="nil"/>
              <w:bottom w:val="single" w:sz="4" w:space="0" w:color="auto"/>
              <w:right w:val="single" w:sz="4" w:space="0" w:color="auto"/>
            </w:tcBorders>
            <w:noWrap/>
            <w:vAlign w:val="bottom"/>
            <w:hideMark/>
          </w:tcPr>
          <w:p w14:paraId="68D46823"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37ABF071"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3</w:t>
            </w:r>
          </w:p>
        </w:tc>
        <w:tc>
          <w:tcPr>
            <w:tcW w:w="1710" w:type="dxa"/>
            <w:tcBorders>
              <w:top w:val="nil"/>
              <w:left w:val="nil"/>
              <w:bottom w:val="single" w:sz="4" w:space="0" w:color="auto"/>
              <w:right w:val="single" w:sz="4" w:space="0" w:color="auto"/>
            </w:tcBorders>
            <w:noWrap/>
            <w:vAlign w:val="center"/>
            <w:hideMark/>
          </w:tcPr>
          <w:p w14:paraId="5A33F4D8"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1644DB7D"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10.1.2</w:t>
            </w:r>
          </w:p>
        </w:tc>
        <w:tc>
          <w:tcPr>
            <w:tcW w:w="2880" w:type="dxa"/>
            <w:tcBorders>
              <w:top w:val="nil"/>
              <w:left w:val="nil"/>
              <w:bottom w:val="single" w:sz="4" w:space="0" w:color="auto"/>
              <w:right w:val="single" w:sz="4" w:space="0" w:color="auto"/>
            </w:tcBorders>
            <w:vAlign w:val="bottom"/>
            <w:hideMark/>
          </w:tcPr>
          <w:p w14:paraId="6AA4F5CB"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34DED194"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3678CEEA"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26</w:t>
            </w:r>
          </w:p>
        </w:tc>
        <w:tc>
          <w:tcPr>
            <w:tcW w:w="2435" w:type="dxa"/>
            <w:tcBorders>
              <w:top w:val="single" w:sz="4" w:space="0" w:color="auto"/>
              <w:left w:val="nil"/>
              <w:bottom w:val="single" w:sz="4" w:space="0" w:color="auto"/>
              <w:right w:val="single" w:sz="4" w:space="0" w:color="000000"/>
            </w:tcBorders>
            <w:vAlign w:val="center"/>
            <w:hideMark/>
          </w:tcPr>
          <w:p w14:paraId="53A6B322"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Implementation of the Local Environmental Action Plan</w:t>
            </w:r>
          </w:p>
        </w:tc>
        <w:tc>
          <w:tcPr>
            <w:tcW w:w="2577" w:type="dxa"/>
            <w:tcBorders>
              <w:top w:val="nil"/>
              <w:left w:val="nil"/>
              <w:bottom w:val="single" w:sz="4" w:space="0" w:color="auto"/>
              <w:right w:val="single" w:sz="4" w:space="0" w:color="auto"/>
            </w:tcBorders>
            <w:vAlign w:val="center"/>
            <w:hideMark/>
          </w:tcPr>
          <w:p w14:paraId="3D330E2C"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 0 points if the result in MPMS is up to 49.99%, </w:t>
            </w:r>
            <w:r w:rsidRPr="00A37A51">
              <w:rPr>
                <w:rFonts w:asciiTheme="majorHAnsi" w:eastAsia="Times New Roman" w:hAnsiTheme="majorHAnsi" w:cstheme="majorHAnsi"/>
                <w:color w:val="000000"/>
                <w:sz w:val="18"/>
                <w:szCs w:val="18"/>
                <w:lang w:val="en-US"/>
              </w:rPr>
              <w:br/>
              <w:t xml:space="preserve">• 1 point if the result in MPMS is 50% - 89.99% </w:t>
            </w:r>
            <w:r w:rsidRPr="00A37A51">
              <w:rPr>
                <w:rFonts w:asciiTheme="majorHAnsi" w:eastAsia="Times New Roman" w:hAnsiTheme="majorHAnsi" w:cstheme="majorHAnsi"/>
                <w:color w:val="000000"/>
                <w:sz w:val="18"/>
                <w:szCs w:val="18"/>
                <w:lang w:val="en-US"/>
              </w:rPr>
              <w:br/>
              <w:t>• 2 points if the result in MPMS is equal to or higher than 90%.</w:t>
            </w:r>
          </w:p>
        </w:tc>
        <w:tc>
          <w:tcPr>
            <w:tcW w:w="1818" w:type="dxa"/>
            <w:tcBorders>
              <w:top w:val="nil"/>
              <w:left w:val="nil"/>
              <w:bottom w:val="single" w:sz="4" w:space="0" w:color="auto"/>
              <w:right w:val="single" w:sz="4" w:space="0" w:color="auto"/>
            </w:tcBorders>
            <w:noWrap/>
            <w:vAlign w:val="bottom"/>
            <w:hideMark/>
          </w:tcPr>
          <w:p w14:paraId="6AB37A42"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026632BC"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2</w:t>
            </w:r>
          </w:p>
        </w:tc>
        <w:tc>
          <w:tcPr>
            <w:tcW w:w="1710" w:type="dxa"/>
            <w:tcBorders>
              <w:top w:val="nil"/>
              <w:left w:val="nil"/>
              <w:bottom w:val="single" w:sz="4" w:space="0" w:color="auto"/>
              <w:right w:val="single" w:sz="4" w:space="0" w:color="auto"/>
            </w:tcBorders>
            <w:noWrap/>
            <w:vAlign w:val="center"/>
            <w:hideMark/>
          </w:tcPr>
          <w:p w14:paraId="25B51A55"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2FC00606"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 xml:space="preserve">Indicator </w:t>
            </w:r>
            <w:proofErr w:type="gramStart"/>
            <w:r w:rsidRPr="00A37A51">
              <w:rPr>
                <w:rFonts w:asciiTheme="majorHAnsi" w:eastAsia="Times New Roman" w:hAnsiTheme="majorHAnsi" w:cstheme="majorHAnsi"/>
                <w:color w:val="000000"/>
                <w:sz w:val="18"/>
                <w:szCs w:val="18"/>
                <w:lang w:val="en-US"/>
              </w:rPr>
              <w:t>number  12</w:t>
            </w:r>
            <w:proofErr w:type="gramEnd"/>
            <w:r w:rsidRPr="00A37A51">
              <w:rPr>
                <w:rFonts w:asciiTheme="majorHAnsi" w:eastAsia="Times New Roman" w:hAnsiTheme="majorHAnsi" w:cstheme="majorHAnsi"/>
                <w:color w:val="000000"/>
                <w:sz w:val="18"/>
                <w:szCs w:val="18"/>
                <w:lang w:val="en-US"/>
              </w:rPr>
              <w:t>.1.1</w:t>
            </w:r>
          </w:p>
        </w:tc>
        <w:tc>
          <w:tcPr>
            <w:tcW w:w="2880" w:type="dxa"/>
            <w:tcBorders>
              <w:top w:val="nil"/>
              <w:left w:val="nil"/>
              <w:bottom w:val="single" w:sz="4" w:space="0" w:color="auto"/>
              <w:right w:val="single" w:sz="8" w:space="0" w:color="auto"/>
            </w:tcBorders>
            <w:noWrap/>
            <w:vAlign w:val="bottom"/>
            <w:hideMark/>
          </w:tcPr>
          <w:p w14:paraId="74B3E82C"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1DF25349"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A6C9EC"/>
            <w:noWrap/>
            <w:vAlign w:val="center"/>
            <w:hideMark/>
          </w:tcPr>
          <w:p w14:paraId="631ADC53"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IX</w:t>
            </w:r>
          </w:p>
        </w:tc>
        <w:tc>
          <w:tcPr>
            <w:tcW w:w="5012" w:type="dxa"/>
            <w:gridSpan w:val="2"/>
            <w:tcBorders>
              <w:top w:val="single" w:sz="4" w:space="0" w:color="auto"/>
              <w:left w:val="nil"/>
              <w:bottom w:val="single" w:sz="4" w:space="0" w:color="auto"/>
              <w:right w:val="single" w:sz="4" w:space="0" w:color="auto"/>
            </w:tcBorders>
            <w:shd w:val="clear" w:color="000000" w:fill="A6C9EC"/>
            <w:vAlign w:val="center"/>
            <w:hideMark/>
          </w:tcPr>
          <w:p w14:paraId="188359E2"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xml:space="preserve">Pre-University Education </w:t>
            </w:r>
          </w:p>
        </w:tc>
        <w:tc>
          <w:tcPr>
            <w:tcW w:w="1818" w:type="dxa"/>
            <w:tcBorders>
              <w:top w:val="nil"/>
              <w:left w:val="nil"/>
              <w:bottom w:val="single" w:sz="4" w:space="0" w:color="auto"/>
              <w:right w:val="single" w:sz="4" w:space="0" w:color="auto"/>
            </w:tcBorders>
            <w:shd w:val="clear" w:color="000000" w:fill="A6C9EC"/>
            <w:vAlign w:val="center"/>
            <w:hideMark/>
          </w:tcPr>
          <w:p w14:paraId="021C0501"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910" w:type="dxa"/>
            <w:tcBorders>
              <w:top w:val="nil"/>
              <w:left w:val="nil"/>
              <w:bottom w:val="single" w:sz="4" w:space="0" w:color="auto"/>
              <w:right w:val="single" w:sz="4" w:space="0" w:color="auto"/>
            </w:tcBorders>
            <w:shd w:val="clear" w:color="000000" w:fill="A6C9EC"/>
            <w:vAlign w:val="center"/>
            <w:hideMark/>
          </w:tcPr>
          <w:p w14:paraId="07F898EF"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8</w:t>
            </w:r>
          </w:p>
        </w:tc>
        <w:tc>
          <w:tcPr>
            <w:tcW w:w="1710" w:type="dxa"/>
            <w:tcBorders>
              <w:top w:val="nil"/>
              <w:left w:val="nil"/>
              <w:bottom w:val="single" w:sz="4" w:space="0" w:color="auto"/>
              <w:right w:val="single" w:sz="4" w:space="0" w:color="auto"/>
            </w:tcBorders>
            <w:shd w:val="clear" w:color="000000" w:fill="A6C9EC"/>
            <w:vAlign w:val="center"/>
            <w:hideMark/>
          </w:tcPr>
          <w:p w14:paraId="670FCAB0"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0</w:t>
            </w:r>
          </w:p>
        </w:tc>
        <w:tc>
          <w:tcPr>
            <w:tcW w:w="1260" w:type="dxa"/>
            <w:tcBorders>
              <w:top w:val="nil"/>
              <w:left w:val="nil"/>
              <w:bottom w:val="single" w:sz="4" w:space="0" w:color="auto"/>
              <w:right w:val="single" w:sz="4" w:space="0" w:color="auto"/>
            </w:tcBorders>
            <w:shd w:val="clear" w:color="000000" w:fill="A6C9EC"/>
            <w:vAlign w:val="center"/>
            <w:hideMark/>
          </w:tcPr>
          <w:p w14:paraId="63DFA5CE"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4" w:space="0" w:color="auto"/>
              <w:right w:val="single" w:sz="8" w:space="0" w:color="auto"/>
            </w:tcBorders>
            <w:shd w:val="clear" w:color="000000" w:fill="A6C9EC"/>
            <w:vAlign w:val="center"/>
            <w:hideMark/>
          </w:tcPr>
          <w:p w14:paraId="15E8C5A0"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r w:rsidR="00CE196C" w:rsidRPr="00A37A51" w14:paraId="34BD893D"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7471C7EC"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27</w:t>
            </w:r>
          </w:p>
        </w:tc>
        <w:tc>
          <w:tcPr>
            <w:tcW w:w="2435" w:type="dxa"/>
            <w:tcBorders>
              <w:top w:val="single" w:sz="4" w:space="0" w:color="auto"/>
              <w:left w:val="nil"/>
              <w:bottom w:val="single" w:sz="4" w:space="0" w:color="auto"/>
              <w:right w:val="single" w:sz="4" w:space="0" w:color="auto"/>
            </w:tcBorders>
            <w:vAlign w:val="bottom"/>
            <w:hideMark/>
          </w:tcPr>
          <w:p w14:paraId="4C0F8F9C" w14:textId="28FAF410" w:rsidR="00CE196C" w:rsidRPr="00A37A51" w:rsidRDefault="0091000E" w:rsidP="00CE196C">
            <w:pPr>
              <w:rPr>
                <w:rFonts w:asciiTheme="majorHAnsi" w:eastAsia="Times New Roman" w:hAnsiTheme="majorHAnsi" w:cstheme="majorHAnsi"/>
                <w:color w:val="000000"/>
                <w:sz w:val="18"/>
                <w:szCs w:val="18"/>
                <w:lang w:val="en-US"/>
              </w:rPr>
            </w:pPr>
            <w:r w:rsidRPr="0091000E">
              <w:rPr>
                <w:rFonts w:asciiTheme="majorHAnsi" w:eastAsia="Times New Roman" w:hAnsiTheme="majorHAnsi" w:cstheme="majorHAnsi"/>
                <w:color w:val="000000"/>
                <w:sz w:val="18"/>
                <w:szCs w:val="18"/>
                <w:lang w:val="en-US"/>
              </w:rPr>
              <w:t>Completing the required conditions with infrastructure, equipment and tools in pre-university education institutions</w:t>
            </w:r>
          </w:p>
        </w:tc>
        <w:tc>
          <w:tcPr>
            <w:tcW w:w="2577" w:type="dxa"/>
            <w:tcBorders>
              <w:top w:val="nil"/>
              <w:left w:val="nil"/>
              <w:bottom w:val="single" w:sz="4" w:space="0" w:color="auto"/>
              <w:right w:val="single" w:sz="4" w:space="0" w:color="auto"/>
            </w:tcBorders>
            <w:vAlign w:val="center"/>
            <w:hideMark/>
          </w:tcPr>
          <w:p w14:paraId="0C053CA6" w14:textId="691920C3"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0 points if the result in MPMS is up to 39,99%</w:t>
            </w:r>
            <w:r w:rsidRPr="00A37A51">
              <w:rPr>
                <w:rFonts w:asciiTheme="majorHAnsi" w:eastAsia="Times New Roman" w:hAnsiTheme="majorHAnsi" w:cstheme="majorHAnsi"/>
                <w:color w:val="000000"/>
                <w:sz w:val="18"/>
                <w:szCs w:val="18"/>
                <w:lang w:val="en-US"/>
              </w:rPr>
              <w:br/>
              <w:t xml:space="preserve">• </w:t>
            </w:r>
            <w:proofErr w:type="gramStart"/>
            <w:r w:rsidRPr="00A37A51">
              <w:rPr>
                <w:rFonts w:asciiTheme="majorHAnsi" w:eastAsia="Times New Roman" w:hAnsiTheme="majorHAnsi" w:cstheme="majorHAnsi"/>
                <w:color w:val="000000"/>
                <w:sz w:val="18"/>
                <w:szCs w:val="18"/>
                <w:lang w:val="en-US"/>
              </w:rPr>
              <w:t>1  point</w:t>
            </w:r>
            <w:proofErr w:type="gramEnd"/>
            <w:r w:rsidRPr="00A37A51">
              <w:rPr>
                <w:rFonts w:asciiTheme="majorHAnsi" w:eastAsia="Times New Roman" w:hAnsiTheme="majorHAnsi" w:cstheme="majorHAnsi"/>
                <w:color w:val="000000"/>
                <w:sz w:val="18"/>
                <w:szCs w:val="18"/>
                <w:lang w:val="en-US"/>
              </w:rPr>
              <w:t xml:space="preserve"> if the result in MPMS is 40% – 59,99%, </w:t>
            </w:r>
            <w:r w:rsidRPr="00A37A51">
              <w:rPr>
                <w:rFonts w:asciiTheme="majorHAnsi" w:eastAsia="Times New Roman" w:hAnsiTheme="majorHAnsi" w:cstheme="majorHAnsi"/>
                <w:color w:val="000000"/>
                <w:sz w:val="18"/>
                <w:szCs w:val="18"/>
                <w:lang w:val="en-US"/>
              </w:rPr>
              <w:br/>
              <w:t xml:space="preserve">• 2  point if the result in MPMS is 60% - </w:t>
            </w:r>
            <w:r w:rsidR="00FB57F4">
              <w:rPr>
                <w:rFonts w:asciiTheme="majorHAnsi" w:eastAsia="Times New Roman" w:hAnsiTheme="majorHAnsi" w:cstheme="majorHAnsi"/>
                <w:color w:val="000000"/>
                <w:sz w:val="18"/>
                <w:szCs w:val="18"/>
                <w:lang w:val="en-US"/>
              </w:rPr>
              <w:t>9</w:t>
            </w:r>
            <w:bookmarkStart w:id="135" w:name="_GoBack"/>
            <w:bookmarkEnd w:id="135"/>
            <w:r w:rsidRPr="00A37A51">
              <w:rPr>
                <w:rFonts w:asciiTheme="majorHAnsi" w:eastAsia="Times New Roman" w:hAnsiTheme="majorHAnsi" w:cstheme="majorHAnsi"/>
                <w:color w:val="000000"/>
                <w:sz w:val="18"/>
                <w:szCs w:val="18"/>
                <w:lang w:val="en-US"/>
              </w:rPr>
              <w:t xml:space="preserve">9,99% </w:t>
            </w:r>
            <w:r w:rsidRPr="00A37A51">
              <w:rPr>
                <w:rFonts w:asciiTheme="majorHAnsi" w:eastAsia="Times New Roman" w:hAnsiTheme="majorHAnsi" w:cstheme="majorHAnsi"/>
                <w:color w:val="000000"/>
                <w:sz w:val="18"/>
                <w:szCs w:val="18"/>
                <w:lang w:val="en-US"/>
              </w:rPr>
              <w:br/>
              <w:t>• 4 points if the result in MPMS is equal to or higher than 100%</w:t>
            </w:r>
          </w:p>
        </w:tc>
        <w:tc>
          <w:tcPr>
            <w:tcW w:w="1818" w:type="dxa"/>
            <w:tcBorders>
              <w:top w:val="nil"/>
              <w:left w:val="nil"/>
              <w:bottom w:val="single" w:sz="4" w:space="0" w:color="auto"/>
              <w:right w:val="single" w:sz="4" w:space="0" w:color="auto"/>
            </w:tcBorders>
            <w:noWrap/>
            <w:vAlign w:val="bottom"/>
            <w:hideMark/>
          </w:tcPr>
          <w:p w14:paraId="3FF47223"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1FCB8DA5"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4</w:t>
            </w:r>
          </w:p>
        </w:tc>
        <w:tc>
          <w:tcPr>
            <w:tcW w:w="1710" w:type="dxa"/>
            <w:tcBorders>
              <w:top w:val="nil"/>
              <w:left w:val="nil"/>
              <w:bottom w:val="single" w:sz="4" w:space="0" w:color="auto"/>
              <w:right w:val="single" w:sz="4" w:space="0" w:color="auto"/>
            </w:tcBorders>
            <w:noWrap/>
            <w:vAlign w:val="center"/>
            <w:hideMark/>
          </w:tcPr>
          <w:p w14:paraId="5F05C01E"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7AA81C2E"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14.1.3</w:t>
            </w:r>
          </w:p>
        </w:tc>
        <w:tc>
          <w:tcPr>
            <w:tcW w:w="2880" w:type="dxa"/>
            <w:tcBorders>
              <w:top w:val="nil"/>
              <w:left w:val="nil"/>
              <w:bottom w:val="single" w:sz="4" w:space="0" w:color="auto"/>
              <w:right w:val="single" w:sz="4" w:space="0" w:color="auto"/>
            </w:tcBorders>
            <w:vAlign w:val="bottom"/>
            <w:hideMark/>
          </w:tcPr>
          <w:p w14:paraId="1E4E1663"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634ABA42"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6646C89E"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lastRenderedPageBreak/>
              <w:t>28</w:t>
            </w:r>
          </w:p>
        </w:tc>
        <w:tc>
          <w:tcPr>
            <w:tcW w:w="2435" w:type="dxa"/>
            <w:tcBorders>
              <w:top w:val="single" w:sz="4" w:space="0" w:color="auto"/>
              <w:left w:val="nil"/>
              <w:bottom w:val="single" w:sz="4" w:space="0" w:color="auto"/>
              <w:right w:val="single" w:sz="4" w:space="0" w:color="auto"/>
            </w:tcBorders>
            <w:vAlign w:val="bottom"/>
            <w:hideMark/>
          </w:tcPr>
          <w:p w14:paraId="448B3EF9" w14:textId="05137ADE" w:rsidR="00CE196C" w:rsidRPr="00A37A51" w:rsidRDefault="0091000E" w:rsidP="00CE196C">
            <w:pPr>
              <w:rPr>
                <w:rFonts w:asciiTheme="majorHAnsi" w:eastAsia="Times New Roman" w:hAnsiTheme="majorHAnsi" w:cstheme="majorHAnsi"/>
                <w:color w:val="000000"/>
                <w:sz w:val="18"/>
                <w:szCs w:val="18"/>
                <w:lang w:val="en-US"/>
              </w:rPr>
            </w:pPr>
            <w:r w:rsidRPr="0091000E">
              <w:rPr>
                <w:rFonts w:asciiTheme="majorHAnsi" w:eastAsia="Times New Roman" w:hAnsiTheme="majorHAnsi" w:cstheme="majorHAnsi"/>
                <w:color w:val="000000"/>
                <w:sz w:val="18"/>
                <w:szCs w:val="18"/>
                <w:lang w:val="en-US"/>
              </w:rPr>
              <w:t>The level of compliance with the target student-to-teacher ratio</w:t>
            </w:r>
          </w:p>
        </w:tc>
        <w:tc>
          <w:tcPr>
            <w:tcW w:w="2577" w:type="dxa"/>
            <w:tcBorders>
              <w:top w:val="nil"/>
              <w:left w:val="nil"/>
              <w:bottom w:val="single" w:sz="4" w:space="0" w:color="auto"/>
              <w:right w:val="single" w:sz="4" w:space="0" w:color="auto"/>
            </w:tcBorders>
            <w:vAlign w:val="center"/>
            <w:hideMark/>
          </w:tcPr>
          <w:p w14:paraId="2CFBADAD"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0 points if the result in MPMS is up to 59,99%</w:t>
            </w:r>
            <w:r w:rsidRPr="00A37A51">
              <w:rPr>
                <w:rFonts w:asciiTheme="majorHAnsi" w:eastAsia="Times New Roman" w:hAnsiTheme="majorHAnsi" w:cstheme="majorHAnsi"/>
                <w:color w:val="000000"/>
                <w:sz w:val="18"/>
                <w:szCs w:val="18"/>
                <w:lang w:val="en-US"/>
              </w:rPr>
              <w:br/>
              <w:t xml:space="preserve">• </w:t>
            </w:r>
            <w:proofErr w:type="gramStart"/>
            <w:r w:rsidRPr="00A37A51">
              <w:rPr>
                <w:rFonts w:asciiTheme="majorHAnsi" w:eastAsia="Times New Roman" w:hAnsiTheme="majorHAnsi" w:cstheme="majorHAnsi"/>
                <w:color w:val="000000"/>
                <w:sz w:val="18"/>
                <w:szCs w:val="18"/>
                <w:lang w:val="en-US"/>
              </w:rPr>
              <w:t xml:space="preserve">2  </w:t>
            </w:r>
            <w:proofErr w:type="spellStart"/>
            <w:r w:rsidRPr="00A37A51">
              <w:rPr>
                <w:rFonts w:asciiTheme="majorHAnsi" w:eastAsia="Times New Roman" w:hAnsiTheme="majorHAnsi" w:cstheme="majorHAnsi"/>
                <w:color w:val="000000"/>
                <w:sz w:val="18"/>
                <w:szCs w:val="18"/>
                <w:lang w:val="en-US"/>
              </w:rPr>
              <w:t>pikë</w:t>
            </w:r>
            <w:proofErr w:type="spellEnd"/>
            <w:proofErr w:type="gramEnd"/>
            <w:r w:rsidRPr="00A37A51">
              <w:rPr>
                <w:rFonts w:asciiTheme="majorHAnsi" w:eastAsia="Times New Roman" w:hAnsiTheme="majorHAnsi" w:cstheme="majorHAnsi"/>
                <w:color w:val="000000"/>
                <w:sz w:val="18"/>
                <w:szCs w:val="18"/>
                <w:lang w:val="en-US"/>
              </w:rPr>
              <w:t xml:space="preserve"> </w:t>
            </w:r>
            <w:proofErr w:type="spellStart"/>
            <w:r w:rsidRPr="00A37A51">
              <w:rPr>
                <w:rFonts w:asciiTheme="majorHAnsi" w:eastAsia="Times New Roman" w:hAnsiTheme="majorHAnsi" w:cstheme="majorHAnsi"/>
                <w:color w:val="000000"/>
                <w:sz w:val="18"/>
                <w:szCs w:val="18"/>
                <w:lang w:val="en-US"/>
              </w:rPr>
              <w:t>nëse</w:t>
            </w:r>
            <w:proofErr w:type="spellEnd"/>
            <w:r w:rsidRPr="00A37A51">
              <w:rPr>
                <w:rFonts w:asciiTheme="majorHAnsi" w:eastAsia="Times New Roman" w:hAnsiTheme="majorHAnsi" w:cstheme="majorHAnsi"/>
                <w:color w:val="000000"/>
                <w:sz w:val="18"/>
                <w:szCs w:val="18"/>
                <w:lang w:val="en-US"/>
              </w:rPr>
              <w:t xml:space="preserve"> </w:t>
            </w:r>
            <w:proofErr w:type="spellStart"/>
            <w:r w:rsidRPr="00A37A51">
              <w:rPr>
                <w:rFonts w:asciiTheme="majorHAnsi" w:eastAsia="Times New Roman" w:hAnsiTheme="majorHAnsi" w:cstheme="majorHAnsi"/>
                <w:color w:val="000000"/>
                <w:sz w:val="18"/>
                <w:szCs w:val="18"/>
                <w:lang w:val="en-US"/>
              </w:rPr>
              <w:t>rezultati</w:t>
            </w:r>
            <w:proofErr w:type="spellEnd"/>
            <w:r w:rsidRPr="00A37A51">
              <w:rPr>
                <w:rFonts w:asciiTheme="majorHAnsi" w:eastAsia="Times New Roman" w:hAnsiTheme="majorHAnsi" w:cstheme="majorHAnsi"/>
                <w:color w:val="000000"/>
                <w:sz w:val="18"/>
                <w:szCs w:val="18"/>
                <w:lang w:val="en-US"/>
              </w:rPr>
              <w:t xml:space="preserve"> </w:t>
            </w:r>
            <w:proofErr w:type="spellStart"/>
            <w:r w:rsidRPr="00A37A51">
              <w:rPr>
                <w:rFonts w:asciiTheme="majorHAnsi" w:eastAsia="Times New Roman" w:hAnsiTheme="majorHAnsi" w:cstheme="majorHAnsi"/>
                <w:color w:val="000000"/>
                <w:sz w:val="18"/>
                <w:szCs w:val="18"/>
                <w:lang w:val="en-US"/>
              </w:rPr>
              <w:t>në</w:t>
            </w:r>
            <w:proofErr w:type="spellEnd"/>
            <w:r w:rsidRPr="00A37A51">
              <w:rPr>
                <w:rFonts w:asciiTheme="majorHAnsi" w:eastAsia="Times New Roman" w:hAnsiTheme="majorHAnsi" w:cstheme="majorHAnsi"/>
                <w:color w:val="000000"/>
                <w:sz w:val="18"/>
                <w:szCs w:val="18"/>
                <w:lang w:val="en-US"/>
              </w:rPr>
              <w:t xml:space="preserve"> SMPK </w:t>
            </w:r>
            <w:proofErr w:type="spellStart"/>
            <w:r w:rsidRPr="00A37A51">
              <w:rPr>
                <w:rFonts w:asciiTheme="majorHAnsi" w:eastAsia="Times New Roman" w:hAnsiTheme="majorHAnsi" w:cstheme="majorHAnsi"/>
                <w:color w:val="000000"/>
                <w:sz w:val="18"/>
                <w:szCs w:val="18"/>
                <w:lang w:val="en-US"/>
              </w:rPr>
              <w:t>është</w:t>
            </w:r>
            <w:proofErr w:type="spellEnd"/>
            <w:r w:rsidRPr="00A37A51">
              <w:rPr>
                <w:rFonts w:asciiTheme="majorHAnsi" w:eastAsia="Times New Roman" w:hAnsiTheme="majorHAnsi" w:cstheme="majorHAnsi"/>
                <w:color w:val="000000"/>
                <w:sz w:val="18"/>
                <w:szCs w:val="18"/>
                <w:lang w:val="en-US"/>
              </w:rPr>
              <w:t xml:space="preserve"> </w:t>
            </w:r>
            <w:proofErr w:type="spellStart"/>
            <w:r w:rsidRPr="00A37A51">
              <w:rPr>
                <w:rFonts w:asciiTheme="majorHAnsi" w:eastAsia="Times New Roman" w:hAnsiTheme="majorHAnsi" w:cstheme="majorHAnsi"/>
                <w:color w:val="000000"/>
                <w:sz w:val="18"/>
                <w:szCs w:val="18"/>
                <w:lang w:val="en-US"/>
              </w:rPr>
              <w:t>më</w:t>
            </w:r>
            <w:proofErr w:type="spellEnd"/>
            <w:r w:rsidRPr="00A37A51">
              <w:rPr>
                <w:rFonts w:asciiTheme="majorHAnsi" w:eastAsia="Times New Roman" w:hAnsiTheme="majorHAnsi" w:cstheme="majorHAnsi"/>
                <w:color w:val="000000"/>
                <w:sz w:val="18"/>
                <w:szCs w:val="18"/>
                <w:lang w:val="en-US"/>
              </w:rPr>
              <w:t xml:space="preserve"> </w:t>
            </w:r>
            <w:proofErr w:type="spellStart"/>
            <w:r w:rsidRPr="00A37A51">
              <w:rPr>
                <w:rFonts w:asciiTheme="majorHAnsi" w:eastAsia="Times New Roman" w:hAnsiTheme="majorHAnsi" w:cstheme="majorHAnsi"/>
                <w:color w:val="000000"/>
                <w:sz w:val="18"/>
                <w:szCs w:val="18"/>
                <w:lang w:val="en-US"/>
              </w:rPr>
              <w:t>i</w:t>
            </w:r>
            <w:proofErr w:type="spellEnd"/>
            <w:r w:rsidRPr="00A37A51">
              <w:rPr>
                <w:rFonts w:asciiTheme="majorHAnsi" w:eastAsia="Times New Roman" w:hAnsiTheme="majorHAnsi" w:cstheme="majorHAnsi"/>
                <w:color w:val="000000"/>
                <w:sz w:val="18"/>
                <w:szCs w:val="18"/>
                <w:lang w:val="en-US"/>
              </w:rPr>
              <w:t xml:space="preserve"> </w:t>
            </w:r>
            <w:proofErr w:type="spellStart"/>
            <w:r w:rsidRPr="00A37A51">
              <w:rPr>
                <w:rFonts w:asciiTheme="majorHAnsi" w:eastAsia="Times New Roman" w:hAnsiTheme="majorHAnsi" w:cstheme="majorHAnsi"/>
                <w:color w:val="000000"/>
                <w:sz w:val="18"/>
                <w:szCs w:val="18"/>
                <w:lang w:val="en-US"/>
              </w:rPr>
              <w:t>madhe</w:t>
            </w:r>
            <w:proofErr w:type="spellEnd"/>
            <w:r w:rsidRPr="00A37A51">
              <w:rPr>
                <w:rFonts w:asciiTheme="majorHAnsi" w:eastAsia="Times New Roman" w:hAnsiTheme="majorHAnsi" w:cstheme="majorHAnsi"/>
                <w:color w:val="000000"/>
                <w:sz w:val="18"/>
                <w:szCs w:val="18"/>
                <w:lang w:val="en-US"/>
              </w:rPr>
              <w:t xml:space="preserve"> se 60% - 99,99% </w:t>
            </w:r>
            <w:r w:rsidRPr="00A37A51">
              <w:rPr>
                <w:rFonts w:asciiTheme="majorHAnsi" w:eastAsia="Times New Roman" w:hAnsiTheme="majorHAnsi" w:cstheme="majorHAnsi"/>
                <w:color w:val="000000"/>
                <w:sz w:val="18"/>
                <w:szCs w:val="18"/>
                <w:lang w:val="en-US"/>
              </w:rPr>
              <w:br/>
              <w:t>• 4 point if the result in MPMS is 100%</w:t>
            </w:r>
          </w:p>
        </w:tc>
        <w:tc>
          <w:tcPr>
            <w:tcW w:w="1818" w:type="dxa"/>
            <w:tcBorders>
              <w:top w:val="nil"/>
              <w:left w:val="nil"/>
              <w:bottom w:val="single" w:sz="4" w:space="0" w:color="auto"/>
              <w:right w:val="single" w:sz="4" w:space="0" w:color="auto"/>
            </w:tcBorders>
            <w:noWrap/>
            <w:vAlign w:val="bottom"/>
            <w:hideMark/>
          </w:tcPr>
          <w:p w14:paraId="4E4289CF"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69AD9A5F"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4</w:t>
            </w:r>
          </w:p>
        </w:tc>
        <w:tc>
          <w:tcPr>
            <w:tcW w:w="1710" w:type="dxa"/>
            <w:tcBorders>
              <w:top w:val="nil"/>
              <w:left w:val="nil"/>
              <w:bottom w:val="single" w:sz="4" w:space="0" w:color="auto"/>
              <w:right w:val="single" w:sz="4" w:space="0" w:color="auto"/>
            </w:tcBorders>
            <w:noWrap/>
            <w:vAlign w:val="center"/>
            <w:hideMark/>
          </w:tcPr>
          <w:p w14:paraId="440815FD"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05405ED5"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 xml:space="preserve">Indicator </w:t>
            </w:r>
            <w:proofErr w:type="gramStart"/>
            <w:r w:rsidRPr="00A37A51">
              <w:rPr>
                <w:rFonts w:asciiTheme="majorHAnsi" w:eastAsia="Times New Roman" w:hAnsiTheme="majorHAnsi" w:cstheme="majorHAnsi"/>
                <w:color w:val="000000"/>
                <w:sz w:val="18"/>
                <w:szCs w:val="18"/>
                <w:lang w:val="en-US"/>
              </w:rPr>
              <w:t>number  14</w:t>
            </w:r>
            <w:proofErr w:type="gramEnd"/>
            <w:r w:rsidRPr="00A37A51">
              <w:rPr>
                <w:rFonts w:asciiTheme="majorHAnsi" w:eastAsia="Times New Roman" w:hAnsiTheme="majorHAnsi" w:cstheme="majorHAnsi"/>
                <w:color w:val="000000"/>
                <w:sz w:val="18"/>
                <w:szCs w:val="18"/>
                <w:lang w:val="en-US"/>
              </w:rPr>
              <w:t>.2.1</w:t>
            </w:r>
          </w:p>
        </w:tc>
        <w:tc>
          <w:tcPr>
            <w:tcW w:w="2880" w:type="dxa"/>
            <w:tcBorders>
              <w:top w:val="nil"/>
              <w:left w:val="nil"/>
              <w:bottom w:val="single" w:sz="4" w:space="0" w:color="auto"/>
              <w:right w:val="single" w:sz="8" w:space="0" w:color="auto"/>
            </w:tcBorders>
            <w:noWrap/>
            <w:vAlign w:val="bottom"/>
            <w:hideMark/>
          </w:tcPr>
          <w:p w14:paraId="1182D5A4"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2A53E1" w:rsidRPr="00A37A51" w14:paraId="0DCD6CDF" w14:textId="77777777" w:rsidTr="00F502E8">
        <w:trPr>
          <w:trHeight w:val="728"/>
        </w:trPr>
        <w:tc>
          <w:tcPr>
            <w:tcW w:w="558" w:type="dxa"/>
            <w:tcBorders>
              <w:top w:val="nil"/>
              <w:left w:val="single" w:sz="8" w:space="0" w:color="auto"/>
              <w:bottom w:val="single" w:sz="4" w:space="0" w:color="auto"/>
              <w:right w:val="single" w:sz="4" w:space="0" w:color="auto"/>
            </w:tcBorders>
            <w:shd w:val="clear" w:color="000000" w:fill="A6C9EC"/>
            <w:noWrap/>
            <w:vAlign w:val="center"/>
            <w:hideMark/>
          </w:tcPr>
          <w:p w14:paraId="44D87355"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X</w:t>
            </w:r>
          </w:p>
        </w:tc>
        <w:tc>
          <w:tcPr>
            <w:tcW w:w="6830" w:type="dxa"/>
            <w:gridSpan w:val="3"/>
            <w:tcBorders>
              <w:top w:val="single" w:sz="4" w:space="0" w:color="auto"/>
              <w:left w:val="nil"/>
              <w:bottom w:val="single" w:sz="4" w:space="0" w:color="auto"/>
              <w:right w:val="single" w:sz="4" w:space="0" w:color="auto"/>
            </w:tcBorders>
            <w:shd w:val="clear" w:color="000000" w:fill="A6C9EC"/>
            <w:vAlign w:val="center"/>
            <w:hideMark/>
          </w:tcPr>
          <w:p w14:paraId="3ECD594C" w14:textId="77777777" w:rsidR="00CE196C" w:rsidRPr="00A37A51" w:rsidRDefault="00CE196C" w:rsidP="00CE196C">
            <w:pPr>
              <w:spacing w:after="240"/>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xml:space="preserve">Primary health care                                                                                   </w:t>
            </w:r>
          </w:p>
        </w:tc>
        <w:tc>
          <w:tcPr>
            <w:tcW w:w="910" w:type="dxa"/>
            <w:tcBorders>
              <w:top w:val="nil"/>
              <w:left w:val="nil"/>
              <w:bottom w:val="single" w:sz="4" w:space="0" w:color="auto"/>
              <w:right w:val="single" w:sz="4" w:space="0" w:color="auto"/>
            </w:tcBorders>
            <w:shd w:val="clear" w:color="000000" w:fill="A6C9EC"/>
            <w:vAlign w:val="center"/>
            <w:hideMark/>
          </w:tcPr>
          <w:p w14:paraId="66E79525"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8</w:t>
            </w:r>
          </w:p>
        </w:tc>
        <w:tc>
          <w:tcPr>
            <w:tcW w:w="1710" w:type="dxa"/>
            <w:tcBorders>
              <w:top w:val="nil"/>
              <w:left w:val="nil"/>
              <w:bottom w:val="single" w:sz="4" w:space="0" w:color="auto"/>
              <w:right w:val="single" w:sz="4" w:space="0" w:color="auto"/>
            </w:tcBorders>
            <w:shd w:val="clear" w:color="000000" w:fill="A6C9EC"/>
            <w:vAlign w:val="center"/>
            <w:hideMark/>
          </w:tcPr>
          <w:p w14:paraId="5D5192CB"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0</w:t>
            </w:r>
          </w:p>
        </w:tc>
        <w:tc>
          <w:tcPr>
            <w:tcW w:w="1260" w:type="dxa"/>
            <w:tcBorders>
              <w:top w:val="nil"/>
              <w:left w:val="nil"/>
              <w:bottom w:val="single" w:sz="4" w:space="0" w:color="auto"/>
              <w:right w:val="single" w:sz="4" w:space="0" w:color="auto"/>
            </w:tcBorders>
            <w:shd w:val="clear" w:color="000000" w:fill="A6C9EC"/>
            <w:vAlign w:val="center"/>
            <w:hideMark/>
          </w:tcPr>
          <w:p w14:paraId="1D79543C"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4" w:space="0" w:color="auto"/>
              <w:right w:val="single" w:sz="8" w:space="0" w:color="auto"/>
            </w:tcBorders>
            <w:shd w:val="clear" w:color="000000" w:fill="A6C9EC"/>
            <w:vAlign w:val="center"/>
            <w:hideMark/>
          </w:tcPr>
          <w:p w14:paraId="52A13725"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r w:rsidR="00CE196C" w:rsidRPr="00A37A51" w14:paraId="0BD65F45"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1CD6661B"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29</w:t>
            </w:r>
          </w:p>
        </w:tc>
        <w:tc>
          <w:tcPr>
            <w:tcW w:w="2435" w:type="dxa"/>
            <w:tcBorders>
              <w:top w:val="single" w:sz="4" w:space="0" w:color="auto"/>
              <w:left w:val="nil"/>
              <w:bottom w:val="single" w:sz="4" w:space="0" w:color="auto"/>
              <w:right w:val="single" w:sz="4" w:space="0" w:color="auto"/>
            </w:tcBorders>
            <w:vAlign w:val="center"/>
            <w:hideMark/>
          </w:tcPr>
          <w:p w14:paraId="6817CB09"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Primary Health Care Units equipped with necessary laboratory equipment and services. </w:t>
            </w:r>
          </w:p>
        </w:tc>
        <w:tc>
          <w:tcPr>
            <w:tcW w:w="2577" w:type="dxa"/>
            <w:tcBorders>
              <w:top w:val="nil"/>
              <w:left w:val="nil"/>
              <w:bottom w:val="single" w:sz="4" w:space="0" w:color="auto"/>
              <w:right w:val="single" w:sz="4" w:space="0" w:color="auto"/>
            </w:tcBorders>
            <w:vAlign w:val="center"/>
            <w:hideMark/>
          </w:tcPr>
          <w:p w14:paraId="73D4FF11"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0 points if the result in MPMS is up to 33,32%</w:t>
            </w:r>
            <w:r w:rsidRPr="00A37A51">
              <w:rPr>
                <w:rFonts w:asciiTheme="majorHAnsi" w:eastAsia="Times New Roman" w:hAnsiTheme="majorHAnsi" w:cstheme="majorHAnsi"/>
                <w:color w:val="000000"/>
                <w:sz w:val="18"/>
                <w:szCs w:val="18"/>
                <w:lang w:val="en-US"/>
              </w:rPr>
              <w:br/>
              <w:t xml:space="preserve">• 1 point if the result in MPMS is 33,33% </w:t>
            </w:r>
            <w:r w:rsidRPr="00A37A51">
              <w:rPr>
                <w:rFonts w:asciiTheme="majorHAnsi" w:eastAsia="Times New Roman" w:hAnsiTheme="majorHAnsi" w:cstheme="majorHAnsi"/>
                <w:color w:val="000000"/>
                <w:sz w:val="18"/>
                <w:szCs w:val="18"/>
                <w:lang w:val="en-US"/>
              </w:rPr>
              <w:br/>
              <w:t xml:space="preserve">• 2 point if the result in MPMS </w:t>
            </w:r>
            <w:proofErr w:type="gramStart"/>
            <w:r w:rsidRPr="00A37A51">
              <w:rPr>
                <w:rFonts w:asciiTheme="majorHAnsi" w:eastAsia="Times New Roman" w:hAnsiTheme="majorHAnsi" w:cstheme="majorHAnsi"/>
                <w:color w:val="000000"/>
                <w:sz w:val="18"/>
                <w:szCs w:val="18"/>
                <w:lang w:val="en-US"/>
              </w:rPr>
              <w:t>is  33</w:t>
            </w:r>
            <w:proofErr w:type="gramEnd"/>
            <w:r w:rsidRPr="00A37A51">
              <w:rPr>
                <w:rFonts w:asciiTheme="majorHAnsi" w:eastAsia="Times New Roman" w:hAnsiTheme="majorHAnsi" w:cstheme="majorHAnsi"/>
                <w:color w:val="000000"/>
                <w:sz w:val="18"/>
                <w:szCs w:val="18"/>
                <w:lang w:val="en-US"/>
              </w:rPr>
              <w:t xml:space="preserve">,34% -66,66% </w:t>
            </w:r>
            <w:r w:rsidRPr="00A37A51">
              <w:rPr>
                <w:rFonts w:asciiTheme="majorHAnsi" w:eastAsia="Times New Roman" w:hAnsiTheme="majorHAnsi" w:cstheme="majorHAnsi"/>
                <w:color w:val="000000"/>
                <w:sz w:val="18"/>
                <w:szCs w:val="18"/>
                <w:lang w:val="en-US"/>
              </w:rPr>
              <w:br/>
              <w:t>• 4 points if the result in MPMS is equal to or higher than 66.67%</w:t>
            </w:r>
          </w:p>
        </w:tc>
        <w:tc>
          <w:tcPr>
            <w:tcW w:w="1818" w:type="dxa"/>
            <w:tcBorders>
              <w:top w:val="nil"/>
              <w:left w:val="nil"/>
              <w:bottom w:val="single" w:sz="4" w:space="0" w:color="auto"/>
              <w:right w:val="single" w:sz="4" w:space="0" w:color="auto"/>
            </w:tcBorders>
            <w:noWrap/>
            <w:vAlign w:val="bottom"/>
            <w:hideMark/>
          </w:tcPr>
          <w:p w14:paraId="4D4A3778"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333EE005"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4</w:t>
            </w:r>
          </w:p>
        </w:tc>
        <w:tc>
          <w:tcPr>
            <w:tcW w:w="1710" w:type="dxa"/>
            <w:tcBorders>
              <w:top w:val="nil"/>
              <w:left w:val="nil"/>
              <w:bottom w:val="single" w:sz="4" w:space="0" w:color="auto"/>
              <w:right w:val="single" w:sz="4" w:space="0" w:color="auto"/>
            </w:tcBorders>
            <w:noWrap/>
            <w:vAlign w:val="center"/>
            <w:hideMark/>
          </w:tcPr>
          <w:p w14:paraId="0E24E91A"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390F3049"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 xml:space="preserve">Indicator </w:t>
            </w:r>
            <w:proofErr w:type="gramStart"/>
            <w:r w:rsidRPr="00A37A51">
              <w:rPr>
                <w:rFonts w:asciiTheme="majorHAnsi" w:eastAsia="Times New Roman" w:hAnsiTheme="majorHAnsi" w:cstheme="majorHAnsi"/>
                <w:color w:val="000000"/>
                <w:sz w:val="18"/>
                <w:szCs w:val="18"/>
                <w:lang w:val="en-US"/>
              </w:rPr>
              <w:t>number  15</w:t>
            </w:r>
            <w:proofErr w:type="gramEnd"/>
            <w:r w:rsidRPr="00A37A51">
              <w:rPr>
                <w:rFonts w:asciiTheme="majorHAnsi" w:eastAsia="Times New Roman" w:hAnsiTheme="majorHAnsi" w:cstheme="majorHAnsi"/>
                <w:color w:val="000000"/>
                <w:sz w:val="18"/>
                <w:szCs w:val="18"/>
                <w:lang w:val="en-US"/>
              </w:rPr>
              <w:t>.1.1</w:t>
            </w:r>
          </w:p>
        </w:tc>
        <w:tc>
          <w:tcPr>
            <w:tcW w:w="2880" w:type="dxa"/>
            <w:tcBorders>
              <w:top w:val="nil"/>
              <w:left w:val="nil"/>
              <w:bottom w:val="single" w:sz="4" w:space="0" w:color="auto"/>
              <w:right w:val="single" w:sz="4" w:space="0" w:color="auto"/>
            </w:tcBorders>
            <w:vAlign w:val="bottom"/>
            <w:hideMark/>
          </w:tcPr>
          <w:p w14:paraId="16BC2FF2"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6089EC7B"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1D1CCC4F"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30</w:t>
            </w:r>
          </w:p>
        </w:tc>
        <w:tc>
          <w:tcPr>
            <w:tcW w:w="2435" w:type="dxa"/>
            <w:tcBorders>
              <w:top w:val="single" w:sz="4" w:space="0" w:color="auto"/>
              <w:left w:val="nil"/>
              <w:bottom w:val="single" w:sz="4" w:space="0" w:color="auto"/>
              <w:right w:val="single" w:sz="4" w:space="0" w:color="auto"/>
            </w:tcBorders>
            <w:vAlign w:val="center"/>
            <w:hideMark/>
          </w:tcPr>
          <w:p w14:paraId="74D6B336"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Level of compliance with family medicine and oral health teams </w:t>
            </w:r>
          </w:p>
        </w:tc>
        <w:tc>
          <w:tcPr>
            <w:tcW w:w="2577" w:type="dxa"/>
            <w:tcBorders>
              <w:top w:val="nil"/>
              <w:left w:val="nil"/>
              <w:bottom w:val="single" w:sz="4" w:space="0" w:color="auto"/>
              <w:right w:val="single" w:sz="4" w:space="0" w:color="auto"/>
            </w:tcBorders>
            <w:vAlign w:val="center"/>
            <w:hideMark/>
          </w:tcPr>
          <w:p w14:paraId="6BA60784"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br/>
              <w:t>• 0 points if the result in MPMS is up to 29,99%</w:t>
            </w:r>
            <w:r w:rsidRPr="00A37A51">
              <w:rPr>
                <w:rFonts w:asciiTheme="majorHAnsi" w:eastAsia="Times New Roman" w:hAnsiTheme="majorHAnsi" w:cstheme="majorHAnsi"/>
                <w:color w:val="000000"/>
                <w:sz w:val="18"/>
                <w:szCs w:val="18"/>
                <w:lang w:val="en-US"/>
              </w:rPr>
              <w:br/>
              <w:t xml:space="preserve">• 1 point if the result in MPMS is 30 – 49,99% </w:t>
            </w:r>
            <w:r w:rsidRPr="00A37A51">
              <w:rPr>
                <w:rFonts w:asciiTheme="majorHAnsi" w:eastAsia="Times New Roman" w:hAnsiTheme="majorHAnsi" w:cstheme="majorHAnsi"/>
                <w:color w:val="000000"/>
                <w:sz w:val="18"/>
                <w:szCs w:val="18"/>
                <w:lang w:val="en-US"/>
              </w:rPr>
              <w:br/>
              <w:t>• 2 point if the result in MPMS is 50%-69,99%</w:t>
            </w:r>
            <w:r w:rsidRPr="00A37A51">
              <w:rPr>
                <w:rFonts w:asciiTheme="majorHAnsi" w:eastAsia="Times New Roman" w:hAnsiTheme="majorHAnsi" w:cstheme="majorHAnsi"/>
                <w:color w:val="000000"/>
                <w:sz w:val="18"/>
                <w:szCs w:val="18"/>
                <w:lang w:val="en-US"/>
              </w:rPr>
              <w:br/>
              <w:t>• 3 point if the result in MPMS is 70%-89,99%</w:t>
            </w:r>
            <w:r w:rsidRPr="00A37A51">
              <w:rPr>
                <w:rFonts w:asciiTheme="majorHAnsi" w:eastAsia="Times New Roman" w:hAnsiTheme="majorHAnsi" w:cstheme="majorHAnsi"/>
                <w:color w:val="000000"/>
                <w:sz w:val="18"/>
                <w:szCs w:val="18"/>
                <w:lang w:val="en-US"/>
              </w:rPr>
              <w:br/>
              <w:t xml:space="preserve">• </w:t>
            </w:r>
            <w:proofErr w:type="gramStart"/>
            <w:r w:rsidRPr="00A37A51">
              <w:rPr>
                <w:rFonts w:asciiTheme="majorHAnsi" w:eastAsia="Times New Roman" w:hAnsiTheme="majorHAnsi" w:cstheme="majorHAnsi"/>
                <w:color w:val="000000"/>
                <w:sz w:val="18"/>
                <w:szCs w:val="18"/>
                <w:lang w:val="en-US"/>
              </w:rPr>
              <w:t>4  points</w:t>
            </w:r>
            <w:proofErr w:type="gramEnd"/>
            <w:r w:rsidRPr="00A37A51">
              <w:rPr>
                <w:rFonts w:asciiTheme="majorHAnsi" w:eastAsia="Times New Roman" w:hAnsiTheme="majorHAnsi" w:cstheme="majorHAnsi"/>
                <w:color w:val="000000"/>
                <w:sz w:val="18"/>
                <w:szCs w:val="18"/>
                <w:lang w:val="en-US"/>
              </w:rPr>
              <w:t xml:space="preserve"> if the result in MPMS is equal to or higher than 90%</w:t>
            </w:r>
          </w:p>
        </w:tc>
        <w:tc>
          <w:tcPr>
            <w:tcW w:w="1818" w:type="dxa"/>
            <w:tcBorders>
              <w:top w:val="nil"/>
              <w:left w:val="nil"/>
              <w:bottom w:val="single" w:sz="4" w:space="0" w:color="auto"/>
              <w:right w:val="single" w:sz="4" w:space="0" w:color="auto"/>
            </w:tcBorders>
            <w:noWrap/>
            <w:vAlign w:val="bottom"/>
            <w:hideMark/>
          </w:tcPr>
          <w:p w14:paraId="5B7B382E"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212725D6"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4</w:t>
            </w:r>
          </w:p>
        </w:tc>
        <w:tc>
          <w:tcPr>
            <w:tcW w:w="1710" w:type="dxa"/>
            <w:tcBorders>
              <w:top w:val="nil"/>
              <w:left w:val="nil"/>
              <w:bottom w:val="single" w:sz="4" w:space="0" w:color="auto"/>
              <w:right w:val="single" w:sz="4" w:space="0" w:color="auto"/>
            </w:tcBorders>
            <w:noWrap/>
            <w:vAlign w:val="center"/>
            <w:hideMark/>
          </w:tcPr>
          <w:p w14:paraId="75E35682"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2D7ABC47"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15.2.1</w:t>
            </w:r>
          </w:p>
        </w:tc>
        <w:tc>
          <w:tcPr>
            <w:tcW w:w="2880" w:type="dxa"/>
            <w:tcBorders>
              <w:top w:val="nil"/>
              <w:left w:val="nil"/>
              <w:bottom w:val="single" w:sz="4" w:space="0" w:color="auto"/>
              <w:right w:val="single" w:sz="8" w:space="0" w:color="auto"/>
            </w:tcBorders>
            <w:noWrap/>
            <w:vAlign w:val="bottom"/>
            <w:hideMark/>
          </w:tcPr>
          <w:p w14:paraId="5895BDCB"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46C5FBD8" w14:textId="77777777" w:rsidTr="0035453C">
        <w:trPr>
          <w:trHeight w:val="793"/>
        </w:trPr>
        <w:tc>
          <w:tcPr>
            <w:tcW w:w="7388" w:type="dxa"/>
            <w:gridSpan w:val="4"/>
            <w:tcBorders>
              <w:top w:val="single" w:sz="4" w:space="0" w:color="auto"/>
              <w:left w:val="single" w:sz="8" w:space="0" w:color="auto"/>
              <w:bottom w:val="single" w:sz="8" w:space="0" w:color="auto"/>
              <w:right w:val="single" w:sz="4" w:space="0" w:color="000000"/>
            </w:tcBorders>
            <w:shd w:val="clear" w:color="000000" w:fill="215C98"/>
            <w:vAlign w:val="center"/>
            <w:hideMark/>
          </w:tcPr>
          <w:p w14:paraId="03B51C59"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xml:space="preserve">Final result </w:t>
            </w:r>
          </w:p>
        </w:tc>
        <w:tc>
          <w:tcPr>
            <w:tcW w:w="910" w:type="dxa"/>
            <w:tcBorders>
              <w:top w:val="nil"/>
              <w:left w:val="nil"/>
              <w:bottom w:val="single" w:sz="8" w:space="0" w:color="auto"/>
              <w:right w:val="single" w:sz="4" w:space="0" w:color="auto"/>
            </w:tcBorders>
            <w:shd w:val="clear" w:color="000000" w:fill="215C98"/>
            <w:vAlign w:val="center"/>
            <w:hideMark/>
          </w:tcPr>
          <w:p w14:paraId="560D3BBA" w14:textId="4663D679" w:rsidR="00CE196C" w:rsidRPr="00A37A51" w:rsidRDefault="00F502E8" w:rsidP="00CE196C">
            <w:pPr>
              <w:jc w:val="center"/>
              <w:rPr>
                <w:rFonts w:asciiTheme="majorHAnsi" w:eastAsia="Times New Roman" w:hAnsiTheme="majorHAnsi" w:cstheme="majorHAnsi"/>
                <w:b/>
                <w:bCs/>
                <w:color w:val="FFFFFF"/>
                <w:sz w:val="18"/>
                <w:szCs w:val="18"/>
                <w:lang w:val="en-US"/>
              </w:rPr>
            </w:pPr>
            <w:r>
              <w:rPr>
                <w:rFonts w:asciiTheme="majorHAnsi" w:eastAsia="Times New Roman" w:hAnsiTheme="majorHAnsi" w:cstheme="majorHAnsi"/>
                <w:b/>
                <w:bCs/>
                <w:color w:val="FFFFFF"/>
                <w:sz w:val="18"/>
                <w:szCs w:val="18"/>
                <w:lang w:val="en-US"/>
              </w:rPr>
              <w:t>9</w:t>
            </w:r>
            <w:r w:rsidR="006E0888">
              <w:rPr>
                <w:rFonts w:asciiTheme="majorHAnsi" w:eastAsia="Times New Roman" w:hAnsiTheme="majorHAnsi" w:cstheme="majorHAnsi"/>
                <w:b/>
                <w:bCs/>
                <w:color w:val="FFFFFF"/>
                <w:sz w:val="18"/>
                <w:szCs w:val="18"/>
                <w:lang w:val="en-US"/>
              </w:rPr>
              <w:t>8</w:t>
            </w:r>
          </w:p>
        </w:tc>
        <w:tc>
          <w:tcPr>
            <w:tcW w:w="1710" w:type="dxa"/>
            <w:tcBorders>
              <w:top w:val="nil"/>
              <w:left w:val="nil"/>
              <w:bottom w:val="single" w:sz="8" w:space="0" w:color="auto"/>
              <w:right w:val="single" w:sz="4" w:space="0" w:color="auto"/>
            </w:tcBorders>
            <w:shd w:val="clear" w:color="000000" w:fill="215C98"/>
            <w:vAlign w:val="center"/>
            <w:hideMark/>
          </w:tcPr>
          <w:p w14:paraId="54B92DA7"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1260" w:type="dxa"/>
            <w:tcBorders>
              <w:top w:val="nil"/>
              <w:left w:val="nil"/>
              <w:bottom w:val="single" w:sz="8" w:space="0" w:color="auto"/>
              <w:right w:val="single" w:sz="4" w:space="0" w:color="auto"/>
            </w:tcBorders>
            <w:shd w:val="clear" w:color="000000" w:fill="215C98"/>
            <w:vAlign w:val="center"/>
            <w:hideMark/>
          </w:tcPr>
          <w:p w14:paraId="5F194CC3"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8" w:space="0" w:color="auto"/>
              <w:right w:val="single" w:sz="8" w:space="0" w:color="auto"/>
            </w:tcBorders>
            <w:shd w:val="clear" w:color="000000" w:fill="215C98"/>
            <w:vAlign w:val="center"/>
            <w:hideMark/>
          </w:tcPr>
          <w:p w14:paraId="68A2C0A9"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bl>
    <w:p w14:paraId="0710EA12" w14:textId="77777777" w:rsidR="00A33D70" w:rsidRDefault="00A33D70">
      <w:pPr>
        <w:rPr>
          <w:lang w:val="en-GB"/>
        </w:rPr>
      </w:pPr>
    </w:p>
    <w:p w14:paraId="27A7BFF6" w14:textId="6ECD2D14" w:rsidR="00C14634" w:rsidRPr="001E5747" w:rsidRDefault="00C14634" w:rsidP="00A56C90">
      <w:pPr>
        <w:rPr>
          <w:lang w:val="en-GB"/>
        </w:rPr>
      </w:pPr>
    </w:p>
    <w:bookmarkEnd w:id="0"/>
    <w:bookmarkEnd w:id="1"/>
    <w:bookmarkEnd w:id="2"/>
    <w:bookmarkEnd w:id="3"/>
    <w:p w14:paraId="70952F6A" w14:textId="008F3AE5" w:rsidR="00175AA2" w:rsidRPr="001E5747" w:rsidRDefault="00175AA2" w:rsidP="00175AA2">
      <w:pPr>
        <w:bidi/>
        <w:rPr>
          <w:lang w:val="en-GB"/>
        </w:rPr>
      </w:pPr>
    </w:p>
    <w:tbl>
      <w:tblPr>
        <w:tblpPr w:leftFromText="180" w:rightFromText="180" w:vertAnchor="text" w:horzAnchor="margin" w:tblpY="-1439"/>
        <w:tblW w:w="9350" w:type="dxa"/>
        <w:tblLook w:val="04A0" w:firstRow="1" w:lastRow="0" w:firstColumn="1" w:lastColumn="0" w:noHBand="0" w:noVBand="1"/>
      </w:tblPr>
      <w:tblGrid>
        <w:gridCol w:w="266"/>
        <w:gridCol w:w="5830"/>
        <w:gridCol w:w="267"/>
        <w:gridCol w:w="267"/>
        <w:gridCol w:w="267"/>
        <w:gridCol w:w="2453"/>
      </w:tblGrid>
      <w:tr w:rsidR="00175AA2" w:rsidRPr="001E5747" w14:paraId="1CFC69FC" w14:textId="77777777" w:rsidTr="00B739C3">
        <w:trPr>
          <w:trHeight w:val="615"/>
        </w:trPr>
        <w:tc>
          <w:tcPr>
            <w:tcW w:w="0" w:type="auto"/>
            <w:tcBorders>
              <w:top w:val="nil"/>
              <w:left w:val="nil"/>
              <w:bottom w:val="nil"/>
              <w:right w:val="nil"/>
            </w:tcBorders>
            <w:noWrap/>
            <w:vAlign w:val="bottom"/>
            <w:hideMark/>
          </w:tcPr>
          <w:p w14:paraId="2648D6B1" w14:textId="77777777" w:rsidR="00175AA2" w:rsidRPr="001E5747" w:rsidRDefault="00175AA2" w:rsidP="00175AA2">
            <w:pPr>
              <w:rPr>
                <w:sz w:val="16"/>
                <w:szCs w:val="16"/>
                <w:lang w:val="en-GB"/>
              </w:rPr>
            </w:pPr>
          </w:p>
        </w:tc>
        <w:tc>
          <w:tcPr>
            <w:tcW w:w="0" w:type="auto"/>
            <w:tcBorders>
              <w:top w:val="nil"/>
              <w:left w:val="nil"/>
              <w:bottom w:val="nil"/>
              <w:right w:val="nil"/>
            </w:tcBorders>
            <w:vAlign w:val="bottom"/>
            <w:hideMark/>
          </w:tcPr>
          <w:p w14:paraId="53610E67" w14:textId="77777777" w:rsidR="00175AA2" w:rsidRPr="001E5747" w:rsidRDefault="00175AA2" w:rsidP="00BB0895">
            <w:pPr>
              <w:rPr>
                <w:rFonts w:ascii="Calibri" w:hAnsi="Calibri" w:cs="Calibri"/>
                <w:color w:val="000000"/>
                <w:sz w:val="16"/>
                <w:szCs w:val="16"/>
                <w:lang w:val="en-GB"/>
              </w:rPr>
            </w:pPr>
            <w:r w:rsidRPr="001E5747">
              <w:rPr>
                <w:rFonts w:ascii="Calibri" w:hAnsi="Calibri" w:cs="Calibri"/>
                <w:color w:val="000000"/>
                <w:sz w:val="16"/>
                <w:szCs w:val="16"/>
                <w:lang w:val="en-GB"/>
              </w:rPr>
              <w:t>** The score refers to the Albanian language version of the data source</w:t>
            </w:r>
            <w:r w:rsidRPr="001E5747">
              <w:rPr>
                <w:rFonts w:ascii="Calibri" w:hAnsi="Calibri" w:cs="Calibri"/>
                <w:color w:val="000000"/>
                <w:sz w:val="16"/>
                <w:szCs w:val="16"/>
                <w:lang w:val="en-GB"/>
              </w:rPr>
              <w:br/>
            </w:r>
          </w:p>
        </w:tc>
        <w:tc>
          <w:tcPr>
            <w:tcW w:w="0" w:type="auto"/>
            <w:tcBorders>
              <w:top w:val="nil"/>
              <w:left w:val="nil"/>
              <w:bottom w:val="nil"/>
              <w:right w:val="nil"/>
            </w:tcBorders>
            <w:vAlign w:val="bottom"/>
            <w:hideMark/>
          </w:tcPr>
          <w:p w14:paraId="4D7277E8" w14:textId="77777777" w:rsidR="00175AA2" w:rsidRPr="001E5747" w:rsidRDefault="00175AA2" w:rsidP="00175AA2">
            <w:pPr>
              <w:rPr>
                <w:rFonts w:ascii="Calibri" w:hAnsi="Calibri" w:cs="Calibri"/>
                <w:color w:val="000000"/>
                <w:sz w:val="16"/>
                <w:szCs w:val="16"/>
                <w:lang w:val="en-GB"/>
              </w:rPr>
            </w:pPr>
          </w:p>
        </w:tc>
        <w:tc>
          <w:tcPr>
            <w:tcW w:w="0" w:type="auto"/>
            <w:tcBorders>
              <w:top w:val="nil"/>
              <w:left w:val="nil"/>
              <w:bottom w:val="nil"/>
              <w:right w:val="nil"/>
            </w:tcBorders>
            <w:noWrap/>
            <w:vAlign w:val="bottom"/>
            <w:hideMark/>
          </w:tcPr>
          <w:p w14:paraId="3B6EEE1A" w14:textId="77777777" w:rsidR="00175AA2" w:rsidRPr="001E5747" w:rsidRDefault="00175AA2" w:rsidP="00175AA2">
            <w:pPr>
              <w:rPr>
                <w:sz w:val="16"/>
                <w:szCs w:val="16"/>
                <w:lang w:val="en-GB"/>
              </w:rPr>
            </w:pPr>
          </w:p>
        </w:tc>
        <w:tc>
          <w:tcPr>
            <w:tcW w:w="0" w:type="auto"/>
            <w:tcBorders>
              <w:top w:val="nil"/>
              <w:left w:val="nil"/>
              <w:bottom w:val="nil"/>
              <w:right w:val="nil"/>
            </w:tcBorders>
            <w:noWrap/>
            <w:vAlign w:val="bottom"/>
            <w:hideMark/>
          </w:tcPr>
          <w:p w14:paraId="29B127B9" w14:textId="77777777" w:rsidR="00175AA2" w:rsidRPr="001E5747" w:rsidRDefault="00175AA2" w:rsidP="00175AA2">
            <w:pPr>
              <w:rPr>
                <w:sz w:val="16"/>
                <w:szCs w:val="16"/>
                <w:lang w:val="en-GB"/>
              </w:rPr>
            </w:pPr>
          </w:p>
        </w:tc>
        <w:tc>
          <w:tcPr>
            <w:tcW w:w="2453" w:type="dxa"/>
            <w:tcBorders>
              <w:top w:val="nil"/>
              <w:left w:val="nil"/>
              <w:bottom w:val="nil"/>
              <w:right w:val="nil"/>
            </w:tcBorders>
            <w:noWrap/>
            <w:vAlign w:val="bottom"/>
            <w:hideMark/>
          </w:tcPr>
          <w:p w14:paraId="0C4DBA9A" w14:textId="77777777" w:rsidR="00175AA2" w:rsidRPr="001E5747" w:rsidRDefault="00175AA2" w:rsidP="00175AA2">
            <w:pPr>
              <w:rPr>
                <w:sz w:val="16"/>
                <w:szCs w:val="16"/>
                <w:lang w:val="en-GB"/>
              </w:rPr>
            </w:pPr>
          </w:p>
        </w:tc>
      </w:tr>
    </w:tbl>
    <w:p w14:paraId="1A7A9954" w14:textId="77777777" w:rsidR="00175AA2" w:rsidRPr="00615656" w:rsidRDefault="00175AA2" w:rsidP="00615656">
      <w:pPr>
        <w:pStyle w:val="Heading1"/>
        <w:shd w:val="clear" w:color="auto" w:fill="D55635"/>
        <w:tabs>
          <w:tab w:val="left" w:pos="540"/>
        </w:tabs>
        <w:rPr>
          <w:rFonts w:asciiTheme="majorHAnsi" w:hAnsiTheme="majorHAnsi"/>
          <w:color w:val="FFFFFF" w:themeColor="background1"/>
          <w:sz w:val="32"/>
          <w:szCs w:val="32"/>
          <w:lang w:val="en-GB"/>
        </w:rPr>
      </w:pPr>
      <w:bookmarkStart w:id="136" w:name="_Toc214024600"/>
      <w:bookmarkStart w:id="137" w:name="_Toc31029017"/>
      <w:bookmarkStart w:id="138" w:name="_Toc31194815"/>
      <w:bookmarkStart w:id="139" w:name="_Toc61062545"/>
      <w:r w:rsidRPr="001E5747">
        <w:rPr>
          <w:rFonts w:asciiTheme="majorHAnsi" w:hAnsiTheme="majorHAnsi"/>
          <w:color w:val="FFFFFF" w:themeColor="background1"/>
          <w:sz w:val="32"/>
          <w:szCs w:val="32"/>
          <w:lang w:val="en-GB"/>
        </w:rPr>
        <w:t>Annex 4: Template for calculation of allocated grant amounts</w:t>
      </w:r>
      <w:bookmarkEnd w:id="136"/>
      <w:r w:rsidRPr="001E5747">
        <w:rPr>
          <w:rFonts w:asciiTheme="majorHAnsi" w:hAnsiTheme="majorHAnsi"/>
          <w:color w:val="FFFFFF" w:themeColor="background1"/>
          <w:sz w:val="32"/>
          <w:szCs w:val="32"/>
          <w:lang w:val="en-GB"/>
        </w:rPr>
        <w:t xml:space="preserve"> </w:t>
      </w:r>
      <w:bookmarkEnd w:id="137"/>
      <w:bookmarkEnd w:id="138"/>
      <w:bookmarkEnd w:id="139"/>
    </w:p>
    <w:p w14:paraId="6C58E881" w14:textId="77777777" w:rsidR="00175AA2" w:rsidRPr="001E5747" w:rsidRDefault="00175AA2" w:rsidP="00175AA2">
      <w:pPr>
        <w:spacing w:before="60" w:line="264" w:lineRule="auto"/>
        <w:ind w:left="284"/>
        <w:jc w:val="both"/>
        <w:rPr>
          <w:rFonts w:asciiTheme="majorHAnsi" w:hAnsiTheme="majorHAnsi"/>
          <w:sz w:val="21"/>
          <w:szCs w:val="21"/>
          <w:lang w:val="en-GB"/>
        </w:rPr>
      </w:pPr>
      <w:r w:rsidRPr="001E5747">
        <w:rPr>
          <w:rFonts w:asciiTheme="majorHAnsi" w:hAnsiTheme="majorHAnsi"/>
          <w:sz w:val="21"/>
          <w:szCs w:val="21"/>
          <w:lang w:val="en-GB"/>
        </w:rPr>
        <w:t xml:space="preserve">The allocation of the Municipal Performance Grant, which is provided as an addition to the capital investment part of the general grant, is determined by the relative performance of each municipality </w:t>
      </w:r>
      <w:r w:rsidR="00586C1D" w:rsidRPr="001E5747">
        <w:rPr>
          <w:rFonts w:asciiTheme="majorHAnsi" w:hAnsiTheme="majorHAnsi"/>
          <w:sz w:val="21"/>
          <w:szCs w:val="21"/>
          <w:lang w:val="en-GB"/>
        </w:rPr>
        <w:t xml:space="preserve">as </w:t>
      </w:r>
      <w:r w:rsidRPr="001E5747">
        <w:rPr>
          <w:rFonts w:asciiTheme="majorHAnsi" w:hAnsiTheme="majorHAnsi"/>
          <w:sz w:val="21"/>
          <w:szCs w:val="21"/>
          <w:lang w:val="en-GB"/>
        </w:rPr>
        <w:t xml:space="preserve">measured against defined performance indicators. At the same time, the performance is allocated in such a way that </w:t>
      </w:r>
      <w:r w:rsidRPr="001E5747">
        <w:rPr>
          <w:rFonts w:asciiTheme="majorHAnsi" w:hAnsiTheme="majorHAnsi"/>
          <w:sz w:val="21"/>
          <w:szCs w:val="21"/>
          <w:u w:val="single"/>
          <w:lang w:val="en-GB"/>
        </w:rPr>
        <w:t xml:space="preserve">two municipalities that have the same </w:t>
      </w:r>
      <w:r w:rsidR="00A0644E" w:rsidRPr="001E5747">
        <w:rPr>
          <w:rFonts w:asciiTheme="majorHAnsi" w:hAnsiTheme="majorHAnsi"/>
          <w:sz w:val="21"/>
          <w:szCs w:val="21"/>
          <w:u w:val="single"/>
          <w:lang w:val="en-GB"/>
        </w:rPr>
        <w:t>score</w:t>
      </w:r>
      <w:r w:rsidRPr="001E5747">
        <w:rPr>
          <w:rFonts w:asciiTheme="majorHAnsi" w:hAnsiTheme="majorHAnsi"/>
          <w:sz w:val="21"/>
          <w:szCs w:val="21"/>
          <w:u w:val="single"/>
          <w:lang w:val="en-GB"/>
        </w:rPr>
        <w:t xml:space="preserve"> will get </w:t>
      </w:r>
      <w:r w:rsidR="00A0644E" w:rsidRPr="001E5747">
        <w:rPr>
          <w:rFonts w:asciiTheme="majorHAnsi" w:hAnsiTheme="majorHAnsi"/>
          <w:sz w:val="21"/>
          <w:szCs w:val="21"/>
          <w:u w:val="single"/>
          <w:lang w:val="en-GB"/>
        </w:rPr>
        <w:t>an equal</w:t>
      </w:r>
      <w:r w:rsidRPr="001E5747">
        <w:rPr>
          <w:rFonts w:asciiTheme="majorHAnsi" w:hAnsiTheme="majorHAnsi"/>
          <w:sz w:val="21"/>
          <w:szCs w:val="21"/>
          <w:u w:val="single"/>
          <w:lang w:val="en-GB"/>
        </w:rPr>
        <w:t xml:space="preserve"> relative additional grant </w:t>
      </w:r>
      <w:r w:rsidRPr="001E5747">
        <w:rPr>
          <w:rFonts w:asciiTheme="majorHAnsi" w:hAnsiTheme="majorHAnsi"/>
          <w:sz w:val="21"/>
          <w:szCs w:val="21"/>
          <w:lang w:val="en-GB"/>
        </w:rPr>
        <w:t>(meaning that with the same score, they would both get 5 or 10% more, while the absolute amounts of the additional grant will differ).</w:t>
      </w:r>
    </w:p>
    <w:p w14:paraId="29DC9786" w14:textId="77777777" w:rsidR="00175AA2" w:rsidRPr="001E5747" w:rsidRDefault="00175AA2" w:rsidP="00175AA2">
      <w:pPr>
        <w:spacing w:before="60" w:line="264" w:lineRule="auto"/>
        <w:ind w:left="284"/>
        <w:jc w:val="both"/>
        <w:rPr>
          <w:rFonts w:asciiTheme="majorHAnsi" w:hAnsiTheme="majorHAnsi"/>
          <w:sz w:val="21"/>
          <w:szCs w:val="21"/>
          <w:lang w:val="en-GB"/>
        </w:rPr>
      </w:pPr>
      <w:r w:rsidRPr="001E5747">
        <w:rPr>
          <w:rFonts w:asciiTheme="majorHAnsi" w:hAnsiTheme="majorHAnsi"/>
          <w:sz w:val="21"/>
          <w:szCs w:val="21"/>
          <w:lang w:val="en-GB"/>
        </w:rPr>
        <w:t xml:space="preserve">In order to achieve this, the following steps are required to calculate the allocations: </w:t>
      </w:r>
    </w:p>
    <w:p w14:paraId="0EADB07F" w14:textId="77777777" w:rsidR="00175AA2" w:rsidRPr="001E5747" w:rsidRDefault="00175AA2" w:rsidP="00175AA2">
      <w:pPr>
        <w:numPr>
          <w:ilvl w:val="0"/>
          <w:numId w:val="8"/>
        </w:numPr>
        <w:spacing w:before="60" w:line="264" w:lineRule="auto"/>
        <w:ind w:left="540" w:hanging="270"/>
        <w:jc w:val="both"/>
        <w:rPr>
          <w:rFonts w:asciiTheme="majorHAnsi" w:hAnsiTheme="majorHAnsi"/>
          <w:sz w:val="21"/>
          <w:szCs w:val="21"/>
          <w:lang w:val="en-GB" w:eastAsia="en-GB"/>
        </w:rPr>
      </w:pPr>
      <w:r w:rsidRPr="001E5747">
        <w:rPr>
          <w:rFonts w:asciiTheme="majorHAnsi" w:hAnsiTheme="majorHAnsi"/>
          <w:sz w:val="21"/>
          <w:szCs w:val="21"/>
          <w:lang w:val="en-GB" w:eastAsia="en-GB"/>
        </w:rPr>
        <w:t xml:space="preserve">Firstly, the assessment scores for each municipality are weighed with the share of the general grant that each municipality receives for that year (on a basis of a </w:t>
      </w:r>
      <w:r w:rsidR="00CC10F3" w:rsidRPr="001E5747">
        <w:rPr>
          <w:rFonts w:asciiTheme="majorHAnsi" w:hAnsiTheme="majorHAnsi"/>
          <w:sz w:val="21"/>
          <w:szCs w:val="21"/>
          <w:lang w:val="en-GB" w:eastAsia="en-GB"/>
        </w:rPr>
        <w:t>weighted</w:t>
      </w:r>
      <w:r w:rsidRPr="001E5747">
        <w:rPr>
          <w:rFonts w:asciiTheme="majorHAnsi" w:hAnsiTheme="majorHAnsi"/>
          <w:sz w:val="21"/>
          <w:szCs w:val="21"/>
          <w:lang w:val="en-GB" w:eastAsia="en-GB"/>
        </w:rPr>
        <w:t xml:space="preserve"> allocation formula, </w:t>
      </w:r>
      <w:proofErr w:type="gramStart"/>
      <w:r w:rsidRPr="001E5747">
        <w:rPr>
          <w:rFonts w:asciiTheme="majorHAnsi" w:hAnsiTheme="majorHAnsi"/>
          <w:sz w:val="21"/>
          <w:szCs w:val="21"/>
          <w:lang w:val="en-GB" w:eastAsia="en-GB"/>
        </w:rPr>
        <w:t>taking into account</w:t>
      </w:r>
      <w:proofErr w:type="gramEnd"/>
      <w:r w:rsidRPr="001E5747">
        <w:rPr>
          <w:rFonts w:asciiTheme="majorHAnsi" w:hAnsiTheme="majorHAnsi"/>
          <w:sz w:val="21"/>
          <w:szCs w:val="21"/>
          <w:lang w:val="en-GB" w:eastAsia="en-GB"/>
        </w:rPr>
        <w:t xml:space="preserve"> various expenditure needs based variables as defined by the government). This is the weighted score.</w:t>
      </w:r>
    </w:p>
    <w:p w14:paraId="3858B02F" w14:textId="77777777" w:rsidR="00175AA2" w:rsidRPr="001E5747" w:rsidRDefault="00175AA2" w:rsidP="00175AA2">
      <w:pPr>
        <w:numPr>
          <w:ilvl w:val="0"/>
          <w:numId w:val="8"/>
        </w:numPr>
        <w:spacing w:before="60" w:line="264" w:lineRule="auto"/>
        <w:ind w:left="540" w:hanging="270"/>
        <w:jc w:val="both"/>
        <w:rPr>
          <w:rFonts w:asciiTheme="majorHAnsi" w:hAnsiTheme="majorHAnsi"/>
          <w:sz w:val="21"/>
          <w:szCs w:val="21"/>
          <w:lang w:val="en-GB" w:eastAsia="en-GB"/>
        </w:rPr>
      </w:pPr>
      <w:r w:rsidRPr="001E5747">
        <w:rPr>
          <w:rFonts w:asciiTheme="majorHAnsi" w:hAnsiTheme="majorHAnsi"/>
          <w:sz w:val="21"/>
          <w:szCs w:val="21"/>
          <w:lang w:val="en-GB" w:eastAsia="en-GB"/>
        </w:rPr>
        <w:t>Secondly, the relative share of each municipality in this weighted score is calculated.</w:t>
      </w:r>
    </w:p>
    <w:p w14:paraId="3D6BCFD2" w14:textId="064807DE" w:rsidR="00175AA2" w:rsidRPr="001E5747" w:rsidRDefault="00175AA2" w:rsidP="00175AA2">
      <w:pPr>
        <w:numPr>
          <w:ilvl w:val="0"/>
          <w:numId w:val="8"/>
        </w:numPr>
        <w:spacing w:before="60" w:line="264" w:lineRule="auto"/>
        <w:ind w:left="540" w:hanging="270"/>
        <w:jc w:val="both"/>
        <w:rPr>
          <w:rFonts w:asciiTheme="majorHAnsi" w:hAnsiTheme="majorHAnsi"/>
          <w:sz w:val="21"/>
          <w:szCs w:val="21"/>
          <w:lang w:val="en-GB" w:eastAsia="en-GB"/>
        </w:rPr>
      </w:pPr>
      <w:r w:rsidRPr="001E5747">
        <w:rPr>
          <w:rFonts w:asciiTheme="majorHAnsi" w:hAnsiTheme="majorHAnsi"/>
          <w:sz w:val="21"/>
          <w:szCs w:val="21"/>
          <w:lang w:val="en-GB" w:eastAsia="en-GB"/>
        </w:rPr>
        <w:t xml:space="preserve">Thirdly, this latter relative share in the weighted performance score is multiplied by the total amount available for the </w:t>
      </w:r>
      <w:r w:rsidR="004F78E6" w:rsidRPr="001E5747">
        <w:rPr>
          <w:rFonts w:asciiTheme="majorHAnsi" w:hAnsiTheme="majorHAnsi"/>
          <w:sz w:val="21"/>
          <w:szCs w:val="21"/>
          <w:lang w:val="en-GB" w:eastAsia="en-GB"/>
        </w:rPr>
        <w:t>202</w:t>
      </w:r>
      <w:r w:rsidR="00480353">
        <w:rPr>
          <w:rFonts w:asciiTheme="majorHAnsi" w:hAnsiTheme="majorHAnsi"/>
          <w:sz w:val="21"/>
          <w:szCs w:val="21"/>
          <w:lang w:val="en-GB" w:eastAsia="en-GB"/>
        </w:rPr>
        <w:t>6</w:t>
      </w:r>
      <w:r w:rsidR="00CE196C">
        <w:rPr>
          <w:rFonts w:asciiTheme="majorHAnsi" w:hAnsiTheme="majorHAnsi"/>
          <w:sz w:val="21"/>
          <w:szCs w:val="21"/>
          <w:lang w:val="en-GB" w:eastAsia="en-GB"/>
        </w:rPr>
        <w:t xml:space="preserve"> </w:t>
      </w:r>
      <w:r w:rsidRPr="001E5747">
        <w:rPr>
          <w:rFonts w:asciiTheme="majorHAnsi" w:hAnsiTheme="majorHAnsi"/>
          <w:sz w:val="21"/>
          <w:szCs w:val="21"/>
          <w:lang w:val="en-GB" w:eastAsia="en-GB"/>
        </w:rPr>
        <w:t>Municipal Performance Grant.</w:t>
      </w:r>
    </w:p>
    <w:p w14:paraId="6C106F79" w14:textId="77777777" w:rsidR="00175AA2" w:rsidRPr="001E5747" w:rsidRDefault="00175AA2" w:rsidP="00175AA2">
      <w:pPr>
        <w:numPr>
          <w:ilvl w:val="0"/>
          <w:numId w:val="8"/>
        </w:numPr>
        <w:spacing w:before="60" w:line="264" w:lineRule="auto"/>
        <w:ind w:left="540" w:hanging="270"/>
        <w:jc w:val="both"/>
        <w:rPr>
          <w:rFonts w:asciiTheme="majorHAnsi" w:hAnsiTheme="majorHAnsi"/>
          <w:sz w:val="21"/>
          <w:szCs w:val="21"/>
          <w:lang w:val="en-GB" w:eastAsia="en-GB"/>
        </w:rPr>
      </w:pPr>
      <w:r w:rsidRPr="001E5747">
        <w:rPr>
          <w:rFonts w:asciiTheme="majorHAnsi" w:hAnsiTheme="majorHAnsi"/>
          <w:sz w:val="21"/>
          <w:szCs w:val="21"/>
          <w:lang w:val="en-GB" w:eastAsia="en-GB"/>
        </w:rPr>
        <w:t>Fourth, the municipal performance grant allocates additional remunerations to the highest performing municipalities. Ten (10) per</w:t>
      </w:r>
      <w:r w:rsidR="00AA1660">
        <w:rPr>
          <w:rFonts w:asciiTheme="majorHAnsi" w:hAnsiTheme="majorHAnsi"/>
          <w:sz w:val="21"/>
          <w:szCs w:val="21"/>
          <w:lang w:val="en-GB" w:eastAsia="en-GB"/>
        </w:rPr>
        <w:t xml:space="preserve"> </w:t>
      </w:r>
      <w:r w:rsidRPr="001E5747">
        <w:rPr>
          <w:rFonts w:asciiTheme="majorHAnsi" w:hAnsiTheme="majorHAnsi"/>
          <w:sz w:val="21"/>
          <w:szCs w:val="21"/>
          <w:lang w:val="en-GB" w:eastAsia="en-GB"/>
        </w:rPr>
        <w:t>cent of the total grant amount is allocated to the top three highest performing places. The first place receives 5% of the total grant amount; the second place receives 3% of the total grant amount and the third place receives 2% of the total grant amount. If two or more municipalities are having the same performance score, then the amount of reward for the designated place is divided proportionally for that number of municipalities with the same result.</w:t>
      </w:r>
    </w:p>
    <w:p w14:paraId="4D915A09" w14:textId="77777777" w:rsidR="00175AA2" w:rsidRPr="001E5747" w:rsidRDefault="00175AA2" w:rsidP="00175AA2">
      <w:pPr>
        <w:spacing w:before="60" w:line="264" w:lineRule="auto"/>
        <w:ind w:left="284"/>
        <w:jc w:val="both"/>
        <w:rPr>
          <w:rFonts w:asciiTheme="majorHAnsi" w:hAnsiTheme="majorHAnsi"/>
          <w:sz w:val="21"/>
          <w:szCs w:val="21"/>
          <w:lang w:val="en-GB"/>
        </w:rPr>
      </w:pPr>
      <w:r w:rsidRPr="001E5747">
        <w:rPr>
          <w:rFonts w:asciiTheme="majorHAnsi" w:hAnsiTheme="majorHAnsi"/>
          <w:sz w:val="21"/>
          <w:szCs w:val="21"/>
          <w:lang w:val="en-GB"/>
        </w:rPr>
        <w:t>This may seem complicated, but the example below can help clarify.</w:t>
      </w:r>
    </w:p>
    <w:p w14:paraId="5C37E675" w14:textId="4E36AB20" w:rsidR="00175AA2" w:rsidRPr="001E5747" w:rsidRDefault="00175AA2" w:rsidP="00175AA2">
      <w:pPr>
        <w:spacing w:before="60" w:line="264" w:lineRule="auto"/>
        <w:ind w:left="284"/>
        <w:jc w:val="both"/>
        <w:rPr>
          <w:rFonts w:asciiTheme="majorHAnsi" w:hAnsiTheme="majorHAnsi"/>
          <w:sz w:val="21"/>
          <w:szCs w:val="21"/>
          <w:lang w:val="en-GB"/>
        </w:rPr>
      </w:pPr>
      <w:r w:rsidRPr="001E5747">
        <w:rPr>
          <w:rFonts w:asciiTheme="majorHAnsi" w:hAnsiTheme="majorHAnsi"/>
          <w:sz w:val="21"/>
          <w:szCs w:val="21"/>
          <w:lang w:val="en-GB"/>
        </w:rPr>
        <w:t xml:space="preserve">The table on the next page shows an example of the calculation of the municipal performance grant allocation, using the general grant allocated for </w:t>
      </w:r>
      <w:r w:rsidR="004F78E6" w:rsidRPr="001E5747">
        <w:rPr>
          <w:rFonts w:asciiTheme="majorHAnsi" w:hAnsiTheme="majorHAnsi"/>
          <w:sz w:val="21"/>
          <w:szCs w:val="21"/>
          <w:lang w:val="en-GB"/>
        </w:rPr>
        <w:t>202</w:t>
      </w:r>
      <w:r w:rsidR="00480353">
        <w:rPr>
          <w:rFonts w:asciiTheme="majorHAnsi" w:hAnsiTheme="majorHAnsi"/>
          <w:sz w:val="21"/>
          <w:szCs w:val="21"/>
          <w:lang w:val="en-GB"/>
        </w:rPr>
        <w:t>4</w:t>
      </w:r>
      <w:r w:rsidRPr="001E5747">
        <w:rPr>
          <w:rFonts w:asciiTheme="majorHAnsi" w:hAnsiTheme="majorHAnsi"/>
          <w:sz w:val="21"/>
          <w:szCs w:val="21"/>
          <w:lang w:val="en-GB"/>
        </w:rPr>
        <w:t>, as per the government's budget circular, under the following assumptions (as example) that (</w:t>
      </w:r>
      <w:proofErr w:type="spellStart"/>
      <w:r w:rsidRPr="001E5747">
        <w:rPr>
          <w:rFonts w:asciiTheme="majorHAnsi" w:hAnsiTheme="majorHAnsi"/>
          <w:sz w:val="21"/>
          <w:szCs w:val="21"/>
          <w:lang w:val="en-GB"/>
        </w:rPr>
        <w:t>i</w:t>
      </w:r>
      <w:proofErr w:type="spellEnd"/>
      <w:r w:rsidRPr="001E5747">
        <w:rPr>
          <w:rFonts w:asciiTheme="majorHAnsi" w:hAnsiTheme="majorHAnsi"/>
          <w:sz w:val="21"/>
          <w:szCs w:val="21"/>
          <w:lang w:val="en-GB"/>
        </w:rPr>
        <w:t xml:space="preserve">) all municipalities have met the minimum conditions and (ii) that all municipalities have achieved exactly the same score of </w:t>
      </w:r>
      <w:r w:rsidR="00967E17">
        <w:rPr>
          <w:rFonts w:asciiTheme="majorHAnsi" w:hAnsiTheme="majorHAnsi"/>
          <w:sz w:val="21"/>
          <w:szCs w:val="21"/>
          <w:lang w:val="en-GB"/>
        </w:rPr>
        <w:t>9</w:t>
      </w:r>
      <w:r w:rsidR="00480353">
        <w:rPr>
          <w:rFonts w:asciiTheme="majorHAnsi" w:hAnsiTheme="majorHAnsi"/>
          <w:sz w:val="21"/>
          <w:szCs w:val="21"/>
          <w:lang w:val="en-GB"/>
        </w:rPr>
        <w:t>8</w:t>
      </w:r>
      <w:r w:rsidR="00CE196C">
        <w:rPr>
          <w:rFonts w:asciiTheme="majorHAnsi" w:hAnsiTheme="majorHAnsi"/>
          <w:sz w:val="21"/>
          <w:szCs w:val="21"/>
          <w:lang w:val="en-GB"/>
        </w:rPr>
        <w:t xml:space="preserve"> </w:t>
      </w:r>
      <w:r w:rsidRPr="001E5747">
        <w:rPr>
          <w:rFonts w:asciiTheme="majorHAnsi" w:hAnsiTheme="majorHAnsi"/>
          <w:sz w:val="21"/>
          <w:szCs w:val="21"/>
          <w:lang w:val="en-GB"/>
        </w:rPr>
        <w:t xml:space="preserve">points (which is unlikely in reality, but which allows each municipality to be treated equally in this example). </w:t>
      </w:r>
    </w:p>
    <w:p w14:paraId="6790F284" w14:textId="77777777" w:rsidR="00175AA2" w:rsidRPr="001E5747" w:rsidRDefault="00175AA2" w:rsidP="00175AA2">
      <w:pPr>
        <w:spacing w:before="60" w:line="264" w:lineRule="auto"/>
        <w:ind w:left="284"/>
        <w:jc w:val="both"/>
        <w:rPr>
          <w:rFonts w:asciiTheme="majorHAnsi" w:hAnsiTheme="majorHAnsi"/>
          <w:sz w:val="21"/>
          <w:szCs w:val="21"/>
          <w:lang w:val="en-GB"/>
        </w:rPr>
      </w:pPr>
      <w:r w:rsidRPr="001E5747">
        <w:rPr>
          <w:rFonts w:asciiTheme="majorHAnsi" w:hAnsiTheme="majorHAnsi"/>
          <w:sz w:val="21"/>
          <w:szCs w:val="21"/>
          <w:lang w:val="en-GB"/>
        </w:rPr>
        <w:t>The following steps are taken to calculate the allocations:</w:t>
      </w:r>
    </w:p>
    <w:p w14:paraId="3EB48DE4" w14:textId="77777777" w:rsidR="00175AA2" w:rsidRPr="001E5747" w:rsidRDefault="00175AA2" w:rsidP="00175AA2">
      <w:pPr>
        <w:numPr>
          <w:ilvl w:val="0"/>
          <w:numId w:val="19"/>
        </w:numPr>
        <w:spacing w:before="60" w:after="200" w:line="252" w:lineRule="auto"/>
        <w:ind w:left="450" w:hanging="180"/>
        <w:jc w:val="both"/>
        <w:rPr>
          <w:rFonts w:asciiTheme="majorHAnsi" w:hAnsiTheme="majorHAnsi"/>
          <w:sz w:val="21"/>
          <w:szCs w:val="21"/>
          <w:lang w:val="en-GB" w:eastAsia="en-GB"/>
        </w:rPr>
      </w:pPr>
      <w:r w:rsidRPr="001E5747">
        <w:rPr>
          <w:rFonts w:asciiTheme="majorHAnsi" w:hAnsiTheme="majorHAnsi"/>
          <w:sz w:val="21"/>
          <w:szCs w:val="21"/>
          <w:lang w:val="en-GB" w:eastAsia="en-GB"/>
        </w:rPr>
        <w:t>The share of the municipal grant in the total grant is determined by dividing the municipal general grant (column 3) by the total general grant (total column 3). This is a percentage called 'relative share of the general grant' (column 4);</w:t>
      </w:r>
    </w:p>
    <w:p w14:paraId="2FB438CC" w14:textId="77777777" w:rsidR="00175AA2" w:rsidRPr="001E5747" w:rsidRDefault="00175AA2" w:rsidP="00175AA2">
      <w:pPr>
        <w:numPr>
          <w:ilvl w:val="0"/>
          <w:numId w:val="19"/>
        </w:numPr>
        <w:spacing w:before="60" w:line="252" w:lineRule="auto"/>
        <w:ind w:left="450" w:hanging="180"/>
        <w:jc w:val="both"/>
        <w:rPr>
          <w:rFonts w:asciiTheme="majorHAnsi" w:hAnsiTheme="majorHAnsi"/>
          <w:sz w:val="21"/>
          <w:szCs w:val="21"/>
          <w:lang w:val="en-GB" w:eastAsia="en-GB"/>
        </w:rPr>
      </w:pPr>
      <w:r w:rsidRPr="001E5747">
        <w:rPr>
          <w:rFonts w:asciiTheme="majorHAnsi" w:hAnsiTheme="majorHAnsi"/>
          <w:sz w:val="21"/>
          <w:szCs w:val="21"/>
          <w:lang w:val="en-GB" w:eastAsia="en-GB"/>
        </w:rPr>
        <w:t xml:space="preserve">The weighted performance score is then calculated as shown in column (7) by multiplying the performance assessment score (column 6) with the relative share in the general grant and the results of meeting the minimum conditions (reflected in column 5), which is either 1 if the minimum conditions are met or "0" if </w:t>
      </w:r>
      <w:r w:rsidRPr="001E5747">
        <w:rPr>
          <w:rFonts w:asciiTheme="majorHAnsi" w:hAnsiTheme="majorHAnsi"/>
          <w:sz w:val="21"/>
          <w:szCs w:val="21"/>
          <w:lang w:val="en-GB" w:eastAsia="en-GB"/>
        </w:rPr>
        <w:lastRenderedPageBreak/>
        <w:t>the minimum conditions are not met (column 5). A municipality that does not meet the minimum conditions is excluded from further calculations (and the value in columns 6 to 10 will show a “0”).</w:t>
      </w:r>
    </w:p>
    <w:p w14:paraId="2FF3C333" w14:textId="77777777" w:rsidR="00175AA2" w:rsidRPr="001E5747" w:rsidRDefault="00175AA2" w:rsidP="00175AA2">
      <w:pPr>
        <w:numPr>
          <w:ilvl w:val="0"/>
          <w:numId w:val="19"/>
        </w:numPr>
        <w:spacing w:before="60" w:after="200" w:line="252" w:lineRule="auto"/>
        <w:ind w:left="450" w:hanging="180"/>
        <w:jc w:val="both"/>
        <w:rPr>
          <w:rFonts w:asciiTheme="majorHAnsi" w:hAnsiTheme="majorHAnsi"/>
          <w:sz w:val="21"/>
          <w:szCs w:val="21"/>
          <w:lang w:val="en-GB" w:eastAsia="en-GB"/>
        </w:rPr>
      </w:pPr>
      <w:r w:rsidRPr="001E5747">
        <w:rPr>
          <w:rFonts w:asciiTheme="majorHAnsi" w:hAnsiTheme="majorHAnsi"/>
          <w:sz w:val="21"/>
          <w:szCs w:val="21"/>
          <w:lang w:val="en-GB" w:eastAsia="en-GB"/>
        </w:rPr>
        <w:t>The municipal 'calculated weighted score' (in column 7) is then divided by the total of the 'calculated weighted score' (i.e., the total of column 7), to obtain the 'relative share weighted score' (column 8);</w:t>
      </w:r>
    </w:p>
    <w:p w14:paraId="3594543E" w14:textId="77777777" w:rsidR="00175AA2" w:rsidRPr="001E5747" w:rsidRDefault="00175AA2" w:rsidP="00175AA2">
      <w:pPr>
        <w:numPr>
          <w:ilvl w:val="0"/>
          <w:numId w:val="19"/>
        </w:numPr>
        <w:spacing w:before="60" w:line="252" w:lineRule="auto"/>
        <w:ind w:left="450" w:hanging="180"/>
        <w:jc w:val="both"/>
        <w:rPr>
          <w:rFonts w:asciiTheme="majorHAnsi" w:hAnsiTheme="majorHAnsi"/>
          <w:sz w:val="21"/>
          <w:szCs w:val="21"/>
          <w:lang w:val="en-GB" w:eastAsia="en-GB"/>
        </w:rPr>
      </w:pPr>
      <w:r w:rsidRPr="001E5747">
        <w:rPr>
          <w:rFonts w:asciiTheme="majorHAnsi" w:hAnsiTheme="majorHAnsi"/>
          <w:sz w:val="21"/>
          <w:szCs w:val="21"/>
          <w:lang w:val="en-GB" w:eastAsia="en-GB"/>
        </w:rPr>
        <w:t>Finally, this "relative share weighted score" is multiplied by the total amount of funds available for the Municipal Performance Grant in a year (total amount of the Municipal Performance Grant). This leads to the municipal performance grant allocation as reflected in column 9.</w:t>
      </w:r>
    </w:p>
    <w:p w14:paraId="1670AAC3" w14:textId="4C7E249F" w:rsidR="00175AA2" w:rsidRPr="001E5747" w:rsidRDefault="00077ACA" w:rsidP="00175AA2">
      <w:pPr>
        <w:spacing w:before="60" w:line="252" w:lineRule="auto"/>
        <w:jc w:val="both"/>
        <w:rPr>
          <w:rFonts w:asciiTheme="majorHAnsi" w:hAnsiTheme="majorHAnsi"/>
          <w:sz w:val="21"/>
          <w:szCs w:val="21"/>
          <w:lang w:val="en-GB" w:eastAsia="en-GB"/>
        </w:rPr>
      </w:pPr>
      <w:r w:rsidRPr="00077ACA">
        <w:rPr>
          <w:noProof/>
          <w:lang w:eastAsia="sq-AL"/>
        </w:rPr>
        <w:lastRenderedPageBreak/>
        <w:drawing>
          <wp:inline distT="0" distB="0" distL="0" distR="0" wp14:anchorId="40AC710E" wp14:editId="1E916B5A">
            <wp:extent cx="8930640" cy="5471160"/>
            <wp:effectExtent l="0" t="0" r="3810" b="0"/>
            <wp:docPr id="802644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30640" cy="5471160"/>
                    </a:xfrm>
                    <a:prstGeom prst="rect">
                      <a:avLst/>
                    </a:prstGeom>
                    <a:noFill/>
                    <a:ln>
                      <a:noFill/>
                    </a:ln>
                  </pic:spPr>
                </pic:pic>
              </a:graphicData>
            </a:graphic>
          </wp:inline>
        </w:drawing>
      </w:r>
    </w:p>
    <w:p w14:paraId="7B53C551" w14:textId="7F64E7CB" w:rsidR="00175AA2" w:rsidRPr="001E5747" w:rsidRDefault="00175AA2" w:rsidP="00175AA2">
      <w:pPr>
        <w:spacing w:before="60" w:line="252" w:lineRule="auto"/>
        <w:jc w:val="both"/>
        <w:rPr>
          <w:rFonts w:asciiTheme="majorHAnsi" w:hAnsiTheme="majorHAnsi"/>
          <w:sz w:val="21"/>
          <w:szCs w:val="21"/>
          <w:lang w:val="en-GB" w:eastAsia="en-GB"/>
        </w:rPr>
      </w:pPr>
    </w:p>
    <w:p w14:paraId="541A33FB" w14:textId="6E53E41C" w:rsidR="00175AA2" w:rsidRPr="001E5747" w:rsidRDefault="00175AA2" w:rsidP="00175AA2">
      <w:pPr>
        <w:jc w:val="both"/>
        <w:rPr>
          <w:rFonts w:asciiTheme="majorHAnsi" w:hAnsiTheme="majorHAnsi" w:cstheme="majorHAnsi"/>
          <w:color w:val="000000" w:themeColor="text1"/>
          <w:sz w:val="21"/>
          <w:szCs w:val="21"/>
          <w:lang w:val="en-GB"/>
        </w:rPr>
      </w:pPr>
      <w:r w:rsidRPr="001E5747">
        <w:rPr>
          <w:rFonts w:asciiTheme="majorHAnsi" w:hAnsiTheme="majorHAnsi" w:cstheme="majorHAnsi"/>
          <w:sz w:val="21"/>
          <w:szCs w:val="21"/>
          <w:lang w:val="en-GB"/>
        </w:rPr>
        <w:t xml:space="preserve">Column 10 shows the grant allocation for each municipality as a percentage of its general grant allocation </w:t>
      </w:r>
      <w:r w:rsidRPr="001E5747">
        <w:rPr>
          <w:rFonts w:asciiTheme="majorHAnsi" w:hAnsiTheme="majorHAnsi" w:cstheme="majorHAnsi"/>
          <w:color w:val="000000" w:themeColor="text1"/>
          <w:sz w:val="21"/>
          <w:szCs w:val="21"/>
          <w:lang w:val="en-GB"/>
        </w:rPr>
        <w:t>(column 3). In this example, it shows th</w:t>
      </w:r>
      <w:r w:rsidR="00091613" w:rsidRPr="001E5747">
        <w:rPr>
          <w:rFonts w:asciiTheme="majorHAnsi" w:hAnsiTheme="majorHAnsi" w:cstheme="majorHAnsi"/>
          <w:color w:val="000000" w:themeColor="text1"/>
          <w:sz w:val="21"/>
          <w:szCs w:val="21"/>
          <w:lang w:val="en-GB"/>
        </w:rPr>
        <w:t>at all municipalities get a</w:t>
      </w:r>
      <w:r w:rsidR="00E75EA6">
        <w:rPr>
          <w:rFonts w:asciiTheme="majorHAnsi" w:hAnsiTheme="majorHAnsi" w:cstheme="majorHAnsi"/>
          <w:color w:val="000000" w:themeColor="text1"/>
          <w:sz w:val="21"/>
          <w:szCs w:val="21"/>
          <w:lang w:val="en-GB"/>
        </w:rPr>
        <w:t>n average increase of</w:t>
      </w:r>
      <w:r w:rsidR="00091613" w:rsidRPr="001E5747">
        <w:rPr>
          <w:rFonts w:asciiTheme="majorHAnsi" w:hAnsiTheme="majorHAnsi" w:cstheme="majorHAnsi"/>
          <w:color w:val="000000" w:themeColor="text1"/>
          <w:sz w:val="21"/>
          <w:szCs w:val="21"/>
          <w:lang w:val="en-GB"/>
        </w:rPr>
        <w:t xml:space="preserve"> </w:t>
      </w:r>
      <w:r w:rsidR="004E29FD">
        <w:rPr>
          <w:rFonts w:asciiTheme="majorHAnsi" w:hAnsiTheme="majorHAnsi" w:cstheme="majorHAnsi"/>
          <w:color w:val="000000" w:themeColor="text1"/>
          <w:sz w:val="21"/>
          <w:szCs w:val="21"/>
          <w:lang w:val="en-GB"/>
        </w:rPr>
        <w:t>2.</w:t>
      </w:r>
      <w:r w:rsidR="00E6038F">
        <w:rPr>
          <w:rFonts w:asciiTheme="majorHAnsi" w:hAnsiTheme="majorHAnsi" w:cstheme="majorHAnsi"/>
          <w:color w:val="000000" w:themeColor="text1"/>
          <w:sz w:val="21"/>
          <w:szCs w:val="21"/>
          <w:lang w:val="en-GB"/>
        </w:rPr>
        <w:t>46</w:t>
      </w:r>
      <w:r w:rsidRPr="007E55B9">
        <w:rPr>
          <w:rFonts w:asciiTheme="majorHAnsi" w:hAnsiTheme="majorHAnsi" w:cstheme="majorHAnsi"/>
          <w:color w:val="000000" w:themeColor="text1"/>
          <w:sz w:val="21"/>
          <w:szCs w:val="21"/>
          <w:lang w:val="en-GB"/>
        </w:rPr>
        <w:t>%</w:t>
      </w:r>
      <w:r w:rsidRPr="001E5747">
        <w:rPr>
          <w:rFonts w:asciiTheme="majorHAnsi" w:hAnsiTheme="majorHAnsi" w:cstheme="majorHAnsi"/>
          <w:color w:val="000000" w:themeColor="text1"/>
          <w:sz w:val="21"/>
          <w:szCs w:val="21"/>
          <w:lang w:val="en-GB"/>
        </w:rPr>
        <w:t xml:space="preserve"> to the general grant allocation.</w:t>
      </w:r>
      <w:r w:rsidR="00DD3393">
        <w:rPr>
          <w:rStyle w:val="FootnoteReference"/>
          <w:rFonts w:asciiTheme="majorHAnsi" w:hAnsiTheme="majorHAnsi" w:cstheme="majorHAnsi"/>
          <w:color w:val="000000" w:themeColor="text1"/>
          <w:sz w:val="21"/>
          <w:szCs w:val="21"/>
          <w:lang w:val="en-GB"/>
        </w:rPr>
        <w:footnoteReference w:id="17"/>
      </w:r>
    </w:p>
    <w:p w14:paraId="0C48F94E" w14:textId="77777777" w:rsidR="00175AA2" w:rsidRPr="001E5747" w:rsidRDefault="00175AA2" w:rsidP="00175AA2">
      <w:pPr>
        <w:jc w:val="both"/>
        <w:rPr>
          <w:rFonts w:asciiTheme="majorHAnsi" w:hAnsiTheme="majorHAnsi" w:cstheme="majorHAnsi"/>
          <w:sz w:val="21"/>
          <w:szCs w:val="21"/>
          <w:lang w:val="en-GB"/>
        </w:rPr>
      </w:pPr>
      <w:r w:rsidRPr="001E5747">
        <w:rPr>
          <w:rFonts w:asciiTheme="majorHAnsi" w:hAnsiTheme="majorHAnsi" w:cstheme="majorHAnsi"/>
          <w:color w:val="000000" w:themeColor="text1"/>
          <w:sz w:val="21"/>
          <w:szCs w:val="21"/>
          <w:lang w:val="en-GB"/>
        </w:rPr>
        <w:t xml:space="preserve">Column </w:t>
      </w:r>
      <w:r w:rsidRPr="001E5747">
        <w:rPr>
          <w:rFonts w:asciiTheme="majorHAnsi" w:hAnsiTheme="majorHAnsi" w:cstheme="majorHAnsi"/>
          <w:sz w:val="21"/>
          <w:szCs w:val="21"/>
          <w:lang w:val="en-GB"/>
        </w:rPr>
        <w:t xml:space="preserve">11 shows the remuneration allocation assuming that all municipalities have the same performance. </w:t>
      </w:r>
    </w:p>
    <w:p w14:paraId="6690E5FF" w14:textId="77777777" w:rsidR="00175AA2" w:rsidRPr="001E5747" w:rsidRDefault="00175AA2" w:rsidP="00175AA2">
      <w:pPr>
        <w:jc w:val="both"/>
        <w:rPr>
          <w:rFonts w:asciiTheme="majorHAnsi" w:hAnsiTheme="majorHAnsi" w:cstheme="majorHAnsi"/>
          <w:sz w:val="21"/>
          <w:szCs w:val="21"/>
          <w:lang w:val="en-GB"/>
        </w:rPr>
      </w:pPr>
      <w:r w:rsidRPr="001E5747">
        <w:rPr>
          <w:rFonts w:asciiTheme="majorHAnsi" w:hAnsiTheme="majorHAnsi" w:cstheme="majorHAnsi"/>
          <w:sz w:val="21"/>
          <w:szCs w:val="21"/>
          <w:lang w:val="en-GB"/>
        </w:rPr>
        <w:t>Column 12 shows the total value of the municipal performance grant for each municipality after the remuneration allocation. So, to column 9 - calculated value for the MPG, the amount of award is added and gives us the total value of MPG for each municipality.</w:t>
      </w:r>
    </w:p>
    <w:p w14:paraId="713924F1" w14:textId="7D6CEEF4" w:rsidR="00175AA2" w:rsidRPr="001E5747" w:rsidRDefault="00175AA2" w:rsidP="00175AA2">
      <w:pPr>
        <w:jc w:val="both"/>
        <w:rPr>
          <w:rFonts w:asciiTheme="majorHAnsi" w:hAnsiTheme="majorHAnsi" w:cstheme="majorHAnsi"/>
          <w:sz w:val="21"/>
          <w:szCs w:val="21"/>
          <w:lang w:val="en-GB"/>
        </w:rPr>
      </w:pPr>
      <w:r w:rsidRPr="001E5747">
        <w:rPr>
          <w:rFonts w:asciiTheme="majorHAnsi" w:hAnsiTheme="majorHAnsi" w:cstheme="majorHAnsi"/>
          <w:sz w:val="21"/>
          <w:szCs w:val="21"/>
          <w:lang w:val="en-GB"/>
        </w:rPr>
        <w:t xml:space="preserve">Column 13 shows the grant allocation for each municipality as a percentage of the total grant allocation (column 3). In this example, this shows that all municipalities </w:t>
      </w:r>
      <w:r w:rsidRPr="0071124B">
        <w:rPr>
          <w:rFonts w:asciiTheme="majorHAnsi" w:hAnsiTheme="majorHAnsi" w:cstheme="majorHAnsi"/>
          <w:sz w:val="21"/>
          <w:szCs w:val="21"/>
          <w:lang w:val="en-GB"/>
        </w:rPr>
        <w:t xml:space="preserve">receive a </w:t>
      </w:r>
      <w:r w:rsidR="00EC2593" w:rsidRPr="0071124B">
        <w:rPr>
          <w:rFonts w:asciiTheme="majorHAnsi" w:hAnsiTheme="majorHAnsi" w:cstheme="majorHAnsi"/>
          <w:sz w:val="21"/>
          <w:szCs w:val="21"/>
          <w:lang w:val="en-GB"/>
        </w:rPr>
        <w:t>2.</w:t>
      </w:r>
      <w:r w:rsidR="004F78E6">
        <w:rPr>
          <w:rFonts w:asciiTheme="majorHAnsi" w:hAnsiTheme="majorHAnsi" w:cstheme="majorHAnsi"/>
          <w:sz w:val="21"/>
          <w:szCs w:val="21"/>
          <w:lang w:val="en-GB"/>
        </w:rPr>
        <w:t>53</w:t>
      </w:r>
      <w:r w:rsidRPr="0071124B">
        <w:rPr>
          <w:rFonts w:asciiTheme="majorHAnsi" w:hAnsiTheme="majorHAnsi" w:cstheme="majorHAnsi"/>
          <w:sz w:val="21"/>
          <w:szCs w:val="21"/>
          <w:lang w:val="en-GB"/>
        </w:rPr>
        <w:t>%-</w:t>
      </w:r>
      <w:r w:rsidR="004F78E6">
        <w:rPr>
          <w:rFonts w:asciiTheme="majorHAnsi" w:hAnsiTheme="majorHAnsi" w:cstheme="majorHAnsi"/>
          <w:sz w:val="21"/>
          <w:szCs w:val="21"/>
          <w:lang w:val="en-GB"/>
        </w:rPr>
        <w:t>5.89</w:t>
      </w:r>
      <w:r w:rsidR="00AA1660" w:rsidRPr="0071124B">
        <w:rPr>
          <w:rFonts w:asciiTheme="majorHAnsi" w:hAnsiTheme="majorHAnsi" w:cstheme="majorHAnsi"/>
          <w:sz w:val="21"/>
          <w:szCs w:val="21"/>
          <w:lang w:val="en-GB"/>
        </w:rPr>
        <w:t>%</w:t>
      </w:r>
      <w:r w:rsidRPr="001E5747">
        <w:rPr>
          <w:rFonts w:asciiTheme="majorHAnsi" w:hAnsiTheme="majorHAnsi" w:cstheme="majorHAnsi"/>
          <w:sz w:val="21"/>
          <w:szCs w:val="21"/>
          <w:lang w:val="en-GB"/>
        </w:rPr>
        <w:t xml:space="preserve"> </w:t>
      </w:r>
      <w:r w:rsidR="00CC10F3" w:rsidRPr="001E5747">
        <w:rPr>
          <w:rFonts w:asciiTheme="majorHAnsi" w:hAnsiTheme="majorHAnsi" w:cstheme="majorHAnsi"/>
          <w:sz w:val="21"/>
          <w:szCs w:val="21"/>
          <w:lang w:val="en-GB"/>
        </w:rPr>
        <w:t>increase</w:t>
      </w:r>
      <w:r w:rsidRPr="001E5747">
        <w:rPr>
          <w:rFonts w:asciiTheme="majorHAnsi" w:hAnsiTheme="majorHAnsi" w:cstheme="majorHAnsi"/>
          <w:sz w:val="21"/>
          <w:szCs w:val="21"/>
          <w:lang w:val="en-GB"/>
        </w:rPr>
        <w:t xml:space="preserve"> in overall grant allocation.</w:t>
      </w:r>
    </w:p>
    <w:p w14:paraId="384B1B5A" w14:textId="77777777" w:rsidR="00CC10F3" w:rsidRPr="001E5747" w:rsidRDefault="00CC10F3" w:rsidP="00175AA2">
      <w:pPr>
        <w:jc w:val="both"/>
        <w:rPr>
          <w:rFonts w:asciiTheme="majorHAnsi" w:hAnsiTheme="majorHAnsi" w:cstheme="majorHAnsi"/>
          <w:sz w:val="21"/>
          <w:szCs w:val="21"/>
          <w:lang w:val="en-GB"/>
        </w:rPr>
      </w:pPr>
    </w:p>
    <w:p w14:paraId="34651174" w14:textId="462A23FF" w:rsidR="00175AA2" w:rsidRPr="001E5747" w:rsidRDefault="00175AA2" w:rsidP="00175AA2">
      <w:pPr>
        <w:jc w:val="both"/>
        <w:rPr>
          <w:rFonts w:asciiTheme="majorHAnsi" w:hAnsiTheme="majorHAnsi" w:cstheme="majorHAnsi"/>
          <w:sz w:val="21"/>
          <w:szCs w:val="21"/>
          <w:lang w:val="en-GB"/>
        </w:rPr>
      </w:pPr>
      <w:r w:rsidRPr="001E5747">
        <w:rPr>
          <w:rFonts w:asciiTheme="majorHAnsi" w:hAnsiTheme="majorHAnsi" w:cstheme="majorHAnsi"/>
          <w:sz w:val="21"/>
          <w:szCs w:val="21"/>
          <w:lang w:val="en-GB"/>
        </w:rPr>
        <w:t>In fact, and as not all municipalities will meet the minimum conditions, it is anticipated that, through the municipal performance grant, municipalities with a score above average will see a noticeable increase in their capital budget.</w:t>
      </w:r>
    </w:p>
    <w:p w14:paraId="245B6D1A" w14:textId="77777777" w:rsidR="00175AA2" w:rsidRPr="001E5747" w:rsidRDefault="00175AA2" w:rsidP="00175AA2">
      <w:pPr>
        <w:jc w:val="both"/>
        <w:rPr>
          <w:rFonts w:asciiTheme="majorHAnsi" w:hAnsiTheme="majorHAnsi" w:cstheme="majorHAnsi"/>
          <w:sz w:val="21"/>
          <w:szCs w:val="21"/>
          <w:lang w:val="en-GB"/>
        </w:rPr>
      </w:pPr>
      <w:r w:rsidRPr="001E5747">
        <w:rPr>
          <w:rFonts w:asciiTheme="majorHAnsi" w:hAnsiTheme="majorHAnsi" w:cstheme="majorHAnsi"/>
          <w:sz w:val="21"/>
          <w:szCs w:val="21"/>
          <w:lang w:val="en-GB"/>
        </w:rPr>
        <w:t>The table above is available as an Excel spreadsheet for those who are interested.</w:t>
      </w:r>
    </w:p>
    <w:p w14:paraId="62754FBE" w14:textId="77777777" w:rsidR="00175AA2" w:rsidRPr="001E5747" w:rsidRDefault="00175AA2" w:rsidP="00175AA2">
      <w:pPr>
        <w:spacing w:before="60" w:line="252" w:lineRule="auto"/>
        <w:jc w:val="both"/>
        <w:rPr>
          <w:rFonts w:asciiTheme="majorHAnsi" w:hAnsiTheme="majorHAnsi" w:cstheme="majorHAnsi"/>
          <w:sz w:val="21"/>
          <w:szCs w:val="21"/>
          <w:lang w:val="en-GB" w:eastAsia="en-GB"/>
        </w:rPr>
      </w:pPr>
    </w:p>
    <w:p w14:paraId="498108EF" w14:textId="77777777" w:rsidR="00175AA2" w:rsidRPr="001E5747" w:rsidRDefault="00175AA2" w:rsidP="00175AA2">
      <w:pPr>
        <w:spacing w:before="80" w:line="252" w:lineRule="auto"/>
        <w:jc w:val="both"/>
        <w:rPr>
          <w:rFonts w:asciiTheme="majorHAnsi" w:hAnsiTheme="majorHAnsi"/>
          <w:sz w:val="21"/>
          <w:szCs w:val="21"/>
          <w:lang w:val="en-GB"/>
        </w:rPr>
      </w:pPr>
    </w:p>
    <w:p w14:paraId="76409BA7" w14:textId="77777777" w:rsidR="00175AA2" w:rsidRPr="001E5747" w:rsidRDefault="00175AA2" w:rsidP="00175AA2">
      <w:pPr>
        <w:rPr>
          <w:rFonts w:ascii="Arial" w:hAnsi="Arial" w:cs="Arial"/>
          <w:b/>
          <w:color w:val="C0504D"/>
          <w:sz w:val="28"/>
          <w:szCs w:val="28"/>
          <w:lang w:val="en-GB"/>
        </w:rPr>
      </w:pPr>
      <w:r w:rsidRPr="001E5747">
        <w:rPr>
          <w:rFonts w:ascii="Arial" w:hAnsi="Arial" w:cs="Arial"/>
          <w:b/>
          <w:color w:val="C0504D"/>
          <w:sz w:val="28"/>
          <w:szCs w:val="28"/>
          <w:lang w:val="en-GB"/>
        </w:rPr>
        <w:br w:type="page"/>
      </w:r>
    </w:p>
    <w:p w14:paraId="4734680D" w14:textId="77777777" w:rsidR="008A4A56" w:rsidRPr="001E5747" w:rsidRDefault="008A4A56" w:rsidP="008A4A56">
      <w:pPr>
        <w:bidi/>
        <w:rPr>
          <w:lang w:val="en-GB"/>
        </w:rPr>
      </w:pPr>
      <w:bookmarkStart w:id="140" w:name="Textbaustein"/>
      <w:bookmarkStart w:id="141" w:name="mfg"/>
      <w:bookmarkStart w:id="142" w:name="Vertreter"/>
      <w:bookmarkStart w:id="143" w:name="po"/>
      <w:bookmarkStart w:id="144" w:name="Unterschrift"/>
      <w:bookmarkStart w:id="145" w:name="_Toc61062548"/>
      <w:bookmarkEnd w:id="140"/>
      <w:bookmarkEnd w:id="141"/>
      <w:bookmarkEnd w:id="142"/>
      <w:bookmarkEnd w:id="143"/>
      <w:bookmarkEnd w:id="144"/>
      <w:bookmarkEnd w:id="145"/>
    </w:p>
    <w:p w14:paraId="4088A426" w14:textId="77777777" w:rsidR="008A4A56" w:rsidRPr="001E5747" w:rsidRDefault="008A4A56" w:rsidP="008A4A56">
      <w:pPr>
        <w:keepNext/>
        <w:shd w:val="clear" w:color="auto" w:fill="D55635"/>
        <w:tabs>
          <w:tab w:val="left" w:pos="540"/>
        </w:tabs>
        <w:outlineLvl w:val="0"/>
        <w:rPr>
          <w:rFonts w:asciiTheme="majorHAnsi" w:hAnsiTheme="majorHAnsi"/>
          <w:b/>
          <w:color w:val="FFFFFF" w:themeColor="background1"/>
          <w:sz w:val="32"/>
          <w:szCs w:val="32"/>
          <w:lang w:val="en-GB"/>
        </w:rPr>
      </w:pPr>
      <w:bookmarkStart w:id="146" w:name="_Toc214024601"/>
      <w:r w:rsidRPr="001E5747">
        <w:rPr>
          <w:rFonts w:asciiTheme="majorHAnsi" w:hAnsiTheme="majorHAnsi"/>
          <w:b/>
          <w:color w:val="FFFFFF" w:themeColor="background1"/>
          <w:sz w:val="32"/>
          <w:szCs w:val="32"/>
          <w:lang w:val="en-GB"/>
        </w:rPr>
        <w:t xml:space="preserve">Annex </w:t>
      </w:r>
      <w:r>
        <w:rPr>
          <w:rFonts w:asciiTheme="majorHAnsi" w:hAnsiTheme="majorHAnsi"/>
          <w:b/>
          <w:color w:val="FFFFFF" w:themeColor="background1"/>
          <w:sz w:val="32"/>
          <w:szCs w:val="32"/>
          <w:lang w:val="en-GB"/>
        </w:rPr>
        <w:t>5</w:t>
      </w:r>
      <w:r w:rsidRPr="001E5747">
        <w:rPr>
          <w:rFonts w:asciiTheme="majorHAnsi" w:hAnsiTheme="majorHAnsi"/>
          <w:b/>
          <w:color w:val="FFFFFF" w:themeColor="background1"/>
          <w:sz w:val="32"/>
          <w:szCs w:val="32"/>
          <w:lang w:val="en-GB"/>
        </w:rPr>
        <w:t>: Contacts</w:t>
      </w:r>
      <w:bookmarkEnd w:id="146"/>
    </w:p>
    <w:p w14:paraId="550E0F15" w14:textId="77777777" w:rsidR="008A4A56" w:rsidRPr="001E5747" w:rsidRDefault="008A4A56" w:rsidP="008A4A56">
      <w:pPr>
        <w:rPr>
          <w:rFonts w:ascii="Arial" w:hAnsi="Arial" w:cs="Arial"/>
          <w:b/>
          <w:color w:val="C0504D"/>
          <w:sz w:val="28"/>
          <w:szCs w:val="28"/>
          <w:lang w:val="en-GB"/>
        </w:rPr>
      </w:pPr>
    </w:p>
    <w:p w14:paraId="17658B32" w14:textId="11F15158" w:rsidR="008A4A56" w:rsidRPr="001E5747" w:rsidRDefault="008A4A56" w:rsidP="008A4A56">
      <w:pPr>
        <w:rPr>
          <w:rFonts w:ascii="Calibri Light" w:eastAsia="Calibri" w:hAnsi="Calibri Light" w:cs="Calibri Light"/>
          <w:b/>
          <w:sz w:val="22"/>
          <w:szCs w:val="22"/>
          <w:lang w:val="en-GB"/>
        </w:rPr>
      </w:pPr>
      <w:r w:rsidRPr="001E5747">
        <w:rPr>
          <w:rFonts w:ascii="Calibri Light" w:eastAsia="Calibri" w:hAnsi="Calibri Light" w:cs="Calibri Light"/>
          <w:b/>
          <w:sz w:val="22"/>
          <w:szCs w:val="22"/>
          <w:lang w:val="en-GB"/>
        </w:rPr>
        <w:t xml:space="preserve">1. </w:t>
      </w:r>
      <w:r>
        <w:rPr>
          <w:rFonts w:ascii="Calibri Light" w:eastAsia="Calibri" w:hAnsi="Calibri Light" w:cs="Calibri Light"/>
          <w:b/>
          <w:sz w:val="22"/>
          <w:szCs w:val="22"/>
          <w:lang w:val="en-GB"/>
        </w:rPr>
        <w:t>Jeton Qela</w:t>
      </w:r>
      <w:r w:rsidRPr="001E5747">
        <w:rPr>
          <w:rFonts w:ascii="Calibri Light" w:eastAsia="Calibri" w:hAnsi="Calibri Light" w:cs="Calibri Light"/>
          <w:b/>
          <w:sz w:val="22"/>
          <w:szCs w:val="22"/>
          <w:lang w:val="en-GB"/>
        </w:rPr>
        <w:t xml:space="preserve"> – Secretary General of the MLG</w:t>
      </w:r>
      <w:r>
        <w:rPr>
          <w:rFonts w:ascii="Calibri Light" w:eastAsia="Calibri" w:hAnsi="Calibri Light" w:cs="Calibri Light"/>
          <w:b/>
          <w:sz w:val="22"/>
          <w:szCs w:val="22"/>
          <w:lang w:val="en-GB"/>
        </w:rPr>
        <w:t>A</w:t>
      </w:r>
    </w:p>
    <w:p w14:paraId="2D99CC97" w14:textId="77777777" w:rsidR="008A4A56" w:rsidRPr="000C3EC3" w:rsidRDefault="008A4A56" w:rsidP="008A4A56">
      <w:pPr>
        <w:rPr>
          <w:rFonts w:ascii="Calibri Light" w:hAnsi="Calibri Light"/>
          <w:sz w:val="22"/>
          <w:lang w:val="fr-CH"/>
        </w:rPr>
      </w:pPr>
      <w:proofErr w:type="gramStart"/>
      <w:r w:rsidRPr="000C3EC3">
        <w:rPr>
          <w:rFonts w:ascii="Calibri Light" w:hAnsi="Calibri Light"/>
          <w:sz w:val="22"/>
          <w:lang w:val="fr-CH"/>
        </w:rPr>
        <w:t>Tel:</w:t>
      </w:r>
      <w:proofErr w:type="gramEnd"/>
      <w:r w:rsidRPr="000C3EC3">
        <w:rPr>
          <w:rFonts w:ascii="Calibri Light" w:hAnsi="Calibri Light"/>
          <w:sz w:val="22"/>
          <w:lang w:val="fr-CH"/>
        </w:rPr>
        <w:t xml:space="preserve"> 038 200 35 577</w:t>
      </w:r>
    </w:p>
    <w:p w14:paraId="004A8504" w14:textId="77777777" w:rsidR="008A4A56" w:rsidRPr="000C3EC3" w:rsidRDefault="008A4A56" w:rsidP="008A4A56">
      <w:pPr>
        <w:rPr>
          <w:rFonts w:ascii="Calibri Light" w:hAnsi="Calibri Light"/>
          <w:sz w:val="22"/>
          <w:lang w:val="fr-CH"/>
        </w:rPr>
      </w:pPr>
      <w:proofErr w:type="gramStart"/>
      <w:r w:rsidRPr="000C3EC3">
        <w:rPr>
          <w:rFonts w:ascii="Calibri Light" w:hAnsi="Calibri Light"/>
          <w:sz w:val="22"/>
          <w:lang w:val="fr-CH"/>
        </w:rPr>
        <w:t>Email:</w:t>
      </w:r>
      <w:proofErr w:type="gramEnd"/>
      <w:r w:rsidRPr="000C3EC3">
        <w:rPr>
          <w:rFonts w:ascii="Calibri Light" w:hAnsi="Calibri Light"/>
          <w:sz w:val="22"/>
          <w:lang w:val="fr-CH"/>
        </w:rPr>
        <w:t xml:space="preserve"> </w:t>
      </w:r>
      <w:r>
        <w:rPr>
          <w:rFonts w:ascii="Calibri Light" w:hAnsi="Calibri Light"/>
          <w:sz w:val="22"/>
          <w:lang w:val="fr-CH"/>
        </w:rPr>
        <w:t>jeton.qela@rks-gov.net</w:t>
      </w:r>
      <w:r w:rsidDel="00AD26D1">
        <w:t xml:space="preserve"> </w:t>
      </w:r>
    </w:p>
    <w:p w14:paraId="45DD9ADB" w14:textId="77777777" w:rsidR="008A4A56" w:rsidRPr="000C3EC3" w:rsidRDefault="008A4A56" w:rsidP="008A4A56">
      <w:pPr>
        <w:rPr>
          <w:rFonts w:ascii="Calibri Light" w:hAnsi="Calibri Light"/>
          <w:sz w:val="22"/>
          <w:lang w:val="fr-CH"/>
        </w:rPr>
      </w:pPr>
    </w:p>
    <w:p w14:paraId="618AAA6F" w14:textId="317023BB" w:rsidR="008A4A56" w:rsidRPr="001E5747" w:rsidRDefault="008A4A56" w:rsidP="008A4A56">
      <w:pPr>
        <w:rPr>
          <w:rFonts w:ascii="Calibri Light" w:eastAsia="Calibri" w:hAnsi="Calibri Light" w:cs="Calibri Light"/>
          <w:b/>
          <w:sz w:val="22"/>
          <w:szCs w:val="22"/>
          <w:lang w:val="en-GB"/>
        </w:rPr>
      </w:pPr>
      <w:r w:rsidRPr="001E5747">
        <w:rPr>
          <w:rFonts w:ascii="Calibri Light" w:eastAsia="Calibri" w:hAnsi="Calibri Light" w:cs="Calibri Light"/>
          <w:b/>
          <w:sz w:val="22"/>
          <w:szCs w:val="22"/>
          <w:lang w:val="en-GB"/>
        </w:rPr>
        <w:t>2</w:t>
      </w:r>
      <w:r>
        <w:rPr>
          <w:rFonts w:ascii="Calibri Light" w:eastAsia="Calibri" w:hAnsi="Calibri Light" w:cs="Calibri Light"/>
          <w:b/>
          <w:sz w:val="22"/>
          <w:szCs w:val="22"/>
          <w:lang w:val="en-GB"/>
        </w:rPr>
        <w:t xml:space="preserve"> Drin </w:t>
      </w:r>
      <w:proofErr w:type="spellStart"/>
      <w:r>
        <w:rPr>
          <w:rFonts w:ascii="Calibri Light" w:eastAsia="Calibri" w:hAnsi="Calibri Light" w:cs="Calibri Light"/>
          <w:b/>
          <w:sz w:val="22"/>
          <w:szCs w:val="22"/>
          <w:lang w:val="en-GB"/>
        </w:rPr>
        <w:t>Haraqija</w:t>
      </w:r>
      <w:proofErr w:type="spellEnd"/>
      <w:r w:rsidRPr="001E5747">
        <w:rPr>
          <w:rFonts w:ascii="Calibri Light" w:eastAsia="Calibri" w:hAnsi="Calibri Light" w:cs="Calibri Light"/>
          <w:b/>
          <w:sz w:val="22"/>
          <w:szCs w:val="22"/>
          <w:lang w:val="en-GB"/>
        </w:rPr>
        <w:t xml:space="preserve"> - Director of the Department for Municipal Performance and Transparency in MLG</w:t>
      </w:r>
      <w:r>
        <w:rPr>
          <w:rFonts w:ascii="Calibri Light" w:eastAsia="Calibri" w:hAnsi="Calibri Light" w:cs="Calibri Light"/>
          <w:b/>
          <w:sz w:val="22"/>
          <w:szCs w:val="22"/>
          <w:lang w:val="en-GB"/>
        </w:rPr>
        <w:t>A</w:t>
      </w:r>
    </w:p>
    <w:p w14:paraId="1FB95B9D" w14:textId="77777777" w:rsidR="008A4A56" w:rsidRPr="0028141A" w:rsidRDefault="008A4A56" w:rsidP="008A4A56">
      <w:pPr>
        <w:rPr>
          <w:rFonts w:ascii="Calibri Light" w:hAnsi="Calibri Light"/>
          <w:sz w:val="22"/>
          <w:lang w:val="fr-CH"/>
        </w:rPr>
      </w:pPr>
      <w:proofErr w:type="gramStart"/>
      <w:r w:rsidRPr="0028141A">
        <w:rPr>
          <w:rFonts w:ascii="Calibri Light" w:hAnsi="Calibri Light"/>
          <w:sz w:val="22"/>
          <w:lang w:val="fr-CH"/>
        </w:rPr>
        <w:t>Tel:</w:t>
      </w:r>
      <w:proofErr w:type="gramEnd"/>
      <w:r w:rsidRPr="0028141A">
        <w:rPr>
          <w:rFonts w:ascii="Calibri Light" w:hAnsi="Calibri Light"/>
          <w:sz w:val="22"/>
          <w:lang w:val="fr-CH"/>
        </w:rPr>
        <w:t xml:space="preserve"> 038 200 35 551</w:t>
      </w:r>
    </w:p>
    <w:p w14:paraId="24FC501B" w14:textId="77777777" w:rsidR="008A4A56" w:rsidRPr="0028141A" w:rsidRDefault="008A4A56" w:rsidP="008A4A56">
      <w:pPr>
        <w:rPr>
          <w:rFonts w:ascii="Calibri Light" w:hAnsi="Calibri Light"/>
          <w:b/>
          <w:sz w:val="22"/>
          <w:lang w:val="fr-CH"/>
        </w:rPr>
      </w:pPr>
      <w:proofErr w:type="gramStart"/>
      <w:r w:rsidRPr="0028141A">
        <w:rPr>
          <w:rFonts w:ascii="Calibri Light" w:hAnsi="Calibri Light"/>
          <w:sz w:val="22"/>
          <w:lang w:val="fr-CH"/>
        </w:rPr>
        <w:t>Email:</w:t>
      </w:r>
      <w:proofErr w:type="gramEnd"/>
      <w:r w:rsidRPr="0028141A">
        <w:rPr>
          <w:rFonts w:ascii="Calibri Light" w:hAnsi="Calibri Light"/>
          <w:sz w:val="22"/>
          <w:lang w:val="fr-CH"/>
        </w:rPr>
        <w:t xml:space="preserve"> </w:t>
      </w:r>
      <w:hyperlink r:id="rId20" w:history="1">
        <w:r>
          <w:rPr>
            <w:rStyle w:val="Hyperlink"/>
            <w:rFonts w:ascii="Calibri Light" w:hAnsi="Calibri Light"/>
            <w:sz w:val="22"/>
            <w:lang w:val="fr-CH"/>
          </w:rPr>
          <w:t>drin.haraqia@rks-gov.net</w:t>
        </w:r>
      </w:hyperlink>
    </w:p>
    <w:p w14:paraId="4C8C39F4" w14:textId="77777777" w:rsidR="008A1C7F" w:rsidRPr="0028141A" w:rsidRDefault="008A1C7F">
      <w:pPr>
        <w:rPr>
          <w:lang w:val="fr-CH"/>
        </w:rPr>
      </w:pPr>
    </w:p>
    <w:sectPr w:rsidR="008A1C7F" w:rsidRPr="0028141A" w:rsidSect="007E0AF9">
      <w:footerReference w:type="default" r:id="rId21"/>
      <w:pgSz w:w="16834" w:h="11909" w:orient="landscape" w:code="9"/>
      <w:pgMar w:top="1800" w:right="1440" w:bottom="1800" w:left="1440" w:header="1296" w:footer="10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4DFF3" w14:textId="77777777" w:rsidR="00C8551E" w:rsidRDefault="00C8551E">
      <w:r>
        <w:separator/>
      </w:r>
    </w:p>
  </w:endnote>
  <w:endnote w:type="continuationSeparator" w:id="0">
    <w:p w14:paraId="40AA844B" w14:textId="77777777" w:rsidR="00C8551E" w:rsidRDefault="00C8551E">
      <w:r>
        <w:continuationSeparator/>
      </w:r>
    </w:p>
  </w:endnote>
  <w:endnote w:type="continuationNotice" w:id="1">
    <w:p w14:paraId="299073B0" w14:textId="77777777" w:rsidR="00C8551E" w:rsidRDefault="00C85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hHeadings)">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5A183" w14:textId="6CA95834" w:rsidR="009F5EB4" w:rsidRPr="00AF7C2C" w:rsidRDefault="009F5EB4" w:rsidP="00CD53A9">
    <w:pPr>
      <w:spacing w:before="120"/>
      <w:jc w:val="right"/>
      <w:rPr>
        <w:rFonts w:ascii="Arial" w:hAnsi="Arial"/>
        <w:bCs/>
        <w:color w:val="FF0000"/>
        <w:lang w:val="en-GB"/>
      </w:rPr>
    </w:pPr>
    <w:r w:rsidRPr="00AF7C2C">
      <w:rPr>
        <w:rFonts w:ascii="Arial" w:hAnsi="Arial" w:cs="Arial"/>
        <w:b/>
        <w:i/>
        <w:iCs/>
        <w:color w:val="808080" w:themeColor="background1" w:themeShade="80"/>
        <w:sz w:val="16"/>
        <w:szCs w:val="16"/>
        <w:lang w:val="en-GB"/>
      </w:rPr>
      <w:t xml:space="preserve">Municipal Performance Grant Rules </w:t>
    </w:r>
    <w:r>
      <w:rPr>
        <w:rFonts w:ascii="Arial" w:hAnsi="Arial" w:cs="Arial"/>
        <w:b/>
        <w:i/>
        <w:iCs/>
        <w:color w:val="808080" w:themeColor="background1" w:themeShade="80"/>
        <w:sz w:val="16"/>
        <w:szCs w:val="16"/>
        <w:lang w:val="en-GB"/>
      </w:rPr>
      <w:t>2026</w:t>
    </w:r>
    <w:r w:rsidRPr="00AF7C2C">
      <w:rPr>
        <w:rFonts w:ascii="Arial" w:hAnsi="Arial" w:cs="Arial"/>
        <w:b/>
        <w:i/>
        <w:iCs/>
        <w:color w:val="808080" w:themeColor="background1" w:themeShade="80"/>
        <w:sz w:val="16"/>
        <w:szCs w:val="16"/>
        <w:lang w:val="en-GB"/>
      </w:rPr>
      <w:t xml:space="preserve">- </w:t>
    </w:r>
    <w:r w:rsidRPr="00AF7C2C">
      <w:rPr>
        <w:rFonts w:ascii="Arial" w:hAnsi="Arial" w:cs="Arial"/>
        <w:iCs/>
        <w:color w:val="000000" w:themeColor="text1"/>
        <w:sz w:val="16"/>
        <w:szCs w:val="16"/>
        <w:highlight w:val="lightGray"/>
        <w:lang w:val="en-GB"/>
      </w:rPr>
      <w:t xml:space="preserve">Page </w:t>
    </w:r>
    <w:r w:rsidRPr="00AF7C2C">
      <w:rPr>
        <w:rFonts w:ascii="Arial" w:hAnsi="Arial" w:cs="Arial"/>
        <w:iCs/>
        <w:color w:val="000000" w:themeColor="text1"/>
        <w:sz w:val="16"/>
        <w:szCs w:val="16"/>
        <w:highlight w:val="lightGray"/>
        <w:lang w:val="en-GB"/>
      </w:rPr>
      <w:fldChar w:fldCharType="begin"/>
    </w:r>
    <w:r w:rsidRPr="00AF7C2C">
      <w:rPr>
        <w:rFonts w:ascii="Arial" w:hAnsi="Arial" w:cs="Arial"/>
        <w:iCs/>
        <w:color w:val="000000" w:themeColor="text1"/>
        <w:sz w:val="16"/>
        <w:szCs w:val="16"/>
        <w:highlight w:val="lightGray"/>
        <w:lang w:val="en-GB"/>
      </w:rPr>
      <w:instrText xml:space="preserve"> PAGE </w:instrText>
    </w:r>
    <w:r w:rsidRPr="00AF7C2C">
      <w:rPr>
        <w:rFonts w:ascii="Arial" w:hAnsi="Arial" w:cs="Arial"/>
        <w:iCs/>
        <w:color w:val="000000" w:themeColor="text1"/>
        <w:sz w:val="16"/>
        <w:szCs w:val="16"/>
        <w:highlight w:val="lightGray"/>
        <w:lang w:val="en-GB"/>
      </w:rPr>
      <w:fldChar w:fldCharType="separate"/>
    </w:r>
    <w:r w:rsidR="00403494">
      <w:rPr>
        <w:rFonts w:ascii="Arial" w:hAnsi="Arial" w:cs="Arial"/>
        <w:iCs/>
        <w:noProof/>
        <w:color w:val="000000" w:themeColor="text1"/>
        <w:sz w:val="16"/>
        <w:szCs w:val="16"/>
        <w:highlight w:val="lightGray"/>
        <w:lang w:val="en-GB"/>
      </w:rPr>
      <w:t>4</w:t>
    </w:r>
    <w:r w:rsidRPr="00AF7C2C">
      <w:rPr>
        <w:rFonts w:ascii="Arial" w:hAnsi="Arial" w:cs="Arial"/>
        <w:iCs/>
        <w:color w:val="000000" w:themeColor="text1"/>
        <w:sz w:val="16"/>
        <w:szCs w:val="16"/>
        <w:highlight w:val="lightGray"/>
        <w:lang w:val="en-GB"/>
      </w:rPr>
      <w:fldChar w:fldCharType="end"/>
    </w:r>
  </w:p>
  <w:p w14:paraId="69A20038" w14:textId="77777777" w:rsidR="009F5EB4" w:rsidRPr="00AF7C2C" w:rsidRDefault="009F5EB4">
    <w:pPr>
      <w:rPr>
        <w:lang w:val="en-GB"/>
      </w:rPr>
    </w:pPr>
  </w:p>
  <w:p w14:paraId="06EF5830" w14:textId="77777777" w:rsidR="009F5EB4" w:rsidRPr="00AF7C2C" w:rsidRDefault="009F5EB4">
    <w:pP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79AD6" w14:textId="5880C2F4" w:rsidR="009F5EB4" w:rsidRPr="00CD53A9" w:rsidRDefault="009F5EB4" w:rsidP="00CD53A9">
    <w:pPr>
      <w:spacing w:before="120"/>
      <w:jc w:val="right"/>
      <w:rPr>
        <w:rFonts w:ascii="Arial" w:hAnsi="Arial"/>
        <w:bCs/>
        <w:color w:val="FF0000"/>
      </w:rPr>
    </w:pPr>
    <w:r w:rsidRPr="00AF7C2C">
      <w:rPr>
        <w:rFonts w:ascii="Arial" w:hAnsi="Arial" w:cs="Arial"/>
        <w:b/>
        <w:i/>
        <w:iCs/>
        <w:color w:val="808080" w:themeColor="background1" w:themeShade="80"/>
        <w:sz w:val="16"/>
        <w:szCs w:val="16"/>
        <w:lang w:val="en-GB"/>
      </w:rPr>
      <w:t xml:space="preserve">Municipal Performance Grant Rules </w:t>
    </w:r>
    <w:r>
      <w:rPr>
        <w:rFonts w:ascii="Arial" w:hAnsi="Arial" w:cs="Arial"/>
        <w:b/>
        <w:i/>
        <w:iCs/>
        <w:color w:val="808080" w:themeColor="background1" w:themeShade="80"/>
        <w:sz w:val="16"/>
        <w:szCs w:val="16"/>
        <w:lang w:val="en-GB"/>
      </w:rPr>
      <w:t>2026</w:t>
    </w:r>
    <w:r w:rsidRPr="002A0323">
      <w:rPr>
        <w:rFonts w:ascii="Arial" w:hAnsi="Arial" w:cs="Arial"/>
        <w:b/>
        <w:i/>
        <w:iCs/>
        <w:color w:val="808080" w:themeColor="background1" w:themeShade="80"/>
        <w:sz w:val="16"/>
        <w:szCs w:val="16"/>
      </w:rPr>
      <w:t xml:space="preserve">- </w:t>
    </w:r>
    <w:r>
      <w:rPr>
        <w:rFonts w:ascii="Arial" w:hAnsi="Arial" w:cs="Arial"/>
        <w:iCs/>
        <w:color w:val="000000" w:themeColor="text1"/>
        <w:sz w:val="16"/>
        <w:szCs w:val="16"/>
        <w:highlight w:val="lightGray"/>
      </w:rPr>
      <w:t>Page</w:t>
    </w:r>
    <w:r w:rsidRPr="00E05687">
      <w:rPr>
        <w:rFonts w:ascii="Arial" w:hAnsi="Arial" w:cs="Arial"/>
        <w:iCs/>
        <w:color w:val="000000" w:themeColor="text1"/>
        <w:sz w:val="16"/>
        <w:szCs w:val="16"/>
        <w:highlight w:val="lightGray"/>
      </w:rPr>
      <w:t xml:space="preserve"> </w:t>
    </w:r>
    <w:r w:rsidRPr="00E05687">
      <w:rPr>
        <w:rFonts w:ascii="Arial" w:hAnsi="Arial" w:cs="Arial"/>
        <w:iCs/>
        <w:color w:val="000000" w:themeColor="text1"/>
        <w:sz w:val="16"/>
        <w:szCs w:val="16"/>
        <w:highlight w:val="lightGray"/>
      </w:rPr>
      <w:fldChar w:fldCharType="begin"/>
    </w:r>
    <w:r w:rsidRPr="00E05687">
      <w:rPr>
        <w:rFonts w:ascii="Arial" w:hAnsi="Arial" w:cs="Arial"/>
        <w:iCs/>
        <w:color w:val="000000" w:themeColor="text1"/>
        <w:sz w:val="16"/>
        <w:szCs w:val="16"/>
        <w:highlight w:val="lightGray"/>
      </w:rPr>
      <w:instrText xml:space="preserve"> PAGE </w:instrText>
    </w:r>
    <w:r w:rsidRPr="00E05687">
      <w:rPr>
        <w:rFonts w:ascii="Arial" w:hAnsi="Arial" w:cs="Arial"/>
        <w:iCs/>
        <w:color w:val="000000" w:themeColor="text1"/>
        <w:sz w:val="16"/>
        <w:szCs w:val="16"/>
        <w:highlight w:val="lightGray"/>
      </w:rPr>
      <w:fldChar w:fldCharType="separate"/>
    </w:r>
    <w:r w:rsidR="00403494">
      <w:rPr>
        <w:rFonts w:ascii="Arial" w:hAnsi="Arial" w:cs="Arial"/>
        <w:iCs/>
        <w:noProof/>
        <w:color w:val="000000" w:themeColor="text1"/>
        <w:sz w:val="16"/>
        <w:szCs w:val="16"/>
        <w:highlight w:val="lightGray"/>
      </w:rPr>
      <w:t>19</w:t>
    </w:r>
    <w:r w:rsidRPr="00E05687">
      <w:rPr>
        <w:rFonts w:ascii="Arial" w:hAnsi="Arial" w:cs="Arial"/>
        <w:iCs/>
        <w:color w:val="000000" w:themeColor="text1"/>
        <w:sz w:val="16"/>
        <w:szCs w:val="16"/>
        <w:highlight w:val="lightGray"/>
      </w:rPr>
      <w:fldChar w:fldCharType="end"/>
    </w:r>
  </w:p>
  <w:p w14:paraId="4E9BE0E1" w14:textId="77777777" w:rsidR="009F5EB4" w:rsidRDefault="009F5EB4"/>
  <w:p w14:paraId="4D0EE91C" w14:textId="77777777" w:rsidR="009F5EB4" w:rsidRDefault="009F5EB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1C06E" w14:textId="2A1A0A95" w:rsidR="009F5EB4" w:rsidRPr="00AF7C2C" w:rsidRDefault="009F5EB4" w:rsidP="005434CB">
    <w:pPr>
      <w:spacing w:before="120"/>
      <w:ind w:right="-1046"/>
      <w:jc w:val="right"/>
      <w:rPr>
        <w:rFonts w:ascii="Arial" w:hAnsi="Arial"/>
        <w:bCs/>
        <w:color w:val="FF0000"/>
        <w:lang w:val="en-GB"/>
      </w:rPr>
    </w:pPr>
    <w:r w:rsidRPr="00AF7C2C">
      <w:rPr>
        <w:rFonts w:ascii="Arial" w:hAnsi="Arial" w:cs="Arial"/>
        <w:b/>
        <w:i/>
        <w:iCs/>
        <w:color w:val="808080" w:themeColor="background1" w:themeShade="80"/>
        <w:sz w:val="16"/>
        <w:szCs w:val="16"/>
        <w:lang w:val="en-GB"/>
      </w:rPr>
      <w:t>Municipal Performance Grant – Rules F</w:t>
    </w:r>
    <w:r>
      <w:rPr>
        <w:rFonts w:ascii="Arial" w:hAnsi="Arial" w:cs="Arial"/>
        <w:b/>
        <w:i/>
        <w:iCs/>
        <w:color w:val="808080" w:themeColor="background1" w:themeShade="80"/>
        <w:sz w:val="16"/>
        <w:szCs w:val="16"/>
        <w:lang w:val="en-GB"/>
      </w:rPr>
      <w:t>Y</w:t>
    </w:r>
    <w:r w:rsidRPr="00AF7C2C">
      <w:rPr>
        <w:rFonts w:ascii="Arial" w:hAnsi="Arial" w:cs="Arial"/>
        <w:b/>
        <w:i/>
        <w:iCs/>
        <w:color w:val="808080" w:themeColor="background1" w:themeShade="80"/>
        <w:sz w:val="16"/>
        <w:szCs w:val="16"/>
        <w:lang w:val="en-GB"/>
      </w:rPr>
      <w:t xml:space="preserve"> 202</w:t>
    </w:r>
    <w:r>
      <w:rPr>
        <w:rFonts w:ascii="Arial" w:hAnsi="Arial" w:cs="Arial"/>
        <w:b/>
        <w:i/>
        <w:iCs/>
        <w:color w:val="808080" w:themeColor="background1" w:themeShade="80"/>
        <w:sz w:val="16"/>
        <w:szCs w:val="16"/>
        <w:lang w:val="en-GB"/>
      </w:rPr>
      <w:t>6</w:t>
    </w:r>
    <w:r w:rsidRPr="00AF7C2C">
      <w:rPr>
        <w:rFonts w:ascii="Arial" w:hAnsi="Arial" w:cs="Arial"/>
        <w:b/>
        <w:i/>
        <w:iCs/>
        <w:color w:val="808080" w:themeColor="background1" w:themeShade="80"/>
        <w:sz w:val="16"/>
        <w:szCs w:val="16"/>
        <w:lang w:val="en-GB"/>
      </w:rPr>
      <w:t xml:space="preserve"> - </w:t>
    </w:r>
    <w:r>
      <w:rPr>
        <w:rFonts w:ascii="Arial" w:hAnsi="Arial" w:cs="Arial"/>
        <w:iCs/>
        <w:color w:val="000000" w:themeColor="text1"/>
        <w:sz w:val="16"/>
        <w:szCs w:val="16"/>
        <w:highlight w:val="lightGray"/>
        <w:lang w:val="en-GB"/>
      </w:rPr>
      <w:t>Page</w:t>
    </w:r>
    <w:r w:rsidRPr="00AF7C2C">
      <w:rPr>
        <w:rFonts w:ascii="Arial" w:hAnsi="Arial" w:cs="Arial"/>
        <w:iCs/>
        <w:color w:val="000000" w:themeColor="text1"/>
        <w:sz w:val="16"/>
        <w:szCs w:val="16"/>
        <w:highlight w:val="lightGray"/>
        <w:lang w:val="en-GB"/>
      </w:rPr>
      <w:t xml:space="preserve"> </w:t>
    </w:r>
    <w:r w:rsidRPr="00AF7C2C">
      <w:rPr>
        <w:rFonts w:ascii="Arial" w:hAnsi="Arial" w:cs="Arial"/>
        <w:iCs/>
        <w:color w:val="000000" w:themeColor="text1"/>
        <w:sz w:val="16"/>
        <w:szCs w:val="16"/>
        <w:highlight w:val="lightGray"/>
        <w:lang w:val="en-GB"/>
      </w:rPr>
      <w:fldChar w:fldCharType="begin"/>
    </w:r>
    <w:r w:rsidRPr="00AF7C2C">
      <w:rPr>
        <w:rFonts w:ascii="Arial" w:hAnsi="Arial" w:cs="Arial"/>
        <w:iCs/>
        <w:color w:val="000000" w:themeColor="text1"/>
        <w:sz w:val="16"/>
        <w:szCs w:val="16"/>
        <w:highlight w:val="lightGray"/>
        <w:lang w:val="en-GB"/>
      </w:rPr>
      <w:instrText xml:space="preserve"> PAGE </w:instrText>
    </w:r>
    <w:r w:rsidRPr="00AF7C2C">
      <w:rPr>
        <w:rFonts w:ascii="Arial" w:hAnsi="Arial" w:cs="Arial"/>
        <w:iCs/>
        <w:color w:val="000000" w:themeColor="text1"/>
        <w:sz w:val="16"/>
        <w:szCs w:val="16"/>
        <w:highlight w:val="lightGray"/>
        <w:lang w:val="en-GB"/>
      </w:rPr>
      <w:fldChar w:fldCharType="separate"/>
    </w:r>
    <w:r w:rsidR="00403494">
      <w:rPr>
        <w:rFonts w:ascii="Arial" w:hAnsi="Arial" w:cs="Arial"/>
        <w:iCs/>
        <w:noProof/>
        <w:color w:val="000000" w:themeColor="text1"/>
        <w:sz w:val="16"/>
        <w:szCs w:val="16"/>
        <w:highlight w:val="lightGray"/>
        <w:lang w:val="en-GB"/>
      </w:rPr>
      <w:t>24</w:t>
    </w:r>
    <w:r w:rsidRPr="00AF7C2C">
      <w:rPr>
        <w:rFonts w:ascii="Arial" w:hAnsi="Arial" w:cs="Arial"/>
        <w:iCs/>
        <w:color w:val="000000" w:themeColor="text1"/>
        <w:sz w:val="16"/>
        <w:szCs w:val="16"/>
        <w:highlight w:val="lightGray"/>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0E51" w14:textId="77777777" w:rsidR="009F5EB4" w:rsidRPr="00B34556" w:rsidRDefault="009F5EB4" w:rsidP="00CD53A9">
    <w:pPr>
      <w:spacing w:before="120"/>
      <w:jc w:val="right"/>
      <w:rPr>
        <w:rFonts w:ascii="Arial" w:hAnsi="Arial" w:cs="Arial"/>
        <w:b/>
        <w:i/>
        <w:iCs/>
        <w:color w:val="808080" w:themeColor="background1" w:themeShade="80"/>
        <w:sz w:val="16"/>
        <w:szCs w:val="16"/>
        <w:lang w:val="en-GB"/>
      </w:rPr>
    </w:pPr>
  </w:p>
  <w:p w14:paraId="24CE362F" w14:textId="2EFB250A" w:rsidR="009F5EB4" w:rsidRPr="00265DDF" w:rsidRDefault="009F5EB4" w:rsidP="00265DDF">
    <w:pPr>
      <w:spacing w:before="120"/>
      <w:jc w:val="right"/>
      <w:rPr>
        <w:rFonts w:ascii="Arial" w:hAnsi="Arial" w:cs="Arial"/>
        <w:b/>
        <w:i/>
        <w:iCs/>
        <w:color w:val="808080" w:themeColor="background1" w:themeShade="80"/>
        <w:sz w:val="16"/>
        <w:szCs w:val="16"/>
        <w:lang w:val="en-GB"/>
      </w:rPr>
    </w:pPr>
    <w:r w:rsidRPr="00B34556">
      <w:rPr>
        <w:rFonts w:ascii="Arial" w:hAnsi="Arial" w:cs="Arial"/>
        <w:b/>
        <w:i/>
        <w:iCs/>
        <w:color w:val="808080" w:themeColor="background1" w:themeShade="80"/>
        <w:sz w:val="16"/>
        <w:szCs w:val="16"/>
        <w:lang w:val="en-GB"/>
      </w:rPr>
      <w:t>Municipal Performance Grant Rules</w:t>
    </w:r>
    <w:r>
      <w:rPr>
        <w:rFonts w:ascii="Arial" w:hAnsi="Arial" w:cs="Arial"/>
        <w:b/>
        <w:i/>
        <w:iCs/>
        <w:color w:val="808080" w:themeColor="background1" w:themeShade="80"/>
        <w:sz w:val="16"/>
        <w:szCs w:val="16"/>
        <w:lang w:val="en-GB"/>
      </w:rPr>
      <w:t xml:space="preserve"> 2026 </w:t>
    </w:r>
    <w:r w:rsidRPr="00B34556">
      <w:rPr>
        <w:rFonts w:ascii="Arial" w:hAnsi="Arial" w:cs="Arial"/>
        <w:b/>
        <w:i/>
        <w:iCs/>
        <w:color w:val="808080" w:themeColor="background1" w:themeShade="80"/>
        <w:sz w:val="16"/>
        <w:szCs w:val="16"/>
        <w:lang w:val="en-GB"/>
      </w:rPr>
      <w:t xml:space="preserve">- </w:t>
    </w:r>
    <w:r w:rsidRPr="00B34556">
      <w:rPr>
        <w:rFonts w:ascii="Arial" w:hAnsi="Arial" w:cs="Arial"/>
        <w:iCs/>
        <w:color w:val="000000" w:themeColor="text1"/>
        <w:sz w:val="16"/>
        <w:szCs w:val="16"/>
        <w:highlight w:val="lightGray"/>
        <w:lang w:val="en-GB"/>
      </w:rPr>
      <w:t xml:space="preserve">Page </w:t>
    </w:r>
    <w:r w:rsidRPr="00B34556">
      <w:rPr>
        <w:rFonts w:ascii="Arial" w:hAnsi="Arial" w:cs="Arial"/>
        <w:iCs/>
        <w:color w:val="000000" w:themeColor="text1"/>
        <w:sz w:val="16"/>
        <w:szCs w:val="16"/>
        <w:highlight w:val="lightGray"/>
        <w:lang w:val="en-GB"/>
      </w:rPr>
      <w:fldChar w:fldCharType="begin"/>
    </w:r>
    <w:r w:rsidRPr="00B34556">
      <w:rPr>
        <w:rFonts w:ascii="Arial" w:hAnsi="Arial" w:cs="Arial"/>
        <w:iCs/>
        <w:color w:val="000000" w:themeColor="text1"/>
        <w:sz w:val="16"/>
        <w:szCs w:val="16"/>
        <w:highlight w:val="lightGray"/>
        <w:lang w:val="en-GB"/>
      </w:rPr>
      <w:instrText xml:space="preserve"> PAGE </w:instrText>
    </w:r>
    <w:r w:rsidRPr="00B34556">
      <w:rPr>
        <w:rFonts w:ascii="Arial" w:hAnsi="Arial" w:cs="Arial"/>
        <w:iCs/>
        <w:color w:val="000000" w:themeColor="text1"/>
        <w:sz w:val="16"/>
        <w:szCs w:val="16"/>
        <w:highlight w:val="lightGray"/>
        <w:lang w:val="en-GB"/>
      </w:rPr>
      <w:fldChar w:fldCharType="separate"/>
    </w:r>
    <w:r w:rsidR="00403494">
      <w:rPr>
        <w:rFonts w:ascii="Arial" w:hAnsi="Arial" w:cs="Arial"/>
        <w:iCs/>
        <w:noProof/>
        <w:color w:val="000000" w:themeColor="text1"/>
        <w:sz w:val="16"/>
        <w:szCs w:val="16"/>
        <w:highlight w:val="lightGray"/>
        <w:lang w:val="en-GB"/>
      </w:rPr>
      <w:t>47</w:t>
    </w:r>
    <w:r w:rsidRPr="00B34556">
      <w:rPr>
        <w:rFonts w:ascii="Arial" w:hAnsi="Arial" w:cs="Arial"/>
        <w:iCs/>
        <w:color w:val="000000" w:themeColor="text1"/>
        <w:sz w:val="16"/>
        <w:szCs w:val="16"/>
        <w:highlight w:val="lightGray"/>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5C68A" w14:textId="77777777" w:rsidR="00C8551E" w:rsidRDefault="00C8551E">
      <w:r>
        <w:separator/>
      </w:r>
    </w:p>
  </w:footnote>
  <w:footnote w:type="continuationSeparator" w:id="0">
    <w:p w14:paraId="17D9EAA2" w14:textId="77777777" w:rsidR="00C8551E" w:rsidRDefault="00C8551E">
      <w:r>
        <w:continuationSeparator/>
      </w:r>
    </w:p>
  </w:footnote>
  <w:footnote w:type="continuationNotice" w:id="1">
    <w:p w14:paraId="27C0E5B4" w14:textId="77777777" w:rsidR="00C8551E" w:rsidRDefault="00C8551E"/>
  </w:footnote>
  <w:footnote w:id="2">
    <w:p w14:paraId="70123E95" w14:textId="31FD083B" w:rsidR="009F5EB4" w:rsidRPr="006033A8" w:rsidRDefault="009F5EB4">
      <w:pPr>
        <w:pStyle w:val="FootnoteText"/>
        <w:rPr>
          <w:i/>
          <w:iCs/>
          <w:sz w:val="18"/>
          <w:szCs w:val="18"/>
        </w:rPr>
      </w:pPr>
      <w:r w:rsidRPr="006033A8">
        <w:rPr>
          <w:rStyle w:val="FootnoteReference"/>
          <w:i/>
          <w:iCs/>
          <w:sz w:val="18"/>
          <w:szCs w:val="18"/>
        </w:rPr>
        <w:footnoteRef/>
      </w:r>
      <w:r w:rsidRPr="006033A8">
        <w:rPr>
          <w:i/>
          <w:iCs/>
          <w:sz w:val="18"/>
          <w:szCs w:val="18"/>
        </w:rPr>
        <w:t xml:space="preserve"> </w:t>
      </w:r>
      <w:bookmarkStart w:id="30" w:name="_Hlk214023644"/>
      <w:r w:rsidRPr="006033A8">
        <w:rPr>
          <w:i/>
          <w:iCs/>
          <w:sz w:val="18"/>
          <w:szCs w:val="18"/>
        </w:rPr>
        <w:t xml:space="preserve">Indicator number </w:t>
      </w:r>
      <w:r>
        <w:rPr>
          <w:i/>
          <w:iCs/>
          <w:sz w:val="18"/>
          <w:szCs w:val="18"/>
        </w:rPr>
        <w:t>16.b</w:t>
      </w:r>
      <w:r w:rsidRPr="006033A8">
        <w:rPr>
          <w:i/>
          <w:iCs/>
          <w:sz w:val="18"/>
          <w:szCs w:val="18"/>
        </w:rPr>
        <w:t xml:space="preserve"> will be frozen for the performance of 202</w:t>
      </w:r>
      <w:r>
        <w:rPr>
          <w:i/>
          <w:iCs/>
          <w:sz w:val="18"/>
          <w:szCs w:val="18"/>
        </w:rPr>
        <w:t>4</w:t>
      </w:r>
      <w:bookmarkEnd w:id="30"/>
    </w:p>
  </w:footnote>
  <w:footnote w:id="3">
    <w:p w14:paraId="73485CBA" w14:textId="77777777" w:rsidR="009F5EB4" w:rsidRPr="00C06C3E" w:rsidRDefault="009F5EB4" w:rsidP="00B739C3">
      <w:pPr>
        <w:pStyle w:val="FootnoteText"/>
        <w:rPr>
          <w:rFonts w:asciiTheme="majorHAnsi" w:hAnsiTheme="majorHAnsi"/>
          <w:sz w:val="18"/>
          <w:szCs w:val="18"/>
          <w:lang w:val="en-GB"/>
        </w:rPr>
      </w:pPr>
      <w:bookmarkStart w:id="39" w:name="_Hlk214023664"/>
      <w:r w:rsidRPr="00C06C3E">
        <w:rPr>
          <w:rStyle w:val="FootnoteReference"/>
          <w:rFonts w:asciiTheme="majorHAnsi" w:hAnsiTheme="majorHAnsi"/>
          <w:sz w:val="18"/>
          <w:szCs w:val="18"/>
          <w:lang w:val="en-GB"/>
        </w:rPr>
        <w:footnoteRef/>
      </w:r>
      <w:r w:rsidRPr="00C06C3E">
        <w:rPr>
          <w:rFonts w:asciiTheme="majorHAnsi" w:hAnsiTheme="majorHAnsi"/>
          <w:sz w:val="18"/>
          <w:szCs w:val="18"/>
          <w:lang w:val="en-GB"/>
        </w:rPr>
        <w:t xml:space="preserve"> Formula of the general grant allocation is defined in the Law on Local Government Finance (Law no. 03 / L-049)</w:t>
      </w:r>
    </w:p>
    <w:bookmarkEnd w:id="39"/>
  </w:footnote>
  <w:footnote w:id="4">
    <w:p w14:paraId="0A962EAD" w14:textId="4CF01F15" w:rsidR="009F5EB4" w:rsidRPr="000C3EC3" w:rsidRDefault="009F5EB4">
      <w:pPr>
        <w:pStyle w:val="FootnoteText"/>
        <w:rPr>
          <w:rFonts w:asciiTheme="majorHAnsi" w:hAnsiTheme="majorHAnsi"/>
          <w:sz w:val="18"/>
          <w:szCs w:val="18"/>
          <w:lang w:val="en-GB"/>
        </w:rPr>
      </w:pPr>
      <w:r>
        <w:rPr>
          <w:rStyle w:val="FootnoteReference"/>
        </w:rPr>
        <w:footnoteRef/>
      </w:r>
      <w:r>
        <w:t xml:space="preserve"> </w:t>
      </w:r>
      <w:r w:rsidRPr="000C3EC3">
        <w:rPr>
          <w:rFonts w:asciiTheme="majorHAnsi" w:hAnsiTheme="majorHAnsi"/>
          <w:sz w:val="18"/>
          <w:szCs w:val="18"/>
          <w:lang w:val="en-GB"/>
        </w:rPr>
        <w:t xml:space="preserve">The deadline for reporting of performance data by the municipality is 45 calendar days, from the moment of receipt of the request for reporting by the ministry. </w:t>
      </w:r>
    </w:p>
  </w:footnote>
  <w:footnote w:id="5">
    <w:p w14:paraId="3A1A34C5" w14:textId="7AE01CDD" w:rsidR="009F5EB4" w:rsidRPr="0063777D" w:rsidRDefault="009F5EB4" w:rsidP="00603525">
      <w:pPr>
        <w:pStyle w:val="FootnoteText"/>
        <w:rPr>
          <w:rFonts w:asciiTheme="majorHAnsi" w:hAnsiTheme="majorHAnsi"/>
          <w:sz w:val="18"/>
          <w:szCs w:val="18"/>
          <w:lang w:val="en-GB"/>
        </w:rPr>
      </w:pPr>
      <w:r w:rsidRPr="0063777D">
        <w:rPr>
          <w:rStyle w:val="FootnoteReference"/>
          <w:rFonts w:asciiTheme="majorHAnsi" w:hAnsiTheme="majorHAnsi"/>
          <w:sz w:val="18"/>
          <w:szCs w:val="18"/>
          <w:lang w:val="en-GB"/>
        </w:rPr>
        <w:footnoteRef/>
      </w:r>
      <w:r w:rsidRPr="0063777D">
        <w:rPr>
          <w:rFonts w:asciiTheme="majorHAnsi" w:hAnsiTheme="majorHAnsi"/>
          <w:sz w:val="18"/>
          <w:szCs w:val="18"/>
          <w:lang w:val="en-GB"/>
        </w:rPr>
        <w:t xml:space="preserve"> Review for the purposes of the M</w:t>
      </w:r>
      <w:r>
        <w:rPr>
          <w:rFonts w:asciiTheme="majorHAnsi" w:hAnsiTheme="majorHAnsi"/>
          <w:sz w:val="18"/>
          <w:szCs w:val="18"/>
          <w:lang w:val="en-GB"/>
        </w:rPr>
        <w:t>P</w:t>
      </w:r>
      <w:r w:rsidRPr="0063777D">
        <w:rPr>
          <w:rFonts w:asciiTheme="majorHAnsi" w:hAnsiTheme="majorHAnsi"/>
          <w:sz w:val="18"/>
          <w:szCs w:val="18"/>
          <w:lang w:val="en-GB"/>
        </w:rPr>
        <w:t>G is a procedural criterion, which implies the obligation of the municipality to review in the Municipal Assembly acts deemed illegal in 20</w:t>
      </w:r>
      <w:r>
        <w:rPr>
          <w:rFonts w:asciiTheme="majorHAnsi" w:hAnsiTheme="majorHAnsi"/>
          <w:sz w:val="18"/>
          <w:szCs w:val="18"/>
          <w:lang w:val="en-GB"/>
        </w:rPr>
        <w:t>24</w:t>
      </w:r>
      <w:r w:rsidRPr="0063777D">
        <w:rPr>
          <w:rFonts w:asciiTheme="majorHAnsi" w:hAnsiTheme="majorHAnsi"/>
          <w:sz w:val="18"/>
          <w:szCs w:val="18"/>
          <w:lang w:val="en-GB"/>
        </w:rPr>
        <w:t xml:space="preserve"> by the supervisory authority, without presupposing the final content of the reviewed act.</w:t>
      </w:r>
    </w:p>
  </w:footnote>
  <w:footnote w:id="6">
    <w:p w14:paraId="1A67444F" w14:textId="77777777" w:rsidR="009F5EB4" w:rsidRPr="0063777D" w:rsidRDefault="009F5EB4" w:rsidP="00603525">
      <w:pPr>
        <w:pStyle w:val="FootnoteText"/>
        <w:rPr>
          <w:rFonts w:asciiTheme="majorHAnsi" w:hAnsiTheme="majorHAnsi"/>
          <w:sz w:val="18"/>
          <w:szCs w:val="18"/>
          <w:lang w:val="en-GB"/>
        </w:rPr>
      </w:pPr>
      <w:r w:rsidRPr="0063777D">
        <w:rPr>
          <w:rStyle w:val="FootnoteReference"/>
          <w:rFonts w:asciiTheme="majorHAnsi" w:hAnsiTheme="majorHAnsi"/>
          <w:sz w:val="18"/>
          <w:szCs w:val="18"/>
          <w:lang w:val="en-GB"/>
        </w:rPr>
        <w:footnoteRef/>
      </w:r>
      <w:r w:rsidRPr="0063777D">
        <w:rPr>
          <w:rFonts w:asciiTheme="majorHAnsi" w:hAnsiTheme="majorHAnsi"/>
          <w:sz w:val="18"/>
          <w:szCs w:val="18"/>
          <w:lang w:val="en-GB"/>
        </w:rPr>
        <w:t xml:space="preserve"> Supervisory authority means the MLG</w:t>
      </w:r>
      <w:r>
        <w:rPr>
          <w:rFonts w:asciiTheme="majorHAnsi" w:hAnsiTheme="majorHAnsi"/>
          <w:sz w:val="18"/>
          <w:szCs w:val="18"/>
          <w:lang w:val="en-GB"/>
        </w:rPr>
        <w:t>A</w:t>
      </w:r>
      <w:r w:rsidRPr="0063777D">
        <w:rPr>
          <w:rFonts w:asciiTheme="majorHAnsi" w:hAnsiTheme="majorHAnsi"/>
          <w:sz w:val="18"/>
          <w:szCs w:val="18"/>
          <w:lang w:val="en-GB"/>
        </w:rPr>
        <w:t xml:space="preserve"> and line ministries</w:t>
      </w:r>
    </w:p>
  </w:footnote>
  <w:footnote w:id="7">
    <w:p w14:paraId="2361762A" w14:textId="76CAA348" w:rsidR="009F5EB4" w:rsidRPr="00141843" w:rsidRDefault="009F5EB4">
      <w:pPr>
        <w:pStyle w:val="FootnoteText"/>
        <w:rPr>
          <w:rFonts w:asciiTheme="majorHAnsi" w:hAnsiTheme="majorHAnsi" w:cstheme="majorHAnsi"/>
          <w:sz w:val="18"/>
          <w:szCs w:val="18"/>
          <w:lang w:val="en-US"/>
        </w:rPr>
      </w:pPr>
      <w:r w:rsidRPr="00141843">
        <w:rPr>
          <w:rStyle w:val="FootnoteReference"/>
          <w:rFonts w:asciiTheme="majorHAnsi" w:hAnsiTheme="majorHAnsi" w:cstheme="majorHAnsi"/>
          <w:sz w:val="18"/>
          <w:szCs w:val="18"/>
        </w:rPr>
        <w:footnoteRef/>
      </w:r>
      <w:r w:rsidRPr="00141843">
        <w:rPr>
          <w:rStyle w:val="FootnoteReference"/>
          <w:rFonts w:asciiTheme="majorHAnsi" w:hAnsiTheme="majorHAnsi" w:cstheme="majorHAnsi"/>
          <w:sz w:val="18"/>
          <w:szCs w:val="18"/>
        </w:rPr>
        <w:t xml:space="preserve"> </w:t>
      </w:r>
      <w:r w:rsidRPr="00141843">
        <w:rPr>
          <w:rFonts w:asciiTheme="majorHAnsi" w:hAnsiTheme="majorHAnsi" w:cstheme="majorHAnsi"/>
          <w:sz w:val="18"/>
          <w:szCs w:val="18"/>
        </w:rPr>
        <w:t>A more detailed explanation of the topics, indicators and colours can be found in the text and in annex 2.</w:t>
      </w:r>
    </w:p>
  </w:footnote>
  <w:footnote w:id="8">
    <w:p w14:paraId="7344F26F" w14:textId="3EC972E9" w:rsidR="009F5EB4" w:rsidRPr="00DD3545" w:rsidRDefault="009F5EB4" w:rsidP="007A3400">
      <w:pPr>
        <w:pStyle w:val="FootnoteText"/>
        <w:rPr>
          <w:sz w:val="16"/>
          <w:szCs w:val="16"/>
        </w:rPr>
      </w:pPr>
    </w:p>
  </w:footnote>
  <w:footnote w:id="9">
    <w:p w14:paraId="1733FA74" w14:textId="4A923B0F" w:rsidR="009F5EB4" w:rsidRPr="00A56D91" w:rsidRDefault="009F5EB4">
      <w:pPr>
        <w:pStyle w:val="FootnoteText"/>
        <w:rPr>
          <w:rFonts w:ascii="Calibri(hHeadings)" w:hAnsi="Calibri(hHeadings)"/>
          <w:i/>
          <w:sz w:val="22"/>
          <w:szCs w:val="22"/>
          <w:lang w:val="en-US"/>
        </w:rPr>
      </w:pPr>
      <w:r w:rsidRPr="00A56D91">
        <w:rPr>
          <w:rStyle w:val="FootnoteReference"/>
          <w:rFonts w:ascii="Calibri(hHeadings)" w:hAnsi="Calibri(hHeadings)"/>
          <w:i/>
          <w:sz w:val="20"/>
          <w:szCs w:val="20"/>
        </w:rPr>
        <w:footnoteRef/>
      </w:r>
      <w:r w:rsidRPr="00D04535">
        <w:rPr>
          <w:rFonts w:asciiTheme="majorHAnsi" w:eastAsia="Times New Roman" w:hAnsiTheme="majorHAnsi"/>
          <w:i/>
          <w:iCs/>
          <w:sz w:val="18"/>
          <w:szCs w:val="18"/>
        </w:rPr>
        <w:t>The amount of 4 million euros is based on the requ</w:t>
      </w:r>
      <w:r w:rsidR="003E4108" w:rsidRPr="00D04535">
        <w:rPr>
          <w:rFonts w:asciiTheme="majorHAnsi" w:eastAsia="Times New Roman" w:hAnsiTheme="majorHAnsi"/>
          <w:i/>
          <w:iCs/>
          <w:sz w:val="18"/>
          <w:szCs w:val="18"/>
        </w:rPr>
        <w:t>ests submitted by MLGA to the MWFT</w:t>
      </w:r>
      <w:r w:rsidRPr="00D04535">
        <w:rPr>
          <w:rFonts w:asciiTheme="majorHAnsi" w:eastAsia="Times New Roman" w:hAnsiTheme="majorHAnsi"/>
          <w:i/>
          <w:iCs/>
          <w:sz w:val="18"/>
          <w:szCs w:val="18"/>
        </w:rPr>
        <w:t>. This amount will be confirmed once the Assembly of Kosovo approves the annual budget for 2026.</w:t>
      </w:r>
    </w:p>
  </w:footnote>
  <w:footnote w:id="10">
    <w:p w14:paraId="74C20C0E" w14:textId="07DF51A7" w:rsidR="009F5EB4" w:rsidRPr="0025687E" w:rsidRDefault="009F5EB4" w:rsidP="000E3A9A">
      <w:pPr>
        <w:pStyle w:val="FootnoteText"/>
      </w:pPr>
      <w:r w:rsidRPr="0090589F">
        <w:rPr>
          <w:rFonts w:asciiTheme="majorHAnsi" w:eastAsia="Times New Roman" w:hAnsiTheme="majorHAnsi"/>
          <w:i/>
          <w:iCs/>
          <w:sz w:val="18"/>
          <w:szCs w:val="18"/>
        </w:rPr>
        <w:footnoteRef/>
      </w:r>
      <w:r w:rsidRPr="0090589F">
        <w:rPr>
          <w:rFonts w:asciiTheme="majorHAnsi" w:eastAsia="Times New Roman" w:hAnsiTheme="majorHAnsi"/>
          <w:i/>
          <w:iCs/>
          <w:sz w:val="18"/>
          <w:szCs w:val="18"/>
        </w:rPr>
        <w:t xml:space="preserve"> </w:t>
      </w:r>
      <w:r>
        <w:rPr>
          <w:rFonts w:asciiTheme="majorHAnsi" w:eastAsia="Times New Roman" w:hAnsiTheme="majorHAnsi"/>
          <w:i/>
          <w:iCs/>
          <w:sz w:val="18"/>
          <w:szCs w:val="18"/>
        </w:rPr>
        <w:t xml:space="preserve"> </w:t>
      </w:r>
      <w:r w:rsidRPr="007A5A67">
        <w:rPr>
          <w:rFonts w:asciiTheme="majorHAnsi" w:eastAsia="Times New Roman" w:hAnsiTheme="majorHAnsi"/>
          <w:i/>
          <w:iCs/>
          <w:sz w:val="18"/>
          <w:szCs w:val="18"/>
        </w:rPr>
        <w:t>The contributors and the amount of their contribution are subject to approval by the respective governments of the contributors.</w:t>
      </w:r>
    </w:p>
  </w:footnote>
  <w:footnote w:id="11">
    <w:p w14:paraId="3125F416" w14:textId="32FB4F0F" w:rsidR="009F5EB4" w:rsidRPr="00235512" w:rsidRDefault="009F5EB4">
      <w:pPr>
        <w:pStyle w:val="FootnoteText"/>
        <w:rPr>
          <w:lang w:val="en-GB"/>
        </w:rPr>
      </w:pPr>
      <w:r w:rsidRPr="0082641A">
        <w:rPr>
          <w:rStyle w:val="FootnoteReference"/>
          <w:rFonts w:asciiTheme="majorHAnsi" w:hAnsiTheme="majorHAnsi" w:cstheme="majorHAnsi"/>
          <w:sz w:val="18"/>
          <w:szCs w:val="18"/>
        </w:rPr>
        <w:footnoteRef/>
      </w:r>
      <w:r w:rsidRPr="0082641A">
        <w:rPr>
          <w:rFonts w:asciiTheme="majorHAnsi" w:hAnsiTheme="majorHAnsi" w:cstheme="majorHAnsi"/>
          <w:sz w:val="18"/>
          <w:szCs w:val="18"/>
        </w:rPr>
        <w:t xml:space="preserve"> </w:t>
      </w:r>
      <w:r w:rsidRPr="0082641A">
        <w:rPr>
          <w:rFonts w:asciiTheme="majorHAnsi" w:hAnsiTheme="majorHAnsi" w:cstheme="majorHAnsi"/>
          <w:sz w:val="18"/>
          <w:szCs w:val="18"/>
          <w:lang w:val="en-GB"/>
        </w:rPr>
        <w:t xml:space="preserve">Donors </w:t>
      </w:r>
      <w:r>
        <w:rPr>
          <w:rFonts w:asciiTheme="majorHAnsi" w:hAnsiTheme="majorHAnsi" w:cstheme="majorHAnsi"/>
          <w:sz w:val="18"/>
          <w:szCs w:val="18"/>
          <w:lang w:val="en-GB"/>
        </w:rPr>
        <w:t>funds</w:t>
      </w:r>
      <w:r w:rsidRPr="0082641A">
        <w:rPr>
          <w:rFonts w:asciiTheme="majorHAnsi" w:hAnsiTheme="majorHAnsi" w:cstheme="majorHAnsi"/>
          <w:sz w:val="18"/>
          <w:szCs w:val="18"/>
          <w:lang w:val="en-GB"/>
        </w:rPr>
        <w:t xml:space="preserve"> of MPG funds can be used </w:t>
      </w:r>
      <w:r w:rsidRPr="00A23106">
        <w:rPr>
          <w:rFonts w:asciiTheme="majorHAnsi" w:hAnsiTheme="majorHAnsi" w:cstheme="majorHAnsi"/>
          <w:sz w:val="18"/>
          <w:szCs w:val="18"/>
          <w:lang w:val="en-GB"/>
        </w:rPr>
        <w:t>according to the agreement with donors.</w:t>
      </w:r>
    </w:p>
  </w:footnote>
  <w:footnote w:id="12">
    <w:p w14:paraId="16D6EFBF" w14:textId="414B30DD" w:rsidR="009F5EB4" w:rsidRPr="00854713" w:rsidRDefault="009F5EB4">
      <w:pPr>
        <w:pStyle w:val="FootnoteText"/>
        <w:rPr>
          <w:lang w:val="en-US"/>
        </w:rPr>
      </w:pPr>
      <w:r>
        <w:rPr>
          <w:rStyle w:val="FootnoteReference"/>
        </w:rPr>
        <w:footnoteRef/>
      </w:r>
      <w:r>
        <w:t xml:space="preserve"> </w:t>
      </w:r>
      <w:r w:rsidRPr="00854713">
        <w:rPr>
          <w:rFonts w:asciiTheme="majorHAnsi" w:hAnsiTheme="majorHAnsi" w:cstheme="majorHAnsi"/>
          <w:sz w:val="18"/>
          <w:szCs w:val="18"/>
          <w:lang w:val="en-GB"/>
        </w:rPr>
        <w:t>This amount is additional to the grant allocated by the contributors and is subject to approval by the respective governments of the contributors</w:t>
      </w:r>
      <w:r w:rsidRPr="00A23106">
        <w:rPr>
          <w:rFonts w:asciiTheme="majorHAnsi" w:hAnsiTheme="majorHAnsi" w:cstheme="majorHAnsi"/>
          <w:sz w:val="18"/>
          <w:szCs w:val="18"/>
          <w:lang w:val="en-GB"/>
        </w:rPr>
        <w:t>.</w:t>
      </w:r>
    </w:p>
  </w:footnote>
  <w:footnote w:id="13">
    <w:p w14:paraId="1BA0D6EC" w14:textId="61CBCB8E" w:rsidR="009F5EB4" w:rsidRPr="004B78F4" w:rsidRDefault="009F5EB4" w:rsidP="004B78F4">
      <w:pPr>
        <w:pStyle w:val="FootnoteText"/>
        <w:rPr>
          <w:rFonts w:asciiTheme="majorHAnsi" w:hAnsiTheme="majorHAnsi" w:cstheme="majorHAnsi"/>
          <w:sz w:val="18"/>
          <w:szCs w:val="18"/>
        </w:rPr>
      </w:pPr>
      <w:r w:rsidRPr="004B78F4">
        <w:rPr>
          <w:rStyle w:val="FootnoteReference"/>
          <w:rFonts w:asciiTheme="majorHAnsi" w:hAnsiTheme="majorHAnsi" w:cstheme="majorHAnsi"/>
          <w:sz w:val="18"/>
          <w:szCs w:val="18"/>
        </w:rPr>
        <w:footnoteRef/>
      </w:r>
      <w:r w:rsidRPr="004B78F4">
        <w:rPr>
          <w:rFonts w:asciiTheme="majorHAnsi" w:hAnsiTheme="majorHAnsi" w:cstheme="majorHAnsi"/>
          <w:sz w:val="18"/>
          <w:szCs w:val="18"/>
        </w:rPr>
        <w:t xml:space="preserve"> Law No. 08/l-103 on the </w:t>
      </w:r>
      <w:r>
        <w:rPr>
          <w:rFonts w:asciiTheme="majorHAnsi" w:hAnsiTheme="majorHAnsi" w:cstheme="majorHAnsi"/>
          <w:sz w:val="18"/>
          <w:szCs w:val="18"/>
        </w:rPr>
        <w:t xml:space="preserve">Municipal </w:t>
      </w:r>
      <w:r w:rsidRPr="004B78F4">
        <w:rPr>
          <w:rFonts w:asciiTheme="majorHAnsi" w:hAnsiTheme="majorHAnsi" w:cstheme="majorHAnsi"/>
          <w:sz w:val="18"/>
          <w:szCs w:val="18"/>
        </w:rPr>
        <w:t>Performance Management System and the Performance-Based Grant Scheme, Article 28</w:t>
      </w:r>
    </w:p>
  </w:footnote>
  <w:footnote w:id="14">
    <w:p w14:paraId="2D6EA1D9" w14:textId="060B763D" w:rsidR="009F5EB4" w:rsidRPr="004B78F4" w:rsidRDefault="009F5EB4">
      <w:pPr>
        <w:pStyle w:val="FootnoteText"/>
        <w:rPr>
          <w:lang w:val="en-US"/>
        </w:rPr>
      </w:pPr>
      <w:r w:rsidRPr="004B78F4">
        <w:rPr>
          <w:rStyle w:val="FootnoteReference"/>
          <w:rFonts w:asciiTheme="majorHAnsi" w:hAnsiTheme="majorHAnsi" w:cstheme="majorHAnsi"/>
          <w:sz w:val="18"/>
          <w:szCs w:val="18"/>
        </w:rPr>
        <w:footnoteRef/>
      </w:r>
      <w:r>
        <w:t xml:space="preserve"> </w:t>
      </w:r>
      <w:r w:rsidRPr="004B78F4">
        <w:rPr>
          <w:rFonts w:asciiTheme="majorHAnsi" w:hAnsiTheme="majorHAnsi" w:cstheme="majorHAnsi"/>
          <w:sz w:val="18"/>
          <w:szCs w:val="18"/>
        </w:rPr>
        <w:t xml:space="preserve">According toaw No. 08/l-103 on the </w:t>
      </w:r>
      <w:r>
        <w:rPr>
          <w:rFonts w:asciiTheme="majorHAnsi" w:hAnsiTheme="majorHAnsi" w:cstheme="majorHAnsi"/>
          <w:sz w:val="18"/>
          <w:szCs w:val="18"/>
        </w:rPr>
        <w:t xml:space="preserve">Municipal </w:t>
      </w:r>
      <w:r w:rsidRPr="004B78F4">
        <w:rPr>
          <w:rFonts w:asciiTheme="majorHAnsi" w:hAnsiTheme="majorHAnsi" w:cstheme="majorHAnsi"/>
          <w:sz w:val="18"/>
          <w:szCs w:val="18"/>
        </w:rPr>
        <w:t>Performance Management System and the Performance-Based Grant Scheme, the scheme of performance grant indicators as determined by the grant rules cannot be changed in a period shorter than 3 years from their entry into force</w:t>
      </w:r>
    </w:p>
  </w:footnote>
  <w:footnote w:id="15">
    <w:p w14:paraId="7E97771F" w14:textId="58BCF765" w:rsidR="009F5EB4" w:rsidRPr="00EF13F3" w:rsidRDefault="009F5EB4">
      <w:pPr>
        <w:pStyle w:val="FootnoteText"/>
        <w:rPr>
          <w:sz w:val="16"/>
          <w:szCs w:val="16"/>
          <w:lang w:val="en-US"/>
        </w:rPr>
      </w:pPr>
      <w:r w:rsidRPr="00EF13F3">
        <w:rPr>
          <w:rStyle w:val="FootnoteReference"/>
          <w:sz w:val="16"/>
          <w:szCs w:val="16"/>
        </w:rPr>
        <w:footnoteRef/>
      </w:r>
      <w:r w:rsidRPr="00EF13F3">
        <w:rPr>
          <w:sz w:val="16"/>
          <w:szCs w:val="16"/>
        </w:rPr>
        <w:t xml:space="preserve"> </w:t>
      </w:r>
      <w:r w:rsidRPr="00EF13F3">
        <w:rPr>
          <w:sz w:val="16"/>
          <w:szCs w:val="16"/>
          <w:lang w:val="en-US"/>
        </w:rPr>
        <w:t xml:space="preserve">The donor share of MPG funds can be </w:t>
      </w:r>
      <w:r>
        <w:rPr>
          <w:sz w:val="16"/>
          <w:szCs w:val="16"/>
          <w:lang w:val="en-US"/>
        </w:rPr>
        <w:t xml:space="preserve">used </w:t>
      </w:r>
      <w:r w:rsidRPr="006F03BA">
        <w:rPr>
          <w:sz w:val="16"/>
          <w:szCs w:val="16"/>
          <w:lang w:val="en-US"/>
        </w:rPr>
        <w:t>according to the agreement.</w:t>
      </w:r>
    </w:p>
  </w:footnote>
  <w:footnote w:id="16">
    <w:p w14:paraId="50AE1F68" w14:textId="77777777" w:rsidR="009F5EB4" w:rsidRPr="00C06C3E" w:rsidRDefault="009F5EB4" w:rsidP="00214972">
      <w:pPr>
        <w:pStyle w:val="FootnoteText"/>
        <w:jc w:val="both"/>
        <w:rPr>
          <w:rFonts w:asciiTheme="majorHAnsi" w:hAnsiTheme="majorHAnsi"/>
          <w:sz w:val="17"/>
          <w:szCs w:val="17"/>
          <w:lang w:val="en-GB"/>
        </w:rPr>
      </w:pPr>
      <w:r w:rsidRPr="00C06C3E">
        <w:rPr>
          <w:rStyle w:val="FootnoteReference"/>
          <w:rFonts w:asciiTheme="majorHAnsi" w:hAnsiTheme="majorHAnsi"/>
          <w:sz w:val="17"/>
          <w:szCs w:val="17"/>
          <w:lang w:val="en-GB"/>
        </w:rPr>
        <w:footnoteRef/>
      </w:r>
      <w:r w:rsidRPr="00C06C3E">
        <w:rPr>
          <w:rFonts w:asciiTheme="majorHAnsi" w:hAnsiTheme="majorHAnsi"/>
          <w:sz w:val="17"/>
          <w:szCs w:val="17"/>
          <w:lang w:val="en-GB"/>
        </w:rPr>
        <w:t xml:space="preserve"> NAO provides several types of opinions:</w:t>
      </w:r>
    </w:p>
    <w:p w14:paraId="42F7A7C1" w14:textId="77777777" w:rsidR="009F5EB4" w:rsidRPr="00C06C3E" w:rsidRDefault="009F5EB4" w:rsidP="00214972">
      <w:pPr>
        <w:pStyle w:val="FootnoteText"/>
        <w:widowControl w:val="0"/>
        <w:jc w:val="both"/>
        <w:rPr>
          <w:rFonts w:asciiTheme="majorHAnsi" w:hAnsiTheme="majorHAnsi"/>
          <w:sz w:val="17"/>
          <w:szCs w:val="17"/>
          <w:u w:val="single"/>
          <w:lang w:val="en-GB"/>
        </w:rPr>
      </w:pPr>
      <w:r w:rsidRPr="00C06C3E">
        <w:rPr>
          <w:rFonts w:asciiTheme="majorHAnsi" w:hAnsiTheme="majorHAnsi"/>
          <w:sz w:val="17"/>
          <w:szCs w:val="17"/>
          <w:u w:val="single"/>
          <w:lang w:val="en-GB"/>
        </w:rPr>
        <w:t>Unmodified opinion:</w:t>
      </w:r>
    </w:p>
    <w:p w14:paraId="31EB8230" w14:textId="77777777" w:rsidR="009F5EB4" w:rsidRPr="00C06C3E" w:rsidRDefault="009F5EB4" w:rsidP="00214972">
      <w:pPr>
        <w:pStyle w:val="FootnoteText"/>
        <w:widowControl w:val="0"/>
        <w:jc w:val="both"/>
        <w:rPr>
          <w:rFonts w:asciiTheme="majorHAnsi" w:hAnsiTheme="majorHAnsi"/>
          <w:sz w:val="17"/>
          <w:szCs w:val="17"/>
          <w:lang w:val="en-GB"/>
        </w:rPr>
      </w:pPr>
      <w:r w:rsidRPr="00C06C3E">
        <w:rPr>
          <w:rFonts w:asciiTheme="majorHAnsi" w:hAnsiTheme="majorHAnsi"/>
          <w:sz w:val="17"/>
          <w:szCs w:val="17"/>
          <w:lang w:val="en-GB"/>
        </w:rPr>
        <w:t>• If it is concluded that the financial statements are prepared, in all material aspects, in accordance with the applicable financial framework</w:t>
      </w:r>
    </w:p>
    <w:p w14:paraId="32EE3492" w14:textId="77777777" w:rsidR="009F5EB4" w:rsidRPr="00C06C3E" w:rsidRDefault="009F5EB4" w:rsidP="00214972">
      <w:pPr>
        <w:pStyle w:val="FootnoteText"/>
        <w:widowControl w:val="0"/>
        <w:jc w:val="both"/>
        <w:rPr>
          <w:rFonts w:asciiTheme="majorHAnsi" w:hAnsiTheme="majorHAnsi"/>
          <w:sz w:val="17"/>
          <w:szCs w:val="17"/>
          <w:u w:val="single"/>
          <w:lang w:val="en-GB"/>
        </w:rPr>
      </w:pPr>
      <w:r w:rsidRPr="00C06C3E">
        <w:rPr>
          <w:rFonts w:asciiTheme="majorHAnsi" w:hAnsiTheme="majorHAnsi"/>
          <w:sz w:val="17"/>
          <w:szCs w:val="17"/>
          <w:u w:val="single"/>
          <w:lang w:val="en-GB"/>
        </w:rPr>
        <w:t xml:space="preserve">Qualified opinion: </w:t>
      </w:r>
    </w:p>
    <w:p w14:paraId="7763834D" w14:textId="77777777" w:rsidR="009F5EB4" w:rsidRPr="00C06C3E" w:rsidRDefault="009F5EB4" w:rsidP="00214972">
      <w:pPr>
        <w:pStyle w:val="FootnoteText"/>
        <w:widowControl w:val="0"/>
        <w:numPr>
          <w:ilvl w:val="0"/>
          <w:numId w:val="10"/>
        </w:numPr>
        <w:ind w:left="180" w:hanging="180"/>
        <w:jc w:val="both"/>
        <w:rPr>
          <w:rFonts w:asciiTheme="majorHAnsi" w:hAnsiTheme="majorHAnsi"/>
          <w:sz w:val="17"/>
          <w:szCs w:val="17"/>
          <w:lang w:val="en-GB"/>
        </w:rPr>
      </w:pPr>
      <w:r w:rsidRPr="00C06C3E">
        <w:rPr>
          <w:rFonts w:asciiTheme="majorHAnsi" w:hAnsiTheme="majorHAnsi"/>
          <w:sz w:val="17"/>
          <w:szCs w:val="17"/>
          <w:lang w:val="en-GB"/>
        </w:rPr>
        <w:t xml:space="preserve">If having obtained sufficient appropriate audit evidence, the auditor concludes that misstatements, individually or in the aggregate, are material, but not pervasive, to the financial statements; or </w:t>
      </w:r>
    </w:p>
    <w:p w14:paraId="3FB11F01" w14:textId="77777777" w:rsidR="009F5EB4" w:rsidRPr="00C06C3E" w:rsidRDefault="009F5EB4" w:rsidP="00214972">
      <w:pPr>
        <w:pStyle w:val="FootnoteText"/>
        <w:widowControl w:val="0"/>
        <w:numPr>
          <w:ilvl w:val="0"/>
          <w:numId w:val="10"/>
        </w:numPr>
        <w:ind w:left="180" w:hanging="180"/>
        <w:jc w:val="both"/>
        <w:rPr>
          <w:rFonts w:asciiTheme="majorHAnsi" w:hAnsiTheme="majorHAnsi"/>
          <w:sz w:val="17"/>
          <w:szCs w:val="17"/>
          <w:lang w:val="en-GB"/>
        </w:rPr>
      </w:pPr>
      <w:r w:rsidRPr="00C06C3E">
        <w:rPr>
          <w:rFonts w:asciiTheme="majorHAnsi" w:hAnsiTheme="majorHAnsi"/>
          <w:sz w:val="17"/>
          <w:szCs w:val="17"/>
          <w:lang w:val="en-GB"/>
        </w:rPr>
        <w:t>If the auditor was unable to obtain sufficient appropriate audit evidence on which to base an opinion, but concludes that the effects on the financial statements of any undetected misstatements could be material but not pervasive</w:t>
      </w:r>
    </w:p>
    <w:p w14:paraId="08FF30EC" w14:textId="77777777" w:rsidR="009F5EB4" w:rsidRPr="00C06C3E" w:rsidRDefault="009F5EB4" w:rsidP="00214972">
      <w:pPr>
        <w:pStyle w:val="FootnoteText"/>
        <w:widowControl w:val="0"/>
        <w:jc w:val="both"/>
        <w:rPr>
          <w:rFonts w:asciiTheme="majorHAnsi" w:hAnsiTheme="majorHAnsi"/>
          <w:sz w:val="17"/>
          <w:szCs w:val="17"/>
          <w:u w:val="single"/>
          <w:lang w:val="en-GB"/>
        </w:rPr>
      </w:pPr>
      <w:r w:rsidRPr="00C06C3E">
        <w:rPr>
          <w:rFonts w:asciiTheme="majorHAnsi" w:hAnsiTheme="majorHAnsi"/>
          <w:sz w:val="17"/>
          <w:szCs w:val="17"/>
          <w:u w:val="single"/>
          <w:lang w:val="en-GB"/>
        </w:rPr>
        <w:t>Adverse opinion:</w:t>
      </w:r>
    </w:p>
    <w:p w14:paraId="4104931E" w14:textId="77777777" w:rsidR="009F5EB4" w:rsidRPr="00C06C3E" w:rsidRDefault="009F5EB4" w:rsidP="00214972">
      <w:pPr>
        <w:pStyle w:val="FootnoteText"/>
        <w:widowControl w:val="0"/>
        <w:numPr>
          <w:ilvl w:val="0"/>
          <w:numId w:val="11"/>
        </w:numPr>
        <w:ind w:left="180" w:hanging="180"/>
        <w:jc w:val="both"/>
        <w:rPr>
          <w:rFonts w:asciiTheme="majorHAnsi" w:hAnsiTheme="majorHAnsi"/>
          <w:sz w:val="17"/>
          <w:szCs w:val="17"/>
          <w:u w:val="single"/>
          <w:lang w:val="en-GB"/>
        </w:rPr>
      </w:pPr>
      <w:r w:rsidRPr="00C06C3E">
        <w:rPr>
          <w:rFonts w:asciiTheme="majorHAnsi" w:hAnsiTheme="majorHAnsi"/>
          <w:sz w:val="17"/>
          <w:szCs w:val="17"/>
          <w:lang w:val="en-GB"/>
        </w:rPr>
        <w:t>If having obtained sufficient appropriate audit evidence, the auditor concludes that misstatements, individually or in the aggregate, are both material and pervasive to the financial statements</w:t>
      </w:r>
      <w:r w:rsidRPr="00C06C3E">
        <w:rPr>
          <w:rFonts w:asciiTheme="majorHAnsi" w:hAnsiTheme="majorHAnsi"/>
          <w:sz w:val="17"/>
          <w:szCs w:val="17"/>
          <w:u w:val="single"/>
          <w:lang w:val="en-GB"/>
        </w:rPr>
        <w:t xml:space="preserve"> </w:t>
      </w:r>
    </w:p>
    <w:p w14:paraId="678CC761" w14:textId="77777777" w:rsidR="009F5EB4" w:rsidRPr="00C06C3E" w:rsidRDefault="009F5EB4" w:rsidP="00214972">
      <w:pPr>
        <w:pStyle w:val="FootnoteText"/>
        <w:widowControl w:val="0"/>
        <w:jc w:val="both"/>
        <w:rPr>
          <w:rFonts w:asciiTheme="majorHAnsi" w:hAnsiTheme="majorHAnsi"/>
          <w:sz w:val="17"/>
          <w:szCs w:val="17"/>
          <w:u w:val="single"/>
          <w:lang w:val="en-GB"/>
        </w:rPr>
      </w:pPr>
      <w:r w:rsidRPr="00C06C3E">
        <w:rPr>
          <w:rFonts w:asciiTheme="majorHAnsi" w:hAnsiTheme="majorHAnsi"/>
          <w:sz w:val="17"/>
          <w:szCs w:val="17"/>
          <w:u w:val="single"/>
          <w:lang w:val="en-GB"/>
        </w:rPr>
        <w:t>Disclaim an opinion:</w:t>
      </w:r>
    </w:p>
    <w:p w14:paraId="1EC9BA25" w14:textId="77777777" w:rsidR="009F5EB4" w:rsidRPr="00C06C3E" w:rsidRDefault="009F5EB4" w:rsidP="00214972">
      <w:pPr>
        <w:pStyle w:val="FootnoteText"/>
        <w:widowControl w:val="0"/>
        <w:numPr>
          <w:ilvl w:val="0"/>
          <w:numId w:val="11"/>
        </w:numPr>
        <w:ind w:left="180" w:hanging="180"/>
        <w:jc w:val="both"/>
        <w:rPr>
          <w:rFonts w:asciiTheme="majorHAnsi" w:hAnsiTheme="majorHAnsi"/>
          <w:sz w:val="17"/>
          <w:szCs w:val="17"/>
          <w:lang w:val="en-GB"/>
        </w:rPr>
      </w:pPr>
      <w:r w:rsidRPr="00C06C3E">
        <w:rPr>
          <w:rFonts w:asciiTheme="majorHAnsi" w:hAnsiTheme="majorHAnsi"/>
          <w:sz w:val="17"/>
          <w:szCs w:val="17"/>
          <w:lang w:val="en-GB"/>
        </w:rPr>
        <w:t>If having been unable to obtain sufficient appropriate audit evidence on which to base the opinion, the auditor concludes that the effects on the financial statements of any undetected misstatements could be both material and pervasive. If, after accepting the engagement, the auditor becomes aware that management has imposed a limitation on the audit scope that the auditor considers likely to result in the need to express a qualified opinion or to disclaim an opinion on the financial statements, the auditor should request that management remove the limitation.</w:t>
      </w:r>
    </w:p>
    <w:p w14:paraId="3BF6D21E" w14:textId="77777777" w:rsidR="009F5EB4" w:rsidRPr="00C06C3E" w:rsidRDefault="009F5EB4" w:rsidP="00214972">
      <w:pPr>
        <w:pStyle w:val="FootnoteText"/>
        <w:widowControl w:val="0"/>
        <w:jc w:val="both"/>
        <w:rPr>
          <w:rFonts w:asciiTheme="majorHAnsi" w:hAnsiTheme="majorHAnsi"/>
          <w:sz w:val="17"/>
          <w:szCs w:val="17"/>
          <w:u w:val="single"/>
          <w:lang w:val="en-GB"/>
        </w:rPr>
      </w:pPr>
      <w:r w:rsidRPr="00C06C3E">
        <w:rPr>
          <w:rFonts w:asciiTheme="majorHAnsi" w:hAnsiTheme="majorHAnsi"/>
          <w:sz w:val="17"/>
          <w:szCs w:val="17"/>
          <w:u w:val="single"/>
          <w:lang w:val="en-GB"/>
        </w:rPr>
        <w:t>Emphasis of the matter:</w:t>
      </w:r>
    </w:p>
    <w:p w14:paraId="06E796FA" w14:textId="77777777" w:rsidR="009F5EB4" w:rsidRPr="00C06C3E" w:rsidRDefault="009F5EB4" w:rsidP="00214972">
      <w:pPr>
        <w:pStyle w:val="FootnoteText"/>
        <w:widowControl w:val="0"/>
        <w:numPr>
          <w:ilvl w:val="0"/>
          <w:numId w:val="11"/>
        </w:numPr>
        <w:ind w:left="180" w:hanging="180"/>
        <w:jc w:val="both"/>
        <w:rPr>
          <w:rFonts w:asciiTheme="majorHAnsi" w:hAnsiTheme="majorHAnsi"/>
          <w:sz w:val="17"/>
          <w:szCs w:val="17"/>
          <w:lang w:val="en-GB"/>
        </w:rPr>
      </w:pPr>
      <w:r w:rsidRPr="00C06C3E">
        <w:rPr>
          <w:rFonts w:asciiTheme="majorHAnsi" w:hAnsiTheme="majorHAnsi"/>
          <w:sz w:val="17"/>
          <w:szCs w:val="17"/>
          <w:lang w:val="en-GB"/>
        </w:rPr>
        <w:t>If the auditor considers it necessary to draw the user’s attention to a matter presented or disclosed in the financial statements that is of such importance that it is fundamental to their understanding of the financial statements, but there is sufficient appropriate evidence that the matter is not materially misstated in the financial statements, the auditor should include an Emphasis of Matter paragraph in the auditor’s report. Emphasis of Matter paragraphs should only refer to information presented or disclosed in the financial statements.</w:t>
      </w:r>
    </w:p>
  </w:footnote>
  <w:footnote w:id="17">
    <w:p w14:paraId="0A39FEEC" w14:textId="704F5749" w:rsidR="009F5EB4" w:rsidRPr="000C3EC3" w:rsidRDefault="009F5EB4" w:rsidP="00A56C90">
      <w:pPr>
        <w:pStyle w:val="FootnoteText"/>
        <w:jc w:val="both"/>
        <w:rPr>
          <w:lang w:val="en-US"/>
        </w:rPr>
      </w:pPr>
      <w:r>
        <w:rPr>
          <w:rStyle w:val="FootnoteReference"/>
        </w:rPr>
        <w:footnoteRef/>
      </w:r>
      <w:r>
        <w:t xml:space="preserve"> </w:t>
      </w:r>
      <w:r w:rsidRPr="00C06C3E">
        <w:rPr>
          <w:rFonts w:asciiTheme="majorHAnsi" w:hAnsiTheme="majorHAnsi"/>
          <w:sz w:val="18"/>
          <w:szCs w:val="18"/>
          <w:lang w:val="en-GB"/>
        </w:rPr>
        <w:t xml:space="preserve">As can be seen, given the assumptions, </w:t>
      </w:r>
      <w:r w:rsidRPr="00C06C3E">
        <w:rPr>
          <w:rFonts w:asciiTheme="majorHAnsi" w:hAnsiTheme="majorHAnsi"/>
          <w:color w:val="000000" w:themeColor="text1"/>
          <w:sz w:val="18"/>
          <w:szCs w:val="18"/>
          <w:lang w:val="en-GB"/>
        </w:rPr>
        <w:t xml:space="preserve">the calculations show an equal relative increase of the general grant for all municipalities as all have the </w:t>
      </w:r>
      <w:r w:rsidRPr="0071124B">
        <w:rPr>
          <w:rFonts w:asciiTheme="majorHAnsi" w:hAnsiTheme="majorHAnsi"/>
          <w:color w:val="000000" w:themeColor="text1"/>
          <w:sz w:val="18"/>
          <w:szCs w:val="18"/>
          <w:lang w:val="en-GB"/>
        </w:rPr>
        <w:t xml:space="preserve">same score. </w:t>
      </w:r>
      <w:r>
        <w:rPr>
          <w:rFonts w:asciiTheme="majorHAnsi" w:hAnsiTheme="majorHAnsi"/>
          <w:color w:val="000000" w:themeColor="text1"/>
          <w:sz w:val="18"/>
          <w:szCs w:val="18"/>
          <w:lang w:val="en-GB"/>
        </w:rPr>
        <w:t>2.73</w:t>
      </w:r>
      <w:r w:rsidRPr="0071124B">
        <w:rPr>
          <w:rFonts w:asciiTheme="majorHAnsi" w:hAnsiTheme="majorHAnsi"/>
          <w:color w:val="000000" w:themeColor="text1"/>
          <w:sz w:val="18"/>
          <w:szCs w:val="18"/>
          <w:lang w:val="en-GB"/>
        </w:rPr>
        <w:t>% is precisely the performance grant amount as share of the general grant (7,771,500</w:t>
      </w:r>
      <w:r w:rsidRPr="009E7688">
        <w:rPr>
          <w:rFonts w:asciiTheme="majorHAnsi" w:hAnsiTheme="majorHAnsi"/>
          <w:color w:val="000000" w:themeColor="text1"/>
          <w:sz w:val="18"/>
          <w:szCs w:val="18"/>
          <w:lang w:val="en-GB"/>
        </w:rPr>
        <w:t>/284,679,999</w:t>
      </w:r>
      <w:r w:rsidRPr="0071124B">
        <w:rPr>
          <w:rFonts w:asciiTheme="majorHAnsi" w:hAnsiTheme="majorHAnsi"/>
          <w:color w:val="000000" w:themeColor="text1"/>
          <w:sz w:val="18"/>
          <w:szCs w:val="18"/>
          <w:lang w:val="en-GB"/>
        </w:rPr>
        <w:t>). In fact, because</w:t>
      </w:r>
      <w:r w:rsidRPr="00C06C3E">
        <w:rPr>
          <w:rFonts w:asciiTheme="majorHAnsi" w:hAnsiTheme="majorHAnsi"/>
          <w:color w:val="000000" w:themeColor="text1"/>
          <w:sz w:val="18"/>
          <w:szCs w:val="18"/>
          <w:lang w:val="en-GB"/>
        </w:rPr>
        <w:t xml:space="preserve"> some municipalities will not meet the MCs, while also the scores differ</w:t>
      </w:r>
      <w:r w:rsidRPr="00C06C3E">
        <w:rPr>
          <w:rFonts w:asciiTheme="majorHAnsi" w:hAnsiTheme="majorHAnsi"/>
          <w:sz w:val="18"/>
          <w:szCs w:val="18"/>
          <w:lang w:val="en-GB"/>
        </w:rPr>
        <w:t>, the relative increase will be (much) higher depending on the relative performance. In fact, the actual allocation a municipality gets depends on its relative score and on the Municipalities that have (or notably those that have not met) the minimum conditions.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4BD4" w14:textId="45343F63" w:rsidR="009F5EB4" w:rsidRDefault="009F5EB4" w:rsidP="0059366F">
    <w:pPr>
      <w:jc w:val="center"/>
    </w:pPr>
    <w:r w:rsidRPr="00AF27F0">
      <w:rPr>
        <w:rFonts w:asciiTheme="majorHAnsi" w:hAnsiTheme="majorHAnsi"/>
        <w:b/>
        <w:noProof/>
        <w:sz w:val="16"/>
        <w:szCs w:val="16"/>
        <w:lang w:eastAsia="sq-AL"/>
      </w:rPr>
      <w:drawing>
        <wp:anchor distT="0" distB="0" distL="114300" distR="114300" simplePos="0" relativeHeight="251660288" behindDoc="0" locked="0" layoutInCell="1" allowOverlap="1" wp14:anchorId="155879BA" wp14:editId="7E42984D">
          <wp:simplePos x="0" y="0"/>
          <wp:positionH relativeFrom="page">
            <wp:posOffset>3411855</wp:posOffset>
          </wp:positionH>
          <wp:positionV relativeFrom="paragraph">
            <wp:posOffset>6350</wp:posOffset>
          </wp:positionV>
          <wp:extent cx="895350" cy="859790"/>
          <wp:effectExtent l="0" t="0" r="0" b="0"/>
          <wp:wrapSquare wrapText="bothSides"/>
          <wp:docPr id="782037722" name="Picture 782037722" descr="logo Gov Kos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 name="Picture 2" descr="logo Gov Kosovo.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59790"/>
                  </a:xfrm>
                  <a:prstGeom prst="rect">
                    <a:avLst/>
                  </a:prstGeom>
                  <a:noFill/>
                  <a:ln>
                    <a:noFill/>
                  </a:ln>
                  <a:extLst>
                    <a:ext uri="{FAA26D3D-D897-4be2-8F04-BA451C77F1D7}">
                      <ma14:placeholder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t xml:space="preserve">                                                           </w:t>
    </w:r>
  </w:p>
  <w:p w14:paraId="3081E75F" w14:textId="77777777" w:rsidR="009F5EB4" w:rsidRDefault="009F5EB4" w:rsidP="0059366F">
    <w:pPr>
      <w:jc w:val="center"/>
    </w:pPr>
  </w:p>
  <w:p w14:paraId="0295FBCF" w14:textId="77777777" w:rsidR="009F5EB4" w:rsidRPr="008F1687" w:rsidRDefault="009F5EB4" w:rsidP="0059366F">
    <w:pPr>
      <w:jc w:val="center"/>
      <w:rPr>
        <w:sz w:val="22"/>
        <w:szCs w:val="22"/>
      </w:rPr>
    </w:pPr>
  </w:p>
  <w:p w14:paraId="4EE9F4F0" w14:textId="77777777" w:rsidR="009F5EB4" w:rsidRDefault="009F5EB4" w:rsidP="0059366F">
    <w:pPr>
      <w:jc w:val="center"/>
      <w:rPr>
        <w:b/>
        <w:bCs/>
        <w:sz w:val="32"/>
        <w:szCs w:val="32"/>
      </w:rPr>
    </w:pPr>
  </w:p>
  <w:p w14:paraId="006672A3" w14:textId="77777777" w:rsidR="009F5EB4" w:rsidRDefault="009F5EB4" w:rsidP="0059366F">
    <w:pPr>
      <w:jc w:val="center"/>
      <w:rPr>
        <w:b/>
        <w:bCs/>
        <w:sz w:val="32"/>
        <w:szCs w:val="32"/>
      </w:rPr>
    </w:pPr>
  </w:p>
  <w:p w14:paraId="75487A5A" w14:textId="77777777" w:rsidR="009F5EB4" w:rsidRPr="00A6322C" w:rsidRDefault="009F5EB4" w:rsidP="0059366F">
    <w:pPr>
      <w:jc w:val="center"/>
      <w:rPr>
        <w:b/>
        <w:bCs/>
        <w:sz w:val="32"/>
        <w:szCs w:val="32"/>
      </w:rPr>
    </w:pPr>
    <w:r w:rsidRPr="00A6322C">
      <w:rPr>
        <w:b/>
        <w:bCs/>
        <w:sz w:val="32"/>
        <w:szCs w:val="32"/>
      </w:rPr>
      <w:t>Republika e Kosovës</w:t>
    </w:r>
  </w:p>
  <w:p w14:paraId="788AD62A" w14:textId="77777777" w:rsidR="009F5EB4" w:rsidRPr="00A6322C" w:rsidRDefault="009F5EB4" w:rsidP="0059366F">
    <w:pPr>
      <w:jc w:val="center"/>
      <w:rPr>
        <w:b/>
        <w:bCs/>
        <w:sz w:val="28"/>
        <w:szCs w:val="28"/>
      </w:rPr>
    </w:pPr>
    <w:r w:rsidRPr="00A6322C">
      <w:rPr>
        <w:b/>
        <w:bCs/>
        <w:sz w:val="28"/>
        <w:szCs w:val="28"/>
      </w:rPr>
      <w:t xml:space="preserve">Republika Kosova - </w:t>
    </w:r>
    <w:proofErr w:type="spellStart"/>
    <w:r w:rsidRPr="00A6322C">
      <w:rPr>
        <w:b/>
        <w:bCs/>
        <w:sz w:val="28"/>
        <w:szCs w:val="28"/>
      </w:rPr>
      <w:t>Republic</w:t>
    </w:r>
    <w:proofErr w:type="spellEnd"/>
    <w:r w:rsidRPr="00A6322C">
      <w:rPr>
        <w:b/>
        <w:bCs/>
        <w:sz w:val="28"/>
        <w:szCs w:val="28"/>
      </w:rPr>
      <w:t xml:space="preserve"> </w:t>
    </w:r>
    <w:proofErr w:type="spellStart"/>
    <w:r w:rsidRPr="00A6322C">
      <w:rPr>
        <w:b/>
        <w:bCs/>
        <w:sz w:val="28"/>
        <w:szCs w:val="28"/>
      </w:rPr>
      <w:t>of</w:t>
    </w:r>
    <w:proofErr w:type="spellEnd"/>
    <w:r w:rsidRPr="00A6322C">
      <w:rPr>
        <w:b/>
        <w:bCs/>
        <w:sz w:val="28"/>
        <w:szCs w:val="28"/>
      </w:rPr>
      <w:t xml:space="preserve"> </w:t>
    </w:r>
    <w:proofErr w:type="spellStart"/>
    <w:r w:rsidRPr="00A6322C">
      <w:rPr>
        <w:b/>
        <w:bCs/>
        <w:sz w:val="28"/>
        <w:szCs w:val="28"/>
      </w:rPr>
      <w:t>Kosovo</w:t>
    </w:r>
    <w:proofErr w:type="spellEnd"/>
  </w:p>
  <w:p w14:paraId="01470113" w14:textId="77777777" w:rsidR="009F5EB4" w:rsidRPr="00A6322C" w:rsidRDefault="009F5EB4" w:rsidP="0059366F">
    <w:pPr>
      <w:jc w:val="center"/>
      <w:rPr>
        <w:b/>
        <w:bCs/>
        <w:i/>
      </w:rPr>
    </w:pPr>
    <w:r w:rsidRPr="00A6322C">
      <w:rPr>
        <w:b/>
        <w:bCs/>
        <w:i/>
      </w:rPr>
      <w:t xml:space="preserve">Qeveria - </w:t>
    </w:r>
    <w:proofErr w:type="spellStart"/>
    <w:r w:rsidRPr="00A6322C">
      <w:rPr>
        <w:b/>
        <w:bCs/>
        <w:i/>
      </w:rPr>
      <w:t>Vlada</w:t>
    </w:r>
    <w:proofErr w:type="spellEnd"/>
    <w:r w:rsidRPr="00A6322C">
      <w:rPr>
        <w:b/>
        <w:bCs/>
        <w:i/>
      </w:rPr>
      <w:t xml:space="preserve"> - </w:t>
    </w:r>
    <w:proofErr w:type="spellStart"/>
    <w:r w:rsidRPr="00A6322C">
      <w:rPr>
        <w:b/>
        <w:bCs/>
        <w:i/>
      </w:rPr>
      <w:t>Government</w:t>
    </w:r>
    <w:proofErr w:type="spellEnd"/>
  </w:p>
  <w:p w14:paraId="1C00D41A" w14:textId="77777777" w:rsidR="009F5EB4" w:rsidRPr="008F1687" w:rsidRDefault="009F5EB4" w:rsidP="0059366F">
    <w:pPr>
      <w:tabs>
        <w:tab w:val="left" w:pos="4995"/>
      </w:tabs>
      <w:rPr>
        <w:sz w:val="22"/>
        <w:szCs w:val="22"/>
      </w:rPr>
    </w:pPr>
    <w:r w:rsidRPr="008F1687">
      <w:rPr>
        <w:sz w:val="22"/>
        <w:szCs w:val="22"/>
      </w:rPr>
      <w:tab/>
    </w:r>
  </w:p>
  <w:p w14:paraId="66D5A4A3" w14:textId="77777777" w:rsidR="009F5EB4" w:rsidRPr="00810FA2" w:rsidRDefault="009F5EB4" w:rsidP="00810FA2">
    <w:pPr>
      <w:pStyle w:val="Header"/>
      <w:jc w:val="center"/>
      <w:rPr>
        <w:i/>
        <w:sz w:val="22"/>
        <w:szCs w:val="22"/>
      </w:rPr>
    </w:pPr>
    <w:r w:rsidRPr="00810FA2">
      <w:rPr>
        <w:i/>
        <w:sz w:val="22"/>
        <w:szCs w:val="22"/>
      </w:rPr>
      <w:t>Ministria e Administrimit të Pushtetit Lokal</w:t>
    </w:r>
  </w:p>
  <w:p w14:paraId="2D19F997" w14:textId="77777777" w:rsidR="009F5EB4" w:rsidRPr="00810FA2" w:rsidRDefault="009F5EB4" w:rsidP="00810FA2">
    <w:pPr>
      <w:pStyle w:val="Header"/>
      <w:jc w:val="center"/>
      <w:rPr>
        <w:i/>
        <w:sz w:val="22"/>
        <w:szCs w:val="22"/>
      </w:rPr>
    </w:pPr>
    <w:proofErr w:type="spellStart"/>
    <w:r w:rsidRPr="00810FA2">
      <w:rPr>
        <w:i/>
        <w:sz w:val="22"/>
        <w:szCs w:val="22"/>
      </w:rPr>
      <w:t>Ministarstvo</w:t>
    </w:r>
    <w:proofErr w:type="spellEnd"/>
    <w:r w:rsidRPr="00810FA2">
      <w:rPr>
        <w:i/>
        <w:sz w:val="22"/>
        <w:szCs w:val="22"/>
      </w:rPr>
      <w:t xml:space="preserve"> </w:t>
    </w:r>
    <w:proofErr w:type="spellStart"/>
    <w:r w:rsidRPr="00810FA2">
      <w:rPr>
        <w:i/>
        <w:sz w:val="22"/>
        <w:szCs w:val="22"/>
      </w:rPr>
      <w:t>Administracije</w:t>
    </w:r>
    <w:proofErr w:type="spellEnd"/>
    <w:r w:rsidRPr="00810FA2">
      <w:rPr>
        <w:i/>
        <w:sz w:val="22"/>
        <w:szCs w:val="22"/>
      </w:rPr>
      <w:t xml:space="preserve"> </w:t>
    </w:r>
    <w:proofErr w:type="spellStart"/>
    <w:r w:rsidRPr="00810FA2">
      <w:rPr>
        <w:i/>
        <w:sz w:val="22"/>
        <w:szCs w:val="22"/>
      </w:rPr>
      <w:t>Lokalne</w:t>
    </w:r>
    <w:proofErr w:type="spellEnd"/>
    <w:r w:rsidRPr="00810FA2">
      <w:rPr>
        <w:i/>
        <w:sz w:val="22"/>
        <w:szCs w:val="22"/>
      </w:rPr>
      <w:t xml:space="preserve"> </w:t>
    </w:r>
    <w:proofErr w:type="spellStart"/>
    <w:r w:rsidRPr="00810FA2">
      <w:rPr>
        <w:i/>
        <w:sz w:val="22"/>
        <w:szCs w:val="22"/>
      </w:rPr>
      <w:t>Samouprave</w:t>
    </w:r>
    <w:proofErr w:type="spellEnd"/>
  </w:p>
  <w:p w14:paraId="5888D518" w14:textId="77777777" w:rsidR="009F5EB4" w:rsidRPr="0059366F" w:rsidRDefault="009F5EB4" w:rsidP="00810FA2">
    <w:pPr>
      <w:pStyle w:val="Header"/>
      <w:jc w:val="center"/>
    </w:pPr>
    <w:proofErr w:type="spellStart"/>
    <w:r w:rsidRPr="00810FA2">
      <w:rPr>
        <w:i/>
        <w:sz w:val="22"/>
        <w:szCs w:val="22"/>
      </w:rPr>
      <w:t>Ministry</w:t>
    </w:r>
    <w:proofErr w:type="spellEnd"/>
    <w:r w:rsidRPr="00810FA2">
      <w:rPr>
        <w:i/>
        <w:sz w:val="22"/>
        <w:szCs w:val="22"/>
      </w:rPr>
      <w:t xml:space="preserve"> </w:t>
    </w:r>
    <w:proofErr w:type="spellStart"/>
    <w:r w:rsidRPr="00810FA2">
      <w:rPr>
        <w:i/>
        <w:sz w:val="22"/>
        <w:szCs w:val="22"/>
      </w:rPr>
      <w:t>of</w:t>
    </w:r>
    <w:proofErr w:type="spellEnd"/>
    <w:r w:rsidRPr="00810FA2">
      <w:rPr>
        <w:i/>
        <w:sz w:val="22"/>
        <w:szCs w:val="22"/>
      </w:rPr>
      <w:t xml:space="preserve"> </w:t>
    </w:r>
    <w:proofErr w:type="spellStart"/>
    <w:r w:rsidRPr="00810FA2">
      <w:rPr>
        <w:i/>
        <w:sz w:val="22"/>
        <w:szCs w:val="22"/>
      </w:rPr>
      <w:t>Local</w:t>
    </w:r>
    <w:proofErr w:type="spellEnd"/>
    <w:r w:rsidRPr="00810FA2">
      <w:rPr>
        <w:i/>
        <w:sz w:val="22"/>
        <w:szCs w:val="22"/>
      </w:rPr>
      <w:t xml:space="preserve"> </w:t>
    </w:r>
    <w:proofErr w:type="spellStart"/>
    <w:r w:rsidRPr="00810FA2">
      <w:rPr>
        <w:i/>
        <w:sz w:val="22"/>
        <w:szCs w:val="22"/>
      </w:rPr>
      <w:t>Government</w:t>
    </w:r>
    <w:proofErr w:type="spellEnd"/>
    <w:r w:rsidRPr="00810FA2">
      <w:rPr>
        <w:i/>
        <w:sz w:val="22"/>
        <w:szCs w:val="22"/>
      </w:rPr>
      <w:t xml:space="preserve"> </w:t>
    </w:r>
    <w:proofErr w:type="spellStart"/>
    <w:r w:rsidRPr="00810FA2">
      <w:rPr>
        <w:i/>
        <w:sz w:val="22"/>
        <w:szCs w:val="22"/>
      </w:rPr>
      <w:t>Administration</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23AA" w14:textId="77777777" w:rsidR="009F5EB4" w:rsidRDefault="009F5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9B6A50A"/>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03351A7"/>
    <w:multiLevelType w:val="hybridMultilevel"/>
    <w:tmpl w:val="7336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15464"/>
    <w:multiLevelType w:val="hybridMultilevel"/>
    <w:tmpl w:val="9618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274888"/>
    <w:multiLevelType w:val="multilevel"/>
    <w:tmpl w:val="981CD17A"/>
    <w:lvl w:ilvl="0">
      <w:start w:val="1"/>
      <w:numFmt w:val="decimal"/>
      <w:lvlText w:val="%1"/>
      <w:lvlJc w:val="left"/>
      <w:pPr>
        <w:ind w:left="380" w:hanging="380"/>
      </w:pPr>
      <w:rPr>
        <w:rFonts w:hint="default"/>
      </w:rPr>
    </w:lvl>
    <w:lvl w:ilvl="1">
      <w:start w:val="1"/>
      <w:numFmt w:val="decimal"/>
      <w:lvlText w:val="%1.%2"/>
      <w:lvlJc w:val="left"/>
      <w:pPr>
        <w:ind w:left="2160" w:hanging="720"/>
      </w:pPr>
      <w:rPr>
        <w:rFonts w:hint="default"/>
        <w:color w:val="C0504D" w:themeColor="accent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 w15:restartNumberingAfterBreak="0">
    <w:nsid w:val="058146D4"/>
    <w:multiLevelType w:val="hybridMultilevel"/>
    <w:tmpl w:val="E440F47A"/>
    <w:lvl w:ilvl="0" w:tplc="CEAEA770">
      <w:numFmt w:val="bullet"/>
      <w:lvlText w:val="•"/>
      <w:lvlJc w:val="left"/>
      <w:pPr>
        <w:ind w:left="724" w:hanging="44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34DB5"/>
    <w:multiLevelType w:val="multilevel"/>
    <w:tmpl w:val="F684E8A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pStyle w:val="Prodoctext"/>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261692"/>
    <w:multiLevelType w:val="hybridMultilevel"/>
    <w:tmpl w:val="4230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1024E"/>
    <w:multiLevelType w:val="hybridMultilevel"/>
    <w:tmpl w:val="43A8052C"/>
    <w:lvl w:ilvl="0" w:tplc="08090005">
      <w:start w:val="1"/>
      <w:numFmt w:val="bullet"/>
      <w:lvlText w:val=""/>
      <w:lvlJc w:val="left"/>
      <w:pPr>
        <w:tabs>
          <w:tab w:val="num" w:pos="921"/>
        </w:tabs>
        <w:ind w:left="921" w:hanging="360"/>
      </w:pPr>
      <w:rPr>
        <w:rFonts w:ascii="Wingdings" w:hAnsi="Wingdings" w:hint="default"/>
      </w:rPr>
    </w:lvl>
    <w:lvl w:ilvl="1" w:tplc="08090005">
      <w:start w:val="1"/>
      <w:numFmt w:val="bullet"/>
      <w:lvlText w:val=""/>
      <w:lvlJc w:val="left"/>
      <w:pPr>
        <w:tabs>
          <w:tab w:val="num" w:pos="1641"/>
        </w:tabs>
        <w:ind w:left="1641" w:hanging="360"/>
      </w:pPr>
      <w:rPr>
        <w:rFonts w:ascii="Wingdings" w:hAnsi="Wingdings" w:hint="default"/>
      </w:rPr>
    </w:lvl>
    <w:lvl w:ilvl="2" w:tplc="30BE5ECA" w:tentative="1">
      <w:start w:val="1"/>
      <w:numFmt w:val="bullet"/>
      <w:lvlText w:val="o"/>
      <w:lvlJc w:val="left"/>
      <w:pPr>
        <w:tabs>
          <w:tab w:val="num" w:pos="2361"/>
        </w:tabs>
        <w:ind w:left="2361" w:hanging="360"/>
      </w:pPr>
      <w:rPr>
        <w:rFonts w:ascii="Courier New" w:hAnsi="Courier New" w:hint="default"/>
      </w:rPr>
    </w:lvl>
    <w:lvl w:ilvl="3" w:tplc="F4DE7CD2" w:tentative="1">
      <w:start w:val="1"/>
      <w:numFmt w:val="bullet"/>
      <w:lvlText w:val="o"/>
      <w:lvlJc w:val="left"/>
      <w:pPr>
        <w:tabs>
          <w:tab w:val="num" w:pos="3081"/>
        </w:tabs>
        <w:ind w:left="3081" w:hanging="360"/>
      </w:pPr>
      <w:rPr>
        <w:rFonts w:ascii="Courier New" w:hAnsi="Courier New" w:hint="default"/>
      </w:rPr>
    </w:lvl>
    <w:lvl w:ilvl="4" w:tplc="EFFC1EEE" w:tentative="1">
      <w:start w:val="1"/>
      <w:numFmt w:val="bullet"/>
      <w:lvlText w:val="o"/>
      <w:lvlJc w:val="left"/>
      <w:pPr>
        <w:tabs>
          <w:tab w:val="num" w:pos="3801"/>
        </w:tabs>
        <w:ind w:left="3801" w:hanging="360"/>
      </w:pPr>
      <w:rPr>
        <w:rFonts w:ascii="Courier New" w:hAnsi="Courier New" w:hint="default"/>
      </w:rPr>
    </w:lvl>
    <w:lvl w:ilvl="5" w:tplc="0E36AC22" w:tentative="1">
      <w:start w:val="1"/>
      <w:numFmt w:val="bullet"/>
      <w:lvlText w:val="o"/>
      <w:lvlJc w:val="left"/>
      <w:pPr>
        <w:tabs>
          <w:tab w:val="num" w:pos="4521"/>
        </w:tabs>
        <w:ind w:left="4521" w:hanging="360"/>
      </w:pPr>
      <w:rPr>
        <w:rFonts w:ascii="Courier New" w:hAnsi="Courier New" w:hint="default"/>
      </w:rPr>
    </w:lvl>
    <w:lvl w:ilvl="6" w:tplc="0E065620" w:tentative="1">
      <w:start w:val="1"/>
      <w:numFmt w:val="bullet"/>
      <w:lvlText w:val="o"/>
      <w:lvlJc w:val="left"/>
      <w:pPr>
        <w:tabs>
          <w:tab w:val="num" w:pos="5241"/>
        </w:tabs>
        <w:ind w:left="5241" w:hanging="360"/>
      </w:pPr>
      <w:rPr>
        <w:rFonts w:ascii="Courier New" w:hAnsi="Courier New" w:hint="default"/>
      </w:rPr>
    </w:lvl>
    <w:lvl w:ilvl="7" w:tplc="602E18D4" w:tentative="1">
      <w:start w:val="1"/>
      <w:numFmt w:val="bullet"/>
      <w:lvlText w:val="o"/>
      <w:lvlJc w:val="left"/>
      <w:pPr>
        <w:tabs>
          <w:tab w:val="num" w:pos="5961"/>
        </w:tabs>
        <w:ind w:left="5961" w:hanging="360"/>
      </w:pPr>
      <w:rPr>
        <w:rFonts w:ascii="Courier New" w:hAnsi="Courier New" w:hint="default"/>
      </w:rPr>
    </w:lvl>
    <w:lvl w:ilvl="8" w:tplc="E536E546" w:tentative="1">
      <w:start w:val="1"/>
      <w:numFmt w:val="bullet"/>
      <w:lvlText w:val="o"/>
      <w:lvlJc w:val="left"/>
      <w:pPr>
        <w:tabs>
          <w:tab w:val="num" w:pos="6681"/>
        </w:tabs>
        <w:ind w:left="6681" w:hanging="360"/>
      </w:pPr>
      <w:rPr>
        <w:rFonts w:ascii="Courier New" w:hAnsi="Courier New" w:hint="default"/>
      </w:rPr>
    </w:lvl>
  </w:abstractNum>
  <w:abstractNum w:abstractNumId="8" w15:restartNumberingAfterBreak="0">
    <w:nsid w:val="100D7EEB"/>
    <w:multiLevelType w:val="hybridMultilevel"/>
    <w:tmpl w:val="76180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C7891"/>
    <w:multiLevelType w:val="multilevel"/>
    <w:tmpl w:val="50565406"/>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12032C33"/>
    <w:multiLevelType w:val="hybridMultilevel"/>
    <w:tmpl w:val="A368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469F0"/>
    <w:multiLevelType w:val="hybridMultilevel"/>
    <w:tmpl w:val="CAD0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8759C3"/>
    <w:multiLevelType w:val="hybridMultilevel"/>
    <w:tmpl w:val="8E12C772"/>
    <w:lvl w:ilvl="0" w:tplc="83A48E8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BA1FD0"/>
    <w:multiLevelType w:val="multilevel"/>
    <w:tmpl w:val="A642C266"/>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03968"/>
    <w:multiLevelType w:val="hybridMultilevel"/>
    <w:tmpl w:val="F0F480E0"/>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4F6EB0"/>
    <w:multiLevelType w:val="multilevel"/>
    <w:tmpl w:val="FD9E1CF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color w:val="C0504D"/>
        <w:sz w:val="28"/>
        <w:szCs w:val="28"/>
      </w:rPr>
    </w:lvl>
    <w:lvl w:ilvl="2">
      <w:start w:val="1"/>
      <w:numFmt w:val="decimal"/>
      <w:lvlText w:val="%1.%2.%3"/>
      <w:lvlJc w:val="left"/>
      <w:pPr>
        <w:ind w:left="3600" w:hanging="720"/>
      </w:pPr>
      <w:rPr>
        <w:rFonts w:hint="default"/>
        <w:sz w:val="24"/>
        <w:szCs w:val="24"/>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3F47E3E"/>
    <w:multiLevelType w:val="hybridMultilevel"/>
    <w:tmpl w:val="A44A321C"/>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7" w15:restartNumberingAfterBreak="0">
    <w:nsid w:val="28092CCF"/>
    <w:multiLevelType w:val="hybridMultilevel"/>
    <w:tmpl w:val="96D87908"/>
    <w:lvl w:ilvl="0" w:tplc="A600CC30">
      <w:start w:val="1"/>
      <w:numFmt w:val="bullet"/>
      <w:lvlText w:val=""/>
      <w:lvlJc w:val="left"/>
      <w:pPr>
        <w:tabs>
          <w:tab w:val="num" w:pos="920"/>
        </w:tabs>
        <w:ind w:left="920" w:hanging="360"/>
      </w:pPr>
      <w:rPr>
        <w:rFonts w:ascii="Wingdings" w:hAnsi="Wingdings" w:hint="default"/>
      </w:rPr>
    </w:lvl>
    <w:lvl w:ilvl="1" w:tplc="F2567562">
      <w:start w:val="1"/>
      <w:numFmt w:val="bullet"/>
      <w:lvlText w:val=""/>
      <w:lvlJc w:val="left"/>
      <w:pPr>
        <w:tabs>
          <w:tab w:val="num" w:pos="1640"/>
        </w:tabs>
        <w:ind w:left="1640" w:hanging="360"/>
      </w:pPr>
      <w:rPr>
        <w:rFonts w:ascii="Wingdings" w:hAnsi="Wingdings" w:hint="default"/>
      </w:rPr>
    </w:lvl>
    <w:lvl w:ilvl="2" w:tplc="C534DF58">
      <w:start w:val="1"/>
      <w:numFmt w:val="bullet"/>
      <w:lvlText w:val=""/>
      <w:lvlJc w:val="left"/>
      <w:pPr>
        <w:tabs>
          <w:tab w:val="num" w:pos="2360"/>
        </w:tabs>
        <w:ind w:left="2360" w:hanging="360"/>
      </w:pPr>
      <w:rPr>
        <w:rFonts w:ascii="Wingdings" w:hAnsi="Wingdings" w:hint="default"/>
      </w:rPr>
    </w:lvl>
    <w:lvl w:ilvl="3" w:tplc="C7B03008" w:tentative="1">
      <w:start w:val="1"/>
      <w:numFmt w:val="bullet"/>
      <w:lvlText w:val=""/>
      <w:lvlJc w:val="left"/>
      <w:pPr>
        <w:tabs>
          <w:tab w:val="num" w:pos="3080"/>
        </w:tabs>
        <w:ind w:left="3080" w:hanging="360"/>
      </w:pPr>
      <w:rPr>
        <w:rFonts w:ascii="Wingdings" w:hAnsi="Wingdings" w:hint="default"/>
      </w:rPr>
    </w:lvl>
    <w:lvl w:ilvl="4" w:tplc="2A16EA78" w:tentative="1">
      <w:start w:val="1"/>
      <w:numFmt w:val="bullet"/>
      <w:lvlText w:val=""/>
      <w:lvlJc w:val="left"/>
      <w:pPr>
        <w:tabs>
          <w:tab w:val="num" w:pos="3800"/>
        </w:tabs>
        <w:ind w:left="3800" w:hanging="360"/>
      </w:pPr>
      <w:rPr>
        <w:rFonts w:ascii="Wingdings" w:hAnsi="Wingdings" w:hint="default"/>
      </w:rPr>
    </w:lvl>
    <w:lvl w:ilvl="5" w:tplc="93361E36" w:tentative="1">
      <w:start w:val="1"/>
      <w:numFmt w:val="bullet"/>
      <w:lvlText w:val=""/>
      <w:lvlJc w:val="left"/>
      <w:pPr>
        <w:tabs>
          <w:tab w:val="num" w:pos="4520"/>
        </w:tabs>
        <w:ind w:left="4520" w:hanging="360"/>
      </w:pPr>
      <w:rPr>
        <w:rFonts w:ascii="Wingdings" w:hAnsi="Wingdings" w:hint="default"/>
      </w:rPr>
    </w:lvl>
    <w:lvl w:ilvl="6" w:tplc="74AAFD0E" w:tentative="1">
      <w:start w:val="1"/>
      <w:numFmt w:val="bullet"/>
      <w:lvlText w:val=""/>
      <w:lvlJc w:val="left"/>
      <w:pPr>
        <w:tabs>
          <w:tab w:val="num" w:pos="5240"/>
        </w:tabs>
        <w:ind w:left="5240" w:hanging="360"/>
      </w:pPr>
      <w:rPr>
        <w:rFonts w:ascii="Wingdings" w:hAnsi="Wingdings" w:hint="default"/>
      </w:rPr>
    </w:lvl>
    <w:lvl w:ilvl="7" w:tplc="B3DA2DEC" w:tentative="1">
      <w:start w:val="1"/>
      <w:numFmt w:val="bullet"/>
      <w:lvlText w:val=""/>
      <w:lvlJc w:val="left"/>
      <w:pPr>
        <w:tabs>
          <w:tab w:val="num" w:pos="5960"/>
        </w:tabs>
        <w:ind w:left="5960" w:hanging="360"/>
      </w:pPr>
      <w:rPr>
        <w:rFonts w:ascii="Wingdings" w:hAnsi="Wingdings" w:hint="default"/>
      </w:rPr>
    </w:lvl>
    <w:lvl w:ilvl="8" w:tplc="446C453C" w:tentative="1">
      <w:start w:val="1"/>
      <w:numFmt w:val="bullet"/>
      <w:lvlText w:val=""/>
      <w:lvlJc w:val="left"/>
      <w:pPr>
        <w:tabs>
          <w:tab w:val="num" w:pos="6680"/>
        </w:tabs>
        <w:ind w:left="6680" w:hanging="360"/>
      </w:pPr>
      <w:rPr>
        <w:rFonts w:ascii="Wingdings" w:hAnsi="Wingdings" w:hint="default"/>
      </w:rPr>
    </w:lvl>
  </w:abstractNum>
  <w:abstractNum w:abstractNumId="18" w15:restartNumberingAfterBreak="0">
    <w:nsid w:val="2ACF145D"/>
    <w:multiLevelType w:val="hybridMultilevel"/>
    <w:tmpl w:val="9502EBA2"/>
    <w:lvl w:ilvl="0" w:tplc="1A4E804E">
      <w:start w:val="1"/>
      <w:numFmt w:val="lowerLetter"/>
      <w:lvlText w:val="%1."/>
      <w:lvlJc w:val="left"/>
      <w:pPr>
        <w:ind w:left="720" w:hanging="360"/>
      </w:pPr>
      <w:rPr>
        <w:rFonts w:eastAsiaTheme="minorEastAsia"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30401A"/>
    <w:multiLevelType w:val="hybridMultilevel"/>
    <w:tmpl w:val="2D2A2774"/>
    <w:lvl w:ilvl="0" w:tplc="08EE05D0">
      <w:start w:val="1"/>
      <w:numFmt w:val="decimal"/>
      <w:lvlText w:val="%1."/>
      <w:lvlJc w:val="left"/>
      <w:pPr>
        <w:tabs>
          <w:tab w:val="num" w:pos="900"/>
        </w:tabs>
        <w:ind w:left="900" w:hanging="540"/>
      </w:pPr>
      <w:rPr>
        <w:rFonts w:asciiTheme="majorHAnsi" w:hAnsiTheme="majorHAnsi" w:hint="default"/>
        <w:color w:val="FFFFFF" w:themeColor="background1"/>
        <w:sz w:val="32"/>
        <w:szCs w:val="32"/>
      </w:rPr>
    </w:lvl>
    <w:lvl w:ilvl="1" w:tplc="04090017">
      <w:start w:val="1"/>
      <w:numFmt w:val="lowerLetter"/>
      <w:lvlText w:val="%2)"/>
      <w:lvlJc w:val="left"/>
      <w:pPr>
        <w:ind w:left="1440" w:hanging="360"/>
      </w:pPr>
    </w:lvl>
    <w:lvl w:ilvl="2" w:tplc="001B0409">
      <w:start w:val="1"/>
      <w:numFmt w:val="lowerRoman"/>
      <w:lvlText w:val="(%3)"/>
      <w:lvlJc w:val="left"/>
      <w:pPr>
        <w:tabs>
          <w:tab w:val="num" w:pos="2700"/>
        </w:tabs>
        <w:ind w:left="2700" w:hanging="72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2FBC068C"/>
    <w:multiLevelType w:val="hybridMultilevel"/>
    <w:tmpl w:val="AEA21122"/>
    <w:lvl w:ilvl="0" w:tplc="04090001">
      <w:start w:val="1"/>
      <w:numFmt w:val="bullet"/>
      <w:lvlText w:val=""/>
      <w:lvlJc w:val="left"/>
      <w:pPr>
        <w:ind w:left="1670"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21" w15:restartNumberingAfterBreak="0">
    <w:nsid w:val="32C022C3"/>
    <w:multiLevelType w:val="hybridMultilevel"/>
    <w:tmpl w:val="AB6E2C6A"/>
    <w:lvl w:ilvl="0" w:tplc="08090005">
      <w:start w:val="1"/>
      <w:numFmt w:val="bullet"/>
      <w:lvlText w:val=""/>
      <w:lvlJc w:val="left"/>
      <w:pPr>
        <w:tabs>
          <w:tab w:val="num" w:pos="879"/>
        </w:tabs>
        <w:ind w:left="879" w:hanging="360"/>
      </w:pPr>
      <w:rPr>
        <w:rFonts w:ascii="Wingdings" w:hAnsi="Wingdings" w:hint="default"/>
      </w:rPr>
    </w:lvl>
    <w:lvl w:ilvl="1" w:tplc="04090003" w:tentative="1">
      <w:start w:val="1"/>
      <w:numFmt w:val="bullet"/>
      <w:lvlText w:val="o"/>
      <w:lvlJc w:val="left"/>
      <w:pPr>
        <w:ind w:left="1599" w:hanging="360"/>
      </w:pPr>
      <w:rPr>
        <w:rFonts w:ascii="Courier New" w:hAnsi="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22" w15:restartNumberingAfterBreak="0">
    <w:nsid w:val="356B12EC"/>
    <w:multiLevelType w:val="hybridMultilevel"/>
    <w:tmpl w:val="CEC0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951D06"/>
    <w:multiLevelType w:val="hybridMultilevel"/>
    <w:tmpl w:val="4AE21962"/>
    <w:lvl w:ilvl="0" w:tplc="04090003">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39131F"/>
    <w:multiLevelType w:val="hybridMultilevel"/>
    <w:tmpl w:val="B7364B76"/>
    <w:lvl w:ilvl="0" w:tplc="42FE9750">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F9114C"/>
    <w:multiLevelType w:val="hybridMultilevel"/>
    <w:tmpl w:val="7F402CBE"/>
    <w:lvl w:ilvl="0" w:tplc="04090005">
      <w:start w:val="1"/>
      <w:numFmt w:val="bullet"/>
      <w:lvlText w:val=""/>
      <w:lvlJc w:val="left"/>
      <w:pPr>
        <w:ind w:left="-54" w:hanging="360"/>
      </w:pPr>
      <w:rPr>
        <w:rFonts w:ascii="Wingdings" w:hAnsi="Wingdings" w:hint="default"/>
      </w:rPr>
    </w:lvl>
    <w:lvl w:ilvl="1" w:tplc="04090001">
      <w:start w:val="1"/>
      <w:numFmt w:val="bullet"/>
      <w:lvlText w:val=""/>
      <w:lvlJc w:val="left"/>
      <w:pPr>
        <w:ind w:left="666" w:hanging="360"/>
      </w:pPr>
      <w:rPr>
        <w:rFonts w:ascii="Symbol" w:hAnsi="Symbol" w:hint="default"/>
      </w:rPr>
    </w:lvl>
    <w:lvl w:ilvl="2" w:tplc="04090005">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26" w15:restartNumberingAfterBreak="0">
    <w:nsid w:val="42E62875"/>
    <w:multiLevelType w:val="hybridMultilevel"/>
    <w:tmpl w:val="9960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7A3715"/>
    <w:multiLevelType w:val="hybridMultilevel"/>
    <w:tmpl w:val="1320E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6F3215"/>
    <w:multiLevelType w:val="hybridMultilevel"/>
    <w:tmpl w:val="3D5EBDD4"/>
    <w:lvl w:ilvl="0" w:tplc="CEAEA770">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830E75"/>
    <w:multiLevelType w:val="hybridMultilevel"/>
    <w:tmpl w:val="8F5E6D48"/>
    <w:lvl w:ilvl="0" w:tplc="CEAEA770">
      <w:numFmt w:val="bullet"/>
      <w:lvlText w:val="•"/>
      <w:lvlJc w:val="left"/>
      <w:pPr>
        <w:ind w:left="724" w:hanging="44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5872D0"/>
    <w:multiLevelType w:val="hybridMultilevel"/>
    <w:tmpl w:val="E16C6ED8"/>
    <w:lvl w:ilvl="0" w:tplc="04090005">
      <w:start w:val="1"/>
      <w:numFmt w:val="bullet"/>
      <w:lvlText w:val=""/>
      <w:lvlJc w:val="left"/>
      <w:pPr>
        <w:ind w:left="-54" w:hanging="360"/>
      </w:pPr>
      <w:rPr>
        <w:rFonts w:ascii="Wingdings" w:hAnsi="Wingdings" w:hint="default"/>
      </w:rPr>
    </w:lvl>
    <w:lvl w:ilvl="1" w:tplc="04090003">
      <w:start w:val="1"/>
      <w:numFmt w:val="bullet"/>
      <w:lvlText w:val="o"/>
      <w:lvlJc w:val="left"/>
      <w:pPr>
        <w:ind w:left="666" w:hanging="360"/>
      </w:pPr>
      <w:rPr>
        <w:rFonts w:ascii="Courier New" w:hAnsi="Courier New" w:cs="Courier New" w:hint="default"/>
      </w:rPr>
    </w:lvl>
    <w:lvl w:ilvl="2" w:tplc="04090005">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31" w15:restartNumberingAfterBreak="0">
    <w:nsid w:val="5268299F"/>
    <w:multiLevelType w:val="hybridMultilevel"/>
    <w:tmpl w:val="CC765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39C4A00"/>
    <w:multiLevelType w:val="hybridMultilevel"/>
    <w:tmpl w:val="721C0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5B96300"/>
    <w:multiLevelType w:val="hybridMultilevel"/>
    <w:tmpl w:val="2B9EB0B8"/>
    <w:lvl w:ilvl="0" w:tplc="04090001">
      <w:start w:val="1"/>
      <w:numFmt w:val="bullet"/>
      <w:lvlText w:val=""/>
      <w:lvlJc w:val="left"/>
      <w:pPr>
        <w:ind w:left="720" w:hanging="360"/>
      </w:pPr>
      <w:rPr>
        <w:rFonts w:ascii="Symbol" w:hAnsi="Symbol" w:hint="default"/>
      </w:rPr>
    </w:lvl>
    <w:lvl w:ilvl="1" w:tplc="FE76991C">
      <w:numFmt w:val="bullet"/>
      <w:lvlText w:val="-"/>
      <w:lvlJc w:val="left"/>
      <w:pPr>
        <w:ind w:left="1440" w:hanging="360"/>
      </w:pPr>
      <w:rPr>
        <w:rFonts w:ascii="Calibri Light" w:eastAsia="MS Mincho" w:hAnsi="Calibri Light" w:cs="Calibri Light"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6774CEB"/>
    <w:multiLevelType w:val="hybridMultilevel"/>
    <w:tmpl w:val="431CFF06"/>
    <w:lvl w:ilvl="0" w:tplc="04090005">
      <w:start w:val="1"/>
      <w:numFmt w:val="bullet"/>
      <w:lvlText w:val=""/>
      <w:lvlJc w:val="left"/>
      <w:pPr>
        <w:ind w:left="-54" w:hanging="360"/>
      </w:pPr>
      <w:rPr>
        <w:rFonts w:ascii="Wingdings" w:hAnsi="Wingdings" w:hint="default"/>
      </w:rPr>
    </w:lvl>
    <w:lvl w:ilvl="1" w:tplc="04090001">
      <w:start w:val="1"/>
      <w:numFmt w:val="bullet"/>
      <w:lvlText w:val=""/>
      <w:lvlJc w:val="left"/>
      <w:pPr>
        <w:ind w:left="666" w:hanging="360"/>
      </w:pPr>
      <w:rPr>
        <w:rFonts w:ascii="Symbol" w:hAnsi="Symbol" w:hint="default"/>
      </w:rPr>
    </w:lvl>
    <w:lvl w:ilvl="2" w:tplc="04090005">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35" w15:restartNumberingAfterBreak="0">
    <w:nsid w:val="61E422DD"/>
    <w:multiLevelType w:val="hybridMultilevel"/>
    <w:tmpl w:val="5098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F9115F"/>
    <w:multiLevelType w:val="hybridMultilevel"/>
    <w:tmpl w:val="4F1E8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DB7159"/>
    <w:multiLevelType w:val="hybridMultilevel"/>
    <w:tmpl w:val="D59A20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A13C80"/>
    <w:multiLevelType w:val="hybridMultilevel"/>
    <w:tmpl w:val="88442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14780"/>
    <w:multiLevelType w:val="hybridMultilevel"/>
    <w:tmpl w:val="8304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30559E"/>
    <w:multiLevelType w:val="hybridMultilevel"/>
    <w:tmpl w:val="9CEA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825D70"/>
    <w:multiLevelType w:val="hybridMultilevel"/>
    <w:tmpl w:val="DA56D358"/>
    <w:lvl w:ilvl="0" w:tplc="F9B8CDEE">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080"/>
        </w:tabs>
        <w:ind w:left="1080" w:hanging="360"/>
      </w:pPr>
    </w:lvl>
    <w:lvl w:ilvl="2" w:tplc="35B83F68" w:tentative="1">
      <w:start w:val="1"/>
      <w:numFmt w:val="bullet"/>
      <w:lvlText w:val=""/>
      <w:lvlJc w:val="left"/>
      <w:pPr>
        <w:tabs>
          <w:tab w:val="num" w:pos="2160"/>
        </w:tabs>
        <w:ind w:left="2160" w:hanging="360"/>
      </w:pPr>
      <w:rPr>
        <w:rFonts w:ascii="Wingdings" w:hAnsi="Wingdings" w:hint="default"/>
      </w:rPr>
    </w:lvl>
    <w:lvl w:ilvl="3" w:tplc="C946FE32" w:tentative="1">
      <w:start w:val="1"/>
      <w:numFmt w:val="bullet"/>
      <w:lvlText w:val=""/>
      <w:lvlJc w:val="left"/>
      <w:pPr>
        <w:tabs>
          <w:tab w:val="num" w:pos="2880"/>
        </w:tabs>
        <w:ind w:left="2880" w:hanging="360"/>
      </w:pPr>
      <w:rPr>
        <w:rFonts w:ascii="Wingdings" w:hAnsi="Wingdings" w:hint="default"/>
      </w:rPr>
    </w:lvl>
    <w:lvl w:ilvl="4" w:tplc="7794D5FE" w:tentative="1">
      <w:start w:val="1"/>
      <w:numFmt w:val="bullet"/>
      <w:lvlText w:val=""/>
      <w:lvlJc w:val="left"/>
      <w:pPr>
        <w:tabs>
          <w:tab w:val="num" w:pos="3600"/>
        </w:tabs>
        <w:ind w:left="3600" w:hanging="360"/>
      </w:pPr>
      <w:rPr>
        <w:rFonts w:ascii="Wingdings" w:hAnsi="Wingdings" w:hint="default"/>
      </w:rPr>
    </w:lvl>
    <w:lvl w:ilvl="5" w:tplc="003AF9AA" w:tentative="1">
      <w:start w:val="1"/>
      <w:numFmt w:val="bullet"/>
      <w:lvlText w:val=""/>
      <w:lvlJc w:val="left"/>
      <w:pPr>
        <w:tabs>
          <w:tab w:val="num" w:pos="4320"/>
        </w:tabs>
        <w:ind w:left="4320" w:hanging="360"/>
      </w:pPr>
      <w:rPr>
        <w:rFonts w:ascii="Wingdings" w:hAnsi="Wingdings" w:hint="default"/>
      </w:rPr>
    </w:lvl>
    <w:lvl w:ilvl="6" w:tplc="8AAA1646" w:tentative="1">
      <w:start w:val="1"/>
      <w:numFmt w:val="bullet"/>
      <w:lvlText w:val=""/>
      <w:lvlJc w:val="left"/>
      <w:pPr>
        <w:tabs>
          <w:tab w:val="num" w:pos="5040"/>
        </w:tabs>
        <w:ind w:left="5040" w:hanging="360"/>
      </w:pPr>
      <w:rPr>
        <w:rFonts w:ascii="Wingdings" w:hAnsi="Wingdings" w:hint="default"/>
      </w:rPr>
    </w:lvl>
    <w:lvl w:ilvl="7" w:tplc="C9509AE2" w:tentative="1">
      <w:start w:val="1"/>
      <w:numFmt w:val="bullet"/>
      <w:lvlText w:val=""/>
      <w:lvlJc w:val="left"/>
      <w:pPr>
        <w:tabs>
          <w:tab w:val="num" w:pos="5760"/>
        </w:tabs>
        <w:ind w:left="5760" w:hanging="360"/>
      </w:pPr>
      <w:rPr>
        <w:rFonts w:ascii="Wingdings" w:hAnsi="Wingdings" w:hint="default"/>
      </w:rPr>
    </w:lvl>
    <w:lvl w:ilvl="8" w:tplc="4670B8D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D666D8"/>
    <w:multiLevelType w:val="hybridMultilevel"/>
    <w:tmpl w:val="4FCE13A8"/>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43" w15:restartNumberingAfterBreak="0">
    <w:nsid w:val="7E4A416E"/>
    <w:multiLevelType w:val="hybridMultilevel"/>
    <w:tmpl w:val="1AC663AA"/>
    <w:lvl w:ilvl="0" w:tplc="CEAEA770">
      <w:numFmt w:val="bullet"/>
      <w:lvlText w:val="•"/>
      <w:lvlJc w:val="left"/>
      <w:pPr>
        <w:ind w:left="724" w:hanging="440"/>
      </w:pPr>
      <w:rPr>
        <w:rFonts w:ascii="Calibri" w:eastAsiaTheme="minorEastAsia"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9"/>
  </w:num>
  <w:num w:numId="3">
    <w:abstractNumId w:val="3"/>
  </w:num>
  <w:num w:numId="4">
    <w:abstractNumId w:val="5"/>
  </w:num>
  <w:num w:numId="5">
    <w:abstractNumId w:val="17"/>
  </w:num>
  <w:num w:numId="6">
    <w:abstractNumId w:val="15"/>
  </w:num>
  <w:num w:numId="7">
    <w:abstractNumId w:val="9"/>
  </w:num>
  <w:num w:numId="8">
    <w:abstractNumId w:val="42"/>
  </w:num>
  <w:num w:numId="9">
    <w:abstractNumId w:val="30"/>
  </w:num>
  <w:num w:numId="10">
    <w:abstractNumId w:val="27"/>
  </w:num>
  <w:num w:numId="11">
    <w:abstractNumId w:val="11"/>
  </w:num>
  <w:num w:numId="12">
    <w:abstractNumId w:val="22"/>
  </w:num>
  <w:num w:numId="13">
    <w:abstractNumId w:val="8"/>
  </w:num>
  <w:num w:numId="14">
    <w:abstractNumId w:val="24"/>
  </w:num>
  <w:num w:numId="15">
    <w:abstractNumId w:val="21"/>
  </w:num>
  <w:num w:numId="16">
    <w:abstractNumId w:val="14"/>
  </w:num>
  <w:num w:numId="17">
    <w:abstractNumId w:val="7"/>
  </w:num>
  <w:num w:numId="18">
    <w:abstractNumId w:val="1"/>
  </w:num>
  <w:num w:numId="19">
    <w:abstractNumId w:val="23"/>
  </w:num>
  <w:num w:numId="20">
    <w:abstractNumId w:val="31"/>
  </w:num>
  <w:num w:numId="21">
    <w:abstractNumId w:val="36"/>
  </w:num>
  <w:num w:numId="22">
    <w:abstractNumId w:val="32"/>
  </w:num>
  <w:num w:numId="23">
    <w:abstractNumId w:val="40"/>
  </w:num>
  <w:num w:numId="24">
    <w:abstractNumId w:val="38"/>
  </w:num>
  <w:num w:numId="25">
    <w:abstractNumId w:val="35"/>
  </w:num>
  <w:num w:numId="26">
    <w:abstractNumId w:val="10"/>
  </w:num>
  <w:num w:numId="27">
    <w:abstractNumId w:val="26"/>
  </w:num>
  <w:num w:numId="28">
    <w:abstractNumId w:val="37"/>
  </w:num>
  <w:num w:numId="29">
    <w:abstractNumId w:val="13"/>
  </w:num>
  <w:num w:numId="30">
    <w:abstractNumId w:val="43"/>
  </w:num>
  <w:num w:numId="31">
    <w:abstractNumId w:val="41"/>
  </w:num>
  <w:num w:numId="32">
    <w:abstractNumId w:val="34"/>
  </w:num>
  <w:num w:numId="33">
    <w:abstractNumId w:val="20"/>
  </w:num>
  <w:num w:numId="34">
    <w:abstractNumId w:val="25"/>
  </w:num>
  <w:num w:numId="35">
    <w:abstractNumId w:val="16"/>
  </w:num>
  <w:num w:numId="36">
    <w:abstractNumId w:val="2"/>
  </w:num>
  <w:num w:numId="37">
    <w:abstractNumId w:val="39"/>
  </w:num>
  <w:num w:numId="38">
    <w:abstractNumId w:val="29"/>
  </w:num>
  <w:num w:numId="39">
    <w:abstractNumId w:val="4"/>
  </w:num>
  <w:num w:numId="40">
    <w:abstractNumId w:val="28"/>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lvlOverride w:ilvl="1">
      <w:startOverride w:val="1"/>
    </w:lvlOverride>
    <w:lvlOverride w:ilvl="2"/>
    <w:lvlOverride w:ilvl="3"/>
    <w:lvlOverride w:ilvl="4"/>
    <w:lvlOverride w:ilvl="5"/>
    <w:lvlOverride w:ilvl="6"/>
    <w:lvlOverride w:ilvl="7"/>
    <w:lvlOverride w:ilvl="8"/>
  </w:num>
  <w:num w:numId="45">
    <w:abstractNumId w:val="12"/>
  </w:num>
  <w:num w:numId="46">
    <w:abstractNumId w:val="18"/>
  </w:num>
  <w:num w:numId="47">
    <w:abstractNumId w:val="6"/>
  </w:num>
  <w:num w:numId="48">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6" w:nlCheck="1" w:checkStyle="0"/>
  <w:activeWritingStyle w:appName="MSWord" w:lang="de-CH" w:vendorID="64" w:dllVersion="6" w:nlCheck="1" w:checkStyle="1"/>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it-CH" w:vendorID="64" w:dllVersion="6" w:nlCheck="1" w:checkStyle="0"/>
  <w:activeWritingStyle w:appName="MSWord" w:lang="fr-CH" w:vendorID="64" w:dllVersion="6" w:nlCheck="1" w:checkStyle="1"/>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sv-SE" w:vendorID="64" w:dllVersion="0" w:nlCheck="1" w:checkStyle="0"/>
  <w:activeWritingStyle w:appName="MSWord" w:lang="fr-CH" w:vendorID="64" w:dllVersion="4096" w:nlCheck="1" w:checkStyle="0"/>
  <w:activeWritingStyle w:appName="MSWord" w:lang="en-GB" w:vendorID="6" w:dllVersion="2" w:checkStyle="1"/>
  <w:activeWritingStyle w:appName="MSWord" w:lang="fr-CA" w:vendorID="65" w:dllVersion="514"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cDisableGlyphATSUI" w:val="0"/>
  </w:docVars>
  <w:rsids>
    <w:rsidRoot w:val="0088279F"/>
    <w:rsid w:val="000004FF"/>
    <w:rsid w:val="00000613"/>
    <w:rsid w:val="00000B0F"/>
    <w:rsid w:val="00000DD8"/>
    <w:rsid w:val="000010D2"/>
    <w:rsid w:val="000011E3"/>
    <w:rsid w:val="000014B4"/>
    <w:rsid w:val="0000244C"/>
    <w:rsid w:val="000037ED"/>
    <w:rsid w:val="00004271"/>
    <w:rsid w:val="00005886"/>
    <w:rsid w:val="000061B9"/>
    <w:rsid w:val="000067A1"/>
    <w:rsid w:val="00007044"/>
    <w:rsid w:val="00007884"/>
    <w:rsid w:val="0000796B"/>
    <w:rsid w:val="00007970"/>
    <w:rsid w:val="000079E8"/>
    <w:rsid w:val="0001063F"/>
    <w:rsid w:val="00010D72"/>
    <w:rsid w:val="000112BB"/>
    <w:rsid w:val="0001155D"/>
    <w:rsid w:val="000118A6"/>
    <w:rsid w:val="000121DD"/>
    <w:rsid w:val="000128C5"/>
    <w:rsid w:val="00012D69"/>
    <w:rsid w:val="000133CB"/>
    <w:rsid w:val="00013E1F"/>
    <w:rsid w:val="00014069"/>
    <w:rsid w:val="0001419A"/>
    <w:rsid w:val="00016F84"/>
    <w:rsid w:val="0002010D"/>
    <w:rsid w:val="00020751"/>
    <w:rsid w:val="0002092F"/>
    <w:rsid w:val="00020D27"/>
    <w:rsid w:val="00021DA8"/>
    <w:rsid w:val="00021F57"/>
    <w:rsid w:val="000220F9"/>
    <w:rsid w:val="00022119"/>
    <w:rsid w:val="000226ED"/>
    <w:rsid w:val="00023496"/>
    <w:rsid w:val="00023499"/>
    <w:rsid w:val="0002362A"/>
    <w:rsid w:val="00023C23"/>
    <w:rsid w:val="00024763"/>
    <w:rsid w:val="00025201"/>
    <w:rsid w:val="00025A4B"/>
    <w:rsid w:val="0002610E"/>
    <w:rsid w:val="00026E15"/>
    <w:rsid w:val="00027107"/>
    <w:rsid w:val="000278B5"/>
    <w:rsid w:val="00031175"/>
    <w:rsid w:val="0003140A"/>
    <w:rsid w:val="00031CB7"/>
    <w:rsid w:val="00032308"/>
    <w:rsid w:val="00034BFC"/>
    <w:rsid w:val="00035366"/>
    <w:rsid w:val="000362C9"/>
    <w:rsid w:val="00036DAB"/>
    <w:rsid w:val="00037436"/>
    <w:rsid w:val="00037C87"/>
    <w:rsid w:val="00041D07"/>
    <w:rsid w:val="00041F79"/>
    <w:rsid w:val="00042A17"/>
    <w:rsid w:val="00042A31"/>
    <w:rsid w:val="00042B50"/>
    <w:rsid w:val="00042D86"/>
    <w:rsid w:val="0004337D"/>
    <w:rsid w:val="00043792"/>
    <w:rsid w:val="0004381C"/>
    <w:rsid w:val="00044C30"/>
    <w:rsid w:val="00045083"/>
    <w:rsid w:val="000455C0"/>
    <w:rsid w:val="000473D8"/>
    <w:rsid w:val="00047CA9"/>
    <w:rsid w:val="00050DE7"/>
    <w:rsid w:val="00050F6F"/>
    <w:rsid w:val="00051517"/>
    <w:rsid w:val="00051852"/>
    <w:rsid w:val="0005187F"/>
    <w:rsid w:val="00051C7B"/>
    <w:rsid w:val="0005224E"/>
    <w:rsid w:val="00052703"/>
    <w:rsid w:val="00054259"/>
    <w:rsid w:val="00054449"/>
    <w:rsid w:val="00055520"/>
    <w:rsid w:val="00057F5B"/>
    <w:rsid w:val="00062146"/>
    <w:rsid w:val="00062CC5"/>
    <w:rsid w:val="000635B7"/>
    <w:rsid w:val="00064997"/>
    <w:rsid w:val="00064C67"/>
    <w:rsid w:val="000653D2"/>
    <w:rsid w:val="00065B78"/>
    <w:rsid w:val="00066568"/>
    <w:rsid w:val="0006673F"/>
    <w:rsid w:val="00067658"/>
    <w:rsid w:val="0007098F"/>
    <w:rsid w:val="00070CE4"/>
    <w:rsid w:val="000712B4"/>
    <w:rsid w:val="000726F8"/>
    <w:rsid w:val="000728B6"/>
    <w:rsid w:val="00072D44"/>
    <w:rsid w:val="0007347E"/>
    <w:rsid w:val="00074496"/>
    <w:rsid w:val="000746B2"/>
    <w:rsid w:val="00074839"/>
    <w:rsid w:val="00074A0C"/>
    <w:rsid w:val="00074D5B"/>
    <w:rsid w:val="00074E14"/>
    <w:rsid w:val="000750B3"/>
    <w:rsid w:val="000751B2"/>
    <w:rsid w:val="00075382"/>
    <w:rsid w:val="000758FF"/>
    <w:rsid w:val="00076001"/>
    <w:rsid w:val="0007613B"/>
    <w:rsid w:val="00076143"/>
    <w:rsid w:val="000763BD"/>
    <w:rsid w:val="000777AA"/>
    <w:rsid w:val="00077ACA"/>
    <w:rsid w:val="000807C3"/>
    <w:rsid w:val="00080A1E"/>
    <w:rsid w:val="00080D04"/>
    <w:rsid w:val="00080FDF"/>
    <w:rsid w:val="000816C8"/>
    <w:rsid w:val="000819F9"/>
    <w:rsid w:val="00081FF8"/>
    <w:rsid w:val="0008290C"/>
    <w:rsid w:val="000830C1"/>
    <w:rsid w:val="00083332"/>
    <w:rsid w:val="00084256"/>
    <w:rsid w:val="0008450B"/>
    <w:rsid w:val="00084D09"/>
    <w:rsid w:val="00087079"/>
    <w:rsid w:val="000870BD"/>
    <w:rsid w:val="00087164"/>
    <w:rsid w:val="00090937"/>
    <w:rsid w:val="00091150"/>
    <w:rsid w:val="00091212"/>
    <w:rsid w:val="0009123B"/>
    <w:rsid w:val="0009148F"/>
    <w:rsid w:val="00091613"/>
    <w:rsid w:val="00092069"/>
    <w:rsid w:val="00092D17"/>
    <w:rsid w:val="000932A4"/>
    <w:rsid w:val="000939B6"/>
    <w:rsid w:val="000944F5"/>
    <w:rsid w:val="00096281"/>
    <w:rsid w:val="00096574"/>
    <w:rsid w:val="00097156"/>
    <w:rsid w:val="000973F7"/>
    <w:rsid w:val="000A06DB"/>
    <w:rsid w:val="000A06F7"/>
    <w:rsid w:val="000A16F2"/>
    <w:rsid w:val="000A176A"/>
    <w:rsid w:val="000A196B"/>
    <w:rsid w:val="000A1E9F"/>
    <w:rsid w:val="000A27BE"/>
    <w:rsid w:val="000A2DC4"/>
    <w:rsid w:val="000A3299"/>
    <w:rsid w:val="000A47C9"/>
    <w:rsid w:val="000A5717"/>
    <w:rsid w:val="000A5E7B"/>
    <w:rsid w:val="000A6010"/>
    <w:rsid w:val="000A675F"/>
    <w:rsid w:val="000A72A0"/>
    <w:rsid w:val="000B0391"/>
    <w:rsid w:val="000B1A37"/>
    <w:rsid w:val="000B1CEB"/>
    <w:rsid w:val="000B2751"/>
    <w:rsid w:val="000B2EBE"/>
    <w:rsid w:val="000B3C8B"/>
    <w:rsid w:val="000B4A17"/>
    <w:rsid w:val="000B4FC2"/>
    <w:rsid w:val="000B5863"/>
    <w:rsid w:val="000B5C59"/>
    <w:rsid w:val="000B663C"/>
    <w:rsid w:val="000B7471"/>
    <w:rsid w:val="000B7777"/>
    <w:rsid w:val="000B7D56"/>
    <w:rsid w:val="000C06C2"/>
    <w:rsid w:val="000C0ADB"/>
    <w:rsid w:val="000C148F"/>
    <w:rsid w:val="000C1DA7"/>
    <w:rsid w:val="000C1E66"/>
    <w:rsid w:val="000C24D4"/>
    <w:rsid w:val="000C3A47"/>
    <w:rsid w:val="000C3EC3"/>
    <w:rsid w:val="000C4317"/>
    <w:rsid w:val="000C47CA"/>
    <w:rsid w:val="000C4EB2"/>
    <w:rsid w:val="000C4F23"/>
    <w:rsid w:val="000C4FFE"/>
    <w:rsid w:val="000C5274"/>
    <w:rsid w:val="000C537C"/>
    <w:rsid w:val="000C56A2"/>
    <w:rsid w:val="000C59C9"/>
    <w:rsid w:val="000C73D0"/>
    <w:rsid w:val="000C751B"/>
    <w:rsid w:val="000C77DC"/>
    <w:rsid w:val="000C7C8C"/>
    <w:rsid w:val="000D0694"/>
    <w:rsid w:val="000D0F51"/>
    <w:rsid w:val="000D10E9"/>
    <w:rsid w:val="000D175F"/>
    <w:rsid w:val="000D1B02"/>
    <w:rsid w:val="000D20E2"/>
    <w:rsid w:val="000D2BC8"/>
    <w:rsid w:val="000D30C2"/>
    <w:rsid w:val="000D3796"/>
    <w:rsid w:val="000D3EAF"/>
    <w:rsid w:val="000D3F84"/>
    <w:rsid w:val="000D47BE"/>
    <w:rsid w:val="000D4D91"/>
    <w:rsid w:val="000D509F"/>
    <w:rsid w:val="000D50B3"/>
    <w:rsid w:val="000D56BF"/>
    <w:rsid w:val="000D56C3"/>
    <w:rsid w:val="000D61D9"/>
    <w:rsid w:val="000D63F8"/>
    <w:rsid w:val="000D6428"/>
    <w:rsid w:val="000D6CE5"/>
    <w:rsid w:val="000D6D0D"/>
    <w:rsid w:val="000D6F29"/>
    <w:rsid w:val="000D7663"/>
    <w:rsid w:val="000E07DE"/>
    <w:rsid w:val="000E0D64"/>
    <w:rsid w:val="000E132B"/>
    <w:rsid w:val="000E16C0"/>
    <w:rsid w:val="000E1B80"/>
    <w:rsid w:val="000E1B8A"/>
    <w:rsid w:val="000E2386"/>
    <w:rsid w:val="000E2884"/>
    <w:rsid w:val="000E3857"/>
    <w:rsid w:val="000E3A9A"/>
    <w:rsid w:val="000E418F"/>
    <w:rsid w:val="000E4478"/>
    <w:rsid w:val="000E4B09"/>
    <w:rsid w:val="000E563B"/>
    <w:rsid w:val="000E6073"/>
    <w:rsid w:val="000E6263"/>
    <w:rsid w:val="000E66FE"/>
    <w:rsid w:val="000E7915"/>
    <w:rsid w:val="000F014F"/>
    <w:rsid w:val="000F1776"/>
    <w:rsid w:val="000F1990"/>
    <w:rsid w:val="000F22C5"/>
    <w:rsid w:val="000F2562"/>
    <w:rsid w:val="000F27BA"/>
    <w:rsid w:val="000F29F1"/>
    <w:rsid w:val="000F2CD7"/>
    <w:rsid w:val="000F32CA"/>
    <w:rsid w:val="000F3D96"/>
    <w:rsid w:val="000F40F4"/>
    <w:rsid w:val="000F4BC5"/>
    <w:rsid w:val="000F5D44"/>
    <w:rsid w:val="000F699F"/>
    <w:rsid w:val="000F7087"/>
    <w:rsid w:val="00100768"/>
    <w:rsid w:val="00101E07"/>
    <w:rsid w:val="0010212D"/>
    <w:rsid w:val="00102B51"/>
    <w:rsid w:val="00102E83"/>
    <w:rsid w:val="00103534"/>
    <w:rsid w:val="001035DA"/>
    <w:rsid w:val="001039CC"/>
    <w:rsid w:val="00104617"/>
    <w:rsid w:val="0010556E"/>
    <w:rsid w:val="00105BE2"/>
    <w:rsid w:val="001064AD"/>
    <w:rsid w:val="00106523"/>
    <w:rsid w:val="0010655A"/>
    <w:rsid w:val="00106842"/>
    <w:rsid w:val="0011099A"/>
    <w:rsid w:val="00110D1D"/>
    <w:rsid w:val="0011136B"/>
    <w:rsid w:val="001118E0"/>
    <w:rsid w:val="00111DC9"/>
    <w:rsid w:val="0011276A"/>
    <w:rsid w:val="001128D2"/>
    <w:rsid w:val="00112D92"/>
    <w:rsid w:val="00113337"/>
    <w:rsid w:val="001137FE"/>
    <w:rsid w:val="00114AC4"/>
    <w:rsid w:val="00115064"/>
    <w:rsid w:val="0011570D"/>
    <w:rsid w:val="0011638A"/>
    <w:rsid w:val="00116BE1"/>
    <w:rsid w:val="001178DC"/>
    <w:rsid w:val="00117DC4"/>
    <w:rsid w:val="00120AAC"/>
    <w:rsid w:val="00121D8F"/>
    <w:rsid w:val="00121DAA"/>
    <w:rsid w:val="00122030"/>
    <w:rsid w:val="0012262A"/>
    <w:rsid w:val="00122C48"/>
    <w:rsid w:val="00122E20"/>
    <w:rsid w:val="00123035"/>
    <w:rsid w:val="00123E23"/>
    <w:rsid w:val="00124F5D"/>
    <w:rsid w:val="0012516D"/>
    <w:rsid w:val="00125298"/>
    <w:rsid w:val="00125D31"/>
    <w:rsid w:val="0012779A"/>
    <w:rsid w:val="001302F1"/>
    <w:rsid w:val="0013076D"/>
    <w:rsid w:val="00130B52"/>
    <w:rsid w:val="00130E66"/>
    <w:rsid w:val="00130EA6"/>
    <w:rsid w:val="00131290"/>
    <w:rsid w:val="00132072"/>
    <w:rsid w:val="001324E9"/>
    <w:rsid w:val="001334D3"/>
    <w:rsid w:val="001358BA"/>
    <w:rsid w:val="00135936"/>
    <w:rsid w:val="00135D9C"/>
    <w:rsid w:val="001360C4"/>
    <w:rsid w:val="001368BE"/>
    <w:rsid w:val="00136983"/>
    <w:rsid w:val="0014043A"/>
    <w:rsid w:val="001408E9"/>
    <w:rsid w:val="00140C9B"/>
    <w:rsid w:val="00141251"/>
    <w:rsid w:val="00141254"/>
    <w:rsid w:val="00141469"/>
    <w:rsid w:val="00141843"/>
    <w:rsid w:val="00142742"/>
    <w:rsid w:val="00143B46"/>
    <w:rsid w:val="001441FF"/>
    <w:rsid w:val="0014486F"/>
    <w:rsid w:val="00144FB3"/>
    <w:rsid w:val="0014693B"/>
    <w:rsid w:val="00146BA3"/>
    <w:rsid w:val="00146D08"/>
    <w:rsid w:val="001474D9"/>
    <w:rsid w:val="00150254"/>
    <w:rsid w:val="00150762"/>
    <w:rsid w:val="0015163A"/>
    <w:rsid w:val="001517B2"/>
    <w:rsid w:val="00151ADF"/>
    <w:rsid w:val="00151D46"/>
    <w:rsid w:val="00151EDF"/>
    <w:rsid w:val="00151FE7"/>
    <w:rsid w:val="001525D7"/>
    <w:rsid w:val="00152904"/>
    <w:rsid w:val="00153137"/>
    <w:rsid w:val="001538C6"/>
    <w:rsid w:val="00153A14"/>
    <w:rsid w:val="00154EA6"/>
    <w:rsid w:val="00155511"/>
    <w:rsid w:val="0015551F"/>
    <w:rsid w:val="00155758"/>
    <w:rsid w:val="00155DA1"/>
    <w:rsid w:val="00156C19"/>
    <w:rsid w:val="00157557"/>
    <w:rsid w:val="0015790F"/>
    <w:rsid w:val="00157C48"/>
    <w:rsid w:val="00157EAA"/>
    <w:rsid w:val="0016014D"/>
    <w:rsid w:val="00160F17"/>
    <w:rsid w:val="00161F76"/>
    <w:rsid w:val="00162590"/>
    <w:rsid w:val="001630ED"/>
    <w:rsid w:val="001632C2"/>
    <w:rsid w:val="001637FD"/>
    <w:rsid w:val="00163CF9"/>
    <w:rsid w:val="00164C7A"/>
    <w:rsid w:val="0016501C"/>
    <w:rsid w:val="0016567A"/>
    <w:rsid w:val="001657D0"/>
    <w:rsid w:val="00165AF3"/>
    <w:rsid w:val="00165BD9"/>
    <w:rsid w:val="00166192"/>
    <w:rsid w:val="00167905"/>
    <w:rsid w:val="0016794C"/>
    <w:rsid w:val="00170428"/>
    <w:rsid w:val="001707D9"/>
    <w:rsid w:val="00170E2A"/>
    <w:rsid w:val="0017125E"/>
    <w:rsid w:val="001722C3"/>
    <w:rsid w:val="00172D0A"/>
    <w:rsid w:val="0017315B"/>
    <w:rsid w:val="00173246"/>
    <w:rsid w:val="001736D8"/>
    <w:rsid w:val="00173FA6"/>
    <w:rsid w:val="001753A4"/>
    <w:rsid w:val="00175AA2"/>
    <w:rsid w:val="00175F2B"/>
    <w:rsid w:val="001761C7"/>
    <w:rsid w:val="001775CA"/>
    <w:rsid w:val="001779DA"/>
    <w:rsid w:val="00177E49"/>
    <w:rsid w:val="00181365"/>
    <w:rsid w:val="00181F92"/>
    <w:rsid w:val="0018309B"/>
    <w:rsid w:val="00184600"/>
    <w:rsid w:val="001854A0"/>
    <w:rsid w:val="001857FC"/>
    <w:rsid w:val="00185D5F"/>
    <w:rsid w:val="00185E50"/>
    <w:rsid w:val="00186295"/>
    <w:rsid w:val="00186E80"/>
    <w:rsid w:val="00187A12"/>
    <w:rsid w:val="00187E90"/>
    <w:rsid w:val="001909CA"/>
    <w:rsid w:val="001922DE"/>
    <w:rsid w:val="001926AB"/>
    <w:rsid w:val="0019274A"/>
    <w:rsid w:val="00192FCA"/>
    <w:rsid w:val="00193B86"/>
    <w:rsid w:val="001950C3"/>
    <w:rsid w:val="001955B5"/>
    <w:rsid w:val="00196040"/>
    <w:rsid w:val="00196485"/>
    <w:rsid w:val="0019729C"/>
    <w:rsid w:val="001974F9"/>
    <w:rsid w:val="00197B5F"/>
    <w:rsid w:val="001A011C"/>
    <w:rsid w:val="001A0169"/>
    <w:rsid w:val="001A1348"/>
    <w:rsid w:val="001A1CD1"/>
    <w:rsid w:val="001A229F"/>
    <w:rsid w:val="001A25AB"/>
    <w:rsid w:val="001A2AE8"/>
    <w:rsid w:val="001A2E76"/>
    <w:rsid w:val="001A3A01"/>
    <w:rsid w:val="001A3EA2"/>
    <w:rsid w:val="001A496A"/>
    <w:rsid w:val="001A61E4"/>
    <w:rsid w:val="001A6A92"/>
    <w:rsid w:val="001A7025"/>
    <w:rsid w:val="001A72B6"/>
    <w:rsid w:val="001A750E"/>
    <w:rsid w:val="001A7C68"/>
    <w:rsid w:val="001A7CEE"/>
    <w:rsid w:val="001B014B"/>
    <w:rsid w:val="001B0DC8"/>
    <w:rsid w:val="001B0E63"/>
    <w:rsid w:val="001B1163"/>
    <w:rsid w:val="001B2084"/>
    <w:rsid w:val="001B21A6"/>
    <w:rsid w:val="001B33AA"/>
    <w:rsid w:val="001B33D1"/>
    <w:rsid w:val="001B3AE0"/>
    <w:rsid w:val="001B4E08"/>
    <w:rsid w:val="001B4E4E"/>
    <w:rsid w:val="001B4EDA"/>
    <w:rsid w:val="001B5402"/>
    <w:rsid w:val="001B585A"/>
    <w:rsid w:val="001B5C40"/>
    <w:rsid w:val="001B5DCA"/>
    <w:rsid w:val="001B6D7F"/>
    <w:rsid w:val="001C056F"/>
    <w:rsid w:val="001C0FBC"/>
    <w:rsid w:val="001C153A"/>
    <w:rsid w:val="001C162B"/>
    <w:rsid w:val="001C174B"/>
    <w:rsid w:val="001C1CDD"/>
    <w:rsid w:val="001C26EE"/>
    <w:rsid w:val="001C3856"/>
    <w:rsid w:val="001C397B"/>
    <w:rsid w:val="001C44C4"/>
    <w:rsid w:val="001C44F9"/>
    <w:rsid w:val="001C48D4"/>
    <w:rsid w:val="001C524B"/>
    <w:rsid w:val="001C5447"/>
    <w:rsid w:val="001C5524"/>
    <w:rsid w:val="001D0647"/>
    <w:rsid w:val="001D1110"/>
    <w:rsid w:val="001D116F"/>
    <w:rsid w:val="001D11BE"/>
    <w:rsid w:val="001D1BB3"/>
    <w:rsid w:val="001D1FDB"/>
    <w:rsid w:val="001D245D"/>
    <w:rsid w:val="001D2575"/>
    <w:rsid w:val="001D27DB"/>
    <w:rsid w:val="001D418B"/>
    <w:rsid w:val="001D52D0"/>
    <w:rsid w:val="001D5766"/>
    <w:rsid w:val="001D5CFE"/>
    <w:rsid w:val="001D60BB"/>
    <w:rsid w:val="001D687E"/>
    <w:rsid w:val="001D6FCA"/>
    <w:rsid w:val="001E0899"/>
    <w:rsid w:val="001E29F7"/>
    <w:rsid w:val="001E36E3"/>
    <w:rsid w:val="001E5747"/>
    <w:rsid w:val="001E58CB"/>
    <w:rsid w:val="001E663E"/>
    <w:rsid w:val="001E6E17"/>
    <w:rsid w:val="001E743F"/>
    <w:rsid w:val="001E75EC"/>
    <w:rsid w:val="001F0194"/>
    <w:rsid w:val="001F2772"/>
    <w:rsid w:val="001F2D2C"/>
    <w:rsid w:val="001F2DD9"/>
    <w:rsid w:val="001F2F1C"/>
    <w:rsid w:val="001F3872"/>
    <w:rsid w:val="001F389E"/>
    <w:rsid w:val="001F41B0"/>
    <w:rsid w:val="001F4AA9"/>
    <w:rsid w:val="001F50F3"/>
    <w:rsid w:val="001F5272"/>
    <w:rsid w:val="001F5617"/>
    <w:rsid w:val="001F59BA"/>
    <w:rsid w:val="001F6050"/>
    <w:rsid w:val="001F6D21"/>
    <w:rsid w:val="001F75BF"/>
    <w:rsid w:val="001F7AF9"/>
    <w:rsid w:val="001F7CE5"/>
    <w:rsid w:val="001F7F43"/>
    <w:rsid w:val="0020035C"/>
    <w:rsid w:val="0020062C"/>
    <w:rsid w:val="002008D4"/>
    <w:rsid w:val="00201E60"/>
    <w:rsid w:val="00201EE7"/>
    <w:rsid w:val="00202620"/>
    <w:rsid w:val="00202844"/>
    <w:rsid w:val="00202AB3"/>
    <w:rsid w:val="00203481"/>
    <w:rsid w:val="002045B1"/>
    <w:rsid w:val="002052DC"/>
    <w:rsid w:val="00205946"/>
    <w:rsid w:val="00205A2D"/>
    <w:rsid w:val="00205E85"/>
    <w:rsid w:val="0020664C"/>
    <w:rsid w:val="00207934"/>
    <w:rsid w:val="00207AD7"/>
    <w:rsid w:val="00207E5C"/>
    <w:rsid w:val="00210D4C"/>
    <w:rsid w:val="0021218F"/>
    <w:rsid w:val="00212676"/>
    <w:rsid w:val="0021272E"/>
    <w:rsid w:val="00214972"/>
    <w:rsid w:val="00215A4E"/>
    <w:rsid w:val="00217F2C"/>
    <w:rsid w:val="002208C2"/>
    <w:rsid w:val="00220EB6"/>
    <w:rsid w:val="002227EE"/>
    <w:rsid w:val="00223A6F"/>
    <w:rsid w:val="00223E82"/>
    <w:rsid w:val="00224121"/>
    <w:rsid w:val="0022443B"/>
    <w:rsid w:val="002245AE"/>
    <w:rsid w:val="00224849"/>
    <w:rsid w:val="00224FCC"/>
    <w:rsid w:val="002253BA"/>
    <w:rsid w:val="00225C80"/>
    <w:rsid w:val="0022614C"/>
    <w:rsid w:val="00226BF1"/>
    <w:rsid w:val="00227815"/>
    <w:rsid w:val="0023019F"/>
    <w:rsid w:val="002301B3"/>
    <w:rsid w:val="00230219"/>
    <w:rsid w:val="002312A1"/>
    <w:rsid w:val="002316B4"/>
    <w:rsid w:val="002333A4"/>
    <w:rsid w:val="00233801"/>
    <w:rsid w:val="00234225"/>
    <w:rsid w:val="00234BF8"/>
    <w:rsid w:val="00235512"/>
    <w:rsid w:val="00236420"/>
    <w:rsid w:val="00236C0D"/>
    <w:rsid w:val="0024031B"/>
    <w:rsid w:val="00240A2C"/>
    <w:rsid w:val="00241185"/>
    <w:rsid w:val="00243746"/>
    <w:rsid w:val="00243863"/>
    <w:rsid w:val="002446A2"/>
    <w:rsid w:val="002453F5"/>
    <w:rsid w:val="00245EF9"/>
    <w:rsid w:val="002461FC"/>
    <w:rsid w:val="002475F7"/>
    <w:rsid w:val="0024786B"/>
    <w:rsid w:val="002505FD"/>
    <w:rsid w:val="0025063A"/>
    <w:rsid w:val="0025086F"/>
    <w:rsid w:val="002518ED"/>
    <w:rsid w:val="00251B99"/>
    <w:rsid w:val="0025238E"/>
    <w:rsid w:val="00253523"/>
    <w:rsid w:val="00253AF5"/>
    <w:rsid w:val="0025422F"/>
    <w:rsid w:val="00254829"/>
    <w:rsid w:val="0025586C"/>
    <w:rsid w:val="00256335"/>
    <w:rsid w:val="00257B8F"/>
    <w:rsid w:val="00261312"/>
    <w:rsid w:val="00261550"/>
    <w:rsid w:val="00261BFF"/>
    <w:rsid w:val="00262A55"/>
    <w:rsid w:val="00262E21"/>
    <w:rsid w:val="0026326F"/>
    <w:rsid w:val="00263AA4"/>
    <w:rsid w:val="002645FB"/>
    <w:rsid w:val="00264BA4"/>
    <w:rsid w:val="00264D14"/>
    <w:rsid w:val="0026596D"/>
    <w:rsid w:val="00265DDF"/>
    <w:rsid w:val="0026646B"/>
    <w:rsid w:val="00270054"/>
    <w:rsid w:val="0027056F"/>
    <w:rsid w:val="002716A1"/>
    <w:rsid w:val="00271F1D"/>
    <w:rsid w:val="00272860"/>
    <w:rsid w:val="00272A0C"/>
    <w:rsid w:val="00272AF4"/>
    <w:rsid w:val="00274663"/>
    <w:rsid w:val="0027588A"/>
    <w:rsid w:val="00276736"/>
    <w:rsid w:val="002767BA"/>
    <w:rsid w:val="00276847"/>
    <w:rsid w:val="002770AC"/>
    <w:rsid w:val="00277BF5"/>
    <w:rsid w:val="00280003"/>
    <w:rsid w:val="00280894"/>
    <w:rsid w:val="0028141A"/>
    <w:rsid w:val="002817BE"/>
    <w:rsid w:val="00281B9E"/>
    <w:rsid w:val="00281BE9"/>
    <w:rsid w:val="00281F04"/>
    <w:rsid w:val="0028202A"/>
    <w:rsid w:val="00282A0F"/>
    <w:rsid w:val="00282BAC"/>
    <w:rsid w:val="002840A5"/>
    <w:rsid w:val="00286C20"/>
    <w:rsid w:val="00287A61"/>
    <w:rsid w:val="00287BFE"/>
    <w:rsid w:val="002905BE"/>
    <w:rsid w:val="00292237"/>
    <w:rsid w:val="00292864"/>
    <w:rsid w:val="002933D5"/>
    <w:rsid w:val="00294497"/>
    <w:rsid w:val="00294FF0"/>
    <w:rsid w:val="002956FD"/>
    <w:rsid w:val="0029647E"/>
    <w:rsid w:val="002964F6"/>
    <w:rsid w:val="00296F49"/>
    <w:rsid w:val="00296FE0"/>
    <w:rsid w:val="0029738C"/>
    <w:rsid w:val="002A0323"/>
    <w:rsid w:val="002A053F"/>
    <w:rsid w:val="002A0B26"/>
    <w:rsid w:val="002A0CF2"/>
    <w:rsid w:val="002A153B"/>
    <w:rsid w:val="002A18DB"/>
    <w:rsid w:val="002A1D77"/>
    <w:rsid w:val="002A2AAE"/>
    <w:rsid w:val="002A2FBD"/>
    <w:rsid w:val="002A32DA"/>
    <w:rsid w:val="002A3D6C"/>
    <w:rsid w:val="002A4764"/>
    <w:rsid w:val="002A4C0A"/>
    <w:rsid w:val="002A53E1"/>
    <w:rsid w:val="002A60FA"/>
    <w:rsid w:val="002A692C"/>
    <w:rsid w:val="002A6F47"/>
    <w:rsid w:val="002A749A"/>
    <w:rsid w:val="002A77CA"/>
    <w:rsid w:val="002A78FE"/>
    <w:rsid w:val="002A7B92"/>
    <w:rsid w:val="002A7E23"/>
    <w:rsid w:val="002B0636"/>
    <w:rsid w:val="002B14EB"/>
    <w:rsid w:val="002B2212"/>
    <w:rsid w:val="002B2218"/>
    <w:rsid w:val="002B25B0"/>
    <w:rsid w:val="002B3379"/>
    <w:rsid w:val="002B3682"/>
    <w:rsid w:val="002B3933"/>
    <w:rsid w:val="002B3B6C"/>
    <w:rsid w:val="002B4A8D"/>
    <w:rsid w:val="002B4CE4"/>
    <w:rsid w:val="002B4DB1"/>
    <w:rsid w:val="002B4DF4"/>
    <w:rsid w:val="002B4FB2"/>
    <w:rsid w:val="002B5001"/>
    <w:rsid w:val="002B5337"/>
    <w:rsid w:val="002B5526"/>
    <w:rsid w:val="002B57F4"/>
    <w:rsid w:val="002B58F5"/>
    <w:rsid w:val="002B5DFD"/>
    <w:rsid w:val="002B6D2B"/>
    <w:rsid w:val="002B7305"/>
    <w:rsid w:val="002B7343"/>
    <w:rsid w:val="002B7981"/>
    <w:rsid w:val="002B7A1C"/>
    <w:rsid w:val="002C0757"/>
    <w:rsid w:val="002C175E"/>
    <w:rsid w:val="002C1E09"/>
    <w:rsid w:val="002C20B2"/>
    <w:rsid w:val="002C254C"/>
    <w:rsid w:val="002C2BD4"/>
    <w:rsid w:val="002C30F2"/>
    <w:rsid w:val="002C3235"/>
    <w:rsid w:val="002C3855"/>
    <w:rsid w:val="002C3A72"/>
    <w:rsid w:val="002C4B59"/>
    <w:rsid w:val="002C4DBD"/>
    <w:rsid w:val="002C5553"/>
    <w:rsid w:val="002C6565"/>
    <w:rsid w:val="002C6DB4"/>
    <w:rsid w:val="002C7DE6"/>
    <w:rsid w:val="002D07D3"/>
    <w:rsid w:val="002D0989"/>
    <w:rsid w:val="002D10B1"/>
    <w:rsid w:val="002D10DA"/>
    <w:rsid w:val="002D1597"/>
    <w:rsid w:val="002D1C00"/>
    <w:rsid w:val="002D1F9C"/>
    <w:rsid w:val="002D23D3"/>
    <w:rsid w:val="002D273A"/>
    <w:rsid w:val="002D3B46"/>
    <w:rsid w:val="002D43B6"/>
    <w:rsid w:val="002D4B35"/>
    <w:rsid w:val="002D4BA5"/>
    <w:rsid w:val="002D5AB7"/>
    <w:rsid w:val="002D6189"/>
    <w:rsid w:val="002E0369"/>
    <w:rsid w:val="002E08B9"/>
    <w:rsid w:val="002E0DBA"/>
    <w:rsid w:val="002E1653"/>
    <w:rsid w:val="002E2040"/>
    <w:rsid w:val="002E27CE"/>
    <w:rsid w:val="002E2BC1"/>
    <w:rsid w:val="002E2C2F"/>
    <w:rsid w:val="002E31FD"/>
    <w:rsid w:val="002E34BB"/>
    <w:rsid w:val="002E3612"/>
    <w:rsid w:val="002E41BD"/>
    <w:rsid w:val="002E478D"/>
    <w:rsid w:val="002E4AF1"/>
    <w:rsid w:val="002E51C6"/>
    <w:rsid w:val="002E573A"/>
    <w:rsid w:val="002E573C"/>
    <w:rsid w:val="002E5887"/>
    <w:rsid w:val="002E58D6"/>
    <w:rsid w:val="002E66CA"/>
    <w:rsid w:val="002E6BFD"/>
    <w:rsid w:val="002E7273"/>
    <w:rsid w:val="002F0E9D"/>
    <w:rsid w:val="002F129E"/>
    <w:rsid w:val="002F12F7"/>
    <w:rsid w:val="002F23D6"/>
    <w:rsid w:val="002F2A59"/>
    <w:rsid w:val="002F2AB4"/>
    <w:rsid w:val="002F3172"/>
    <w:rsid w:val="002F33E4"/>
    <w:rsid w:val="002F3961"/>
    <w:rsid w:val="002F4EF6"/>
    <w:rsid w:val="002F4F4A"/>
    <w:rsid w:val="002F6957"/>
    <w:rsid w:val="0030027D"/>
    <w:rsid w:val="00301B65"/>
    <w:rsid w:val="00301D8A"/>
    <w:rsid w:val="003021DB"/>
    <w:rsid w:val="003025DC"/>
    <w:rsid w:val="0030299F"/>
    <w:rsid w:val="0030325A"/>
    <w:rsid w:val="0030419C"/>
    <w:rsid w:val="003055B8"/>
    <w:rsid w:val="00305ADF"/>
    <w:rsid w:val="003061DA"/>
    <w:rsid w:val="00307244"/>
    <w:rsid w:val="0030775D"/>
    <w:rsid w:val="00307AA3"/>
    <w:rsid w:val="00310D3C"/>
    <w:rsid w:val="00311B6D"/>
    <w:rsid w:val="00311CD5"/>
    <w:rsid w:val="00311F2C"/>
    <w:rsid w:val="00312520"/>
    <w:rsid w:val="00312F20"/>
    <w:rsid w:val="00314373"/>
    <w:rsid w:val="003143AA"/>
    <w:rsid w:val="0031454F"/>
    <w:rsid w:val="00314567"/>
    <w:rsid w:val="003151E1"/>
    <w:rsid w:val="00315850"/>
    <w:rsid w:val="003162EE"/>
    <w:rsid w:val="003168FC"/>
    <w:rsid w:val="00316B29"/>
    <w:rsid w:val="00317334"/>
    <w:rsid w:val="003173F5"/>
    <w:rsid w:val="00317AE7"/>
    <w:rsid w:val="00317B93"/>
    <w:rsid w:val="00317C09"/>
    <w:rsid w:val="00321259"/>
    <w:rsid w:val="003218D0"/>
    <w:rsid w:val="00321A74"/>
    <w:rsid w:val="00321E48"/>
    <w:rsid w:val="00322558"/>
    <w:rsid w:val="00322FF3"/>
    <w:rsid w:val="0032333E"/>
    <w:rsid w:val="00323D65"/>
    <w:rsid w:val="00325189"/>
    <w:rsid w:val="00325665"/>
    <w:rsid w:val="00326C52"/>
    <w:rsid w:val="00327143"/>
    <w:rsid w:val="0032714A"/>
    <w:rsid w:val="00327C86"/>
    <w:rsid w:val="00330A04"/>
    <w:rsid w:val="00331753"/>
    <w:rsid w:val="00332AFD"/>
    <w:rsid w:val="00332C43"/>
    <w:rsid w:val="003340EC"/>
    <w:rsid w:val="00334CF1"/>
    <w:rsid w:val="00334EC2"/>
    <w:rsid w:val="00336E90"/>
    <w:rsid w:val="00337FFB"/>
    <w:rsid w:val="00340208"/>
    <w:rsid w:val="00340B56"/>
    <w:rsid w:val="003410E9"/>
    <w:rsid w:val="00341FF1"/>
    <w:rsid w:val="003429B8"/>
    <w:rsid w:val="003435CE"/>
    <w:rsid w:val="003439E5"/>
    <w:rsid w:val="003448B1"/>
    <w:rsid w:val="00345320"/>
    <w:rsid w:val="00345A32"/>
    <w:rsid w:val="00345D99"/>
    <w:rsid w:val="00346972"/>
    <w:rsid w:val="00347238"/>
    <w:rsid w:val="00347AA9"/>
    <w:rsid w:val="00347E18"/>
    <w:rsid w:val="00347E19"/>
    <w:rsid w:val="00347E22"/>
    <w:rsid w:val="003501EB"/>
    <w:rsid w:val="00350B65"/>
    <w:rsid w:val="003510C8"/>
    <w:rsid w:val="00351823"/>
    <w:rsid w:val="0035228A"/>
    <w:rsid w:val="00352C4A"/>
    <w:rsid w:val="00352DC4"/>
    <w:rsid w:val="00352EB0"/>
    <w:rsid w:val="0035328E"/>
    <w:rsid w:val="00353350"/>
    <w:rsid w:val="00353685"/>
    <w:rsid w:val="00353FC1"/>
    <w:rsid w:val="0035453C"/>
    <w:rsid w:val="00354A49"/>
    <w:rsid w:val="0035594A"/>
    <w:rsid w:val="00356A98"/>
    <w:rsid w:val="00357092"/>
    <w:rsid w:val="003570AB"/>
    <w:rsid w:val="00357876"/>
    <w:rsid w:val="00357BFE"/>
    <w:rsid w:val="00357F4D"/>
    <w:rsid w:val="00361402"/>
    <w:rsid w:val="003616B0"/>
    <w:rsid w:val="00361715"/>
    <w:rsid w:val="00361E4C"/>
    <w:rsid w:val="00362188"/>
    <w:rsid w:val="00362F7C"/>
    <w:rsid w:val="00363711"/>
    <w:rsid w:val="003641DF"/>
    <w:rsid w:val="003648F4"/>
    <w:rsid w:val="0036717C"/>
    <w:rsid w:val="003712E5"/>
    <w:rsid w:val="0037157F"/>
    <w:rsid w:val="003716E4"/>
    <w:rsid w:val="00372767"/>
    <w:rsid w:val="00372F3A"/>
    <w:rsid w:val="00373598"/>
    <w:rsid w:val="003735F7"/>
    <w:rsid w:val="00374A87"/>
    <w:rsid w:val="0037572F"/>
    <w:rsid w:val="00376D75"/>
    <w:rsid w:val="00376DC3"/>
    <w:rsid w:val="003804B4"/>
    <w:rsid w:val="00380597"/>
    <w:rsid w:val="00380D79"/>
    <w:rsid w:val="003812B0"/>
    <w:rsid w:val="003813C8"/>
    <w:rsid w:val="00381818"/>
    <w:rsid w:val="003819D1"/>
    <w:rsid w:val="00381B5C"/>
    <w:rsid w:val="003834D7"/>
    <w:rsid w:val="00383547"/>
    <w:rsid w:val="00383955"/>
    <w:rsid w:val="00385957"/>
    <w:rsid w:val="00386254"/>
    <w:rsid w:val="00386797"/>
    <w:rsid w:val="00387225"/>
    <w:rsid w:val="003902C6"/>
    <w:rsid w:val="00390401"/>
    <w:rsid w:val="00391126"/>
    <w:rsid w:val="0039145E"/>
    <w:rsid w:val="00392FB7"/>
    <w:rsid w:val="00394893"/>
    <w:rsid w:val="00394E7C"/>
    <w:rsid w:val="00394F21"/>
    <w:rsid w:val="003954C4"/>
    <w:rsid w:val="0039560B"/>
    <w:rsid w:val="00395B00"/>
    <w:rsid w:val="00395CC9"/>
    <w:rsid w:val="00396037"/>
    <w:rsid w:val="00396415"/>
    <w:rsid w:val="00396427"/>
    <w:rsid w:val="003A00A2"/>
    <w:rsid w:val="003A020B"/>
    <w:rsid w:val="003A06C9"/>
    <w:rsid w:val="003A08D5"/>
    <w:rsid w:val="003A0A42"/>
    <w:rsid w:val="003A0C4F"/>
    <w:rsid w:val="003A10C4"/>
    <w:rsid w:val="003A1466"/>
    <w:rsid w:val="003A2519"/>
    <w:rsid w:val="003A2F13"/>
    <w:rsid w:val="003A3249"/>
    <w:rsid w:val="003A3E05"/>
    <w:rsid w:val="003A3E89"/>
    <w:rsid w:val="003A422D"/>
    <w:rsid w:val="003A4D71"/>
    <w:rsid w:val="003A4F9A"/>
    <w:rsid w:val="003A4FAA"/>
    <w:rsid w:val="003A5210"/>
    <w:rsid w:val="003A56B1"/>
    <w:rsid w:val="003A58E3"/>
    <w:rsid w:val="003A5A21"/>
    <w:rsid w:val="003A6308"/>
    <w:rsid w:val="003A6402"/>
    <w:rsid w:val="003A643D"/>
    <w:rsid w:val="003A6658"/>
    <w:rsid w:val="003A7251"/>
    <w:rsid w:val="003A7341"/>
    <w:rsid w:val="003B053F"/>
    <w:rsid w:val="003B076A"/>
    <w:rsid w:val="003B086C"/>
    <w:rsid w:val="003B16C4"/>
    <w:rsid w:val="003B18D2"/>
    <w:rsid w:val="003B1BD0"/>
    <w:rsid w:val="003B216E"/>
    <w:rsid w:val="003B27A2"/>
    <w:rsid w:val="003B2EEE"/>
    <w:rsid w:val="003B344F"/>
    <w:rsid w:val="003B4509"/>
    <w:rsid w:val="003B5973"/>
    <w:rsid w:val="003B726A"/>
    <w:rsid w:val="003B7390"/>
    <w:rsid w:val="003B77A8"/>
    <w:rsid w:val="003B7803"/>
    <w:rsid w:val="003B784D"/>
    <w:rsid w:val="003C0D2D"/>
    <w:rsid w:val="003C11C4"/>
    <w:rsid w:val="003C356A"/>
    <w:rsid w:val="003C3E54"/>
    <w:rsid w:val="003C47C9"/>
    <w:rsid w:val="003C4B79"/>
    <w:rsid w:val="003C4D58"/>
    <w:rsid w:val="003C4F97"/>
    <w:rsid w:val="003C6344"/>
    <w:rsid w:val="003C6E13"/>
    <w:rsid w:val="003C6F3D"/>
    <w:rsid w:val="003C75F5"/>
    <w:rsid w:val="003C772E"/>
    <w:rsid w:val="003C7ED2"/>
    <w:rsid w:val="003C7EF6"/>
    <w:rsid w:val="003D042D"/>
    <w:rsid w:val="003D1CCD"/>
    <w:rsid w:val="003D1F2A"/>
    <w:rsid w:val="003D2472"/>
    <w:rsid w:val="003D259D"/>
    <w:rsid w:val="003D2863"/>
    <w:rsid w:val="003D29C1"/>
    <w:rsid w:val="003D2AC8"/>
    <w:rsid w:val="003D2B94"/>
    <w:rsid w:val="003D3091"/>
    <w:rsid w:val="003D309A"/>
    <w:rsid w:val="003D32D3"/>
    <w:rsid w:val="003D4F05"/>
    <w:rsid w:val="003D52B9"/>
    <w:rsid w:val="003D5314"/>
    <w:rsid w:val="003D5997"/>
    <w:rsid w:val="003D5DB4"/>
    <w:rsid w:val="003D6A24"/>
    <w:rsid w:val="003D6C58"/>
    <w:rsid w:val="003D76DD"/>
    <w:rsid w:val="003E0CB5"/>
    <w:rsid w:val="003E1067"/>
    <w:rsid w:val="003E1239"/>
    <w:rsid w:val="003E1605"/>
    <w:rsid w:val="003E18F6"/>
    <w:rsid w:val="003E1CA1"/>
    <w:rsid w:val="003E1D59"/>
    <w:rsid w:val="003E26EE"/>
    <w:rsid w:val="003E303E"/>
    <w:rsid w:val="003E329C"/>
    <w:rsid w:val="003E3B74"/>
    <w:rsid w:val="003E3DD7"/>
    <w:rsid w:val="003E4020"/>
    <w:rsid w:val="003E4108"/>
    <w:rsid w:val="003E544D"/>
    <w:rsid w:val="003E61FF"/>
    <w:rsid w:val="003E66DB"/>
    <w:rsid w:val="003E7353"/>
    <w:rsid w:val="003E7414"/>
    <w:rsid w:val="003F2379"/>
    <w:rsid w:val="003F299D"/>
    <w:rsid w:val="003F2C39"/>
    <w:rsid w:val="003F35C0"/>
    <w:rsid w:val="003F4529"/>
    <w:rsid w:val="003F4888"/>
    <w:rsid w:val="003F4EFD"/>
    <w:rsid w:val="003F5170"/>
    <w:rsid w:val="003F5FB3"/>
    <w:rsid w:val="003F6CF4"/>
    <w:rsid w:val="003F74AB"/>
    <w:rsid w:val="003F78CF"/>
    <w:rsid w:val="003F7D6E"/>
    <w:rsid w:val="00400250"/>
    <w:rsid w:val="004002AD"/>
    <w:rsid w:val="00401B4E"/>
    <w:rsid w:val="0040237F"/>
    <w:rsid w:val="00402804"/>
    <w:rsid w:val="0040288B"/>
    <w:rsid w:val="00402AEA"/>
    <w:rsid w:val="004030DB"/>
    <w:rsid w:val="0040348C"/>
    <w:rsid w:val="00403494"/>
    <w:rsid w:val="004035B7"/>
    <w:rsid w:val="00403957"/>
    <w:rsid w:val="00404971"/>
    <w:rsid w:val="00404A50"/>
    <w:rsid w:val="00406E29"/>
    <w:rsid w:val="00406E5F"/>
    <w:rsid w:val="00406F98"/>
    <w:rsid w:val="00411A08"/>
    <w:rsid w:val="00411C99"/>
    <w:rsid w:val="0041304B"/>
    <w:rsid w:val="00413073"/>
    <w:rsid w:val="00413944"/>
    <w:rsid w:val="00415700"/>
    <w:rsid w:val="00415804"/>
    <w:rsid w:val="0041594B"/>
    <w:rsid w:val="00416239"/>
    <w:rsid w:val="00416A2D"/>
    <w:rsid w:val="0041742E"/>
    <w:rsid w:val="004177FE"/>
    <w:rsid w:val="00417882"/>
    <w:rsid w:val="00417A0D"/>
    <w:rsid w:val="00420335"/>
    <w:rsid w:val="00420619"/>
    <w:rsid w:val="004208D5"/>
    <w:rsid w:val="00421E5A"/>
    <w:rsid w:val="00422B62"/>
    <w:rsid w:val="00423054"/>
    <w:rsid w:val="004238A9"/>
    <w:rsid w:val="00423BB3"/>
    <w:rsid w:val="004241AD"/>
    <w:rsid w:val="00424980"/>
    <w:rsid w:val="00424AE6"/>
    <w:rsid w:val="00424FE8"/>
    <w:rsid w:val="00425132"/>
    <w:rsid w:val="0042651A"/>
    <w:rsid w:val="004267A3"/>
    <w:rsid w:val="00427090"/>
    <w:rsid w:val="00430240"/>
    <w:rsid w:val="00430353"/>
    <w:rsid w:val="00430724"/>
    <w:rsid w:val="0043074D"/>
    <w:rsid w:val="004310D7"/>
    <w:rsid w:val="00431551"/>
    <w:rsid w:val="004316EB"/>
    <w:rsid w:val="0043186D"/>
    <w:rsid w:val="004320B2"/>
    <w:rsid w:val="00432273"/>
    <w:rsid w:val="00432289"/>
    <w:rsid w:val="00432713"/>
    <w:rsid w:val="0043284A"/>
    <w:rsid w:val="0043364A"/>
    <w:rsid w:val="00434294"/>
    <w:rsid w:val="0043542A"/>
    <w:rsid w:val="0043713A"/>
    <w:rsid w:val="00437199"/>
    <w:rsid w:val="004372A5"/>
    <w:rsid w:val="00437380"/>
    <w:rsid w:val="00437444"/>
    <w:rsid w:val="00440360"/>
    <w:rsid w:val="00440A01"/>
    <w:rsid w:val="00440A03"/>
    <w:rsid w:val="00443289"/>
    <w:rsid w:val="00443C97"/>
    <w:rsid w:val="00443CCE"/>
    <w:rsid w:val="00443F32"/>
    <w:rsid w:val="0044420E"/>
    <w:rsid w:val="00445916"/>
    <w:rsid w:val="004463E7"/>
    <w:rsid w:val="00446B58"/>
    <w:rsid w:val="0044752A"/>
    <w:rsid w:val="00447D97"/>
    <w:rsid w:val="00451541"/>
    <w:rsid w:val="004517C3"/>
    <w:rsid w:val="004518C0"/>
    <w:rsid w:val="0045192D"/>
    <w:rsid w:val="00451973"/>
    <w:rsid w:val="00451F22"/>
    <w:rsid w:val="00453410"/>
    <w:rsid w:val="00453BB3"/>
    <w:rsid w:val="00455216"/>
    <w:rsid w:val="00455936"/>
    <w:rsid w:val="004565F1"/>
    <w:rsid w:val="0045681D"/>
    <w:rsid w:val="00456F07"/>
    <w:rsid w:val="00457CC9"/>
    <w:rsid w:val="00460B2E"/>
    <w:rsid w:val="004615DC"/>
    <w:rsid w:val="0046188B"/>
    <w:rsid w:val="004625C4"/>
    <w:rsid w:val="004626EB"/>
    <w:rsid w:val="0046277A"/>
    <w:rsid w:val="00462E28"/>
    <w:rsid w:val="004649D8"/>
    <w:rsid w:val="004652F8"/>
    <w:rsid w:val="0046536D"/>
    <w:rsid w:val="00466116"/>
    <w:rsid w:val="0046760E"/>
    <w:rsid w:val="00467867"/>
    <w:rsid w:val="00470997"/>
    <w:rsid w:val="00470FEB"/>
    <w:rsid w:val="0047124C"/>
    <w:rsid w:val="00471453"/>
    <w:rsid w:val="004714A5"/>
    <w:rsid w:val="004716EF"/>
    <w:rsid w:val="00471848"/>
    <w:rsid w:val="00472F76"/>
    <w:rsid w:val="004733D2"/>
    <w:rsid w:val="004734E7"/>
    <w:rsid w:val="00473A0B"/>
    <w:rsid w:val="00473C0E"/>
    <w:rsid w:val="00473ED2"/>
    <w:rsid w:val="00474209"/>
    <w:rsid w:val="004746FD"/>
    <w:rsid w:val="004748C2"/>
    <w:rsid w:val="004768E2"/>
    <w:rsid w:val="00476FAD"/>
    <w:rsid w:val="00480353"/>
    <w:rsid w:val="00480523"/>
    <w:rsid w:val="00480AD0"/>
    <w:rsid w:val="00480AFF"/>
    <w:rsid w:val="00480B72"/>
    <w:rsid w:val="00480C87"/>
    <w:rsid w:val="004814FC"/>
    <w:rsid w:val="004824FF"/>
    <w:rsid w:val="00482EED"/>
    <w:rsid w:val="00483D14"/>
    <w:rsid w:val="00484353"/>
    <w:rsid w:val="00487CD6"/>
    <w:rsid w:val="00490A6C"/>
    <w:rsid w:val="00490F93"/>
    <w:rsid w:val="00491B60"/>
    <w:rsid w:val="004928C1"/>
    <w:rsid w:val="004930BD"/>
    <w:rsid w:val="00493E5C"/>
    <w:rsid w:val="00493E9C"/>
    <w:rsid w:val="00494150"/>
    <w:rsid w:val="00494E44"/>
    <w:rsid w:val="00495686"/>
    <w:rsid w:val="0049603B"/>
    <w:rsid w:val="00496501"/>
    <w:rsid w:val="00496DBD"/>
    <w:rsid w:val="00497303"/>
    <w:rsid w:val="00497AF3"/>
    <w:rsid w:val="00497B53"/>
    <w:rsid w:val="004A0797"/>
    <w:rsid w:val="004A0C5B"/>
    <w:rsid w:val="004A0EA0"/>
    <w:rsid w:val="004A3626"/>
    <w:rsid w:val="004A36CB"/>
    <w:rsid w:val="004A37BC"/>
    <w:rsid w:val="004A3A5A"/>
    <w:rsid w:val="004A4390"/>
    <w:rsid w:val="004A4A67"/>
    <w:rsid w:val="004A505D"/>
    <w:rsid w:val="004A5851"/>
    <w:rsid w:val="004A693D"/>
    <w:rsid w:val="004A6FB2"/>
    <w:rsid w:val="004B038B"/>
    <w:rsid w:val="004B054A"/>
    <w:rsid w:val="004B107C"/>
    <w:rsid w:val="004B4ADC"/>
    <w:rsid w:val="004B5F1A"/>
    <w:rsid w:val="004B75D5"/>
    <w:rsid w:val="004B78F4"/>
    <w:rsid w:val="004C109E"/>
    <w:rsid w:val="004C1594"/>
    <w:rsid w:val="004C24EB"/>
    <w:rsid w:val="004C2896"/>
    <w:rsid w:val="004C2942"/>
    <w:rsid w:val="004C2DEE"/>
    <w:rsid w:val="004C31E9"/>
    <w:rsid w:val="004C393C"/>
    <w:rsid w:val="004C414D"/>
    <w:rsid w:val="004C5043"/>
    <w:rsid w:val="004C5148"/>
    <w:rsid w:val="004C569C"/>
    <w:rsid w:val="004C5E47"/>
    <w:rsid w:val="004C6073"/>
    <w:rsid w:val="004C6147"/>
    <w:rsid w:val="004C6860"/>
    <w:rsid w:val="004C6D57"/>
    <w:rsid w:val="004C6FC7"/>
    <w:rsid w:val="004C7273"/>
    <w:rsid w:val="004C7D52"/>
    <w:rsid w:val="004C7E9A"/>
    <w:rsid w:val="004D12B5"/>
    <w:rsid w:val="004D253A"/>
    <w:rsid w:val="004D2A3D"/>
    <w:rsid w:val="004D2E1C"/>
    <w:rsid w:val="004D316E"/>
    <w:rsid w:val="004D3431"/>
    <w:rsid w:val="004D38C3"/>
    <w:rsid w:val="004D3C82"/>
    <w:rsid w:val="004D4457"/>
    <w:rsid w:val="004D4997"/>
    <w:rsid w:val="004D4D19"/>
    <w:rsid w:val="004D4EDE"/>
    <w:rsid w:val="004D4F7A"/>
    <w:rsid w:val="004D57A9"/>
    <w:rsid w:val="004D5859"/>
    <w:rsid w:val="004D5EF5"/>
    <w:rsid w:val="004D6167"/>
    <w:rsid w:val="004D6783"/>
    <w:rsid w:val="004D695E"/>
    <w:rsid w:val="004D6FDC"/>
    <w:rsid w:val="004D7CE4"/>
    <w:rsid w:val="004D7DAC"/>
    <w:rsid w:val="004E0B57"/>
    <w:rsid w:val="004E10F0"/>
    <w:rsid w:val="004E185C"/>
    <w:rsid w:val="004E1CC4"/>
    <w:rsid w:val="004E24E6"/>
    <w:rsid w:val="004E26AC"/>
    <w:rsid w:val="004E29FD"/>
    <w:rsid w:val="004E2AA8"/>
    <w:rsid w:val="004E2C4E"/>
    <w:rsid w:val="004E3050"/>
    <w:rsid w:val="004E5823"/>
    <w:rsid w:val="004E5F4F"/>
    <w:rsid w:val="004E63A2"/>
    <w:rsid w:val="004E646E"/>
    <w:rsid w:val="004E778B"/>
    <w:rsid w:val="004F092C"/>
    <w:rsid w:val="004F0F70"/>
    <w:rsid w:val="004F1295"/>
    <w:rsid w:val="004F13CE"/>
    <w:rsid w:val="004F153B"/>
    <w:rsid w:val="004F2722"/>
    <w:rsid w:val="004F2BDA"/>
    <w:rsid w:val="004F307F"/>
    <w:rsid w:val="004F30EB"/>
    <w:rsid w:val="004F43C4"/>
    <w:rsid w:val="004F518E"/>
    <w:rsid w:val="004F5846"/>
    <w:rsid w:val="004F6965"/>
    <w:rsid w:val="004F6BFE"/>
    <w:rsid w:val="004F6DA0"/>
    <w:rsid w:val="004F73B4"/>
    <w:rsid w:val="004F78E6"/>
    <w:rsid w:val="004F7BC2"/>
    <w:rsid w:val="004F7CF4"/>
    <w:rsid w:val="00500480"/>
    <w:rsid w:val="005007E0"/>
    <w:rsid w:val="005008B2"/>
    <w:rsid w:val="0050117C"/>
    <w:rsid w:val="0050158E"/>
    <w:rsid w:val="00501FA8"/>
    <w:rsid w:val="0050290F"/>
    <w:rsid w:val="00502FF5"/>
    <w:rsid w:val="0050351A"/>
    <w:rsid w:val="005037A2"/>
    <w:rsid w:val="00505EB3"/>
    <w:rsid w:val="005075B4"/>
    <w:rsid w:val="00507885"/>
    <w:rsid w:val="00507CBD"/>
    <w:rsid w:val="00510307"/>
    <w:rsid w:val="005116FD"/>
    <w:rsid w:val="00512639"/>
    <w:rsid w:val="005131AC"/>
    <w:rsid w:val="0051470F"/>
    <w:rsid w:val="00514960"/>
    <w:rsid w:val="005153EE"/>
    <w:rsid w:val="00515C23"/>
    <w:rsid w:val="005162AC"/>
    <w:rsid w:val="00517222"/>
    <w:rsid w:val="00520825"/>
    <w:rsid w:val="00520F0A"/>
    <w:rsid w:val="00520FCA"/>
    <w:rsid w:val="00522351"/>
    <w:rsid w:val="005228D7"/>
    <w:rsid w:val="0052315A"/>
    <w:rsid w:val="00523758"/>
    <w:rsid w:val="00523A1B"/>
    <w:rsid w:val="00523A38"/>
    <w:rsid w:val="00524A29"/>
    <w:rsid w:val="0052538C"/>
    <w:rsid w:val="00525CA1"/>
    <w:rsid w:val="00525DED"/>
    <w:rsid w:val="00525EBC"/>
    <w:rsid w:val="00525EDA"/>
    <w:rsid w:val="00525F22"/>
    <w:rsid w:val="00527134"/>
    <w:rsid w:val="005275C4"/>
    <w:rsid w:val="00530B11"/>
    <w:rsid w:val="00530D93"/>
    <w:rsid w:val="00530FBA"/>
    <w:rsid w:val="005311C8"/>
    <w:rsid w:val="00531E9F"/>
    <w:rsid w:val="005322F5"/>
    <w:rsid w:val="00532607"/>
    <w:rsid w:val="00533ECD"/>
    <w:rsid w:val="005343B5"/>
    <w:rsid w:val="00535626"/>
    <w:rsid w:val="0053588B"/>
    <w:rsid w:val="00536AFC"/>
    <w:rsid w:val="00536F62"/>
    <w:rsid w:val="0053713E"/>
    <w:rsid w:val="00537577"/>
    <w:rsid w:val="00537D0A"/>
    <w:rsid w:val="00540332"/>
    <w:rsid w:val="0054069E"/>
    <w:rsid w:val="00540919"/>
    <w:rsid w:val="00541724"/>
    <w:rsid w:val="00541B3C"/>
    <w:rsid w:val="005434CB"/>
    <w:rsid w:val="00544257"/>
    <w:rsid w:val="005445C5"/>
    <w:rsid w:val="00545B7E"/>
    <w:rsid w:val="00545F99"/>
    <w:rsid w:val="005466DF"/>
    <w:rsid w:val="00546840"/>
    <w:rsid w:val="005478CF"/>
    <w:rsid w:val="00547F6C"/>
    <w:rsid w:val="00550EFC"/>
    <w:rsid w:val="00551917"/>
    <w:rsid w:val="00551AF3"/>
    <w:rsid w:val="00551DE8"/>
    <w:rsid w:val="00552CBE"/>
    <w:rsid w:val="00553329"/>
    <w:rsid w:val="00553DDE"/>
    <w:rsid w:val="00554E3B"/>
    <w:rsid w:val="00555374"/>
    <w:rsid w:val="0055607A"/>
    <w:rsid w:val="00556343"/>
    <w:rsid w:val="00557A2E"/>
    <w:rsid w:val="00561A84"/>
    <w:rsid w:val="00561B2C"/>
    <w:rsid w:val="00562F5C"/>
    <w:rsid w:val="0056312F"/>
    <w:rsid w:val="00563BD9"/>
    <w:rsid w:val="005648DC"/>
    <w:rsid w:val="00565DBD"/>
    <w:rsid w:val="00565E15"/>
    <w:rsid w:val="0056608D"/>
    <w:rsid w:val="00566179"/>
    <w:rsid w:val="00566A07"/>
    <w:rsid w:val="00566D52"/>
    <w:rsid w:val="00570643"/>
    <w:rsid w:val="00570A2E"/>
    <w:rsid w:val="005710A3"/>
    <w:rsid w:val="005711F2"/>
    <w:rsid w:val="00571EF0"/>
    <w:rsid w:val="00572524"/>
    <w:rsid w:val="005727C3"/>
    <w:rsid w:val="00572DC0"/>
    <w:rsid w:val="00572DEB"/>
    <w:rsid w:val="00572FCD"/>
    <w:rsid w:val="00573839"/>
    <w:rsid w:val="005744DF"/>
    <w:rsid w:val="005747C0"/>
    <w:rsid w:val="00574D6A"/>
    <w:rsid w:val="00575094"/>
    <w:rsid w:val="00577CE3"/>
    <w:rsid w:val="00580587"/>
    <w:rsid w:val="00580E56"/>
    <w:rsid w:val="005829DF"/>
    <w:rsid w:val="00582AC1"/>
    <w:rsid w:val="00582D6F"/>
    <w:rsid w:val="0058347A"/>
    <w:rsid w:val="00583867"/>
    <w:rsid w:val="00584199"/>
    <w:rsid w:val="005846E1"/>
    <w:rsid w:val="00584C65"/>
    <w:rsid w:val="00585494"/>
    <w:rsid w:val="005858C6"/>
    <w:rsid w:val="00586453"/>
    <w:rsid w:val="00586C1D"/>
    <w:rsid w:val="00586D8D"/>
    <w:rsid w:val="00586DDE"/>
    <w:rsid w:val="005874AF"/>
    <w:rsid w:val="005907B7"/>
    <w:rsid w:val="00590AD2"/>
    <w:rsid w:val="005918F9"/>
    <w:rsid w:val="00592445"/>
    <w:rsid w:val="00592DCD"/>
    <w:rsid w:val="0059366F"/>
    <w:rsid w:val="00594300"/>
    <w:rsid w:val="00594412"/>
    <w:rsid w:val="005945FB"/>
    <w:rsid w:val="00594DAC"/>
    <w:rsid w:val="00595C91"/>
    <w:rsid w:val="00596B96"/>
    <w:rsid w:val="00596D8E"/>
    <w:rsid w:val="005975D0"/>
    <w:rsid w:val="00597B85"/>
    <w:rsid w:val="00597CA5"/>
    <w:rsid w:val="005A0B99"/>
    <w:rsid w:val="005A0CAC"/>
    <w:rsid w:val="005A141D"/>
    <w:rsid w:val="005A2AF7"/>
    <w:rsid w:val="005A3857"/>
    <w:rsid w:val="005A3DAD"/>
    <w:rsid w:val="005A6234"/>
    <w:rsid w:val="005A62D9"/>
    <w:rsid w:val="005A692F"/>
    <w:rsid w:val="005A6F3F"/>
    <w:rsid w:val="005B0065"/>
    <w:rsid w:val="005B04C3"/>
    <w:rsid w:val="005B0C8A"/>
    <w:rsid w:val="005B0D54"/>
    <w:rsid w:val="005B155F"/>
    <w:rsid w:val="005B206F"/>
    <w:rsid w:val="005B2548"/>
    <w:rsid w:val="005B3AB8"/>
    <w:rsid w:val="005B42E8"/>
    <w:rsid w:val="005B4540"/>
    <w:rsid w:val="005B45AE"/>
    <w:rsid w:val="005B46C6"/>
    <w:rsid w:val="005B4B64"/>
    <w:rsid w:val="005B4F3A"/>
    <w:rsid w:val="005B5CC4"/>
    <w:rsid w:val="005B61DF"/>
    <w:rsid w:val="005B64D2"/>
    <w:rsid w:val="005B6CB6"/>
    <w:rsid w:val="005B72D4"/>
    <w:rsid w:val="005B7557"/>
    <w:rsid w:val="005C01F7"/>
    <w:rsid w:val="005C060E"/>
    <w:rsid w:val="005C0FCF"/>
    <w:rsid w:val="005C14FA"/>
    <w:rsid w:val="005C181D"/>
    <w:rsid w:val="005C1F64"/>
    <w:rsid w:val="005C2523"/>
    <w:rsid w:val="005C2986"/>
    <w:rsid w:val="005C2B74"/>
    <w:rsid w:val="005C4AB0"/>
    <w:rsid w:val="005C5C96"/>
    <w:rsid w:val="005C5F7D"/>
    <w:rsid w:val="005C6575"/>
    <w:rsid w:val="005C7532"/>
    <w:rsid w:val="005C7893"/>
    <w:rsid w:val="005C7D5B"/>
    <w:rsid w:val="005D0181"/>
    <w:rsid w:val="005D0353"/>
    <w:rsid w:val="005D14AB"/>
    <w:rsid w:val="005D1EB8"/>
    <w:rsid w:val="005D2929"/>
    <w:rsid w:val="005D35C0"/>
    <w:rsid w:val="005D3E1A"/>
    <w:rsid w:val="005D404A"/>
    <w:rsid w:val="005D40BA"/>
    <w:rsid w:val="005D4EF2"/>
    <w:rsid w:val="005D54A1"/>
    <w:rsid w:val="005D55B2"/>
    <w:rsid w:val="005D5D13"/>
    <w:rsid w:val="005D68F4"/>
    <w:rsid w:val="005D6FD4"/>
    <w:rsid w:val="005D73BA"/>
    <w:rsid w:val="005D7885"/>
    <w:rsid w:val="005E0672"/>
    <w:rsid w:val="005E0E00"/>
    <w:rsid w:val="005E0F43"/>
    <w:rsid w:val="005E110A"/>
    <w:rsid w:val="005E2333"/>
    <w:rsid w:val="005E25FC"/>
    <w:rsid w:val="005E2ECA"/>
    <w:rsid w:val="005E3150"/>
    <w:rsid w:val="005E44B0"/>
    <w:rsid w:val="005E4D05"/>
    <w:rsid w:val="005E4D67"/>
    <w:rsid w:val="005E71A6"/>
    <w:rsid w:val="005E782F"/>
    <w:rsid w:val="005F06C2"/>
    <w:rsid w:val="005F0880"/>
    <w:rsid w:val="005F0BCD"/>
    <w:rsid w:val="005F1238"/>
    <w:rsid w:val="005F259E"/>
    <w:rsid w:val="005F379B"/>
    <w:rsid w:val="005F3BAE"/>
    <w:rsid w:val="005F41DC"/>
    <w:rsid w:val="005F4521"/>
    <w:rsid w:val="005F473C"/>
    <w:rsid w:val="005F4986"/>
    <w:rsid w:val="005F5789"/>
    <w:rsid w:val="005F5C11"/>
    <w:rsid w:val="005F5FFF"/>
    <w:rsid w:val="005F6286"/>
    <w:rsid w:val="005F6EAB"/>
    <w:rsid w:val="005F6F1D"/>
    <w:rsid w:val="0060009E"/>
    <w:rsid w:val="00600512"/>
    <w:rsid w:val="00601144"/>
    <w:rsid w:val="00601299"/>
    <w:rsid w:val="0060149F"/>
    <w:rsid w:val="00601AF5"/>
    <w:rsid w:val="0060253F"/>
    <w:rsid w:val="00603034"/>
    <w:rsid w:val="006033A8"/>
    <w:rsid w:val="00603525"/>
    <w:rsid w:val="00603625"/>
    <w:rsid w:val="00603693"/>
    <w:rsid w:val="0060371E"/>
    <w:rsid w:val="006038C7"/>
    <w:rsid w:val="006039D0"/>
    <w:rsid w:val="006042CB"/>
    <w:rsid w:val="006042E7"/>
    <w:rsid w:val="00605334"/>
    <w:rsid w:val="00606010"/>
    <w:rsid w:val="00606029"/>
    <w:rsid w:val="00606304"/>
    <w:rsid w:val="00606891"/>
    <w:rsid w:val="0060753B"/>
    <w:rsid w:val="00607FD4"/>
    <w:rsid w:val="00610810"/>
    <w:rsid w:val="00610BF9"/>
    <w:rsid w:val="00612A5F"/>
    <w:rsid w:val="00612FC4"/>
    <w:rsid w:val="00613664"/>
    <w:rsid w:val="00613B8C"/>
    <w:rsid w:val="00614C06"/>
    <w:rsid w:val="00614D68"/>
    <w:rsid w:val="00615656"/>
    <w:rsid w:val="006165E8"/>
    <w:rsid w:val="00616765"/>
    <w:rsid w:val="00617C9C"/>
    <w:rsid w:val="006206FF"/>
    <w:rsid w:val="00621037"/>
    <w:rsid w:val="006211E0"/>
    <w:rsid w:val="00621240"/>
    <w:rsid w:val="00621251"/>
    <w:rsid w:val="006216C8"/>
    <w:rsid w:val="00622686"/>
    <w:rsid w:val="00622A9F"/>
    <w:rsid w:val="006231D5"/>
    <w:rsid w:val="00623A4F"/>
    <w:rsid w:val="00624273"/>
    <w:rsid w:val="006249CF"/>
    <w:rsid w:val="0062681C"/>
    <w:rsid w:val="00626EDE"/>
    <w:rsid w:val="00627BF5"/>
    <w:rsid w:val="00630A91"/>
    <w:rsid w:val="00630B15"/>
    <w:rsid w:val="00630B9E"/>
    <w:rsid w:val="00630D04"/>
    <w:rsid w:val="00631365"/>
    <w:rsid w:val="00631381"/>
    <w:rsid w:val="0063146E"/>
    <w:rsid w:val="00632938"/>
    <w:rsid w:val="00633877"/>
    <w:rsid w:val="006338FC"/>
    <w:rsid w:val="00633F5A"/>
    <w:rsid w:val="00634543"/>
    <w:rsid w:val="006345DE"/>
    <w:rsid w:val="00635B6B"/>
    <w:rsid w:val="00635FB7"/>
    <w:rsid w:val="0063665E"/>
    <w:rsid w:val="00636F36"/>
    <w:rsid w:val="00636FF6"/>
    <w:rsid w:val="00637777"/>
    <w:rsid w:val="0063777D"/>
    <w:rsid w:val="0064067B"/>
    <w:rsid w:val="00640F0A"/>
    <w:rsid w:val="00640F43"/>
    <w:rsid w:val="00641DB3"/>
    <w:rsid w:val="0064478D"/>
    <w:rsid w:val="006455F2"/>
    <w:rsid w:val="006458D6"/>
    <w:rsid w:val="00645AC8"/>
    <w:rsid w:val="006466AA"/>
    <w:rsid w:val="00646DA6"/>
    <w:rsid w:val="00646F67"/>
    <w:rsid w:val="00647C72"/>
    <w:rsid w:val="00647CA4"/>
    <w:rsid w:val="006504C9"/>
    <w:rsid w:val="00650F8E"/>
    <w:rsid w:val="0065185F"/>
    <w:rsid w:val="00651B97"/>
    <w:rsid w:val="00651E71"/>
    <w:rsid w:val="00651FE9"/>
    <w:rsid w:val="00653631"/>
    <w:rsid w:val="0065383D"/>
    <w:rsid w:val="00653E5B"/>
    <w:rsid w:val="0065463D"/>
    <w:rsid w:val="006547C8"/>
    <w:rsid w:val="0065539D"/>
    <w:rsid w:val="006558BB"/>
    <w:rsid w:val="00656932"/>
    <w:rsid w:val="0065722B"/>
    <w:rsid w:val="00657842"/>
    <w:rsid w:val="00660D0A"/>
    <w:rsid w:val="00661115"/>
    <w:rsid w:val="00661300"/>
    <w:rsid w:val="00662D56"/>
    <w:rsid w:val="00663979"/>
    <w:rsid w:val="00663A13"/>
    <w:rsid w:val="006648F4"/>
    <w:rsid w:val="006651B3"/>
    <w:rsid w:val="006651E3"/>
    <w:rsid w:val="00665282"/>
    <w:rsid w:val="00665B0D"/>
    <w:rsid w:val="00665EC7"/>
    <w:rsid w:val="0066797E"/>
    <w:rsid w:val="00667B76"/>
    <w:rsid w:val="0067076D"/>
    <w:rsid w:val="00671AFB"/>
    <w:rsid w:val="00671C5C"/>
    <w:rsid w:val="00671DA7"/>
    <w:rsid w:val="00671F5B"/>
    <w:rsid w:val="00674258"/>
    <w:rsid w:val="00674860"/>
    <w:rsid w:val="006748C7"/>
    <w:rsid w:val="00674A69"/>
    <w:rsid w:val="00674C44"/>
    <w:rsid w:val="0067513E"/>
    <w:rsid w:val="00675BB6"/>
    <w:rsid w:val="00676338"/>
    <w:rsid w:val="00676655"/>
    <w:rsid w:val="00680070"/>
    <w:rsid w:val="00680F40"/>
    <w:rsid w:val="00682077"/>
    <w:rsid w:val="00682266"/>
    <w:rsid w:val="00682BF2"/>
    <w:rsid w:val="006831A7"/>
    <w:rsid w:val="00683B48"/>
    <w:rsid w:val="00685653"/>
    <w:rsid w:val="00686781"/>
    <w:rsid w:val="00690031"/>
    <w:rsid w:val="00690061"/>
    <w:rsid w:val="0069038E"/>
    <w:rsid w:val="00690BCF"/>
    <w:rsid w:val="0069165A"/>
    <w:rsid w:val="00691B44"/>
    <w:rsid w:val="00691EA9"/>
    <w:rsid w:val="0069265D"/>
    <w:rsid w:val="0069316E"/>
    <w:rsid w:val="00693FAC"/>
    <w:rsid w:val="00694050"/>
    <w:rsid w:val="00694231"/>
    <w:rsid w:val="0069469E"/>
    <w:rsid w:val="00694E35"/>
    <w:rsid w:val="006953D3"/>
    <w:rsid w:val="00695AE3"/>
    <w:rsid w:val="00695F67"/>
    <w:rsid w:val="00696055"/>
    <w:rsid w:val="00696AB4"/>
    <w:rsid w:val="00697882"/>
    <w:rsid w:val="006A0032"/>
    <w:rsid w:val="006A0F3F"/>
    <w:rsid w:val="006A1A63"/>
    <w:rsid w:val="006A1F33"/>
    <w:rsid w:val="006A2793"/>
    <w:rsid w:val="006A2B59"/>
    <w:rsid w:val="006A2D10"/>
    <w:rsid w:val="006A3198"/>
    <w:rsid w:val="006A349D"/>
    <w:rsid w:val="006A444A"/>
    <w:rsid w:val="006A4DCF"/>
    <w:rsid w:val="006A502A"/>
    <w:rsid w:val="006A52F1"/>
    <w:rsid w:val="006A5B9B"/>
    <w:rsid w:val="006A5DD7"/>
    <w:rsid w:val="006A6655"/>
    <w:rsid w:val="006A6FE1"/>
    <w:rsid w:val="006B0176"/>
    <w:rsid w:val="006B052D"/>
    <w:rsid w:val="006B06F5"/>
    <w:rsid w:val="006B1D54"/>
    <w:rsid w:val="006B21ED"/>
    <w:rsid w:val="006B2352"/>
    <w:rsid w:val="006B3151"/>
    <w:rsid w:val="006B361F"/>
    <w:rsid w:val="006B37CF"/>
    <w:rsid w:val="006B39C8"/>
    <w:rsid w:val="006B4224"/>
    <w:rsid w:val="006B4764"/>
    <w:rsid w:val="006B5C31"/>
    <w:rsid w:val="006B67DB"/>
    <w:rsid w:val="006B7291"/>
    <w:rsid w:val="006B7933"/>
    <w:rsid w:val="006B79A3"/>
    <w:rsid w:val="006C11C1"/>
    <w:rsid w:val="006C123C"/>
    <w:rsid w:val="006C192B"/>
    <w:rsid w:val="006C1C30"/>
    <w:rsid w:val="006C2094"/>
    <w:rsid w:val="006C37A1"/>
    <w:rsid w:val="006C37F1"/>
    <w:rsid w:val="006C3E25"/>
    <w:rsid w:val="006C4051"/>
    <w:rsid w:val="006C4C70"/>
    <w:rsid w:val="006C5910"/>
    <w:rsid w:val="006C6CC5"/>
    <w:rsid w:val="006C73C1"/>
    <w:rsid w:val="006C7B6B"/>
    <w:rsid w:val="006D03E6"/>
    <w:rsid w:val="006D12D7"/>
    <w:rsid w:val="006D162E"/>
    <w:rsid w:val="006D1835"/>
    <w:rsid w:val="006D2034"/>
    <w:rsid w:val="006D24A1"/>
    <w:rsid w:val="006D2AAE"/>
    <w:rsid w:val="006D2BCD"/>
    <w:rsid w:val="006D374C"/>
    <w:rsid w:val="006D41F5"/>
    <w:rsid w:val="006D4244"/>
    <w:rsid w:val="006D4801"/>
    <w:rsid w:val="006D532C"/>
    <w:rsid w:val="006D5A0E"/>
    <w:rsid w:val="006D5FB3"/>
    <w:rsid w:val="006D747E"/>
    <w:rsid w:val="006D7822"/>
    <w:rsid w:val="006E07EC"/>
    <w:rsid w:val="006E0888"/>
    <w:rsid w:val="006E0A44"/>
    <w:rsid w:val="006E14B3"/>
    <w:rsid w:val="006E2A74"/>
    <w:rsid w:val="006E2FEF"/>
    <w:rsid w:val="006E356A"/>
    <w:rsid w:val="006E497F"/>
    <w:rsid w:val="006E4F98"/>
    <w:rsid w:val="006E58EF"/>
    <w:rsid w:val="006E5993"/>
    <w:rsid w:val="006E5C14"/>
    <w:rsid w:val="006E5F7C"/>
    <w:rsid w:val="006E6008"/>
    <w:rsid w:val="006E6715"/>
    <w:rsid w:val="006E6903"/>
    <w:rsid w:val="006E6E3F"/>
    <w:rsid w:val="006E7215"/>
    <w:rsid w:val="006E74A8"/>
    <w:rsid w:val="006E7745"/>
    <w:rsid w:val="006E77A6"/>
    <w:rsid w:val="006F03BA"/>
    <w:rsid w:val="006F09FE"/>
    <w:rsid w:val="006F112C"/>
    <w:rsid w:val="006F1A7A"/>
    <w:rsid w:val="006F2136"/>
    <w:rsid w:val="006F25FC"/>
    <w:rsid w:val="006F392D"/>
    <w:rsid w:val="006F3D2B"/>
    <w:rsid w:val="006F539F"/>
    <w:rsid w:val="006F61C0"/>
    <w:rsid w:val="006F686C"/>
    <w:rsid w:val="006F7C1D"/>
    <w:rsid w:val="006F7CC0"/>
    <w:rsid w:val="0070057C"/>
    <w:rsid w:val="00701C21"/>
    <w:rsid w:val="0070206D"/>
    <w:rsid w:val="00703733"/>
    <w:rsid w:val="0070384D"/>
    <w:rsid w:val="007039A7"/>
    <w:rsid w:val="007044BB"/>
    <w:rsid w:val="00705020"/>
    <w:rsid w:val="00705081"/>
    <w:rsid w:val="0070574D"/>
    <w:rsid w:val="00707CFA"/>
    <w:rsid w:val="0071008D"/>
    <w:rsid w:val="00710329"/>
    <w:rsid w:val="007104A1"/>
    <w:rsid w:val="0071124B"/>
    <w:rsid w:val="00712A60"/>
    <w:rsid w:val="00712D54"/>
    <w:rsid w:val="00713027"/>
    <w:rsid w:val="007131B3"/>
    <w:rsid w:val="0071436D"/>
    <w:rsid w:val="0071467D"/>
    <w:rsid w:val="00714F2D"/>
    <w:rsid w:val="0071517D"/>
    <w:rsid w:val="0071542C"/>
    <w:rsid w:val="00716430"/>
    <w:rsid w:val="00716808"/>
    <w:rsid w:val="00716D6A"/>
    <w:rsid w:val="00717FFD"/>
    <w:rsid w:val="00720D6F"/>
    <w:rsid w:val="00721E3E"/>
    <w:rsid w:val="00722BE8"/>
    <w:rsid w:val="007231F1"/>
    <w:rsid w:val="00723A0D"/>
    <w:rsid w:val="00724D2E"/>
    <w:rsid w:val="00724D78"/>
    <w:rsid w:val="00725668"/>
    <w:rsid w:val="00727317"/>
    <w:rsid w:val="007306FD"/>
    <w:rsid w:val="00731F70"/>
    <w:rsid w:val="00732037"/>
    <w:rsid w:val="00733022"/>
    <w:rsid w:val="00733B71"/>
    <w:rsid w:val="00734368"/>
    <w:rsid w:val="00734EA8"/>
    <w:rsid w:val="007352EF"/>
    <w:rsid w:val="00735C81"/>
    <w:rsid w:val="0073608F"/>
    <w:rsid w:val="00736622"/>
    <w:rsid w:val="007368E6"/>
    <w:rsid w:val="007372AA"/>
    <w:rsid w:val="00737BB1"/>
    <w:rsid w:val="00737C94"/>
    <w:rsid w:val="00742297"/>
    <w:rsid w:val="007425AA"/>
    <w:rsid w:val="00742794"/>
    <w:rsid w:val="00743F23"/>
    <w:rsid w:val="00745504"/>
    <w:rsid w:val="0074571F"/>
    <w:rsid w:val="0074572A"/>
    <w:rsid w:val="007463AD"/>
    <w:rsid w:val="00746E55"/>
    <w:rsid w:val="00747AC9"/>
    <w:rsid w:val="00752837"/>
    <w:rsid w:val="007536EA"/>
    <w:rsid w:val="007539C5"/>
    <w:rsid w:val="00754DA8"/>
    <w:rsid w:val="00756F13"/>
    <w:rsid w:val="0076022B"/>
    <w:rsid w:val="007602AA"/>
    <w:rsid w:val="00760478"/>
    <w:rsid w:val="0076109C"/>
    <w:rsid w:val="00761AD6"/>
    <w:rsid w:val="00761DE0"/>
    <w:rsid w:val="00761E0A"/>
    <w:rsid w:val="007621EB"/>
    <w:rsid w:val="00762600"/>
    <w:rsid w:val="0076261B"/>
    <w:rsid w:val="00762A32"/>
    <w:rsid w:val="00762F9D"/>
    <w:rsid w:val="00764093"/>
    <w:rsid w:val="007643E5"/>
    <w:rsid w:val="00764A48"/>
    <w:rsid w:val="00764DBA"/>
    <w:rsid w:val="007650B4"/>
    <w:rsid w:val="007651BD"/>
    <w:rsid w:val="007659FD"/>
    <w:rsid w:val="00765A76"/>
    <w:rsid w:val="00765DB2"/>
    <w:rsid w:val="00765F30"/>
    <w:rsid w:val="00766942"/>
    <w:rsid w:val="0076749B"/>
    <w:rsid w:val="00770BE1"/>
    <w:rsid w:val="00770C7B"/>
    <w:rsid w:val="00771554"/>
    <w:rsid w:val="00771A0E"/>
    <w:rsid w:val="00771A53"/>
    <w:rsid w:val="007729E5"/>
    <w:rsid w:val="00772BE7"/>
    <w:rsid w:val="007739A3"/>
    <w:rsid w:val="00773A24"/>
    <w:rsid w:val="007748BB"/>
    <w:rsid w:val="00774B65"/>
    <w:rsid w:val="0077514F"/>
    <w:rsid w:val="00775276"/>
    <w:rsid w:val="007754BB"/>
    <w:rsid w:val="007764C9"/>
    <w:rsid w:val="00776652"/>
    <w:rsid w:val="0077692A"/>
    <w:rsid w:val="00776FE1"/>
    <w:rsid w:val="0077767C"/>
    <w:rsid w:val="0077781A"/>
    <w:rsid w:val="007779DE"/>
    <w:rsid w:val="00777CB8"/>
    <w:rsid w:val="00780052"/>
    <w:rsid w:val="0078029C"/>
    <w:rsid w:val="00780E5D"/>
    <w:rsid w:val="00781542"/>
    <w:rsid w:val="0078190D"/>
    <w:rsid w:val="00782AFF"/>
    <w:rsid w:val="00783273"/>
    <w:rsid w:val="007833ED"/>
    <w:rsid w:val="00784299"/>
    <w:rsid w:val="00784424"/>
    <w:rsid w:val="007848A5"/>
    <w:rsid w:val="00784B88"/>
    <w:rsid w:val="00784E19"/>
    <w:rsid w:val="00785209"/>
    <w:rsid w:val="007852A6"/>
    <w:rsid w:val="00785962"/>
    <w:rsid w:val="0078659A"/>
    <w:rsid w:val="00786C6B"/>
    <w:rsid w:val="00786C7C"/>
    <w:rsid w:val="007905EF"/>
    <w:rsid w:val="00790AB6"/>
    <w:rsid w:val="00790DB2"/>
    <w:rsid w:val="00790EB5"/>
    <w:rsid w:val="00790F77"/>
    <w:rsid w:val="007912E0"/>
    <w:rsid w:val="00791316"/>
    <w:rsid w:val="00792718"/>
    <w:rsid w:val="007930B5"/>
    <w:rsid w:val="0079354C"/>
    <w:rsid w:val="00793C02"/>
    <w:rsid w:val="00794492"/>
    <w:rsid w:val="007945C1"/>
    <w:rsid w:val="007947D1"/>
    <w:rsid w:val="007950E0"/>
    <w:rsid w:val="00795B61"/>
    <w:rsid w:val="00795CAC"/>
    <w:rsid w:val="00795E6B"/>
    <w:rsid w:val="0079619E"/>
    <w:rsid w:val="007961FA"/>
    <w:rsid w:val="0079653D"/>
    <w:rsid w:val="00796A4D"/>
    <w:rsid w:val="00796A8B"/>
    <w:rsid w:val="00796E89"/>
    <w:rsid w:val="007970D3"/>
    <w:rsid w:val="007971C7"/>
    <w:rsid w:val="007A0867"/>
    <w:rsid w:val="007A1697"/>
    <w:rsid w:val="007A185F"/>
    <w:rsid w:val="007A3400"/>
    <w:rsid w:val="007A3BD1"/>
    <w:rsid w:val="007A4D33"/>
    <w:rsid w:val="007A4EA2"/>
    <w:rsid w:val="007A5A67"/>
    <w:rsid w:val="007A5B75"/>
    <w:rsid w:val="007A62F6"/>
    <w:rsid w:val="007A6E90"/>
    <w:rsid w:val="007A752D"/>
    <w:rsid w:val="007B03D6"/>
    <w:rsid w:val="007B1C0C"/>
    <w:rsid w:val="007B1D25"/>
    <w:rsid w:val="007B2BB3"/>
    <w:rsid w:val="007B4702"/>
    <w:rsid w:val="007B4A0A"/>
    <w:rsid w:val="007B52FB"/>
    <w:rsid w:val="007B6091"/>
    <w:rsid w:val="007B610A"/>
    <w:rsid w:val="007B6F16"/>
    <w:rsid w:val="007B7222"/>
    <w:rsid w:val="007B7759"/>
    <w:rsid w:val="007B7A6B"/>
    <w:rsid w:val="007C0AD3"/>
    <w:rsid w:val="007C23E0"/>
    <w:rsid w:val="007C23F5"/>
    <w:rsid w:val="007C3466"/>
    <w:rsid w:val="007C3F40"/>
    <w:rsid w:val="007C5508"/>
    <w:rsid w:val="007C6B64"/>
    <w:rsid w:val="007D0210"/>
    <w:rsid w:val="007D0EA0"/>
    <w:rsid w:val="007D1BAA"/>
    <w:rsid w:val="007D3658"/>
    <w:rsid w:val="007D396D"/>
    <w:rsid w:val="007D4EFD"/>
    <w:rsid w:val="007D657A"/>
    <w:rsid w:val="007D66C5"/>
    <w:rsid w:val="007D6EBD"/>
    <w:rsid w:val="007D75D4"/>
    <w:rsid w:val="007E079D"/>
    <w:rsid w:val="007E0AF9"/>
    <w:rsid w:val="007E10C0"/>
    <w:rsid w:val="007E2892"/>
    <w:rsid w:val="007E352B"/>
    <w:rsid w:val="007E3CAD"/>
    <w:rsid w:val="007E4AA5"/>
    <w:rsid w:val="007E55B9"/>
    <w:rsid w:val="007E562C"/>
    <w:rsid w:val="007E59E0"/>
    <w:rsid w:val="007E5A6D"/>
    <w:rsid w:val="007E6189"/>
    <w:rsid w:val="007E6BEF"/>
    <w:rsid w:val="007E74F3"/>
    <w:rsid w:val="007E7ED1"/>
    <w:rsid w:val="007E7F55"/>
    <w:rsid w:val="007F0443"/>
    <w:rsid w:val="007F0776"/>
    <w:rsid w:val="007F0EDA"/>
    <w:rsid w:val="007F1179"/>
    <w:rsid w:val="007F1326"/>
    <w:rsid w:val="007F1C6D"/>
    <w:rsid w:val="007F1D93"/>
    <w:rsid w:val="007F3414"/>
    <w:rsid w:val="007F4A75"/>
    <w:rsid w:val="007F4E1D"/>
    <w:rsid w:val="007F4E87"/>
    <w:rsid w:val="007F519A"/>
    <w:rsid w:val="007F57A0"/>
    <w:rsid w:val="007F5E4A"/>
    <w:rsid w:val="007F61A7"/>
    <w:rsid w:val="007F63B1"/>
    <w:rsid w:val="007F6C30"/>
    <w:rsid w:val="007F7648"/>
    <w:rsid w:val="007F765E"/>
    <w:rsid w:val="00800599"/>
    <w:rsid w:val="008012D0"/>
    <w:rsid w:val="0080188B"/>
    <w:rsid w:val="00802041"/>
    <w:rsid w:val="00806630"/>
    <w:rsid w:val="00807B28"/>
    <w:rsid w:val="00807D7E"/>
    <w:rsid w:val="008105AA"/>
    <w:rsid w:val="00810A58"/>
    <w:rsid w:val="00810C0B"/>
    <w:rsid w:val="00810D1B"/>
    <w:rsid w:val="00810FA2"/>
    <w:rsid w:val="0081107D"/>
    <w:rsid w:val="0081120B"/>
    <w:rsid w:val="008115E6"/>
    <w:rsid w:val="00811892"/>
    <w:rsid w:val="008119AC"/>
    <w:rsid w:val="00812182"/>
    <w:rsid w:val="00812EF1"/>
    <w:rsid w:val="008130B3"/>
    <w:rsid w:val="00813174"/>
    <w:rsid w:val="008132DA"/>
    <w:rsid w:val="00814D81"/>
    <w:rsid w:val="008155F1"/>
    <w:rsid w:val="008158B6"/>
    <w:rsid w:val="00816B4F"/>
    <w:rsid w:val="008177C0"/>
    <w:rsid w:val="0081785C"/>
    <w:rsid w:val="008200CF"/>
    <w:rsid w:val="008205D7"/>
    <w:rsid w:val="0082148E"/>
    <w:rsid w:val="00822060"/>
    <w:rsid w:val="008220C1"/>
    <w:rsid w:val="00822DDE"/>
    <w:rsid w:val="00823C04"/>
    <w:rsid w:val="00823ED9"/>
    <w:rsid w:val="00824108"/>
    <w:rsid w:val="0082432F"/>
    <w:rsid w:val="00824791"/>
    <w:rsid w:val="0082519A"/>
    <w:rsid w:val="00825BE3"/>
    <w:rsid w:val="0082641A"/>
    <w:rsid w:val="00826B2F"/>
    <w:rsid w:val="00826B9E"/>
    <w:rsid w:val="008275E9"/>
    <w:rsid w:val="00827F25"/>
    <w:rsid w:val="0083072A"/>
    <w:rsid w:val="0083296E"/>
    <w:rsid w:val="00832A15"/>
    <w:rsid w:val="00832A6D"/>
    <w:rsid w:val="00832EA5"/>
    <w:rsid w:val="00834B9C"/>
    <w:rsid w:val="00835515"/>
    <w:rsid w:val="00835CB4"/>
    <w:rsid w:val="0083640D"/>
    <w:rsid w:val="008364A5"/>
    <w:rsid w:val="00836F55"/>
    <w:rsid w:val="008372FF"/>
    <w:rsid w:val="00837BDC"/>
    <w:rsid w:val="00837BF2"/>
    <w:rsid w:val="00840026"/>
    <w:rsid w:val="008401A3"/>
    <w:rsid w:val="00841BF6"/>
    <w:rsid w:val="00841C0C"/>
    <w:rsid w:val="00842041"/>
    <w:rsid w:val="008428CD"/>
    <w:rsid w:val="00842D3B"/>
    <w:rsid w:val="00843707"/>
    <w:rsid w:val="00843859"/>
    <w:rsid w:val="0084462D"/>
    <w:rsid w:val="00844827"/>
    <w:rsid w:val="00844CC8"/>
    <w:rsid w:val="0084511C"/>
    <w:rsid w:val="0084549D"/>
    <w:rsid w:val="00846008"/>
    <w:rsid w:val="008461DC"/>
    <w:rsid w:val="008470AD"/>
    <w:rsid w:val="008470B1"/>
    <w:rsid w:val="00847499"/>
    <w:rsid w:val="00847DA9"/>
    <w:rsid w:val="00850AE0"/>
    <w:rsid w:val="0085122B"/>
    <w:rsid w:val="008524E9"/>
    <w:rsid w:val="0085397A"/>
    <w:rsid w:val="00853BA4"/>
    <w:rsid w:val="00853C46"/>
    <w:rsid w:val="00853ECE"/>
    <w:rsid w:val="00854713"/>
    <w:rsid w:val="00854FDF"/>
    <w:rsid w:val="0085588B"/>
    <w:rsid w:val="00855E6B"/>
    <w:rsid w:val="00855F84"/>
    <w:rsid w:val="00857482"/>
    <w:rsid w:val="008579F3"/>
    <w:rsid w:val="0086115B"/>
    <w:rsid w:val="0086283D"/>
    <w:rsid w:val="00862C60"/>
    <w:rsid w:val="0086305A"/>
    <w:rsid w:val="008633DC"/>
    <w:rsid w:val="0086396D"/>
    <w:rsid w:val="00863BCD"/>
    <w:rsid w:val="00863F70"/>
    <w:rsid w:val="008645EB"/>
    <w:rsid w:val="00865286"/>
    <w:rsid w:val="008656AB"/>
    <w:rsid w:val="00866011"/>
    <w:rsid w:val="00866CC9"/>
    <w:rsid w:val="008672D9"/>
    <w:rsid w:val="00871EF5"/>
    <w:rsid w:val="0087202B"/>
    <w:rsid w:val="00872E21"/>
    <w:rsid w:val="00873522"/>
    <w:rsid w:val="00875F5F"/>
    <w:rsid w:val="00876344"/>
    <w:rsid w:val="00876667"/>
    <w:rsid w:val="00876A48"/>
    <w:rsid w:val="0087741F"/>
    <w:rsid w:val="00877A7C"/>
    <w:rsid w:val="00880063"/>
    <w:rsid w:val="0088151C"/>
    <w:rsid w:val="00881A25"/>
    <w:rsid w:val="00881DAC"/>
    <w:rsid w:val="008826F3"/>
    <w:rsid w:val="00882752"/>
    <w:rsid w:val="0088279F"/>
    <w:rsid w:val="00883987"/>
    <w:rsid w:val="00884077"/>
    <w:rsid w:val="00884CC6"/>
    <w:rsid w:val="00885BE7"/>
    <w:rsid w:val="00886145"/>
    <w:rsid w:val="0088781B"/>
    <w:rsid w:val="00887CDE"/>
    <w:rsid w:val="008912D5"/>
    <w:rsid w:val="00892A1F"/>
    <w:rsid w:val="008930EB"/>
    <w:rsid w:val="00893784"/>
    <w:rsid w:val="00894F25"/>
    <w:rsid w:val="00895494"/>
    <w:rsid w:val="00895B53"/>
    <w:rsid w:val="00895C2E"/>
    <w:rsid w:val="008963AC"/>
    <w:rsid w:val="008979F6"/>
    <w:rsid w:val="008A0FEA"/>
    <w:rsid w:val="008A13BC"/>
    <w:rsid w:val="008A1C7F"/>
    <w:rsid w:val="008A22C5"/>
    <w:rsid w:val="008A2ACA"/>
    <w:rsid w:val="008A3223"/>
    <w:rsid w:val="008A3832"/>
    <w:rsid w:val="008A3C40"/>
    <w:rsid w:val="008A445B"/>
    <w:rsid w:val="008A4645"/>
    <w:rsid w:val="008A4A56"/>
    <w:rsid w:val="008A4E4B"/>
    <w:rsid w:val="008A50F9"/>
    <w:rsid w:val="008A66DD"/>
    <w:rsid w:val="008A6751"/>
    <w:rsid w:val="008A7175"/>
    <w:rsid w:val="008A72AF"/>
    <w:rsid w:val="008B0567"/>
    <w:rsid w:val="008B1519"/>
    <w:rsid w:val="008B22BF"/>
    <w:rsid w:val="008B22DC"/>
    <w:rsid w:val="008B32ED"/>
    <w:rsid w:val="008B3837"/>
    <w:rsid w:val="008B3C7B"/>
    <w:rsid w:val="008B3CF0"/>
    <w:rsid w:val="008B40FA"/>
    <w:rsid w:val="008B4B6C"/>
    <w:rsid w:val="008B4D2A"/>
    <w:rsid w:val="008B58A2"/>
    <w:rsid w:val="008B6318"/>
    <w:rsid w:val="008B69EB"/>
    <w:rsid w:val="008B6F4E"/>
    <w:rsid w:val="008B6F96"/>
    <w:rsid w:val="008B7080"/>
    <w:rsid w:val="008B7608"/>
    <w:rsid w:val="008B7AB7"/>
    <w:rsid w:val="008B7D66"/>
    <w:rsid w:val="008C0014"/>
    <w:rsid w:val="008C071E"/>
    <w:rsid w:val="008C0BBE"/>
    <w:rsid w:val="008C0DA0"/>
    <w:rsid w:val="008C203E"/>
    <w:rsid w:val="008C20E1"/>
    <w:rsid w:val="008C27DD"/>
    <w:rsid w:val="008C28DC"/>
    <w:rsid w:val="008C2DE5"/>
    <w:rsid w:val="008C3D74"/>
    <w:rsid w:val="008C3E65"/>
    <w:rsid w:val="008C3F32"/>
    <w:rsid w:val="008C4916"/>
    <w:rsid w:val="008C4A0E"/>
    <w:rsid w:val="008C4A17"/>
    <w:rsid w:val="008C4D15"/>
    <w:rsid w:val="008C5084"/>
    <w:rsid w:val="008C6667"/>
    <w:rsid w:val="008C6DCD"/>
    <w:rsid w:val="008C6E5C"/>
    <w:rsid w:val="008C71DF"/>
    <w:rsid w:val="008C7973"/>
    <w:rsid w:val="008C7F5F"/>
    <w:rsid w:val="008D0044"/>
    <w:rsid w:val="008D0286"/>
    <w:rsid w:val="008D0AC2"/>
    <w:rsid w:val="008D0B4C"/>
    <w:rsid w:val="008D1A8F"/>
    <w:rsid w:val="008D1D74"/>
    <w:rsid w:val="008D296C"/>
    <w:rsid w:val="008D2C4F"/>
    <w:rsid w:val="008D38B3"/>
    <w:rsid w:val="008D3D70"/>
    <w:rsid w:val="008D5321"/>
    <w:rsid w:val="008D54C8"/>
    <w:rsid w:val="008D54F3"/>
    <w:rsid w:val="008D5661"/>
    <w:rsid w:val="008D659D"/>
    <w:rsid w:val="008D6609"/>
    <w:rsid w:val="008D6F03"/>
    <w:rsid w:val="008D7A2B"/>
    <w:rsid w:val="008D7F4C"/>
    <w:rsid w:val="008E00D7"/>
    <w:rsid w:val="008E0461"/>
    <w:rsid w:val="008E0A28"/>
    <w:rsid w:val="008E2B58"/>
    <w:rsid w:val="008E3623"/>
    <w:rsid w:val="008E3807"/>
    <w:rsid w:val="008E39B4"/>
    <w:rsid w:val="008E3B96"/>
    <w:rsid w:val="008E424A"/>
    <w:rsid w:val="008E4B57"/>
    <w:rsid w:val="008E4CE7"/>
    <w:rsid w:val="008E5265"/>
    <w:rsid w:val="008E5523"/>
    <w:rsid w:val="008E5A16"/>
    <w:rsid w:val="008E6F41"/>
    <w:rsid w:val="008E73A4"/>
    <w:rsid w:val="008E7C2A"/>
    <w:rsid w:val="008F0086"/>
    <w:rsid w:val="008F023E"/>
    <w:rsid w:val="008F0D04"/>
    <w:rsid w:val="008F12BA"/>
    <w:rsid w:val="008F1687"/>
    <w:rsid w:val="008F1DA5"/>
    <w:rsid w:val="008F1E14"/>
    <w:rsid w:val="008F229D"/>
    <w:rsid w:val="008F2CBC"/>
    <w:rsid w:val="008F33E0"/>
    <w:rsid w:val="008F3922"/>
    <w:rsid w:val="008F39DD"/>
    <w:rsid w:val="008F4280"/>
    <w:rsid w:val="008F4359"/>
    <w:rsid w:val="008F59DE"/>
    <w:rsid w:val="008F5C8C"/>
    <w:rsid w:val="008F6894"/>
    <w:rsid w:val="008F6BFE"/>
    <w:rsid w:val="008F74F5"/>
    <w:rsid w:val="008F7AEF"/>
    <w:rsid w:val="008F7CEA"/>
    <w:rsid w:val="008F7D6C"/>
    <w:rsid w:val="00900019"/>
    <w:rsid w:val="00900823"/>
    <w:rsid w:val="009021D6"/>
    <w:rsid w:val="0090261E"/>
    <w:rsid w:val="00902B30"/>
    <w:rsid w:val="009034C9"/>
    <w:rsid w:val="009034F4"/>
    <w:rsid w:val="00903C18"/>
    <w:rsid w:val="009040AB"/>
    <w:rsid w:val="00904653"/>
    <w:rsid w:val="0090488D"/>
    <w:rsid w:val="00904E7D"/>
    <w:rsid w:val="0090509E"/>
    <w:rsid w:val="00905CFB"/>
    <w:rsid w:val="00906856"/>
    <w:rsid w:val="00906B6E"/>
    <w:rsid w:val="00907D57"/>
    <w:rsid w:val="0091000E"/>
    <w:rsid w:val="009109D8"/>
    <w:rsid w:val="00910FE9"/>
    <w:rsid w:val="009119FE"/>
    <w:rsid w:val="00912C92"/>
    <w:rsid w:val="00912FB9"/>
    <w:rsid w:val="0091302C"/>
    <w:rsid w:val="00914632"/>
    <w:rsid w:val="0091475B"/>
    <w:rsid w:val="009147BB"/>
    <w:rsid w:val="00915A78"/>
    <w:rsid w:val="00915EFF"/>
    <w:rsid w:val="00916AC9"/>
    <w:rsid w:val="009178E9"/>
    <w:rsid w:val="00917AEF"/>
    <w:rsid w:val="00920D91"/>
    <w:rsid w:val="009218DE"/>
    <w:rsid w:val="00921BAE"/>
    <w:rsid w:val="00922372"/>
    <w:rsid w:val="00922B22"/>
    <w:rsid w:val="00922D8D"/>
    <w:rsid w:val="0092304E"/>
    <w:rsid w:val="00923C7A"/>
    <w:rsid w:val="00924522"/>
    <w:rsid w:val="0092748D"/>
    <w:rsid w:val="00927563"/>
    <w:rsid w:val="00927599"/>
    <w:rsid w:val="00927828"/>
    <w:rsid w:val="009302D4"/>
    <w:rsid w:val="009302F1"/>
    <w:rsid w:val="009304AC"/>
    <w:rsid w:val="0093112B"/>
    <w:rsid w:val="00931715"/>
    <w:rsid w:val="00931DD5"/>
    <w:rsid w:val="0093298F"/>
    <w:rsid w:val="00932C14"/>
    <w:rsid w:val="00933061"/>
    <w:rsid w:val="00933183"/>
    <w:rsid w:val="00933409"/>
    <w:rsid w:val="0093368D"/>
    <w:rsid w:val="009340E1"/>
    <w:rsid w:val="009348A5"/>
    <w:rsid w:val="0093490E"/>
    <w:rsid w:val="00934BD3"/>
    <w:rsid w:val="009354CE"/>
    <w:rsid w:val="0093558A"/>
    <w:rsid w:val="0093588E"/>
    <w:rsid w:val="00935C84"/>
    <w:rsid w:val="00935F46"/>
    <w:rsid w:val="009362C6"/>
    <w:rsid w:val="00936EE7"/>
    <w:rsid w:val="0093716F"/>
    <w:rsid w:val="00937220"/>
    <w:rsid w:val="009376F7"/>
    <w:rsid w:val="009377C2"/>
    <w:rsid w:val="00937C96"/>
    <w:rsid w:val="00937E8B"/>
    <w:rsid w:val="009403FE"/>
    <w:rsid w:val="00940F41"/>
    <w:rsid w:val="00941380"/>
    <w:rsid w:val="009418F8"/>
    <w:rsid w:val="00942396"/>
    <w:rsid w:val="009431F1"/>
    <w:rsid w:val="00943955"/>
    <w:rsid w:val="009440E8"/>
    <w:rsid w:val="0094410B"/>
    <w:rsid w:val="00944F48"/>
    <w:rsid w:val="009458A9"/>
    <w:rsid w:val="00945B90"/>
    <w:rsid w:val="00945C72"/>
    <w:rsid w:val="00946DF2"/>
    <w:rsid w:val="009472A0"/>
    <w:rsid w:val="00947837"/>
    <w:rsid w:val="00950185"/>
    <w:rsid w:val="00950728"/>
    <w:rsid w:val="00950A0E"/>
    <w:rsid w:val="00950C7B"/>
    <w:rsid w:val="009527ED"/>
    <w:rsid w:val="00952CB1"/>
    <w:rsid w:val="009552E6"/>
    <w:rsid w:val="00955916"/>
    <w:rsid w:val="00955F1B"/>
    <w:rsid w:val="00957025"/>
    <w:rsid w:val="009570FA"/>
    <w:rsid w:val="009579DB"/>
    <w:rsid w:val="00957B2D"/>
    <w:rsid w:val="00957CF1"/>
    <w:rsid w:val="009604F2"/>
    <w:rsid w:val="009605B3"/>
    <w:rsid w:val="009606B6"/>
    <w:rsid w:val="00960768"/>
    <w:rsid w:val="00960E2B"/>
    <w:rsid w:val="0096291B"/>
    <w:rsid w:val="00963106"/>
    <w:rsid w:val="00963A4F"/>
    <w:rsid w:val="00964A0B"/>
    <w:rsid w:val="00964C21"/>
    <w:rsid w:val="009651B0"/>
    <w:rsid w:val="0096555C"/>
    <w:rsid w:val="009665F2"/>
    <w:rsid w:val="00966747"/>
    <w:rsid w:val="0096697B"/>
    <w:rsid w:val="00966A3C"/>
    <w:rsid w:val="00966E42"/>
    <w:rsid w:val="00967098"/>
    <w:rsid w:val="009677C7"/>
    <w:rsid w:val="00967DDC"/>
    <w:rsid w:val="00967E17"/>
    <w:rsid w:val="00971627"/>
    <w:rsid w:val="0097255A"/>
    <w:rsid w:val="00972C14"/>
    <w:rsid w:val="00973305"/>
    <w:rsid w:val="009738FB"/>
    <w:rsid w:val="00973B9C"/>
    <w:rsid w:val="00975183"/>
    <w:rsid w:val="0097519F"/>
    <w:rsid w:val="0097614B"/>
    <w:rsid w:val="009766B1"/>
    <w:rsid w:val="009767E2"/>
    <w:rsid w:val="009771D6"/>
    <w:rsid w:val="00977299"/>
    <w:rsid w:val="00977A0D"/>
    <w:rsid w:val="00980399"/>
    <w:rsid w:val="00980BD6"/>
    <w:rsid w:val="00981AEC"/>
    <w:rsid w:val="00981D02"/>
    <w:rsid w:val="00981ECF"/>
    <w:rsid w:val="00982E70"/>
    <w:rsid w:val="00983211"/>
    <w:rsid w:val="00983951"/>
    <w:rsid w:val="009853AE"/>
    <w:rsid w:val="00986B8B"/>
    <w:rsid w:val="00986E2F"/>
    <w:rsid w:val="009872C0"/>
    <w:rsid w:val="00987F92"/>
    <w:rsid w:val="009904FB"/>
    <w:rsid w:val="009908E4"/>
    <w:rsid w:val="009910C6"/>
    <w:rsid w:val="0099113F"/>
    <w:rsid w:val="00991A00"/>
    <w:rsid w:val="00992430"/>
    <w:rsid w:val="0099328B"/>
    <w:rsid w:val="00993457"/>
    <w:rsid w:val="009934EE"/>
    <w:rsid w:val="009938B2"/>
    <w:rsid w:val="00993E69"/>
    <w:rsid w:val="009960AF"/>
    <w:rsid w:val="00996F42"/>
    <w:rsid w:val="00997154"/>
    <w:rsid w:val="00997A45"/>
    <w:rsid w:val="009A0336"/>
    <w:rsid w:val="009A1D38"/>
    <w:rsid w:val="009A2157"/>
    <w:rsid w:val="009A23A1"/>
    <w:rsid w:val="009A2406"/>
    <w:rsid w:val="009A2C0B"/>
    <w:rsid w:val="009A3564"/>
    <w:rsid w:val="009A3B66"/>
    <w:rsid w:val="009A3BEC"/>
    <w:rsid w:val="009A4059"/>
    <w:rsid w:val="009A454B"/>
    <w:rsid w:val="009A4D84"/>
    <w:rsid w:val="009A52FF"/>
    <w:rsid w:val="009A5452"/>
    <w:rsid w:val="009A587C"/>
    <w:rsid w:val="009A669D"/>
    <w:rsid w:val="009B093C"/>
    <w:rsid w:val="009B1C2D"/>
    <w:rsid w:val="009B2902"/>
    <w:rsid w:val="009B3995"/>
    <w:rsid w:val="009B3F22"/>
    <w:rsid w:val="009B45AE"/>
    <w:rsid w:val="009B536B"/>
    <w:rsid w:val="009B686C"/>
    <w:rsid w:val="009B6A80"/>
    <w:rsid w:val="009B7445"/>
    <w:rsid w:val="009B773A"/>
    <w:rsid w:val="009B7CE6"/>
    <w:rsid w:val="009C0893"/>
    <w:rsid w:val="009C109D"/>
    <w:rsid w:val="009C2355"/>
    <w:rsid w:val="009C2855"/>
    <w:rsid w:val="009C38CF"/>
    <w:rsid w:val="009C3BC7"/>
    <w:rsid w:val="009C42C1"/>
    <w:rsid w:val="009C4544"/>
    <w:rsid w:val="009C50DC"/>
    <w:rsid w:val="009C54CD"/>
    <w:rsid w:val="009C62DC"/>
    <w:rsid w:val="009C6425"/>
    <w:rsid w:val="009C7E4E"/>
    <w:rsid w:val="009C7F21"/>
    <w:rsid w:val="009D025D"/>
    <w:rsid w:val="009D047B"/>
    <w:rsid w:val="009D085D"/>
    <w:rsid w:val="009D0AD7"/>
    <w:rsid w:val="009D2225"/>
    <w:rsid w:val="009D24C8"/>
    <w:rsid w:val="009D25CD"/>
    <w:rsid w:val="009D2777"/>
    <w:rsid w:val="009D31A2"/>
    <w:rsid w:val="009D3A6D"/>
    <w:rsid w:val="009D40F8"/>
    <w:rsid w:val="009D44D9"/>
    <w:rsid w:val="009D4612"/>
    <w:rsid w:val="009D5365"/>
    <w:rsid w:val="009D560B"/>
    <w:rsid w:val="009D63E2"/>
    <w:rsid w:val="009D64E4"/>
    <w:rsid w:val="009D78B5"/>
    <w:rsid w:val="009D7FD2"/>
    <w:rsid w:val="009D7FFA"/>
    <w:rsid w:val="009E0008"/>
    <w:rsid w:val="009E0166"/>
    <w:rsid w:val="009E1360"/>
    <w:rsid w:val="009E14AF"/>
    <w:rsid w:val="009E1814"/>
    <w:rsid w:val="009E2A8E"/>
    <w:rsid w:val="009E363C"/>
    <w:rsid w:val="009E38E1"/>
    <w:rsid w:val="009E3E34"/>
    <w:rsid w:val="009E3EDF"/>
    <w:rsid w:val="009E40FC"/>
    <w:rsid w:val="009E4C76"/>
    <w:rsid w:val="009E4E09"/>
    <w:rsid w:val="009E5670"/>
    <w:rsid w:val="009E5D9D"/>
    <w:rsid w:val="009E62DB"/>
    <w:rsid w:val="009E653D"/>
    <w:rsid w:val="009E6D3A"/>
    <w:rsid w:val="009E70B2"/>
    <w:rsid w:val="009E7688"/>
    <w:rsid w:val="009E77FA"/>
    <w:rsid w:val="009E7EE0"/>
    <w:rsid w:val="009F06B1"/>
    <w:rsid w:val="009F07A9"/>
    <w:rsid w:val="009F0DEB"/>
    <w:rsid w:val="009F14EB"/>
    <w:rsid w:val="009F1A43"/>
    <w:rsid w:val="009F2781"/>
    <w:rsid w:val="009F3315"/>
    <w:rsid w:val="009F35DB"/>
    <w:rsid w:val="009F427B"/>
    <w:rsid w:val="009F4E85"/>
    <w:rsid w:val="009F4F65"/>
    <w:rsid w:val="009F506A"/>
    <w:rsid w:val="009F52EF"/>
    <w:rsid w:val="009F5DAB"/>
    <w:rsid w:val="009F5EB4"/>
    <w:rsid w:val="009F5EEA"/>
    <w:rsid w:val="009F6294"/>
    <w:rsid w:val="009F63F3"/>
    <w:rsid w:val="009F66DC"/>
    <w:rsid w:val="009F6DBB"/>
    <w:rsid w:val="009F705A"/>
    <w:rsid w:val="009F73B4"/>
    <w:rsid w:val="00A000E4"/>
    <w:rsid w:val="00A00142"/>
    <w:rsid w:val="00A0079D"/>
    <w:rsid w:val="00A00CE0"/>
    <w:rsid w:val="00A00E26"/>
    <w:rsid w:val="00A02E9F"/>
    <w:rsid w:val="00A02F40"/>
    <w:rsid w:val="00A02FC4"/>
    <w:rsid w:val="00A046BC"/>
    <w:rsid w:val="00A05946"/>
    <w:rsid w:val="00A05B98"/>
    <w:rsid w:val="00A05BAE"/>
    <w:rsid w:val="00A05FD4"/>
    <w:rsid w:val="00A0644E"/>
    <w:rsid w:val="00A0670B"/>
    <w:rsid w:val="00A067F0"/>
    <w:rsid w:val="00A06963"/>
    <w:rsid w:val="00A07532"/>
    <w:rsid w:val="00A102C8"/>
    <w:rsid w:val="00A10BB9"/>
    <w:rsid w:val="00A10D84"/>
    <w:rsid w:val="00A10E83"/>
    <w:rsid w:val="00A11170"/>
    <w:rsid w:val="00A12560"/>
    <w:rsid w:val="00A128BB"/>
    <w:rsid w:val="00A130AB"/>
    <w:rsid w:val="00A134E5"/>
    <w:rsid w:val="00A138B5"/>
    <w:rsid w:val="00A13A17"/>
    <w:rsid w:val="00A13F94"/>
    <w:rsid w:val="00A1634D"/>
    <w:rsid w:val="00A16CA9"/>
    <w:rsid w:val="00A174D4"/>
    <w:rsid w:val="00A17A5B"/>
    <w:rsid w:val="00A209AD"/>
    <w:rsid w:val="00A21136"/>
    <w:rsid w:val="00A21A93"/>
    <w:rsid w:val="00A22583"/>
    <w:rsid w:val="00A2270A"/>
    <w:rsid w:val="00A23106"/>
    <w:rsid w:val="00A231F5"/>
    <w:rsid w:val="00A233B7"/>
    <w:rsid w:val="00A235AB"/>
    <w:rsid w:val="00A23687"/>
    <w:rsid w:val="00A2481F"/>
    <w:rsid w:val="00A24964"/>
    <w:rsid w:val="00A25A8C"/>
    <w:rsid w:val="00A25F08"/>
    <w:rsid w:val="00A26844"/>
    <w:rsid w:val="00A2731F"/>
    <w:rsid w:val="00A27516"/>
    <w:rsid w:val="00A278B8"/>
    <w:rsid w:val="00A2791F"/>
    <w:rsid w:val="00A3136D"/>
    <w:rsid w:val="00A3267F"/>
    <w:rsid w:val="00A327A3"/>
    <w:rsid w:val="00A33109"/>
    <w:rsid w:val="00A3369D"/>
    <w:rsid w:val="00A33D70"/>
    <w:rsid w:val="00A33F6F"/>
    <w:rsid w:val="00A34747"/>
    <w:rsid w:val="00A35031"/>
    <w:rsid w:val="00A35865"/>
    <w:rsid w:val="00A36243"/>
    <w:rsid w:val="00A3740C"/>
    <w:rsid w:val="00A37A51"/>
    <w:rsid w:val="00A37E5F"/>
    <w:rsid w:val="00A4094A"/>
    <w:rsid w:val="00A421A3"/>
    <w:rsid w:val="00A4279D"/>
    <w:rsid w:val="00A435A6"/>
    <w:rsid w:val="00A43BE6"/>
    <w:rsid w:val="00A45424"/>
    <w:rsid w:val="00A459E8"/>
    <w:rsid w:val="00A46251"/>
    <w:rsid w:val="00A46355"/>
    <w:rsid w:val="00A47E36"/>
    <w:rsid w:val="00A5037D"/>
    <w:rsid w:val="00A50B05"/>
    <w:rsid w:val="00A5204A"/>
    <w:rsid w:val="00A5214D"/>
    <w:rsid w:val="00A530D4"/>
    <w:rsid w:val="00A53741"/>
    <w:rsid w:val="00A53D44"/>
    <w:rsid w:val="00A53F5C"/>
    <w:rsid w:val="00A54C10"/>
    <w:rsid w:val="00A54EA1"/>
    <w:rsid w:val="00A55210"/>
    <w:rsid w:val="00A553DC"/>
    <w:rsid w:val="00A5580C"/>
    <w:rsid w:val="00A55FBC"/>
    <w:rsid w:val="00A566E6"/>
    <w:rsid w:val="00A5672F"/>
    <w:rsid w:val="00A56BEE"/>
    <w:rsid w:val="00A56C67"/>
    <w:rsid w:val="00A56C90"/>
    <w:rsid w:val="00A56D91"/>
    <w:rsid w:val="00A56EBE"/>
    <w:rsid w:val="00A57320"/>
    <w:rsid w:val="00A5790D"/>
    <w:rsid w:val="00A57F98"/>
    <w:rsid w:val="00A605DF"/>
    <w:rsid w:val="00A60754"/>
    <w:rsid w:val="00A60D63"/>
    <w:rsid w:val="00A61333"/>
    <w:rsid w:val="00A61693"/>
    <w:rsid w:val="00A61D19"/>
    <w:rsid w:val="00A61DAD"/>
    <w:rsid w:val="00A6259D"/>
    <w:rsid w:val="00A6273A"/>
    <w:rsid w:val="00A6322C"/>
    <w:rsid w:val="00A63E3D"/>
    <w:rsid w:val="00A65C46"/>
    <w:rsid w:val="00A66444"/>
    <w:rsid w:val="00A66884"/>
    <w:rsid w:val="00A6691E"/>
    <w:rsid w:val="00A66FEB"/>
    <w:rsid w:val="00A675F6"/>
    <w:rsid w:val="00A679AC"/>
    <w:rsid w:val="00A71421"/>
    <w:rsid w:val="00A716D5"/>
    <w:rsid w:val="00A71D1A"/>
    <w:rsid w:val="00A72492"/>
    <w:rsid w:val="00A73176"/>
    <w:rsid w:val="00A741F2"/>
    <w:rsid w:val="00A746EA"/>
    <w:rsid w:val="00A7480A"/>
    <w:rsid w:val="00A74A89"/>
    <w:rsid w:val="00A74D9B"/>
    <w:rsid w:val="00A75321"/>
    <w:rsid w:val="00A761C2"/>
    <w:rsid w:val="00A763C8"/>
    <w:rsid w:val="00A80BB1"/>
    <w:rsid w:val="00A81555"/>
    <w:rsid w:val="00A81E84"/>
    <w:rsid w:val="00A82412"/>
    <w:rsid w:val="00A837E7"/>
    <w:rsid w:val="00A84D50"/>
    <w:rsid w:val="00A84EDE"/>
    <w:rsid w:val="00A851E6"/>
    <w:rsid w:val="00A85840"/>
    <w:rsid w:val="00A86475"/>
    <w:rsid w:val="00A869C7"/>
    <w:rsid w:val="00A87751"/>
    <w:rsid w:val="00A87B5F"/>
    <w:rsid w:val="00A908A5"/>
    <w:rsid w:val="00A90C2A"/>
    <w:rsid w:val="00A914D1"/>
    <w:rsid w:val="00A915BC"/>
    <w:rsid w:val="00A91E64"/>
    <w:rsid w:val="00A92637"/>
    <w:rsid w:val="00A92E25"/>
    <w:rsid w:val="00A93D22"/>
    <w:rsid w:val="00A9432B"/>
    <w:rsid w:val="00A9474D"/>
    <w:rsid w:val="00A95701"/>
    <w:rsid w:val="00A95F23"/>
    <w:rsid w:val="00A965C8"/>
    <w:rsid w:val="00AA06D4"/>
    <w:rsid w:val="00AA10E9"/>
    <w:rsid w:val="00AA1660"/>
    <w:rsid w:val="00AA183E"/>
    <w:rsid w:val="00AA381E"/>
    <w:rsid w:val="00AA3970"/>
    <w:rsid w:val="00AA4241"/>
    <w:rsid w:val="00AA4623"/>
    <w:rsid w:val="00AA4B0A"/>
    <w:rsid w:val="00AA4BCA"/>
    <w:rsid w:val="00AA4C07"/>
    <w:rsid w:val="00AA526C"/>
    <w:rsid w:val="00AA60CF"/>
    <w:rsid w:val="00AA6F90"/>
    <w:rsid w:val="00AA74AE"/>
    <w:rsid w:val="00AA790E"/>
    <w:rsid w:val="00AA7B8C"/>
    <w:rsid w:val="00AB0B97"/>
    <w:rsid w:val="00AB18D4"/>
    <w:rsid w:val="00AB1D95"/>
    <w:rsid w:val="00AB21AF"/>
    <w:rsid w:val="00AB2429"/>
    <w:rsid w:val="00AB268D"/>
    <w:rsid w:val="00AB292A"/>
    <w:rsid w:val="00AB2DF6"/>
    <w:rsid w:val="00AB4107"/>
    <w:rsid w:val="00AB44CE"/>
    <w:rsid w:val="00AB46F0"/>
    <w:rsid w:val="00AB61CD"/>
    <w:rsid w:val="00AB68A5"/>
    <w:rsid w:val="00AB707C"/>
    <w:rsid w:val="00AB767E"/>
    <w:rsid w:val="00AB77C7"/>
    <w:rsid w:val="00AC0A47"/>
    <w:rsid w:val="00AC2A78"/>
    <w:rsid w:val="00AC3D6F"/>
    <w:rsid w:val="00AC5105"/>
    <w:rsid w:val="00AC57BF"/>
    <w:rsid w:val="00AC5A0D"/>
    <w:rsid w:val="00AC60F2"/>
    <w:rsid w:val="00AC6230"/>
    <w:rsid w:val="00AC6440"/>
    <w:rsid w:val="00AC667E"/>
    <w:rsid w:val="00AC6EE3"/>
    <w:rsid w:val="00AC7B1D"/>
    <w:rsid w:val="00AD0AC1"/>
    <w:rsid w:val="00AD0E54"/>
    <w:rsid w:val="00AD0F4D"/>
    <w:rsid w:val="00AD2022"/>
    <w:rsid w:val="00AD2569"/>
    <w:rsid w:val="00AD2664"/>
    <w:rsid w:val="00AD3225"/>
    <w:rsid w:val="00AD356D"/>
    <w:rsid w:val="00AD5B0B"/>
    <w:rsid w:val="00AD65B0"/>
    <w:rsid w:val="00AD66A2"/>
    <w:rsid w:val="00AD7932"/>
    <w:rsid w:val="00AE0A68"/>
    <w:rsid w:val="00AE1939"/>
    <w:rsid w:val="00AE1EDA"/>
    <w:rsid w:val="00AE2494"/>
    <w:rsid w:val="00AE2B50"/>
    <w:rsid w:val="00AE2D86"/>
    <w:rsid w:val="00AE3AFA"/>
    <w:rsid w:val="00AE43D4"/>
    <w:rsid w:val="00AE48CD"/>
    <w:rsid w:val="00AE55BC"/>
    <w:rsid w:val="00AE6DB7"/>
    <w:rsid w:val="00AE7CFC"/>
    <w:rsid w:val="00AE7F5D"/>
    <w:rsid w:val="00AF113A"/>
    <w:rsid w:val="00AF155E"/>
    <w:rsid w:val="00AF175C"/>
    <w:rsid w:val="00AF1968"/>
    <w:rsid w:val="00AF23F5"/>
    <w:rsid w:val="00AF27F0"/>
    <w:rsid w:val="00AF2CD3"/>
    <w:rsid w:val="00AF2E39"/>
    <w:rsid w:val="00AF32BD"/>
    <w:rsid w:val="00AF3864"/>
    <w:rsid w:val="00AF3D2B"/>
    <w:rsid w:val="00AF578F"/>
    <w:rsid w:val="00AF6507"/>
    <w:rsid w:val="00AF65BD"/>
    <w:rsid w:val="00AF6733"/>
    <w:rsid w:val="00AF6C65"/>
    <w:rsid w:val="00AF7042"/>
    <w:rsid w:val="00AF7666"/>
    <w:rsid w:val="00AF7C2C"/>
    <w:rsid w:val="00B0001F"/>
    <w:rsid w:val="00B00259"/>
    <w:rsid w:val="00B01323"/>
    <w:rsid w:val="00B01EE5"/>
    <w:rsid w:val="00B0257D"/>
    <w:rsid w:val="00B02AF7"/>
    <w:rsid w:val="00B0343B"/>
    <w:rsid w:val="00B04363"/>
    <w:rsid w:val="00B043E0"/>
    <w:rsid w:val="00B04F63"/>
    <w:rsid w:val="00B067B2"/>
    <w:rsid w:val="00B07279"/>
    <w:rsid w:val="00B07DFC"/>
    <w:rsid w:val="00B101FC"/>
    <w:rsid w:val="00B11ACD"/>
    <w:rsid w:val="00B11F5A"/>
    <w:rsid w:val="00B1252A"/>
    <w:rsid w:val="00B12582"/>
    <w:rsid w:val="00B126E8"/>
    <w:rsid w:val="00B144E3"/>
    <w:rsid w:val="00B144EA"/>
    <w:rsid w:val="00B14FBD"/>
    <w:rsid w:val="00B16054"/>
    <w:rsid w:val="00B16F5F"/>
    <w:rsid w:val="00B17436"/>
    <w:rsid w:val="00B20669"/>
    <w:rsid w:val="00B2066E"/>
    <w:rsid w:val="00B20793"/>
    <w:rsid w:val="00B213B5"/>
    <w:rsid w:val="00B21758"/>
    <w:rsid w:val="00B21AB5"/>
    <w:rsid w:val="00B21BF8"/>
    <w:rsid w:val="00B233B2"/>
    <w:rsid w:val="00B23600"/>
    <w:rsid w:val="00B25DF6"/>
    <w:rsid w:val="00B27737"/>
    <w:rsid w:val="00B27E92"/>
    <w:rsid w:val="00B300C0"/>
    <w:rsid w:val="00B30741"/>
    <w:rsid w:val="00B3085F"/>
    <w:rsid w:val="00B31A49"/>
    <w:rsid w:val="00B31D60"/>
    <w:rsid w:val="00B320BA"/>
    <w:rsid w:val="00B3339F"/>
    <w:rsid w:val="00B33B23"/>
    <w:rsid w:val="00B33EAD"/>
    <w:rsid w:val="00B33FEF"/>
    <w:rsid w:val="00B34556"/>
    <w:rsid w:val="00B34D34"/>
    <w:rsid w:val="00B35FF7"/>
    <w:rsid w:val="00B36A7D"/>
    <w:rsid w:val="00B37625"/>
    <w:rsid w:val="00B3773C"/>
    <w:rsid w:val="00B403F7"/>
    <w:rsid w:val="00B406E5"/>
    <w:rsid w:val="00B40899"/>
    <w:rsid w:val="00B408CD"/>
    <w:rsid w:val="00B413E7"/>
    <w:rsid w:val="00B415D3"/>
    <w:rsid w:val="00B41B5E"/>
    <w:rsid w:val="00B41D6D"/>
    <w:rsid w:val="00B41DDD"/>
    <w:rsid w:val="00B42173"/>
    <w:rsid w:val="00B4288A"/>
    <w:rsid w:val="00B42BF2"/>
    <w:rsid w:val="00B43252"/>
    <w:rsid w:val="00B436E4"/>
    <w:rsid w:val="00B43C98"/>
    <w:rsid w:val="00B441FA"/>
    <w:rsid w:val="00B44218"/>
    <w:rsid w:val="00B445F8"/>
    <w:rsid w:val="00B44DD1"/>
    <w:rsid w:val="00B44E7C"/>
    <w:rsid w:val="00B45826"/>
    <w:rsid w:val="00B45C08"/>
    <w:rsid w:val="00B45D44"/>
    <w:rsid w:val="00B46B26"/>
    <w:rsid w:val="00B4712D"/>
    <w:rsid w:val="00B500C0"/>
    <w:rsid w:val="00B5038A"/>
    <w:rsid w:val="00B50C68"/>
    <w:rsid w:val="00B520C2"/>
    <w:rsid w:val="00B52995"/>
    <w:rsid w:val="00B54B2A"/>
    <w:rsid w:val="00B55253"/>
    <w:rsid w:val="00B55D57"/>
    <w:rsid w:val="00B5643F"/>
    <w:rsid w:val="00B577BE"/>
    <w:rsid w:val="00B60653"/>
    <w:rsid w:val="00B60C4B"/>
    <w:rsid w:val="00B618AD"/>
    <w:rsid w:val="00B61AFD"/>
    <w:rsid w:val="00B61C9C"/>
    <w:rsid w:val="00B61FBF"/>
    <w:rsid w:val="00B6268C"/>
    <w:rsid w:val="00B626AF"/>
    <w:rsid w:val="00B6286D"/>
    <w:rsid w:val="00B64572"/>
    <w:rsid w:val="00B64DC9"/>
    <w:rsid w:val="00B65B41"/>
    <w:rsid w:val="00B65BE1"/>
    <w:rsid w:val="00B65ED3"/>
    <w:rsid w:val="00B70087"/>
    <w:rsid w:val="00B7012D"/>
    <w:rsid w:val="00B70E02"/>
    <w:rsid w:val="00B72F70"/>
    <w:rsid w:val="00B739C3"/>
    <w:rsid w:val="00B74775"/>
    <w:rsid w:val="00B74FAE"/>
    <w:rsid w:val="00B7551C"/>
    <w:rsid w:val="00B75B4B"/>
    <w:rsid w:val="00B76580"/>
    <w:rsid w:val="00B76812"/>
    <w:rsid w:val="00B7682F"/>
    <w:rsid w:val="00B76CA4"/>
    <w:rsid w:val="00B77EB5"/>
    <w:rsid w:val="00B80103"/>
    <w:rsid w:val="00B808D2"/>
    <w:rsid w:val="00B80B81"/>
    <w:rsid w:val="00B80F21"/>
    <w:rsid w:val="00B8159A"/>
    <w:rsid w:val="00B81B5C"/>
    <w:rsid w:val="00B82D8B"/>
    <w:rsid w:val="00B8448B"/>
    <w:rsid w:val="00B845BF"/>
    <w:rsid w:val="00B85201"/>
    <w:rsid w:val="00B85B56"/>
    <w:rsid w:val="00B86085"/>
    <w:rsid w:val="00B86524"/>
    <w:rsid w:val="00B86AA1"/>
    <w:rsid w:val="00B90878"/>
    <w:rsid w:val="00B90BB5"/>
    <w:rsid w:val="00B90BE7"/>
    <w:rsid w:val="00B90D79"/>
    <w:rsid w:val="00B91EB4"/>
    <w:rsid w:val="00B92598"/>
    <w:rsid w:val="00B92BD1"/>
    <w:rsid w:val="00B92D36"/>
    <w:rsid w:val="00B931E3"/>
    <w:rsid w:val="00B942C7"/>
    <w:rsid w:val="00B94423"/>
    <w:rsid w:val="00B9487A"/>
    <w:rsid w:val="00B95782"/>
    <w:rsid w:val="00B958C4"/>
    <w:rsid w:val="00B96407"/>
    <w:rsid w:val="00B968EF"/>
    <w:rsid w:val="00B97ED5"/>
    <w:rsid w:val="00BA07D1"/>
    <w:rsid w:val="00BA0A52"/>
    <w:rsid w:val="00BA2BAA"/>
    <w:rsid w:val="00BA30D0"/>
    <w:rsid w:val="00BA42E4"/>
    <w:rsid w:val="00BA440B"/>
    <w:rsid w:val="00BA4BD3"/>
    <w:rsid w:val="00BA51E5"/>
    <w:rsid w:val="00BA5ABD"/>
    <w:rsid w:val="00BA644E"/>
    <w:rsid w:val="00BA6523"/>
    <w:rsid w:val="00BA66BC"/>
    <w:rsid w:val="00BB0895"/>
    <w:rsid w:val="00BB0DC7"/>
    <w:rsid w:val="00BB0EA4"/>
    <w:rsid w:val="00BB1003"/>
    <w:rsid w:val="00BB1193"/>
    <w:rsid w:val="00BB165E"/>
    <w:rsid w:val="00BB19F8"/>
    <w:rsid w:val="00BB1B23"/>
    <w:rsid w:val="00BB22C4"/>
    <w:rsid w:val="00BB2E33"/>
    <w:rsid w:val="00BB3202"/>
    <w:rsid w:val="00BB3B56"/>
    <w:rsid w:val="00BB3E78"/>
    <w:rsid w:val="00BB4211"/>
    <w:rsid w:val="00BB52F6"/>
    <w:rsid w:val="00BB5E29"/>
    <w:rsid w:val="00BB6140"/>
    <w:rsid w:val="00BB6806"/>
    <w:rsid w:val="00BB76E5"/>
    <w:rsid w:val="00BB787C"/>
    <w:rsid w:val="00BB7A96"/>
    <w:rsid w:val="00BC10D1"/>
    <w:rsid w:val="00BC2556"/>
    <w:rsid w:val="00BC29A3"/>
    <w:rsid w:val="00BC2D91"/>
    <w:rsid w:val="00BC2E6F"/>
    <w:rsid w:val="00BC2FEE"/>
    <w:rsid w:val="00BC334E"/>
    <w:rsid w:val="00BC44C7"/>
    <w:rsid w:val="00BC4C24"/>
    <w:rsid w:val="00BC568B"/>
    <w:rsid w:val="00BC5EED"/>
    <w:rsid w:val="00BC624C"/>
    <w:rsid w:val="00BC63C4"/>
    <w:rsid w:val="00BC670D"/>
    <w:rsid w:val="00BC698B"/>
    <w:rsid w:val="00BC69DB"/>
    <w:rsid w:val="00BC74B3"/>
    <w:rsid w:val="00BC7C8E"/>
    <w:rsid w:val="00BC7FED"/>
    <w:rsid w:val="00BD0371"/>
    <w:rsid w:val="00BD09E6"/>
    <w:rsid w:val="00BD17A0"/>
    <w:rsid w:val="00BD2988"/>
    <w:rsid w:val="00BD3A1B"/>
    <w:rsid w:val="00BD3BA5"/>
    <w:rsid w:val="00BD4B13"/>
    <w:rsid w:val="00BD51DF"/>
    <w:rsid w:val="00BD5563"/>
    <w:rsid w:val="00BD5874"/>
    <w:rsid w:val="00BD6017"/>
    <w:rsid w:val="00BD73BA"/>
    <w:rsid w:val="00BD7B9F"/>
    <w:rsid w:val="00BE07A3"/>
    <w:rsid w:val="00BE07CB"/>
    <w:rsid w:val="00BE10C2"/>
    <w:rsid w:val="00BE1127"/>
    <w:rsid w:val="00BE1479"/>
    <w:rsid w:val="00BE19A7"/>
    <w:rsid w:val="00BE1B0A"/>
    <w:rsid w:val="00BE1C76"/>
    <w:rsid w:val="00BE2117"/>
    <w:rsid w:val="00BE2320"/>
    <w:rsid w:val="00BE252B"/>
    <w:rsid w:val="00BE39CB"/>
    <w:rsid w:val="00BE4040"/>
    <w:rsid w:val="00BE4CBE"/>
    <w:rsid w:val="00BE4EAE"/>
    <w:rsid w:val="00BE527C"/>
    <w:rsid w:val="00BE52A7"/>
    <w:rsid w:val="00BE5CDE"/>
    <w:rsid w:val="00BE5D1A"/>
    <w:rsid w:val="00BE6516"/>
    <w:rsid w:val="00BE7291"/>
    <w:rsid w:val="00BE7DBB"/>
    <w:rsid w:val="00BE7E85"/>
    <w:rsid w:val="00BE7FE7"/>
    <w:rsid w:val="00BF01D2"/>
    <w:rsid w:val="00BF1158"/>
    <w:rsid w:val="00BF1FD5"/>
    <w:rsid w:val="00BF2C73"/>
    <w:rsid w:val="00BF2EB2"/>
    <w:rsid w:val="00BF3E0F"/>
    <w:rsid w:val="00BF3F48"/>
    <w:rsid w:val="00BF5074"/>
    <w:rsid w:val="00BF5499"/>
    <w:rsid w:val="00BF5716"/>
    <w:rsid w:val="00BF60E8"/>
    <w:rsid w:val="00BF6475"/>
    <w:rsid w:val="00BF7330"/>
    <w:rsid w:val="00BF79FC"/>
    <w:rsid w:val="00C00442"/>
    <w:rsid w:val="00C01F6C"/>
    <w:rsid w:val="00C02A97"/>
    <w:rsid w:val="00C02C17"/>
    <w:rsid w:val="00C06C3E"/>
    <w:rsid w:val="00C06D43"/>
    <w:rsid w:val="00C07B38"/>
    <w:rsid w:val="00C1006E"/>
    <w:rsid w:val="00C10A37"/>
    <w:rsid w:val="00C11021"/>
    <w:rsid w:val="00C111E2"/>
    <w:rsid w:val="00C11C30"/>
    <w:rsid w:val="00C1213F"/>
    <w:rsid w:val="00C1285D"/>
    <w:rsid w:val="00C13154"/>
    <w:rsid w:val="00C1319D"/>
    <w:rsid w:val="00C14634"/>
    <w:rsid w:val="00C14852"/>
    <w:rsid w:val="00C149DB"/>
    <w:rsid w:val="00C14A31"/>
    <w:rsid w:val="00C15170"/>
    <w:rsid w:val="00C20428"/>
    <w:rsid w:val="00C2055B"/>
    <w:rsid w:val="00C207CF"/>
    <w:rsid w:val="00C20B99"/>
    <w:rsid w:val="00C21724"/>
    <w:rsid w:val="00C217D4"/>
    <w:rsid w:val="00C22496"/>
    <w:rsid w:val="00C224F1"/>
    <w:rsid w:val="00C22D37"/>
    <w:rsid w:val="00C2306A"/>
    <w:rsid w:val="00C23851"/>
    <w:rsid w:val="00C24B63"/>
    <w:rsid w:val="00C2601F"/>
    <w:rsid w:val="00C261C3"/>
    <w:rsid w:val="00C261FE"/>
    <w:rsid w:val="00C2637B"/>
    <w:rsid w:val="00C26FA1"/>
    <w:rsid w:val="00C276AD"/>
    <w:rsid w:val="00C27C42"/>
    <w:rsid w:val="00C27F1B"/>
    <w:rsid w:val="00C300A7"/>
    <w:rsid w:val="00C30209"/>
    <w:rsid w:val="00C30244"/>
    <w:rsid w:val="00C304B9"/>
    <w:rsid w:val="00C30A99"/>
    <w:rsid w:val="00C30C71"/>
    <w:rsid w:val="00C30CA1"/>
    <w:rsid w:val="00C30F7B"/>
    <w:rsid w:val="00C316B4"/>
    <w:rsid w:val="00C3237D"/>
    <w:rsid w:val="00C3257D"/>
    <w:rsid w:val="00C326C6"/>
    <w:rsid w:val="00C32EFC"/>
    <w:rsid w:val="00C33046"/>
    <w:rsid w:val="00C34A19"/>
    <w:rsid w:val="00C3510E"/>
    <w:rsid w:val="00C357F2"/>
    <w:rsid w:val="00C361C6"/>
    <w:rsid w:val="00C363D6"/>
    <w:rsid w:val="00C37674"/>
    <w:rsid w:val="00C3768C"/>
    <w:rsid w:val="00C37DF3"/>
    <w:rsid w:val="00C404FC"/>
    <w:rsid w:val="00C40B98"/>
    <w:rsid w:val="00C41621"/>
    <w:rsid w:val="00C41710"/>
    <w:rsid w:val="00C420E0"/>
    <w:rsid w:val="00C421FD"/>
    <w:rsid w:val="00C42561"/>
    <w:rsid w:val="00C438D7"/>
    <w:rsid w:val="00C442BC"/>
    <w:rsid w:val="00C44330"/>
    <w:rsid w:val="00C443BE"/>
    <w:rsid w:val="00C4493E"/>
    <w:rsid w:val="00C46A3E"/>
    <w:rsid w:val="00C47010"/>
    <w:rsid w:val="00C472B6"/>
    <w:rsid w:val="00C47B0A"/>
    <w:rsid w:val="00C47DBF"/>
    <w:rsid w:val="00C5009E"/>
    <w:rsid w:val="00C50550"/>
    <w:rsid w:val="00C512CD"/>
    <w:rsid w:val="00C51C8D"/>
    <w:rsid w:val="00C520C1"/>
    <w:rsid w:val="00C52823"/>
    <w:rsid w:val="00C529B4"/>
    <w:rsid w:val="00C52A21"/>
    <w:rsid w:val="00C539C2"/>
    <w:rsid w:val="00C53D15"/>
    <w:rsid w:val="00C5405E"/>
    <w:rsid w:val="00C54709"/>
    <w:rsid w:val="00C54990"/>
    <w:rsid w:val="00C552EE"/>
    <w:rsid w:val="00C56A42"/>
    <w:rsid w:val="00C56E1C"/>
    <w:rsid w:val="00C57163"/>
    <w:rsid w:val="00C5768E"/>
    <w:rsid w:val="00C57E9B"/>
    <w:rsid w:val="00C6090C"/>
    <w:rsid w:val="00C60AFC"/>
    <w:rsid w:val="00C61695"/>
    <w:rsid w:val="00C62059"/>
    <w:rsid w:val="00C62680"/>
    <w:rsid w:val="00C627B2"/>
    <w:rsid w:val="00C628A8"/>
    <w:rsid w:val="00C64CA4"/>
    <w:rsid w:val="00C654E7"/>
    <w:rsid w:val="00C65859"/>
    <w:rsid w:val="00C66E84"/>
    <w:rsid w:val="00C6710E"/>
    <w:rsid w:val="00C67362"/>
    <w:rsid w:val="00C6747B"/>
    <w:rsid w:val="00C676C1"/>
    <w:rsid w:val="00C67CAE"/>
    <w:rsid w:val="00C70731"/>
    <w:rsid w:val="00C70AFF"/>
    <w:rsid w:val="00C713AE"/>
    <w:rsid w:val="00C71C4A"/>
    <w:rsid w:val="00C73C91"/>
    <w:rsid w:val="00C746C3"/>
    <w:rsid w:val="00C74C90"/>
    <w:rsid w:val="00C7591F"/>
    <w:rsid w:val="00C75DDA"/>
    <w:rsid w:val="00C76104"/>
    <w:rsid w:val="00C766E1"/>
    <w:rsid w:val="00C7696C"/>
    <w:rsid w:val="00C76C1A"/>
    <w:rsid w:val="00C779BB"/>
    <w:rsid w:val="00C77F99"/>
    <w:rsid w:val="00C8148F"/>
    <w:rsid w:val="00C81AE2"/>
    <w:rsid w:val="00C82192"/>
    <w:rsid w:val="00C82657"/>
    <w:rsid w:val="00C82C09"/>
    <w:rsid w:val="00C83219"/>
    <w:rsid w:val="00C838B4"/>
    <w:rsid w:val="00C8439B"/>
    <w:rsid w:val="00C8453C"/>
    <w:rsid w:val="00C849DF"/>
    <w:rsid w:val="00C8551E"/>
    <w:rsid w:val="00C85979"/>
    <w:rsid w:val="00C85C64"/>
    <w:rsid w:val="00C85C68"/>
    <w:rsid w:val="00C86265"/>
    <w:rsid w:val="00C86808"/>
    <w:rsid w:val="00C86889"/>
    <w:rsid w:val="00C86F34"/>
    <w:rsid w:val="00C86F5C"/>
    <w:rsid w:val="00C86FB8"/>
    <w:rsid w:val="00C870F9"/>
    <w:rsid w:val="00C87181"/>
    <w:rsid w:val="00C87A0A"/>
    <w:rsid w:val="00C91066"/>
    <w:rsid w:val="00C9116B"/>
    <w:rsid w:val="00C928F8"/>
    <w:rsid w:val="00C93BC3"/>
    <w:rsid w:val="00C96E3F"/>
    <w:rsid w:val="00CA0408"/>
    <w:rsid w:val="00CA0D3B"/>
    <w:rsid w:val="00CA10B9"/>
    <w:rsid w:val="00CA1A8D"/>
    <w:rsid w:val="00CA1C47"/>
    <w:rsid w:val="00CA1CC3"/>
    <w:rsid w:val="00CA2100"/>
    <w:rsid w:val="00CA312F"/>
    <w:rsid w:val="00CA3FF3"/>
    <w:rsid w:val="00CA4961"/>
    <w:rsid w:val="00CA4C02"/>
    <w:rsid w:val="00CA54DF"/>
    <w:rsid w:val="00CA670B"/>
    <w:rsid w:val="00CA6918"/>
    <w:rsid w:val="00CA6D9E"/>
    <w:rsid w:val="00CA6F21"/>
    <w:rsid w:val="00CA77D7"/>
    <w:rsid w:val="00CB0C05"/>
    <w:rsid w:val="00CB179E"/>
    <w:rsid w:val="00CB1E79"/>
    <w:rsid w:val="00CB2C28"/>
    <w:rsid w:val="00CB31A2"/>
    <w:rsid w:val="00CB48F8"/>
    <w:rsid w:val="00CB4C32"/>
    <w:rsid w:val="00CB506D"/>
    <w:rsid w:val="00CB59C8"/>
    <w:rsid w:val="00CB7231"/>
    <w:rsid w:val="00CB76FF"/>
    <w:rsid w:val="00CB7C7F"/>
    <w:rsid w:val="00CC0BE8"/>
    <w:rsid w:val="00CC0C7D"/>
    <w:rsid w:val="00CC10F3"/>
    <w:rsid w:val="00CC1626"/>
    <w:rsid w:val="00CC25DF"/>
    <w:rsid w:val="00CC2CD9"/>
    <w:rsid w:val="00CC3053"/>
    <w:rsid w:val="00CC3479"/>
    <w:rsid w:val="00CC3F5B"/>
    <w:rsid w:val="00CC4D1E"/>
    <w:rsid w:val="00CC4DF7"/>
    <w:rsid w:val="00CC50B5"/>
    <w:rsid w:val="00CC6024"/>
    <w:rsid w:val="00CC7282"/>
    <w:rsid w:val="00CC7B59"/>
    <w:rsid w:val="00CD05A1"/>
    <w:rsid w:val="00CD160A"/>
    <w:rsid w:val="00CD204B"/>
    <w:rsid w:val="00CD294A"/>
    <w:rsid w:val="00CD2CF0"/>
    <w:rsid w:val="00CD3797"/>
    <w:rsid w:val="00CD3A9F"/>
    <w:rsid w:val="00CD3B33"/>
    <w:rsid w:val="00CD3CCF"/>
    <w:rsid w:val="00CD4813"/>
    <w:rsid w:val="00CD52E4"/>
    <w:rsid w:val="00CD53A9"/>
    <w:rsid w:val="00CD626C"/>
    <w:rsid w:val="00CD6670"/>
    <w:rsid w:val="00CD6D6E"/>
    <w:rsid w:val="00CD7886"/>
    <w:rsid w:val="00CD79F5"/>
    <w:rsid w:val="00CD7E8B"/>
    <w:rsid w:val="00CE01DE"/>
    <w:rsid w:val="00CE196C"/>
    <w:rsid w:val="00CE1D40"/>
    <w:rsid w:val="00CE2438"/>
    <w:rsid w:val="00CE2CCF"/>
    <w:rsid w:val="00CE2EFD"/>
    <w:rsid w:val="00CE4AF8"/>
    <w:rsid w:val="00CE4F5B"/>
    <w:rsid w:val="00CE5143"/>
    <w:rsid w:val="00CE552B"/>
    <w:rsid w:val="00CE5562"/>
    <w:rsid w:val="00CE660F"/>
    <w:rsid w:val="00CE70C1"/>
    <w:rsid w:val="00CE70FD"/>
    <w:rsid w:val="00CE74E5"/>
    <w:rsid w:val="00CF1A66"/>
    <w:rsid w:val="00CF1E21"/>
    <w:rsid w:val="00CF24DF"/>
    <w:rsid w:val="00CF25CB"/>
    <w:rsid w:val="00CF3565"/>
    <w:rsid w:val="00CF3A9B"/>
    <w:rsid w:val="00CF468D"/>
    <w:rsid w:val="00CF4FA3"/>
    <w:rsid w:val="00CF6AE3"/>
    <w:rsid w:val="00CF74D3"/>
    <w:rsid w:val="00CF7975"/>
    <w:rsid w:val="00CF798C"/>
    <w:rsid w:val="00CF79E2"/>
    <w:rsid w:val="00CF79E5"/>
    <w:rsid w:val="00D0051B"/>
    <w:rsid w:val="00D00BDB"/>
    <w:rsid w:val="00D017D2"/>
    <w:rsid w:val="00D02A60"/>
    <w:rsid w:val="00D02ADB"/>
    <w:rsid w:val="00D02AFF"/>
    <w:rsid w:val="00D02F3F"/>
    <w:rsid w:val="00D03218"/>
    <w:rsid w:val="00D0393A"/>
    <w:rsid w:val="00D04535"/>
    <w:rsid w:val="00D05C4F"/>
    <w:rsid w:val="00D06131"/>
    <w:rsid w:val="00D06245"/>
    <w:rsid w:val="00D06D98"/>
    <w:rsid w:val="00D073DD"/>
    <w:rsid w:val="00D07783"/>
    <w:rsid w:val="00D1041B"/>
    <w:rsid w:val="00D105C7"/>
    <w:rsid w:val="00D105FA"/>
    <w:rsid w:val="00D106EB"/>
    <w:rsid w:val="00D114E6"/>
    <w:rsid w:val="00D11982"/>
    <w:rsid w:val="00D11E91"/>
    <w:rsid w:val="00D131D3"/>
    <w:rsid w:val="00D134EC"/>
    <w:rsid w:val="00D13939"/>
    <w:rsid w:val="00D13F22"/>
    <w:rsid w:val="00D14579"/>
    <w:rsid w:val="00D14E48"/>
    <w:rsid w:val="00D155E5"/>
    <w:rsid w:val="00D157BF"/>
    <w:rsid w:val="00D16CD7"/>
    <w:rsid w:val="00D175C1"/>
    <w:rsid w:val="00D17602"/>
    <w:rsid w:val="00D21465"/>
    <w:rsid w:val="00D22850"/>
    <w:rsid w:val="00D23F64"/>
    <w:rsid w:val="00D246A0"/>
    <w:rsid w:val="00D25465"/>
    <w:rsid w:val="00D25AD4"/>
    <w:rsid w:val="00D27159"/>
    <w:rsid w:val="00D2715B"/>
    <w:rsid w:val="00D279B4"/>
    <w:rsid w:val="00D30376"/>
    <w:rsid w:val="00D30EC3"/>
    <w:rsid w:val="00D31070"/>
    <w:rsid w:val="00D32278"/>
    <w:rsid w:val="00D34B46"/>
    <w:rsid w:val="00D3505C"/>
    <w:rsid w:val="00D3529C"/>
    <w:rsid w:val="00D3558A"/>
    <w:rsid w:val="00D363D9"/>
    <w:rsid w:val="00D372A2"/>
    <w:rsid w:val="00D37862"/>
    <w:rsid w:val="00D37C15"/>
    <w:rsid w:val="00D37C45"/>
    <w:rsid w:val="00D40164"/>
    <w:rsid w:val="00D40409"/>
    <w:rsid w:val="00D40460"/>
    <w:rsid w:val="00D40674"/>
    <w:rsid w:val="00D4076F"/>
    <w:rsid w:val="00D40E28"/>
    <w:rsid w:val="00D4105B"/>
    <w:rsid w:val="00D410C6"/>
    <w:rsid w:val="00D410EC"/>
    <w:rsid w:val="00D42209"/>
    <w:rsid w:val="00D425D4"/>
    <w:rsid w:val="00D42A65"/>
    <w:rsid w:val="00D43773"/>
    <w:rsid w:val="00D43B5F"/>
    <w:rsid w:val="00D45561"/>
    <w:rsid w:val="00D45EFA"/>
    <w:rsid w:val="00D46718"/>
    <w:rsid w:val="00D46D87"/>
    <w:rsid w:val="00D47B0D"/>
    <w:rsid w:val="00D47B7B"/>
    <w:rsid w:val="00D47C1C"/>
    <w:rsid w:val="00D50EBD"/>
    <w:rsid w:val="00D51D42"/>
    <w:rsid w:val="00D52024"/>
    <w:rsid w:val="00D532D3"/>
    <w:rsid w:val="00D55322"/>
    <w:rsid w:val="00D55A8C"/>
    <w:rsid w:val="00D56612"/>
    <w:rsid w:val="00D56DEF"/>
    <w:rsid w:val="00D57729"/>
    <w:rsid w:val="00D5775E"/>
    <w:rsid w:val="00D612CE"/>
    <w:rsid w:val="00D61697"/>
    <w:rsid w:val="00D61923"/>
    <w:rsid w:val="00D61F41"/>
    <w:rsid w:val="00D621EC"/>
    <w:rsid w:val="00D62284"/>
    <w:rsid w:val="00D624CE"/>
    <w:rsid w:val="00D62B3C"/>
    <w:rsid w:val="00D62F2A"/>
    <w:rsid w:val="00D65828"/>
    <w:rsid w:val="00D6586B"/>
    <w:rsid w:val="00D661B0"/>
    <w:rsid w:val="00D66954"/>
    <w:rsid w:val="00D700DB"/>
    <w:rsid w:val="00D70B01"/>
    <w:rsid w:val="00D70ECD"/>
    <w:rsid w:val="00D725C9"/>
    <w:rsid w:val="00D73D1E"/>
    <w:rsid w:val="00D74BF7"/>
    <w:rsid w:val="00D752FD"/>
    <w:rsid w:val="00D760F9"/>
    <w:rsid w:val="00D76114"/>
    <w:rsid w:val="00D76EF2"/>
    <w:rsid w:val="00D80029"/>
    <w:rsid w:val="00D801EC"/>
    <w:rsid w:val="00D80F7E"/>
    <w:rsid w:val="00D8123E"/>
    <w:rsid w:val="00D812D8"/>
    <w:rsid w:val="00D829DB"/>
    <w:rsid w:val="00D82F1D"/>
    <w:rsid w:val="00D83A46"/>
    <w:rsid w:val="00D84787"/>
    <w:rsid w:val="00D847E7"/>
    <w:rsid w:val="00D84936"/>
    <w:rsid w:val="00D85E23"/>
    <w:rsid w:val="00D865CF"/>
    <w:rsid w:val="00D870E7"/>
    <w:rsid w:val="00D878D7"/>
    <w:rsid w:val="00D879D8"/>
    <w:rsid w:val="00D87F35"/>
    <w:rsid w:val="00D90079"/>
    <w:rsid w:val="00D906A8"/>
    <w:rsid w:val="00D90AB0"/>
    <w:rsid w:val="00D90E40"/>
    <w:rsid w:val="00D91A29"/>
    <w:rsid w:val="00D91B29"/>
    <w:rsid w:val="00D92316"/>
    <w:rsid w:val="00D9294D"/>
    <w:rsid w:val="00D93DC6"/>
    <w:rsid w:val="00D94279"/>
    <w:rsid w:val="00D954D7"/>
    <w:rsid w:val="00D95C79"/>
    <w:rsid w:val="00D960C4"/>
    <w:rsid w:val="00D96651"/>
    <w:rsid w:val="00D97850"/>
    <w:rsid w:val="00D97E9D"/>
    <w:rsid w:val="00DA0DEE"/>
    <w:rsid w:val="00DA1291"/>
    <w:rsid w:val="00DA2503"/>
    <w:rsid w:val="00DA35B5"/>
    <w:rsid w:val="00DA4164"/>
    <w:rsid w:val="00DA4274"/>
    <w:rsid w:val="00DA443C"/>
    <w:rsid w:val="00DA4DCF"/>
    <w:rsid w:val="00DA66F7"/>
    <w:rsid w:val="00DA7895"/>
    <w:rsid w:val="00DA7F93"/>
    <w:rsid w:val="00DB1733"/>
    <w:rsid w:val="00DB2480"/>
    <w:rsid w:val="00DB3BD7"/>
    <w:rsid w:val="00DB3CC0"/>
    <w:rsid w:val="00DB3F91"/>
    <w:rsid w:val="00DB40AD"/>
    <w:rsid w:val="00DB4226"/>
    <w:rsid w:val="00DB4D2A"/>
    <w:rsid w:val="00DB55DE"/>
    <w:rsid w:val="00DB60D4"/>
    <w:rsid w:val="00DB693C"/>
    <w:rsid w:val="00DB7776"/>
    <w:rsid w:val="00DB7F7C"/>
    <w:rsid w:val="00DC0362"/>
    <w:rsid w:val="00DC04EE"/>
    <w:rsid w:val="00DC08CD"/>
    <w:rsid w:val="00DC1BC9"/>
    <w:rsid w:val="00DC39E3"/>
    <w:rsid w:val="00DC3C35"/>
    <w:rsid w:val="00DC48AF"/>
    <w:rsid w:val="00DC515F"/>
    <w:rsid w:val="00DC5DD1"/>
    <w:rsid w:val="00DC6759"/>
    <w:rsid w:val="00DC6C2C"/>
    <w:rsid w:val="00DC7362"/>
    <w:rsid w:val="00DD15DB"/>
    <w:rsid w:val="00DD1784"/>
    <w:rsid w:val="00DD1A72"/>
    <w:rsid w:val="00DD1C47"/>
    <w:rsid w:val="00DD2C9D"/>
    <w:rsid w:val="00DD3393"/>
    <w:rsid w:val="00DD36C4"/>
    <w:rsid w:val="00DD381A"/>
    <w:rsid w:val="00DD397E"/>
    <w:rsid w:val="00DD48D2"/>
    <w:rsid w:val="00DD521A"/>
    <w:rsid w:val="00DD5516"/>
    <w:rsid w:val="00DD5A38"/>
    <w:rsid w:val="00DD5F9F"/>
    <w:rsid w:val="00DD622A"/>
    <w:rsid w:val="00DD68A5"/>
    <w:rsid w:val="00DD795C"/>
    <w:rsid w:val="00DE0706"/>
    <w:rsid w:val="00DE0730"/>
    <w:rsid w:val="00DE1B2F"/>
    <w:rsid w:val="00DE386B"/>
    <w:rsid w:val="00DE3C7C"/>
    <w:rsid w:val="00DE53C1"/>
    <w:rsid w:val="00DE64A8"/>
    <w:rsid w:val="00DE6A06"/>
    <w:rsid w:val="00DE6BE7"/>
    <w:rsid w:val="00DF02C5"/>
    <w:rsid w:val="00DF0AF3"/>
    <w:rsid w:val="00DF0C6E"/>
    <w:rsid w:val="00DF31A8"/>
    <w:rsid w:val="00DF37C9"/>
    <w:rsid w:val="00DF39E9"/>
    <w:rsid w:val="00DF5465"/>
    <w:rsid w:val="00DF6383"/>
    <w:rsid w:val="00DF6EB3"/>
    <w:rsid w:val="00DF6FFB"/>
    <w:rsid w:val="00DF757D"/>
    <w:rsid w:val="00DF76D8"/>
    <w:rsid w:val="00E004EF"/>
    <w:rsid w:val="00E01625"/>
    <w:rsid w:val="00E01B90"/>
    <w:rsid w:val="00E03152"/>
    <w:rsid w:val="00E033A4"/>
    <w:rsid w:val="00E03CAF"/>
    <w:rsid w:val="00E042FA"/>
    <w:rsid w:val="00E0480B"/>
    <w:rsid w:val="00E049AE"/>
    <w:rsid w:val="00E04BE3"/>
    <w:rsid w:val="00E0505B"/>
    <w:rsid w:val="00E05687"/>
    <w:rsid w:val="00E05ACE"/>
    <w:rsid w:val="00E05C56"/>
    <w:rsid w:val="00E061A6"/>
    <w:rsid w:val="00E07557"/>
    <w:rsid w:val="00E07E14"/>
    <w:rsid w:val="00E07F66"/>
    <w:rsid w:val="00E10E6F"/>
    <w:rsid w:val="00E10F8D"/>
    <w:rsid w:val="00E11B7C"/>
    <w:rsid w:val="00E11E99"/>
    <w:rsid w:val="00E11EDD"/>
    <w:rsid w:val="00E122EB"/>
    <w:rsid w:val="00E12840"/>
    <w:rsid w:val="00E13EED"/>
    <w:rsid w:val="00E14828"/>
    <w:rsid w:val="00E14D2A"/>
    <w:rsid w:val="00E1645F"/>
    <w:rsid w:val="00E16ACF"/>
    <w:rsid w:val="00E17EA6"/>
    <w:rsid w:val="00E206CF"/>
    <w:rsid w:val="00E20F74"/>
    <w:rsid w:val="00E21729"/>
    <w:rsid w:val="00E22D17"/>
    <w:rsid w:val="00E2300A"/>
    <w:rsid w:val="00E233AF"/>
    <w:rsid w:val="00E240C8"/>
    <w:rsid w:val="00E25B69"/>
    <w:rsid w:val="00E30F4B"/>
    <w:rsid w:val="00E3140F"/>
    <w:rsid w:val="00E31953"/>
    <w:rsid w:val="00E330C7"/>
    <w:rsid w:val="00E35113"/>
    <w:rsid w:val="00E358FB"/>
    <w:rsid w:val="00E35C63"/>
    <w:rsid w:val="00E35CC1"/>
    <w:rsid w:val="00E360B7"/>
    <w:rsid w:val="00E36149"/>
    <w:rsid w:val="00E36C23"/>
    <w:rsid w:val="00E36C55"/>
    <w:rsid w:val="00E37031"/>
    <w:rsid w:val="00E3723A"/>
    <w:rsid w:val="00E40192"/>
    <w:rsid w:val="00E41D2F"/>
    <w:rsid w:val="00E42F12"/>
    <w:rsid w:val="00E431FB"/>
    <w:rsid w:val="00E455A8"/>
    <w:rsid w:val="00E45A63"/>
    <w:rsid w:val="00E45D24"/>
    <w:rsid w:val="00E46572"/>
    <w:rsid w:val="00E46AC4"/>
    <w:rsid w:val="00E46E4F"/>
    <w:rsid w:val="00E47EBF"/>
    <w:rsid w:val="00E500C3"/>
    <w:rsid w:val="00E50D9B"/>
    <w:rsid w:val="00E50E26"/>
    <w:rsid w:val="00E50F58"/>
    <w:rsid w:val="00E51A6A"/>
    <w:rsid w:val="00E527F7"/>
    <w:rsid w:val="00E53077"/>
    <w:rsid w:val="00E537E1"/>
    <w:rsid w:val="00E545F6"/>
    <w:rsid w:val="00E546C5"/>
    <w:rsid w:val="00E54E9D"/>
    <w:rsid w:val="00E550F6"/>
    <w:rsid w:val="00E55997"/>
    <w:rsid w:val="00E57AC6"/>
    <w:rsid w:val="00E57B06"/>
    <w:rsid w:val="00E57CC0"/>
    <w:rsid w:val="00E57F25"/>
    <w:rsid w:val="00E6038F"/>
    <w:rsid w:val="00E60E17"/>
    <w:rsid w:val="00E62693"/>
    <w:rsid w:val="00E628C3"/>
    <w:rsid w:val="00E62CA8"/>
    <w:rsid w:val="00E632EA"/>
    <w:rsid w:val="00E6352A"/>
    <w:rsid w:val="00E648C4"/>
    <w:rsid w:val="00E6596D"/>
    <w:rsid w:val="00E65AE4"/>
    <w:rsid w:val="00E65C18"/>
    <w:rsid w:val="00E6623A"/>
    <w:rsid w:val="00E6638C"/>
    <w:rsid w:val="00E67540"/>
    <w:rsid w:val="00E6764E"/>
    <w:rsid w:val="00E6795B"/>
    <w:rsid w:val="00E67CD5"/>
    <w:rsid w:val="00E70F91"/>
    <w:rsid w:val="00E71C9C"/>
    <w:rsid w:val="00E71F85"/>
    <w:rsid w:val="00E72954"/>
    <w:rsid w:val="00E7311D"/>
    <w:rsid w:val="00E74682"/>
    <w:rsid w:val="00E7483C"/>
    <w:rsid w:val="00E74A48"/>
    <w:rsid w:val="00E755FB"/>
    <w:rsid w:val="00E75E15"/>
    <w:rsid w:val="00E75EA6"/>
    <w:rsid w:val="00E763CD"/>
    <w:rsid w:val="00E764D2"/>
    <w:rsid w:val="00E7679B"/>
    <w:rsid w:val="00E76FE7"/>
    <w:rsid w:val="00E77131"/>
    <w:rsid w:val="00E77FB0"/>
    <w:rsid w:val="00E800D5"/>
    <w:rsid w:val="00E804A4"/>
    <w:rsid w:val="00E804BF"/>
    <w:rsid w:val="00E80CA7"/>
    <w:rsid w:val="00E81916"/>
    <w:rsid w:val="00E81A90"/>
    <w:rsid w:val="00E8265F"/>
    <w:rsid w:val="00E83550"/>
    <w:rsid w:val="00E8422C"/>
    <w:rsid w:val="00E84542"/>
    <w:rsid w:val="00E84556"/>
    <w:rsid w:val="00E85BC4"/>
    <w:rsid w:val="00E863E8"/>
    <w:rsid w:val="00E873BE"/>
    <w:rsid w:val="00E8793D"/>
    <w:rsid w:val="00E87C77"/>
    <w:rsid w:val="00E87D28"/>
    <w:rsid w:val="00E90233"/>
    <w:rsid w:val="00E90694"/>
    <w:rsid w:val="00E909A1"/>
    <w:rsid w:val="00E90F6F"/>
    <w:rsid w:val="00E92F3D"/>
    <w:rsid w:val="00E9304D"/>
    <w:rsid w:val="00E94070"/>
    <w:rsid w:val="00E9417C"/>
    <w:rsid w:val="00E945F2"/>
    <w:rsid w:val="00E946D2"/>
    <w:rsid w:val="00E95826"/>
    <w:rsid w:val="00E95C64"/>
    <w:rsid w:val="00E960D4"/>
    <w:rsid w:val="00E968C5"/>
    <w:rsid w:val="00E96996"/>
    <w:rsid w:val="00E96F04"/>
    <w:rsid w:val="00EA0279"/>
    <w:rsid w:val="00EA0296"/>
    <w:rsid w:val="00EA0A4B"/>
    <w:rsid w:val="00EA10DC"/>
    <w:rsid w:val="00EA165E"/>
    <w:rsid w:val="00EA1A34"/>
    <w:rsid w:val="00EA239D"/>
    <w:rsid w:val="00EA33AE"/>
    <w:rsid w:val="00EA33E6"/>
    <w:rsid w:val="00EA3530"/>
    <w:rsid w:val="00EA452A"/>
    <w:rsid w:val="00EA50F9"/>
    <w:rsid w:val="00EA6FF6"/>
    <w:rsid w:val="00EA7194"/>
    <w:rsid w:val="00EA719A"/>
    <w:rsid w:val="00EA71A2"/>
    <w:rsid w:val="00EA7257"/>
    <w:rsid w:val="00EA79EE"/>
    <w:rsid w:val="00EA7BAD"/>
    <w:rsid w:val="00EA7E59"/>
    <w:rsid w:val="00EB011D"/>
    <w:rsid w:val="00EB0B76"/>
    <w:rsid w:val="00EB0BAF"/>
    <w:rsid w:val="00EB11DB"/>
    <w:rsid w:val="00EB166A"/>
    <w:rsid w:val="00EB1807"/>
    <w:rsid w:val="00EB264B"/>
    <w:rsid w:val="00EB2D08"/>
    <w:rsid w:val="00EB356C"/>
    <w:rsid w:val="00EB464A"/>
    <w:rsid w:val="00EB489E"/>
    <w:rsid w:val="00EB4CDF"/>
    <w:rsid w:val="00EB6B6A"/>
    <w:rsid w:val="00EB70A3"/>
    <w:rsid w:val="00EB7567"/>
    <w:rsid w:val="00EB7A35"/>
    <w:rsid w:val="00EC001A"/>
    <w:rsid w:val="00EC0549"/>
    <w:rsid w:val="00EC0C8F"/>
    <w:rsid w:val="00EC1543"/>
    <w:rsid w:val="00EC22A5"/>
    <w:rsid w:val="00EC2593"/>
    <w:rsid w:val="00EC259D"/>
    <w:rsid w:val="00EC2987"/>
    <w:rsid w:val="00EC33E8"/>
    <w:rsid w:val="00EC362D"/>
    <w:rsid w:val="00EC3660"/>
    <w:rsid w:val="00EC39F0"/>
    <w:rsid w:val="00EC3E27"/>
    <w:rsid w:val="00EC4408"/>
    <w:rsid w:val="00EC68E6"/>
    <w:rsid w:val="00EC758B"/>
    <w:rsid w:val="00EC7DCF"/>
    <w:rsid w:val="00ED139B"/>
    <w:rsid w:val="00ED18AA"/>
    <w:rsid w:val="00ED2BBE"/>
    <w:rsid w:val="00ED35AD"/>
    <w:rsid w:val="00ED36D6"/>
    <w:rsid w:val="00ED3B5F"/>
    <w:rsid w:val="00ED42BE"/>
    <w:rsid w:val="00ED4F99"/>
    <w:rsid w:val="00ED5CF8"/>
    <w:rsid w:val="00ED6863"/>
    <w:rsid w:val="00ED6ADE"/>
    <w:rsid w:val="00ED74C5"/>
    <w:rsid w:val="00EE07FE"/>
    <w:rsid w:val="00EE1834"/>
    <w:rsid w:val="00EE1990"/>
    <w:rsid w:val="00EE1C26"/>
    <w:rsid w:val="00EE206B"/>
    <w:rsid w:val="00EE2EF8"/>
    <w:rsid w:val="00EE4623"/>
    <w:rsid w:val="00EE4C67"/>
    <w:rsid w:val="00EE5240"/>
    <w:rsid w:val="00EE5B8F"/>
    <w:rsid w:val="00EE6AEC"/>
    <w:rsid w:val="00EE710F"/>
    <w:rsid w:val="00EF1239"/>
    <w:rsid w:val="00EF13F3"/>
    <w:rsid w:val="00EF16FC"/>
    <w:rsid w:val="00EF1ADE"/>
    <w:rsid w:val="00EF247D"/>
    <w:rsid w:val="00EF278F"/>
    <w:rsid w:val="00EF29AC"/>
    <w:rsid w:val="00EF3853"/>
    <w:rsid w:val="00EF394F"/>
    <w:rsid w:val="00EF3A17"/>
    <w:rsid w:val="00EF3F60"/>
    <w:rsid w:val="00EF455A"/>
    <w:rsid w:val="00EF4562"/>
    <w:rsid w:val="00EF46E3"/>
    <w:rsid w:val="00EF4EE9"/>
    <w:rsid w:val="00EF5279"/>
    <w:rsid w:val="00EF5F72"/>
    <w:rsid w:val="00EF724F"/>
    <w:rsid w:val="00EF7B9D"/>
    <w:rsid w:val="00F005D1"/>
    <w:rsid w:val="00F00F2D"/>
    <w:rsid w:val="00F014CA"/>
    <w:rsid w:val="00F022CE"/>
    <w:rsid w:val="00F02C9A"/>
    <w:rsid w:val="00F03672"/>
    <w:rsid w:val="00F03EE3"/>
    <w:rsid w:val="00F04841"/>
    <w:rsid w:val="00F04F6C"/>
    <w:rsid w:val="00F05107"/>
    <w:rsid w:val="00F054DB"/>
    <w:rsid w:val="00F056C4"/>
    <w:rsid w:val="00F0607D"/>
    <w:rsid w:val="00F068F2"/>
    <w:rsid w:val="00F06997"/>
    <w:rsid w:val="00F10878"/>
    <w:rsid w:val="00F1150D"/>
    <w:rsid w:val="00F11CF7"/>
    <w:rsid w:val="00F122E5"/>
    <w:rsid w:val="00F13348"/>
    <w:rsid w:val="00F13A85"/>
    <w:rsid w:val="00F1463F"/>
    <w:rsid w:val="00F14F95"/>
    <w:rsid w:val="00F150A9"/>
    <w:rsid w:val="00F15711"/>
    <w:rsid w:val="00F1574F"/>
    <w:rsid w:val="00F17E9E"/>
    <w:rsid w:val="00F203E2"/>
    <w:rsid w:val="00F204CA"/>
    <w:rsid w:val="00F2052A"/>
    <w:rsid w:val="00F20C7E"/>
    <w:rsid w:val="00F20CC0"/>
    <w:rsid w:val="00F20F77"/>
    <w:rsid w:val="00F218A6"/>
    <w:rsid w:val="00F21F00"/>
    <w:rsid w:val="00F220D1"/>
    <w:rsid w:val="00F2216A"/>
    <w:rsid w:val="00F22A30"/>
    <w:rsid w:val="00F23EC0"/>
    <w:rsid w:val="00F24547"/>
    <w:rsid w:val="00F24B3E"/>
    <w:rsid w:val="00F24CFD"/>
    <w:rsid w:val="00F25828"/>
    <w:rsid w:val="00F25B75"/>
    <w:rsid w:val="00F261DE"/>
    <w:rsid w:val="00F261EB"/>
    <w:rsid w:val="00F2699B"/>
    <w:rsid w:val="00F26B9A"/>
    <w:rsid w:val="00F278F3"/>
    <w:rsid w:val="00F27F52"/>
    <w:rsid w:val="00F30341"/>
    <w:rsid w:val="00F30439"/>
    <w:rsid w:val="00F30874"/>
    <w:rsid w:val="00F30E9F"/>
    <w:rsid w:val="00F318E2"/>
    <w:rsid w:val="00F31E22"/>
    <w:rsid w:val="00F321CB"/>
    <w:rsid w:val="00F321F8"/>
    <w:rsid w:val="00F323DF"/>
    <w:rsid w:val="00F32D15"/>
    <w:rsid w:val="00F32E03"/>
    <w:rsid w:val="00F33BE7"/>
    <w:rsid w:val="00F33C18"/>
    <w:rsid w:val="00F3413A"/>
    <w:rsid w:val="00F3510A"/>
    <w:rsid w:val="00F3540F"/>
    <w:rsid w:val="00F35DDD"/>
    <w:rsid w:val="00F36586"/>
    <w:rsid w:val="00F36A7E"/>
    <w:rsid w:val="00F36AD3"/>
    <w:rsid w:val="00F36CCD"/>
    <w:rsid w:val="00F378BB"/>
    <w:rsid w:val="00F404F7"/>
    <w:rsid w:val="00F41037"/>
    <w:rsid w:val="00F416E7"/>
    <w:rsid w:val="00F41D9F"/>
    <w:rsid w:val="00F42241"/>
    <w:rsid w:val="00F42321"/>
    <w:rsid w:val="00F42D8B"/>
    <w:rsid w:val="00F430C2"/>
    <w:rsid w:val="00F44422"/>
    <w:rsid w:val="00F447EC"/>
    <w:rsid w:val="00F457F3"/>
    <w:rsid w:val="00F45AB5"/>
    <w:rsid w:val="00F45DF8"/>
    <w:rsid w:val="00F460AB"/>
    <w:rsid w:val="00F46958"/>
    <w:rsid w:val="00F46B52"/>
    <w:rsid w:val="00F46D20"/>
    <w:rsid w:val="00F472E5"/>
    <w:rsid w:val="00F4775E"/>
    <w:rsid w:val="00F4787C"/>
    <w:rsid w:val="00F50220"/>
    <w:rsid w:val="00F502E8"/>
    <w:rsid w:val="00F508A9"/>
    <w:rsid w:val="00F51791"/>
    <w:rsid w:val="00F51F74"/>
    <w:rsid w:val="00F53752"/>
    <w:rsid w:val="00F53949"/>
    <w:rsid w:val="00F558D8"/>
    <w:rsid w:val="00F559A8"/>
    <w:rsid w:val="00F5649D"/>
    <w:rsid w:val="00F566F1"/>
    <w:rsid w:val="00F56B63"/>
    <w:rsid w:val="00F56C24"/>
    <w:rsid w:val="00F56FCA"/>
    <w:rsid w:val="00F57C3C"/>
    <w:rsid w:val="00F601B3"/>
    <w:rsid w:val="00F61D6E"/>
    <w:rsid w:val="00F62132"/>
    <w:rsid w:val="00F62CE0"/>
    <w:rsid w:val="00F62D36"/>
    <w:rsid w:val="00F633D9"/>
    <w:rsid w:val="00F63783"/>
    <w:rsid w:val="00F63969"/>
    <w:rsid w:val="00F642B5"/>
    <w:rsid w:val="00F64C09"/>
    <w:rsid w:val="00F64D8F"/>
    <w:rsid w:val="00F65C34"/>
    <w:rsid w:val="00F66066"/>
    <w:rsid w:val="00F661C2"/>
    <w:rsid w:val="00F66639"/>
    <w:rsid w:val="00F670E6"/>
    <w:rsid w:val="00F67B45"/>
    <w:rsid w:val="00F704DA"/>
    <w:rsid w:val="00F7075B"/>
    <w:rsid w:val="00F70D4C"/>
    <w:rsid w:val="00F70E2E"/>
    <w:rsid w:val="00F716E5"/>
    <w:rsid w:val="00F722F6"/>
    <w:rsid w:val="00F7248D"/>
    <w:rsid w:val="00F72765"/>
    <w:rsid w:val="00F75138"/>
    <w:rsid w:val="00F769CC"/>
    <w:rsid w:val="00F76C15"/>
    <w:rsid w:val="00F7722E"/>
    <w:rsid w:val="00F7743D"/>
    <w:rsid w:val="00F77AD1"/>
    <w:rsid w:val="00F77BF2"/>
    <w:rsid w:val="00F80EC0"/>
    <w:rsid w:val="00F81B89"/>
    <w:rsid w:val="00F82E6E"/>
    <w:rsid w:val="00F82FD3"/>
    <w:rsid w:val="00F83ECC"/>
    <w:rsid w:val="00F84351"/>
    <w:rsid w:val="00F8508A"/>
    <w:rsid w:val="00F85121"/>
    <w:rsid w:val="00F85A4C"/>
    <w:rsid w:val="00F85DC3"/>
    <w:rsid w:val="00F86414"/>
    <w:rsid w:val="00F90A7B"/>
    <w:rsid w:val="00F92613"/>
    <w:rsid w:val="00F92EE1"/>
    <w:rsid w:val="00F93485"/>
    <w:rsid w:val="00F948D2"/>
    <w:rsid w:val="00F94E3F"/>
    <w:rsid w:val="00F95327"/>
    <w:rsid w:val="00F96065"/>
    <w:rsid w:val="00F9701C"/>
    <w:rsid w:val="00F97372"/>
    <w:rsid w:val="00F97522"/>
    <w:rsid w:val="00F975DF"/>
    <w:rsid w:val="00F976EE"/>
    <w:rsid w:val="00FA0013"/>
    <w:rsid w:val="00FA1FF2"/>
    <w:rsid w:val="00FA2BCC"/>
    <w:rsid w:val="00FA3270"/>
    <w:rsid w:val="00FA3533"/>
    <w:rsid w:val="00FA3DBF"/>
    <w:rsid w:val="00FA45AF"/>
    <w:rsid w:val="00FA4E5E"/>
    <w:rsid w:val="00FA5387"/>
    <w:rsid w:val="00FA57B3"/>
    <w:rsid w:val="00FA59F6"/>
    <w:rsid w:val="00FA5A3E"/>
    <w:rsid w:val="00FA65B8"/>
    <w:rsid w:val="00FA69DB"/>
    <w:rsid w:val="00FB0056"/>
    <w:rsid w:val="00FB0AB7"/>
    <w:rsid w:val="00FB0B7E"/>
    <w:rsid w:val="00FB117C"/>
    <w:rsid w:val="00FB1C86"/>
    <w:rsid w:val="00FB22EE"/>
    <w:rsid w:val="00FB25A7"/>
    <w:rsid w:val="00FB2A57"/>
    <w:rsid w:val="00FB323B"/>
    <w:rsid w:val="00FB328F"/>
    <w:rsid w:val="00FB3D56"/>
    <w:rsid w:val="00FB4315"/>
    <w:rsid w:val="00FB45D9"/>
    <w:rsid w:val="00FB4A3C"/>
    <w:rsid w:val="00FB57F4"/>
    <w:rsid w:val="00FB6452"/>
    <w:rsid w:val="00FB7031"/>
    <w:rsid w:val="00FB7461"/>
    <w:rsid w:val="00FC0017"/>
    <w:rsid w:val="00FC0188"/>
    <w:rsid w:val="00FC01BC"/>
    <w:rsid w:val="00FC0383"/>
    <w:rsid w:val="00FC0755"/>
    <w:rsid w:val="00FC0BC7"/>
    <w:rsid w:val="00FC1D75"/>
    <w:rsid w:val="00FC364D"/>
    <w:rsid w:val="00FC3AD8"/>
    <w:rsid w:val="00FC466E"/>
    <w:rsid w:val="00FC4E52"/>
    <w:rsid w:val="00FC5164"/>
    <w:rsid w:val="00FC5DFC"/>
    <w:rsid w:val="00FC6E54"/>
    <w:rsid w:val="00FC709D"/>
    <w:rsid w:val="00FC782E"/>
    <w:rsid w:val="00FC7934"/>
    <w:rsid w:val="00FD0510"/>
    <w:rsid w:val="00FD0B65"/>
    <w:rsid w:val="00FD21B7"/>
    <w:rsid w:val="00FD232E"/>
    <w:rsid w:val="00FD2373"/>
    <w:rsid w:val="00FD32C3"/>
    <w:rsid w:val="00FD349E"/>
    <w:rsid w:val="00FD49B4"/>
    <w:rsid w:val="00FD4A7E"/>
    <w:rsid w:val="00FD4A87"/>
    <w:rsid w:val="00FD52E8"/>
    <w:rsid w:val="00FD5F40"/>
    <w:rsid w:val="00FD68F3"/>
    <w:rsid w:val="00FD7376"/>
    <w:rsid w:val="00FD7948"/>
    <w:rsid w:val="00FE00C9"/>
    <w:rsid w:val="00FE1305"/>
    <w:rsid w:val="00FE1A37"/>
    <w:rsid w:val="00FE2EAC"/>
    <w:rsid w:val="00FE38AB"/>
    <w:rsid w:val="00FE3FDB"/>
    <w:rsid w:val="00FE50AB"/>
    <w:rsid w:val="00FE58D0"/>
    <w:rsid w:val="00FE5931"/>
    <w:rsid w:val="00FE7190"/>
    <w:rsid w:val="00FF2650"/>
    <w:rsid w:val="00FF275C"/>
    <w:rsid w:val="00FF2823"/>
    <w:rsid w:val="00FF336B"/>
    <w:rsid w:val="00FF433D"/>
    <w:rsid w:val="00FF4E98"/>
    <w:rsid w:val="00FF5099"/>
    <w:rsid w:val="00FF56EF"/>
    <w:rsid w:val="00FF5734"/>
    <w:rsid w:val="00FF57EA"/>
    <w:rsid w:val="00FF62B8"/>
    <w:rsid w:val="00FF6BF1"/>
    <w:rsid w:val="00FF6ED0"/>
    <w:rsid w:val="00FF7764"/>
    <w:rsid w:val="00FF7CC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C3A707"/>
  <w15:docId w15:val="{AB88672E-4754-432F-B5B6-099608B6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6CC9"/>
    <w:rPr>
      <w:lang w:val="sq-AL"/>
    </w:rPr>
  </w:style>
  <w:style w:type="paragraph" w:styleId="Heading1">
    <w:name w:val="heading 1"/>
    <w:basedOn w:val="Normal"/>
    <w:next w:val="Normal"/>
    <w:link w:val="Heading1Char"/>
    <w:qFormat/>
    <w:rsid w:val="009B3F22"/>
    <w:pPr>
      <w:keepNext/>
      <w:outlineLvl w:val="0"/>
    </w:pPr>
    <w:rPr>
      <w:b/>
      <w:sz w:val="28"/>
      <w:lang w:val="en-IE"/>
    </w:rPr>
  </w:style>
  <w:style w:type="paragraph" w:styleId="Heading2">
    <w:name w:val="heading 2"/>
    <w:aliases w:val="Heading 2 Char Char,Reset numbering,PARA2,PARA21,Major1,PARA22,Subhead1"/>
    <w:basedOn w:val="Normal"/>
    <w:next w:val="Normal"/>
    <w:link w:val="Heading2Char1"/>
    <w:qFormat/>
    <w:rsid w:val="009B3F22"/>
    <w:pPr>
      <w:keepNext/>
      <w:spacing w:before="240" w:after="60"/>
      <w:outlineLvl w:val="1"/>
    </w:pPr>
    <w:rPr>
      <w:b/>
      <w:bCs/>
      <w:szCs w:val="28"/>
    </w:rPr>
  </w:style>
  <w:style w:type="paragraph" w:styleId="Heading3">
    <w:name w:val="heading 3"/>
    <w:aliases w:val="Level 1 - 1,Section heading level 1,Section Heading Level 1"/>
    <w:basedOn w:val="Normal"/>
    <w:next w:val="BodyText"/>
    <w:link w:val="Heading3Char"/>
    <w:qFormat/>
    <w:rsid w:val="009B3F22"/>
    <w:pPr>
      <w:keepNext/>
      <w:keepLines/>
      <w:spacing w:before="240" w:after="80"/>
      <w:outlineLvl w:val="2"/>
    </w:pPr>
    <w:rPr>
      <w:b/>
      <w:kern w:val="28"/>
      <w:sz w:val="22"/>
    </w:rPr>
  </w:style>
  <w:style w:type="paragraph" w:styleId="Heading4">
    <w:name w:val="heading 4"/>
    <w:basedOn w:val="Normal"/>
    <w:next w:val="Normal"/>
    <w:link w:val="Heading4Char"/>
    <w:qFormat/>
    <w:rsid w:val="009B3F22"/>
    <w:pPr>
      <w:keepNext/>
      <w:spacing w:before="240" w:after="60"/>
      <w:outlineLvl w:val="3"/>
    </w:pPr>
    <w:rPr>
      <w:b/>
      <w:bCs/>
      <w:sz w:val="28"/>
      <w:szCs w:val="28"/>
    </w:rPr>
  </w:style>
  <w:style w:type="paragraph" w:styleId="Heading5">
    <w:name w:val="heading 5"/>
    <w:aliases w:val="Level 3 - i"/>
    <w:basedOn w:val="Normal"/>
    <w:next w:val="Normal"/>
    <w:link w:val="Heading5Char"/>
    <w:qFormat/>
    <w:rsid w:val="009B3F22"/>
    <w:pPr>
      <w:spacing w:before="240" w:after="60"/>
      <w:outlineLvl w:val="4"/>
    </w:pPr>
    <w:rPr>
      <w:b/>
      <w:bCs/>
      <w:i/>
      <w:iCs/>
      <w:sz w:val="26"/>
      <w:szCs w:val="26"/>
    </w:rPr>
  </w:style>
  <w:style w:type="paragraph" w:styleId="Heading6">
    <w:name w:val="heading 6"/>
    <w:basedOn w:val="Normal"/>
    <w:next w:val="Normal"/>
    <w:link w:val="Heading6Char"/>
    <w:qFormat/>
    <w:rsid w:val="009B3F22"/>
    <w:pPr>
      <w:spacing w:before="240" w:after="60"/>
      <w:outlineLvl w:val="5"/>
    </w:pPr>
    <w:rPr>
      <w:b/>
      <w:bCs/>
      <w:sz w:val="22"/>
      <w:szCs w:val="22"/>
    </w:rPr>
  </w:style>
  <w:style w:type="paragraph" w:styleId="Heading7">
    <w:name w:val="heading 7"/>
    <w:basedOn w:val="Normal"/>
    <w:next w:val="Normal"/>
    <w:link w:val="Heading7Char"/>
    <w:qFormat/>
    <w:rsid w:val="009B3F22"/>
    <w:pPr>
      <w:spacing w:before="240" w:after="60"/>
      <w:outlineLvl w:val="6"/>
    </w:pPr>
  </w:style>
  <w:style w:type="paragraph" w:styleId="Heading8">
    <w:name w:val="heading 8"/>
    <w:basedOn w:val="Normal"/>
    <w:next w:val="Normal"/>
    <w:link w:val="Heading8Char"/>
    <w:qFormat/>
    <w:rsid w:val="009B3F22"/>
    <w:pPr>
      <w:spacing w:before="240" w:after="60"/>
      <w:outlineLvl w:val="7"/>
    </w:pPr>
    <w:rPr>
      <w:i/>
      <w:iCs/>
    </w:rPr>
  </w:style>
  <w:style w:type="paragraph" w:styleId="Heading9">
    <w:name w:val="heading 9"/>
    <w:basedOn w:val="Normal"/>
    <w:next w:val="Normal"/>
    <w:link w:val="Heading9Char"/>
    <w:qFormat/>
    <w:rsid w:val="009B3F22"/>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A - Corps de texte,TextMG"/>
    <w:basedOn w:val="Normal"/>
    <w:link w:val="BodyTextChar"/>
    <w:rsid w:val="009B3F22"/>
    <w:pPr>
      <w:spacing w:after="120"/>
    </w:pPr>
    <w:rPr>
      <w:sz w:val="20"/>
      <w:szCs w:val="20"/>
    </w:rPr>
  </w:style>
  <w:style w:type="paragraph" w:styleId="Footer">
    <w:name w:val="footer"/>
    <w:basedOn w:val="Normal"/>
    <w:link w:val="FooterChar"/>
    <w:rsid w:val="009B3F22"/>
    <w:pPr>
      <w:keepLines/>
      <w:tabs>
        <w:tab w:val="center" w:pos="4320"/>
        <w:tab w:val="right" w:pos="8640"/>
      </w:tabs>
    </w:pPr>
    <w:rPr>
      <w:sz w:val="20"/>
      <w:szCs w:val="20"/>
    </w:rPr>
  </w:style>
  <w:style w:type="paragraph" w:styleId="Header">
    <w:name w:val="header"/>
    <w:basedOn w:val="Normal"/>
    <w:link w:val="HeaderChar"/>
    <w:uiPriority w:val="99"/>
    <w:rsid w:val="009B3F22"/>
    <w:pPr>
      <w:keepLines/>
      <w:tabs>
        <w:tab w:val="center" w:pos="4320"/>
        <w:tab w:val="right" w:pos="8640"/>
      </w:tabs>
    </w:pPr>
    <w:rPr>
      <w:sz w:val="20"/>
      <w:szCs w:val="20"/>
    </w:rPr>
  </w:style>
  <w:style w:type="paragraph" w:customStyle="1" w:styleId="Pages">
    <w:name w:val="Pages"/>
    <w:basedOn w:val="BodyText"/>
    <w:rsid w:val="009B3F22"/>
    <w:pPr>
      <w:spacing w:after="0"/>
    </w:pPr>
    <w:rPr>
      <w:rFonts w:ascii="Arial" w:hAnsi="Arial"/>
      <w:b/>
    </w:rPr>
  </w:style>
  <w:style w:type="character" w:styleId="PageNumber">
    <w:name w:val="page number"/>
    <w:rsid w:val="009B3F22"/>
    <w:rPr>
      <w:b/>
    </w:rPr>
  </w:style>
  <w:style w:type="character" w:styleId="Hyperlink">
    <w:name w:val="Hyperlink"/>
    <w:uiPriority w:val="99"/>
    <w:rsid w:val="009B3F22"/>
    <w:rPr>
      <w:color w:val="0000FF"/>
      <w:u w:val="single"/>
    </w:rPr>
  </w:style>
  <w:style w:type="paragraph" w:styleId="TOC2">
    <w:name w:val="toc 2"/>
    <w:basedOn w:val="Normal"/>
    <w:next w:val="Normal"/>
    <w:autoRedefine/>
    <w:uiPriority w:val="39"/>
    <w:rsid w:val="00866A35"/>
    <w:pPr>
      <w:ind w:left="240"/>
    </w:pPr>
    <w:rPr>
      <w:rFonts w:asciiTheme="minorHAnsi" w:hAnsiTheme="minorHAnsi"/>
      <w:b/>
      <w:sz w:val="22"/>
      <w:szCs w:val="22"/>
    </w:rPr>
  </w:style>
  <w:style w:type="paragraph" w:styleId="TOC3">
    <w:name w:val="toc 3"/>
    <w:basedOn w:val="Normal"/>
    <w:next w:val="Normal"/>
    <w:autoRedefine/>
    <w:uiPriority w:val="39"/>
    <w:rsid w:val="00A37535"/>
    <w:pPr>
      <w:ind w:left="480"/>
    </w:pPr>
    <w:rPr>
      <w:rFonts w:asciiTheme="minorHAnsi" w:hAnsiTheme="minorHAnsi"/>
      <w:sz w:val="22"/>
      <w:szCs w:val="22"/>
    </w:rPr>
  </w:style>
  <w:style w:type="character" w:styleId="FollowedHyperlink">
    <w:name w:val="FollowedHyperlink"/>
    <w:uiPriority w:val="99"/>
    <w:rsid w:val="009B3F22"/>
    <w:rPr>
      <w:color w:val="800080"/>
      <w:u w:val="single"/>
    </w:rPr>
  </w:style>
  <w:style w:type="paragraph" w:styleId="BodyText2">
    <w:name w:val="Body Text 2"/>
    <w:basedOn w:val="Normal"/>
    <w:link w:val="BodyText2Char"/>
    <w:rsid w:val="009B3F22"/>
    <w:pPr>
      <w:spacing w:after="120" w:line="480" w:lineRule="auto"/>
    </w:pPr>
    <w:rPr>
      <w:sz w:val="20"/>
      <w:szCs w:val="20"/>
    </w:rPr>
  </w:style>
  <w:style w:type="paragraph" w:styleId="TOC1">
    <w:name w:val="toc 1"/>
    <w:basedOn w:val="Normal"/>
    <w:next w:val="Normal"/>
    <w:autoRedefine/>
    <w:uiPriority w:val="39"/>
    <w:rsid w:val="00D11982"/>
    <w:pPr>
      <w:pBdr>
        <w:bottom w:val="single" w:sz="6" w:space="1" w:color="auto"/>
      </w:pBdr>
      <w:tabs>
        <w:tab w:val="left" w:pos="574"/>
        <w:tab w:val="right" w:leader="dot" w:pos="8751"/>
      </w:tabs>
      <w:spacing w:before="40"/>
      <w:ind w:left="992" w:hanging="425"/>
    </w:pPr>
    <w:rPr>
      <w:rFonts w:asciiTheme="majorHAnsi" w:hAnsiTheme="majorHAnsi"/>
      <w:b/>
      <w:noProof/>
      <w:color w:val="1F497D" w:themeColor="text2"/>
    </w:rPr>
  </w:style>
  <w:style w:type="paragraph" w:styleId="FootnoteText">
    <w:name w:val="footnote text"/>
    <w:aliases w:val="single space,footnote text,ft,FOOTNOTES,fn,Footnote Text Char Char Char Char,Footnote Text Char Char Char,ADB,Footnote Text Char Char Char Char Char,Footnote Text Char Char1,ALTS FOOTNOTE,Footnote Text Char2 Char"/>
    <w:basedOn w:val="Normal"/>
    <w:link w:val="FootnoteTextChar1"/>
    <w:uiPriority w:val="99"/>
    <w:qFormat/>
    <w:rsid w:val="00405B9D"/>
  </w:style>
  <w:style w:type="character" w:styleId="FootnoteReference">
    <w:name w:val="footnote reference"/>
    <w:aliases w:val="ftref,Fodnotehenvisning1,Footnote,BVI fnr Char,BVI fnr Car Car Char,BVI fnr Car Char,BVI fnr Car Car Car Car Char,BVI fnr Car Car Car Car Char Char Char, BVI fnr Char, BVI fnr Car Car Char, BVI fnr Car Car Car Car Char,fr,16 Point,Ref"/>
    <w:link w:val="Char2"/>
    <w:uiPriority w:val="99"/>
    <w:rsid w:val="00405B9D"/>
    <w:rPr>
      <w:bdr w:val="none" w:sz="0" w:space="0" w:color="auto"/>
      <w:vertAlign w:val="superscript"/>
    </w:rPr>
  </w:style>
  <w:style w:type="paragraph" w:customStyle="1" w:styleId="Normal1">
    <w:name w:val="Normal1"/>
    <w:basedOn w:val="Normal"/>
    <w:rsid w:val="009B3F22"/>
    <w:rPr>
      <w:rFonts w:ascii="CG Times" w:hAnsi="CG Times"/>
      <w:color w:val="000000"/>
    </w:rPr>
  </w:style>
  <w:style w:type="paragraph" w:styleId="ListBullet">
    <w:name w:val="List Bullet"/>
    <w:basedOn w:val="Normal"/>
    <w:autoRedefine/>
    <w:rsid w:val="009B3F22"/>
    <w:pPr>
      <w:numPr>
        <w:numId w:val="1"/>
      </w:numPr>
    </w:pPr>
  </w:style>
  <w:style w:type="character" w:styleId="CommentReference">
    <w:name w:val="annotation reference"/>
    <w:uiPriority w:val="99"/>
    <w:rsid w:val="009B3F22"/>
    <w:rPr>
      <w:sz w:val="16"/>
      <w:szCs w:val="16"/>
    </w:rPr>
  </w:style>
  <w:style w:type="paragraph" w:styleId="CommentText">
    <w:name w:val="annotation text"/>
    <w:basedOn w:val="Normal"/>
    <w:link w:val="CommentTextChar"/>
    <w:uiPriority w:val="99"/>
    <w:rsid w:val="009B3F22"/>
    <w:rPr>
      <w:sz w:val="20"/>
      <w:szCs w:val="20"/>
    </w:rPr>
  </w:style>
  <w:style w:type="paragraph" w:styleId="BodyTextIndent">
    <w:name w:val="Body Text Indent"/>
    <w:basedOn w:val="Normal"/>
    <w:link w:val="BodyTextIndentChar"/>
    <w:rsid w:val="009B3F22"/>
    <w:pPr>
      <w:spacing w:before="180"/>
      <w:ind w:left="360" w:hanging="180"/>
    </w:pPr>
    <w:rPr>
      <w:sz w:val="20"/>
      <w:szCs w:val="20"/>
    </w:rPr>
  </w:style>
  <w:style w:type="paragraph" w:styleId="BodyTextIndent2">
    <w:name w:val="Body Text Indent 2"/>
    <w:basedOn w:val="Normal"/>
    <w:rsid w:val="009B3F22"/>
    <w:pPr>
      <w:ind w:left="720"/>
      <w:jc w:val="both"/>
    </w:pPr>
    <w:rPr>
      <w:sz w:val="22"/>
      <w:szCs w:val="22"/>
    </w:rPr>
  </w:style>
  <w:style w:type="paragraph" w:styleId="BodyText3">
    <w:name w:val="Body Text 3"/>
    <w:basedOn w:val="Normal"/>
    <w:link w:val="BodyText3Char"/>
    <w:rsid w:val="009B3F22"/>
    <w:pPr>
      <w:spacing w:after="120"/>
    </w:pPr>
    <w:rPr>
      <w:sz w:val="16"/>
      <w:szCs w:val="16"/>
    </w:rPr>
  </w:style>
  <w:style w:type="paragraph" w:styleId="TOC4">
    <w:name w:val="toc 4"/>
    <w:basedOn w:val="Normal"/>
    <w:next w:val="Normal"/>
    <w:autoRedefine/>
    <w:uiPriority w:val="39"/>
    <w:semiHidden/>
    <w:rsid w:val="009B3F22"/>
    <w:pPr>
      <w:ind w:left="720"/>
    </w:pPr>
    <w:rPr>
      <w:rFonts w:asciiTheme="minorHAnsi" w:hAnsiTheme="minorHAnsi"/>
      <w:sz w:val="20"/>
      <w:szCs w:val="20"/>
    </w:rPr>
  </w:style>
  <w:style w:type="paragraph" w:styleId="TOC5">
    <w:name w:val="toc 5"/>
    <w:basedOn w:val="Normal"/>
    <w:next w:val="Normal"/>
    <w:autoRedefine/>
    <w:uiPriority w:val="39"/>
    <w:semiHidden/>
    <w:rsid w:val="009B3F22"/>
    <w:pPr>
      <w:ind w:left="960"/>
    </w:pPr>
    <w:rPr>
      <w:rFonts w:asciiTheme="minorHAnsi" w:hAnsiTheme="minorHAnsi"/>
      <w:sz w:val="20"/>
      <w:szCs w:val="20"/>
    </w:rPr>
  </w:style>
  <w:style w:type="paragraph" w:styleId="TOC6">
    <w:name w:val="toc 6"/>
    <w:basedOn w:val="Normal"/>
    <w:next w:val="Normal"/>
    <w:autoRedefine/>
    <w:uiPriority w:val="39"/>
    <w:semiHidden/>
    <w:rsid w:val="009B3F22"/>
    <w:pPr>
      <w:ind w:left="1200"/>
    </w:pPr>
    <w:rPr>
      <w:rFonts w:asciiTheme="minorHAnsi" w:hAnsiTheme="minorHAnsi"/>
      <w:sz w:val="20"/>
      <w:szCs w:val="20"/>
    </w:rPr>
  </w:style>
  <w:style w:type="paragraph" w:styleId="TOC7">
    <w:name w:val="toc 7"/>
    <w:basedOn w:val="Normal"/>
    <w:next w:val="Normal"/>
    <w:autoRedefine/>
    <w:uiPriority w:val="39"/>
    <w:semiHidden/>
    <w:rsid w:val="009B3F22"/>
    <w:pPr>
      <w:ind w:left="1440"/>
    </w:pPr>
    <w:rPr>
      <w:rFonts w:asciiTheme="minorHAnsi" w:hAnsiTheme="minorHAnsi"/>
      <w:sz w:val="20"/>
      <w:szCs w:val="20"/>
    </w:rPr>
  </w:style>
  <w:style w:type="paragraph" w:styleId="TOC8">
    <w:name w:val="toc 8"/>
    <w:basedOn w:val="Normal"/>
    <w:next w:val="Normal"/>
    <w:autoRedefine/>
    <w:uiPriority w:val="39"/>
    <w:semiHidden/>
    <w:rsid w:val="009B3F22"/>
    <w:pPr>
      <w:ind w:left="1680"/>
    </w:pPr>
    <w:rPr>
      <w:rFonts w:asciiTheme="minorHAnsi" w:hAnsiTheme="minorHAnsi"/>
      <w:sz w:val="20"/>
      <w:szCs w:val="20"/>
    </w:rPr>
  </w:style>
  <w:style w:type="paragraph" w:styleId="TOC9">
    <w:name w:val="toc 9"/>
    <w:basedOn w:val="Normal"/>
    <w:next w:val="Normal"/>
    <w:autoRedefine/>
    <w:uiPriority w:val="39"/>
    <w:semiHidden/>
    <w:rsid w:val="009B3F22"/>
    <w:pPr>
      <w:ind w:left="1920"/>
    </w:pPr>
    <w:rPr>
      <w:rFonts w:asciiTheme="minorHAnsi" w:hAnsiTheme="minorHAnsi"/>
      <w:sz w:val="20"/>
      <w:szCs w:val="20"/>
    </w:rPr>
  </w:style>
  <w:style w:type="paragraph" w:styleId="BodyTextIndent3">
    <w:name w:val="Body Text Indent 3"/>
    <w:basedOn w:val="Normal"/>
    <w:rsid w:val="009B3F22"/>
    <w:pPr>
      <w:ind w:left="60"/>
      <w:jc w:val="both"/>
    </w:pPr>
    <w:rPr>
      <w:sz w:val="22"/>
    </w:rPr>
  </w:style>
  <w:style w:type="paragraph" w:styleId="Subtitle">
    <w:name w:val="Subtitle"/>
    <w:basedOn w:val="Normal"/>
    <w:qFormat/>
    <w:rsid w:val="009B3F22"/>
    <w:pPr>
      <w:jc w:val="both"/>
    </w:pPr>
    <w:rPr>
      <w:b/>
      <w:bCs/>
    </w:rPr>
  </w:style>
  <w:style w:type="paragraph" w:styleId="TableofFigures">
    <w:name w:val="table of figures"/>
    <w:basedOn w:val="Normal"/>
    <w:next w:val="Normal"/>
    <w:semiHidden/>
    <w:rsid w:val="009B3F22"/>
    <w:pPr>
      <w:ind w:left="480" w:hanging="480"/>
    </w:pPr>
  </w:style>
  <w:style w:type="table" w:styleId="TableGrid">
    <w:name w:val="Table Grid"/>
    <w:basedOn w:val="TableNormal"/>
    <w:uiPriority w:val="59"/>
    <w:rsid w:val="00B55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5A16F1"/>
  </w:style>
  <w:style w:type="character" w:customStyle="1" w:styleId="Heading2Char1">
    <w:name w:val="Heading 2 Char1"/>
    <w:aliases w:val="Heading 2 Char Char Char,Reset numbering Char,PARA2 Char,PARA21 Char,Major1 Char,PARA22 Char,Subhead1 Char"/>
    <w:link w:val="Heading2"/>
    <w:rsid w:val="00196E0F"/>
    <w:rPr>
      <w:b/>
      <w:bCs/>
      <w:sz w:val="24"/>
      <w:szCs w:val="28"/>
      <w:lang w:val="en-GB"/>
    </w:rPr>
  </w:style>
  <w:style w:type="character" w:customStyle="1" w:styleId="Heading2CharCharCharChar">
    <w:name w:val="Heading 2 Char Char Char Char"/>
    <w:rsid w:val="00707D6E"/>
    <w:rPr>
      <w:b/>
      <w:bCs/>
      <w:sz w:val="24"/>
      <w:szCs w:val="28"/>
      <w:lang w:val="en-GB" w:eastAsia="en-US" w:bidi="ar-SA"/>
    </w:rPr>
  </w:style>
  <w:style w:type="paragraph" w:customStyle="1" w:styleId="NEI-NormaalPalatino11">
    <w:name w:val="NEI - Normaal (Palatino 11)"/>
    <w:basedOn w:val="Normal"/>
    <w:rsid w:val="00F81EF3"/>
    <w:pPr>
      <w:widowControl w:val="0"/>
      <w:jc w:val="both"/>
    </w:pPr>
    <w:rPr>
      <w:rFonts w:ascii="Palatino" w:hAnsi="Palatino" w:cs="Mangal"/>
      <w:sz w:val="22"/>
      <w:szCs w:val="22"/>
      <w:lang w:val="nl" w:bidi="ne-NP"/>
    </w:rPr>
  </w:style>
  <w:style w:type="paragraph" w:styleId="CommentSubject">
    <w:name w:val="annotation subject"/>
    <w:basedOn w:val="CommentText"/>
    <w:next w:val="CommentText"/>
    <w:semiHidden/>
    <w:rsid w:val="00F525E3"/>
    <w:rPr>
      <w:b/>
      <w:bCs/>
    </w:rPr>
  </w:style>
  <w:style w:type="paragraph" w:styleId="BalloonText">
    <w:name w:val="Balloon Text"/>
    <w:basedOn w:val="Normal"/>
    <w:link w:val="BalloonTextChar"/>
    <w:uiPriority w:val="99"/>
    <w:rsid w:val="00F525E3"/>
    <w:rPr>
      <w:rFonts w:ascii="Tahoma" w:hAnsi="Tahoma"/>
      <w:sz w:val="16"/>
      <w:szCs w:val="16"/>
    </w:rPr>
  </w:style>
  <w:style w:type="paragraph" w:customStyle="1" w:styleId="Titel3">
    <w:name w:val="Titel 3"/>
    <w:basedOn w:val="Normal"/>
    <w:next w:val="BodyText"/>
    <w:autoRedefine/>
    <w:rsid w:val="006826D4"/>
    <w:pPr>
      <w:widowControl w:val="0"/>
      <w:tabs>
        <w:tab w:val="left" w:pos="1418"/>
        <w:tab w:val="right" w:pos="8505"/>
      </w:tabs>
      <w:autoSpaceDE w:val="0"/>
      <w:autoSpaceDN w:val="0"/>
      <w:adjustRightInd w:val="0"/>
      <w:spacing w:before="120" w:after="120"/>
      <w:ind w:left="1418" w:hanging="1418"/>
      <w:jc w:val="both"/>
    </w:pPr>
    <w:rPr>
      <w:b/>
      <w:i/>
      <w:iCs/>
      <w:lang w:val="fr-FR" w:eastAsia="fr-FR"/>
    </w:rPr>
  </w:style>
  <w:style w:type="paragraph" w:styleId="Title">
    <w:name w:val="Title"/>
    <w:basedOn w:val="Normal"/>
    <w:qFormat/>
    <w:rsid w:val="0059434B"/>
    <w:pPr>
      <w:jc w:val="center"/>
    </w:pPr>
    <w:rPr>
      <w:b/>
      <w:bCs/>
      <w:sz w:val="28"/>
      <w:szCs w:val="28"/>
      <w:lang w:val="fr-FR" w:eastAsia="fr-FR"/>
    </w:rPr>
  </w:style>
  <w:style w:type="paragraph" w:customStyle="1" w:styleId="Headline2">
    <w:name w:val="Headline 2"/>
    <w:basedOn w:val="Normal"/>
    <w:rsid w:val="0089060D"/>
    <w:pPr>
      <w:jc w:val="both"/>
    </w:pPr>
    <w:rPr>
      <w:b/>
      <w:sz w:val="28"/>
      <w:lang w:val="en-US"/>
    </w:rPr>
  </w:style>
  <w:style w:type="paragraph" w:customStyle="1" w:styleId="Indentquote">
    <w:name w:val="Indent quote"/>
    <w:basedOn w:val="Normal"/>
    <w:rsid w:val="0089060D"/>
    <w:pPr>
      <w:tabs>
        <w:tab w:val="num" w:pos="1200"/>
      </w:tabs>
      <w:ind w:left="1200" w:hanging="360"/>
    </w:pPr>
    <w:rPr>
      <w:lang w:val="en-US"/>
    </w:rPr>
  </w:style>
  <w:style w:type="paragraph" w:styleId="Quote">
    <w:name w:val="Quote"/>
    <w:basedOn w:val="BodyTextIndent"/>
    <w:qFormat/>
    <w:rsid w:val="0089060D"/>
    <w:pPr>
      <w:tabs>
        <w:tab w:val="left" w:pos="7920"/>
        <w:tab w:val="left" w:pos="8640"/>
      </w:tabs>
      <w:spacing w:before="0"/>
      <w:ind w:left="720" w:right="720" w:firstLine="0"/>
      <w:jc w:val="both"/>
    </w:pPr>
    <w:rPr>
      <w:i/>
      <w:iCs/>
      <w:sz w:val="24"/>
      <w:szCs w:val="24"/>
      <w:lang w:val="en-US"/>
    </w:rPr>
  </w:style>
  <w:style w:type="paragraph" w:customStyle="1" w:styleId="TextbulletpointCharChar">
    <w:name w:val="Text bullet point Char Char"/>
    <w:basedOn w:val="Normal"/>
    <w:rsid w:val="0089060D"/>
    <w:pPr>
      <w:tabs>
        <w:tab w:val="num" w:pos="360"/>
      </w:tabs>
      <w:ind w:left="360" w:hanging="360"/>
      <w:jc w:val="both"/>
    </w:pPr>
    <w:rPr>
      <w:lang w:val="en-US"/>
    </w:rPr>
  </w:style>
  <w:style w:type="paragraph" w:customStyle="1" w:styleId="xl40">
    <w:name w:val="xl40"/>
    <w:basedOn w:val="Normal"/>
    <w:rsid w:val="004070BB"/>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w:hAnsi="Times"/>
      <w:lang w:val="en-US"/>
    </w:rPr>
  </w:style>
  <w:style w:type="paragraph" w:customStyle="1" w:styleId="xl25">
    <w:name w:val="xl25"/>
    <w:basedOn w:val="Normal"/>
    <w:rsid w:val="004070BB"/>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b/>
      <w:i/>
      <w:lang w:val="en-US"/>
    </w:rPr>
  </w:style>
  <w:style w:type="paragraph" w:customStyle="1" w:styleId="xl26">
    <w:name w:val="xl26"/>
    <w:basedOn w:val="Normal"/>
    <w:rsid w:val="004070BB"/>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b/>
      <w:lang w:val="en-US"/>
    </w:rPr>
  </w:style>
  <w:style w:type="paragraph" w:customStyle="1" w:styleId="xl27">
    <w:name w:val="xl27"/>
    <w:basedOn w:val="Normal"/>
    <w:rsid w:val="004070BB"/>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w:hAnsi="Times"/>
      <w:lang w:val="en-US"/>
    </w:rPr>
  </w:style>
  <w:style w:type="paragraph" w:customStyle="1" w:styleId="xl28">
    <w:name w:val="xl28"/>
    <w:basedOn w:val="Normal"/>
    <w:rsid w:val="004070BB"/>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w:hAnsi="Times"/>
      <w:lang w:val="en-US"/>
    </w:rPr>
  </w:style>
  <w:style w:type="paragraph" w:customStyle="1" w:styleId="xl39">
    <w:name w:val="xl39"/>
    <w:basedOn w:val="Normal"/>
    <w:rsid w:val="004070BB"/>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w:hAnsi="Times"/>
      <w:lang w:val="en-US"/>
    </w:rPr>
  </w:style>
  <w:style w:type="paragraph" w:customStyle="1" w:styleId="xl29">
    <w:name w:val="xl29"/>
    <w:basedOn w:val="Normal"/>
    <w:rsid w:val="004070BB"/>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w:hAnsi="Times"/>
      <w:lang w:val="en-US"/>
    </w:rPr>
  </w:style>
  <w:style w:type="paragraph" w:customStyle="1" w:styleId="xl30">
    <w:name w:val="xl30"/>
    <w:basedOn w:val="Normal"/>
    <w:rsid w:val="004070B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b/>
      <w:i/>
      <w:lang w:val="en-US"/>
    </w:rPr>
  </w:style>
  <w:style w:type="paragraph" w:customStyle="1" w:styleId="xl31">
    <w:name w:val="xl31"/>
    <w:basedOn w:val="Normal"/>
    <w:rsid w:val="004070B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b/>
      <w:i/>
      <w:lang w:val="en-US"/>
    </w:rPr>
  </w:style>
  <w:style w:type="paragraph" w:customStyle="1" w:styleId="xl32">
    <w:name w:val="xl32"/>
    <w:basedOn w:val="Normal"/>
    <w:rsid w:val="004070BB"/>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w:hAnsi="Times"/>
      <w:lang w:val="en-US"/>
    </w:rPr>
  </w:style>
  <w:style w:type="paragraph" w:customStyle="1" w:styleId="Normal3">
    <w:name w:val="Normal3"/>
    <w:basedOn w:val="Normal"/>
    <w:rsid w:val="00A773C1"/>
    <w:pPr>
      <w:spacing w:before="120" w:after="120"/>
    </w:pPr>
    <w:rPr>
      <w:rFonts w:ascii="Arial" w:hAnsi="Arial"/>
    </w:rPr>
  </w:style>
  <w:style w:type="paragraph" w:styleId="NormalWeb">
    <w:name w:val="Normal (Web)"/>
    <w:basedOn w:val="Normal"/>
    <w:uiPriority w:val="99"/>
    <w:rsid w:val="005D61B3"/>
    <w:pPr>
      <w:spacing w:before="100" w:beforeAutospacing="1" w:after="100" w:afterAutospacing="1"/>
    </w:pPr>
    <w:rPr>
      <w:rFonts w:eastAsia="MS Mincho"/>
      <w:lang w:val="en-US"/>
    </w:rPr>
  </w:style>
  <w:style w:type="paragraph" w:customStyle="1" w:styleId="NoteLevel21">
    <w:name w:val="Note Level 21"/>
    <w:qFormat/>
    <w:rsid w:val="005D61B3"/>
    <w:rPr>
      <w:rFonts w:eastAsia="MS Mincho"/>
      <w:lang w:eastAsia="ja-JP"/>
    </w:rPr>
  </w:style>
  <w:style w:type="paragraph" w:customStyle="1" w:styleId="BodyTextKeep">
    <w:name w:val="Body Text Keep"/>
    <w:basedOn w:val="BodyText"/>
    <w:rsid w:val="009D0C6D"/>
    <w:pPr>
      <w:keepNext/>
      <w:tabs>
        <w:tab w:val="left" w:pos="-720"/>
      </w:tabs>
      <w:suppressAutoHyphens/>
      <w:spacing w:before="120" w:after="0"/>
      <w:jc w:val="both"/>
    </w:pPr>
    <w:rPr>
      <w:sz w:val="24"/>
      <w:szCs w:val="24"/>
      <w:lang w:val="en-US"/>
    </w:rPr>
  </w:style>
  <w:style w:type="paragraph" w:customStyle="1" w:styleId="xl24">
    <w:name w:val="xl24"/>
    <w:basedOn w:val="Normal"/>
    <w:rsid w:val="00EF6B88"/>
    <w:pPr>
      <w:spacing w:before="100" w:beforeAutospacing="1" w:after="100" w:afterAutospacing="1"/>
    </w:pPr>
    <w:rPr>
      <w:rFonts w:ascii="Times" w:hAnsi="Times"/>
      <w:b/>
      <w:lang w:val="en-US"/>
    </w:rPr>
  </w:style>
  <w:style w:type="paragraph" w:styleId="ListParagraph">
    <w:name w:val="List Paragraph"/>
    <w:aliases w:val="List Paragraph (numbered (a)),List Paragraph1,Ha"/>
    <w:basedOn w:val="Normal"/>
    <w:link w:val="ListParagraphChar"/>
    <w:uiPriority w:val="34"/>
    <w:qFormat/>
    <w:rsid w:val="00EF6B88"/>
    <w:pPr>
      <w:spacing w:after="200" w:line="276" w:lineRule="auto"/>
      <w:ind w:left="720"/>
    </w:pPr>
    <w:rPr>
      <w:rFonts w:ascii="Calibri" w:hAnsi="Calibri"/>
      <w:sz w:val="22"/>
      <w:szCs w:val="22"/>
      <w:lang w:eastAsia="en-GB"/>
    </w:rPr>
  </w:style>
  <w:style w:type="character" w:customStyle="1" w:styleId="HeaderChar">
    <w:name w:val="Header Char"/>
    <w:link w:val="Header"/>
    <w:uiPriority w:val="99"/>
    <w:rsid w:val="00FB6EEC"/>
    <w:rPr>
      <w:lang w:val="en-GB"/>
    </w:rPr>
  </w:style>
  <w:style w:type="character" w:customStyle="1" w:styleId="FooterChar">
    <w:name w:val="Footer Char"/>
    <w:link w:val="Footer"/>
    <w:rsid w:val="00FB6EEC"/>
    <w:rPr>
      <w:lang w:val="en-GB"/>
    </w:rPr>
  </w:style>
  <w:style w:type="character" w:customStyle="1" w:styleId="BalloonTextChar">
    <w:name w:val="Balloon Text Char"/>
    <w:link w:val="BalloonText"/>
    <w:uiPriority w:val="99"/>
    <w:rsid w:val="00FB6EEC"/>
    <w:rPr>
      <w:rFonts w:ascii="Tahoma" w:hAnsi="Tahoma" w:cs="Tahoma"/>
      <w:sz w:val="16"/>
      <w:szCs w:val="16"/>
      <w:lang w:val="en-GB"/>
    </w:rPr>
  </w:style>
  <w:style w:type="paragraph" w:styleId="z-TopofForm">
    <w:name w:val="HTML Top of Form"/>
    <w:basedOn w:val="Normal"/>
    <w:next w:val="Normal"/>
    <w:link w:val="z-TopofFormChar"/>
    <w:hidden/>
    <w:rsid w:val="009329C5"/>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9329C5"/>
    <w:rPr>
      <w:rFonts w:ascii="Arial" w:hAnsi="Arial"/>
      <w:vanish/>
      <w:sz w:val="16"/>
      <w:szCs w:val="16"/>
    </w:rPr>
  </w:style>
  <w:style w:type="paragraph" w:styleId="z-BottomofForm">
    <w:name w:val="HTML Bottom of Form"/>
    <w:basedOn w:val="Normal"/>
    <w:next w:val="Normal"/>
    <w:link w:val="z-BottomofFormChar"/>
    <w:hidden/>
    <w:rsid w:val="009329C5"/>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9329C5"/>
    <w:rPr>
      <w:rFonts w:ascii="Arial" w:hAnsi="Arial"/>
      <w:vanish/>
      <w:sz w:val="16"/>
      <w:szCs w:val="16"/>
    </w:rPr>
  </w:style>
  <w:style w:type="paragraph" w:styleId="NoSpacing">
    <w:name w:val="No Spacing"/>
    <w:uiPriority w:val="1"/>
    <w:qFormat/>
    <w:rsid w:val="009329C5"/>
  </w:style>
  <w:style w:type="character" w:customStyle="1" w:styleId="BodyTextIndentChar">
    <w:name w:val="Body Text Indent Char"/>
    <w:link w:val="BodyTextIndent"/>
    <w:rsid w:val="009329C5"/>
    <w:rPr>
      <w:lang w:val="en-GB"/>
    </w:rPr>
  </w:style>
  <w:style w:type="character" w:customStyle="1" w:styleId="BodyTextChar">
    <w:name w:val="Body Text Char"/>
    <w:aliases w:val="A - Corps de texte Char,TextMG Char"/>
    <w:link w:val="BodyText"/>
    <w:rsid w:val="009329C5"/>
    <w:rPr>
      <w:lang w:val="en-GB"/>
    </w:rPr>
  </w:style>
  <w:style w:type="character" w:customStyle="1" w:styleId="CommentTextChar">
    <w:name w:val="Comment Text Char"/>
    <w:link w:val="CommentText"/>
    <w:uiPriority w:val="99"/>
    <w:rsid w:val="009329C5"/>
    <w:rPr>
      <w:lang w:val="en-GB"/>
    </w:rPr>
  </w:style>
  <w:style w:type="paragraph" w:customStyle="1" w:styleId="Char1">
    <w:name w:val="Char1"/>
    <w:aliases w:val="Nbpage Moens,Fußnote,Footnote Text Char,Footnote Text Char Char,ft Tegn Tegn,ft Tegn,single space1,footnote text1 Tegn Tegn Char,footnote text1 Tegn Tegn Char Char Char"/>
    <w:basedOn w:val="CommentText"/>
    <w:next w:val="CommentText"/>
    <w:link w:val="KommentaremneTegn"/>
    <w:uiPriority w:val="99"/>
    <w:unhideWhenUsed/>
    <w:rsid w:val="008A1983"/>
    <w:rPr>
      <w:b/>
      <w:bCs/>
      <w:sz w:val="24"/>
      <w:szCs w:val="24"/>
    </w:rPr>
  </w:style>
  <w:style w:type="character" w:customStyle="1" w:styleId="FootnoteTextChar1">
    <w:name w:val="Footnote Text Char1"/>
    <w:aliases w:val="single space Char1,footnote text Char1,ft Char1,FOOTNOTES Char1,fn Char1,Footnote Text Char Char Char Char Char1,Footnote Text Char Char Char Char1,ADB Char,Footnote Text Char Char Char Char Char Char,Footnote Text Char Char1 Char"/>
    <w:link w:val="FootnoteText"/>
    <w:locked/>
    <w:rsid w:val="008A1983"/>
    <w:rPr>
      <w:sz w:val="24"/>
      <w:szCs w:val="24"/>
      <w:lang w:val="en-GB"/>
    </w:rPr>
  </w:style>
  <w:style w:type="character" w:customStyle="1" w:styleId="KommentartekstTegn">
    <w:name w:val="Kommentartekst Tegn"/>
    <w:uiPriority w:val="99"/>
    <w:semiHidden/>
    <w:rsid w:val="008A1983"/>
    <w:rPr>
      <w:sz w:val="24"/>
      <w:szCs w:val="24"/>
      <w:lang w:eastAsia="en-US"/>
    </w:rPr>
  </w:style>
  <w:style w:type="character" w:customStyle="1" w:styleId="KommentaremneTegn">
    <w:name w:val="Kommentaremne Tegn"/>
    <w:link w:val="Char1"/>
    <w:uiPriority w:val="99"/>
    <w:rsid w:val="008A1983"/>
    <w:rPr>
      <w:b/>
      <w:bCs/>
      <w:sz w:val="24"/>
      <w:szCs w:val="24"/>
      <w:lang w:eastAsia="en-US"/>
    </w:rPr>
  </w:style>
  <w:style w:type="paragraph" w:customStyle="1" w:styleId="N">
    <w:name w:val="N"/>
    <w:basedOn w:val="Heading5"/>
    <w:rsid w:val="00DE0BC4"/>
    <w:pPr>
      <w:keepNext/>
      <w:spacing w:before="0" w:after="0"/>
    </w:pPr>
    <w:rPr>
      <w:bCs w:val="0"/>
      <w:i w:val="0"/>
      <w:iCs w:val="0"/>
      <w:sz w:val="24"/>
      <w:szCs w:val="20"/>
    </w:rPr>
  </w:style>
  <w:style w:type="paragraph" w:customStyle="1" w:styleId="TableText">
    <w:name w:val="Table Text"/>
    <w:basedOn w:val="Normal"/>
    <w:rsid w:val="00DE0BC4"/>
    <w:pPr>
      <w:spacing w:before="120" w:after="170"/>
    </w:pPr>
    <w:rPr>
      <w:lang w:val="en-US"/>
    </w:rPr>
  </w:style>
  <w:style w:type="character" w:customStyle="1" w:styleId="Heading1Char">
    <w:name w:val="Heading 1 Char"/>
    <w:link w:val="Heading1"/>
    <w:rsid w:val="009944C9"/>
    <w:rPr>
      <w:b/>
      <w:sz w:val="28"/>
      <w:szCs w:val="24"/>
      <w:lang w:val="en-IE"/>
    </w:rPr>
  </w:style>
  <w:style w:type="character" w:customStyle="1" w:styleId="Heading2Char">
    <w:name w:val="Heading 2 Char"/>
    <w:rsid w:val="009944C9"/>
    <w:rPr>
      <w:b/>
      <w:bCs/>
      <w:sz w:val="24"/>
      <w:szCs w:val="24"/>
      <w:lang w:eastAsia="en-US"/>
    </w:rPr>
  </w:style>
  <w:style w:type="character" w:customStyle="1" w:styleId="Heading3Char">
    <w:name w:val="Heading 3 Char"/>
    <w:aliases w:val="Level 1 - 1 Char,Section heading level 1 Char,Section Heading Level 1 Char"/>
    <w:link w:val="Heading3"/>
    <w:rsid w:val="009944C9"/>
    <w:rPr>
      <w:b/>
      <w:kern w:val="28"/>
      <w:sz w:val="22"/>
      <w:szCs w:val="24"/>
      <w:lang w:val="en-GB"/>
    </w:rPr>
  </w:style>
  <w:style w:type="character" w:customStyle="1" w:styleId="Heading4Char">
    <w:name w:val="Heading 4 Char"/>
    <w:link w:val="Heading4"/>
    <w:rsid w:val="009944C9"/>
    <w:rPr>
      <w:b/>
      <w:bCs/>
      <w:sz w:val="28"/>
      <w:szCs w:val="28"/>
      <w:lang w:val="en-GB"/>
    </w:rPr>
  </w:style>
  <w:style w:type="character" w:customStyle="1" w:styleId="Heading5Char">
    <w:name w:val="Heading 5 Char"/>
    <w:aliases w:val="Level 3 - i Char"/>
    <w:link w:val="Heading5"/>
    <w:rsid w:val="009944C9"/>
    <w:rPr>
      <w:b/>
      <w:bCs/>
      <w:i/>
      <w:iCs/>
      <w:sz w:val="26"/>
      <w:szCs w:val="26"/>
      <w:lang w:val="en-GB"/>
    </w:rPr>
  </w:style>
  <w:style w:type="character" w:customStyle="1" w:styleId="Heading6Char">
    <w:name w:val="Heading 6 Char"/>
    <w:link w:val="Heading6"/>
    <w:rsid w:val="009944C9"/>
    <w:rPr>
      <w:b/>
      <w:bCs/>
      <w:sz w:val="22"/>
      <w:szCs w:val="22"/>
      <w:lang w:val="en-GB"/>
    </w:rPr>
  </w:style>
  <w:style w:type="character" w:customStyle="1" w:styleId="Heading7Char">
    <w:name w:val="Heading 7 Char"/>
    <w:link w:val="Heading7"/>
    <w:rsid w:val="009944C9"/>
    <w:rPr>
      <w:sz w:val="24"/>
      <w:szCs w:val="24"/>
      <w:lang w:val="en-GB"/>
    </w:rPr>
  </w:style>
  <w:style w:type="character" w:customStyle="1" w:styleId="Heading8Char">
    <w:name w:val="Heading 8 Char"/>
    <w:link w:val="Heading8"/>
    <w:rsid w:val="009944C9"/>
    <w:rPr>
      <w:i/>
      <w:iCs/>
      <w:sz w:val="24"/>
      <w:szCs w:val="24"/>
      <w:lang w:val="en-GB"/>
    </w:rPr>
  </w:style>
  <w:style w:type="character" w:customStyle="1" w:styleId="Heading9Char">
    <w:name w:val="Heading 9 Char"/>
    <w:link w:val="Heading9"/>
    <w:rsid w:val="009944C9"/>
    <w:rPr>
      <w:rFonts w:ascii="Arial" w:hAnsi="Arial"/>
      <w:sz w:val="22"/>
      <w:szCs w:val="22"/>
      <w:lang w:val="en-GB"/>
    </w:rPr>
  </w:style>
  <w:style w:type="character" w:customStyle="1" w:styleId="BodyText2Char">
    <w:name w:val="Body Text 2 Char"/>
    <w:link w:val="BodyText2"/>
    <w:rsid w:val="009944C9"/>
    <w:rPr>
      <w:lang w:val="en-GB"/>
    </w:rPr>
  </w:style>
  <w:style w:type="character" w:customStyle="1" w:styleId="BodyText3Char">
    <w:name w:val="Body Text 3 Char"/>
    <w:link w:val="BodyText3"/>
    <w:rsid w:val="009944C9"/>
    <w:rPr>
      <w:sz w:val="16"/>
      <w:szCs w:val="16"/>
      <w:lang w:val="en-GB"/>
    </w:rPr>
  </w:style>
  <w:style w:type="paragraph" w:customStyle="1" w:styleId="font5">
    <w:name w:val="font5"/>
    <w:basedOn w:val="Normal"/>
    <w:rsid w:val="009944C9"/>
    <w:pPr>
      <w:spacing w:beforeLines="1" w:afterLines="1"/>
    </w:pPr>
    <w:rPr>
      <w:rFonts w:ascii="Verdana" w:hAnsi="Verdana"/>
      <w:sz w:val="16"/>
      <w:szCs w:val="16"/>
      <w:lang w:val="en-US"/>
    </w:rPr>
  </w:style>
  <w:style w:type="paragraph" w:customStyle="1" w:styleId="xl33">
    <w:name w:val="xl33"/>
    <w:basedOn w:val="Normal"/>
    <w:rsid w:val="009944C9"/>
    <w:pPr>
      <w:pBdr>
        <w:left w:val="single" w:sz="4" w:space="0" w:color="auto"/>
        <w:bottom w:val="single" w:sz="4" w:space="0" w:color="auto"/>
        <w:right w:val="single" w:sz="4" w:space="0" w:color="auto"/>
      </w:pBdr>
      <w:spacing w:beforeLines="1" w:afterLines="1"/>
    </w:pPr>
    <w:rPr>
      <w:rFonts w:ascii="Times" w:hAnsi="Times"/>
      <w:lang w:val="en-US"/>
    </w:rPr>
  </w:style>
  <w:style w:type="paragraph" w:customStyle="1" w:styleId="xl34">
    <w:name w:val="xl34"/>
    <w:basedOn w:val="Normal"/>
    <w:rsid w:val="009944C9"/>
    <w:pPr>
      <w:pBdr>
        <w:left w:val="single" w:sz="4" w:space="0" w:color="auto"/>
        <w:bottom w:val="single" w:sz="4" w:space="0" w:color="auto"/>
        <w:right w:val="single" w:sz="4" w:space="0" w:color="auto"/>
      </w:pBdr>
      <w:spacing w:beforeLines="1" w:afterLines="1"/>
    </w:pPr>
    <w:rPr>
      <w:rFonts w:ascii="Times" w:hAnsi="Times"/>
      <w:lang w:val="en-US"/>
    </w:rPr>
  </w:style>
  <w:style w:type="paragraph" w:customStyle="1" w:styleId="xl35">
    <w:name w:val="xl35"/>
    <w:basedOn w:val="Normal"/>
    <w:rsid w:val="009944C9"/>
    <w:pPr>
      <w:pBdr>
        <w:left w:val="single" w:sz="4" w:space="0" w:color="auto"/>
        <w:bottom w:val="single" w:sz="4" w:space="0" w:color="auto"/>
        <w:right w:val="single" w:sz="4" w:space="0" w:color="auto"/>
      </w:pBdr>
      <w:shd w:val="clear" w:color="auto" w:fill="00CCFF"/>
      <w:spacing w:beforeLines="1" w:afterLines="1"/>
    </w:pPr>
    <w:rPr>
      <w:rFonts w:ascii="Times" w:hAnsi="Times"/>
      <w:lang w:val="en-US"/>
    </w:rPr>
  </w:style>
  <w:style w:type="paragraph" w:customStyle="1" w:styleId="xl36">
    <w:name w:val="xl36"/>
    <w:basedOn w:val="Normal"/>
    <w:rsid w:val="009944C9"/>
    <w:pPr>
      <w:pBdr>
        <w:left w:val="single" w:sz="4" w:space="0" w:color="auto"/>
        <w:bottom w:val="single" w:sz="4" w:space="0" w:color="auto"/>
        <w:right w:val="single" w:sz="4" w:space="0" w:color="auto"/>
      </w:pBdr>
      <w:spacing w:beforeLines="1" w:afterLines="1"/>
    </w:pPr>
    <w:rPr>
      <w:rFonts w:ascii="Times" w:hAnsi="Times"/>
      <w:lang w:val="en-US"/>
    </w:rPr>
  </w:style>
  <w:style w:type="paragraph" w:customStyle="1" w:styleId="xl37">
    <w:name w:val="xl37"/>
    <w:basedOn w:val="Normal"/>
    <w:rsid w:val="009944C9"/>
    <w:pPr>
      <w:pBdr>
        <w:left w:val="single" w:sz="4" w:space="0" w:color="auto"/>
        <w:bottom w:val="single" w:sz="4" w:space="0" w:color="auto"/>
        <w:right w:val="single" w:sz="4" w:space="0" w:color="auto"/>
      </w:pBdr>
      <w:spacing w:beforeLines="1" w:afterLines="1"/>
    </w:pPr>
    <w:rPr>
      <w:rFonts w:ascii="Times" w:hAnsi="Times"/>
      <w:lang w:val="en-US"/>
    </w:rPr>
  </w:style>
  <w:style w:type="paragraph" w:customStyle="1" w:styleId="xl38">
    <w:name w:val="xl38"/>
    <w:basedOn w:val="Normal"/>
    <w:rsid w:val="009944C9"/>
    <w:pPr>
      <w:pBdr>
        <w:top w:val="single" w:sz="4" w:space="0" w:color="auto"/>
        <w:left w:val="single" w:sz="4" w:space="0" w:color="auto"/>
      </w:pBdr>
      <w:spacing w:beforeLines="1" w:afterLines="1"/>
    </w:pPr>
    <w:rPr>
      <w:rFonts w:ascii="Times" w:hAnsi="Times"/>
      <w:b/>
      <w:bCs/>
      <w:sz w:val="16"/>
      <w:szCs w:val="16"/>
      <w:lang w:val="en-US"/>
    </w:rPr>
  </w:style>
  <w:style w:type="paragraph" w:customStyle="1" w:styleId="xl41">
    <w:name w:val="xl41"/>
    <w:basedOn w:val="Normal"/>
    <w:rsid w:val="009944C9"/>
    <w:pPr>
      <w:pBdr>
        <w:left w:val="single" w:sz="4" w:space="0" w:color="auto"/>
        <w:bottom w:val="single" w:sz="4" w:space="0" w:color="auto"/>
      </w:pBdr>
      <w:spacing w:beforeLines="1" w:afterLines="1"/>
    </w:pPr>
    <w:rPr>
      <w:rFonts w:ascii="Times" w:hAnsi="Times"/>
      <w:b/>
      <w:bCs/>
      <w:sz w:val="16"/>
      <w:szCs w:val="16"/>
      <w:lang w:val="en-US"/>
    </w:rPr>
  </w:style>
  <w:style w:type="paragraph" w:customStyle="1" w:styleId="xl42">
    <w:name w:val="xl42"/>
    <w:basedOn w:val="Normal"/>
    <w:rsid w:val="009944C9"/>
    <w:pPr>
      <w:pBdr>
        <w:bottom w:val="single" w:sz="4" w:space="0" w:color="auto"/>
      </w:pBdr>
      <w:spacing w:beforeLines="1" w:afterLines="1"/>
    </w:pPr>
    <w:rPr>
      <w:rFonts w:ascii="Times" w:hAnsi="Times"/>
      <w:b/>
      <w:bCs/>
      <w:sz w:val="16"/>
      <w:szCs w:val="16"/>
      <w:lang w:val="en-US"/>
    </w:rPr>
  </w:style>
  <w:style w:type="paragraph" w:customStyle="1" w:styleId="xl43">
    <w:name w:val="xl43"/>
    <w:basedOn w:val="Normal"/>
    <w:rsid w:val="009944C9"/>
    <w:pPr>
      <w:pBdr>
        <w:bottom w:val="single" w:sz="4" w:space="0" w:color="auto"/>
      </w:pBdr>
      <w:spacing w:beforeLines="1" w:afterLines="1"/>
    </w:pPr>
    <w:rPr>
      <w:rFonts w:ascii="Times" w:hAnsi="Times"/>
      <w:b/>
      <w:bCs/>
      <w:sz w:val="16"/>
      <w:szCs w:val="16"/>
      <w:lang w:val="en-US"/>
    </w:rPr>
  </w:style>
  <w:style w:type="paragraph" w:customStyle="1" w:styleId="xl44">
    <w:name w:val="xl44"/>
    <w:basedOn w:val="Normal"/>
    <w:rsid w:val="009944C9"/>
    <w:pPr>
      <w:pBdr>
        <w:bottom w:val="single" w:sz="4" w:space="0" w:color="auto"/>
        <w:right w:val="single" w:sz="4" w:space="0" w:color="auto"/>
      </w:pBdr>
      <w:spacing w:beforeLines="1" w:afterLines="1"/>
    </w:pPr>
    <w:rPr>
      <w:rFonts w:ascii="Times" w:hAnsi="Times"/>
      <w:b/>
      <w:bCs/>
      <w:sz w:val="16"/>
      <w:szCs w:val="16"/>
      <w:lang w:val="en-US"/>
    </w:rPr>
  </w:style>
  <w:style w:type="paragraph" w:customStyle="1" w:styleId="xl45">
    <w:name w:val="xl45"/>
    <w:basedOn w:val="Normal"/>
    <w:rsid w:val="009944C9"/>
    <w:pPr>
      <w:spacing w:beforeLines="1" w:afterLines="1"/>
    </w:pPr>
    <w:rPr>
      <w:rFonts w:ascii="Times" w:hAnsi="Times"/>
      <w:i/>
      <w:iCs/>
      <w:lang w:val="en-US"/>
    </w:rPr>
  </w:style>
  <w:style w:type="paragraph" w:customStyle="1" w:styleId="xl46">
    <w:name w:val="xl46"/>
    <w:basedOn w:val="Normal"/>
    <w:rsid w:val="009944C9"/>
    <w:pPr>
      <w:spacing w:beforeLines="1" w:afterLines="1"/>
    </w:pPr>
    <w:rPr>
      <w:rFonts w:ascii="Times" w:hAnsi="Times"/>
      <w:b/>
      <w:bCs/>
      <w:i/>
      <w:iCs/>
      <w:lang w:val="en-US"/>
    </w:rPr>
  </w:style>
  <w:style w:type="paragraph" w:customStyle="1" w:styleId="xl47">
    <w:name w:val="xl47"/>
    <w:basedOn w:val="Normal"/>
    <w:rsid w:val="009944C9"/>
    <w:pPr>
      <w:spacing w:beforeLines="1" w:afterLines="1"/>
    </w:pPr>
    <w:rPr>
      <w:rFonts w:ascii="Times" w:hAnsi="Times"/>
      <w:b/>
      <w:bCs/>
      <w:sz w:val="18"/>
      <w:szCs w:val="18"/>
      <w:lang w:val="en-US"/>
    </w:rPr>
  </w:style>
  <w:style w:type="paragraph" w:customStyle="1" w:styleId="xl48">
    <w:name w:val="xl48"/>
    <w:basedOn w:val="Normal"/>
    <w:rsid w:val="009944C9"/>
    <w:pPr>
      <w:shd w:val="clear" w:color="auto" w:fill="FEA746"/>
      <w:spacing w:beforeLines="1" w:afterLines="1"/>
    </w:pPr>
    <w:rPr>
      <w:rFonts w:ascii="Times" w:hAnsi="Times"/>
      <w:lang w:val="en-US"/>
    </w:rPr>
  </w:style>
  <w:style w:type="paragraph" w:customStyle="1" w:styleId="xl49">
    <w:name w:val="xl49"/>
    <w:basedOn w:val="Normal"/>
    <w:rsid w:val="009944C9"/>
    <w:pPr>
      <w:shd w:val="clear" w:color="auto" w:fill="FFF58C"/>
      <w:spacing w:beforeLines="1" w:afterLines="1"/>
    </w:pPr>
    <w:rPr>
      <w:rFonts w:ascii="Times" w:hAnsi="Times"/>
      <w:b/>
      <w:bCs/>
      <w:lang w:val="en-US"/>
    </w:rPr>
  </w:style>
  <w:style w:type="paragraph" w:customStyle="1" w:styleId="xl50">
    <w:name w:val="xl50"/>
    <w:basedOn w:val="Normal"/>
    <w:rsid w:val="009944C9"/>
    <w:pPr>
      <w:pBdr>
        <w:top w:val="single" w:sz="4" w:space="0" w:color="auto"/>
        <w:left w:val="single" w:sz="4" w:space="0" w:color="auto"/>
        <w:bottom w:val="single" w:sz="4" w:space="0" w:color="auto"/>
        <w:right w:val="single" w:sz="4" w:space="0" w:color="auto"/>
      </w:pBdr>
      <w:spacing w:beforeLines="1" w:afterLines="1"/>
    </w:pPr>
    <w:rPr>
      <w:rFonts w:ascii="Times" w:hAnsi="Times"/>
      <w:b/>
      <w:bCs/>
      <w:lang w:val="en-US"/>
    </w:rPr>
  </w:style>
  <w:style w:type="paragraph" w:customStyle="1" w:styleId="xl51">
    <w:name w:val="xl51"/>
    <w:basedOn w:val="Normal"/>
    <w:rsid w:val="009944C9"/>
    <w:pPr>
      <w:pBdr>
        <w:top w:val="single" w:sz="4" w:space="0" w:color="auto"/>
        <w:left w:val="single" w:sz="4" w:space="0" w:color="auto"/>
        <w:bottom w:val="single" w:sz="4" w:space="0" w:color="auto"/>
        <w:right w:val="single" w:sz="4" w:space="0" w:color="auto"/>
      </w:pBdr>
      <w:spacing w:beforeLines="1" w:afterLines="1"/>
    </w:pPr>
    <w:rPr>
      <w:rFonts w:ascii="Times" w:hAnsi="Times"/>
      <w:b/>
      <w:bCs/>
      <w:lang w:val="en-US"/>
    </w:rPr>
  </w:style>
  <w:style w:type="paragraph" w:customStyle="1" w:styleId="xl52">
    <w:name w:val="xl52"/>
    <w:basedOn w:val="Normal"/>
    <w:rsid w:val="009944C9"/>
    <w:pPr>
      <w:pBdr>
        <w:top w:val="single" w:sz="4" w:space="0" w:color="auto"/>
        <w:left w:val="single" w:sz="4" w:space="0" w:color="auto"/>
        <w:bottom w:val="single" w:sz="4" w:space="0" w:color="auto"/>
        <w:right w:val="single" w:sz="4" w:space="0" w:color="auto"/>
      </w:pBdr>
      <w:shd w:val="clear" w:color="auto" w:fill="00CCFF"/>
      <w:spacing w:beforeLines="1" w:afterLines="1"/>
    </w:pPr>
    <w:rPr>
      <w:rFonts w:ascii="Times" w:hAnsi="Times"/>
      <w:b/>
      <w:bCs/>
      <w:lang w:val="en-US"/>
    </w:rPr>
  </w:style>
  <w:style w:type="paragraph" w:customStyle="1" w:styleId="xl53">
    <w:name w:val="xl53"/>
    <w:basedOn w:val="Normal"/>
    <w:rsid w:val="009944C9"/>
    <w:pPr>
      <w:pBdr>
        <w:top w:val="single" w:sz="4" w:space="0" w:color="auto"/>
        <w:left w:val="single" w:sz="4" w:space="0" w:color="auto"/>
        <w:bottom w:val="single" w:sz="4" w:space="0" w:color="auto"/>
        <w:right w:val="single" w:sz="4" w:space="0" w:color="auto"/>
      </w:pBdr>
      <w:spacing w:beforeLines="1" w:afterLines="1"/>
    </w:pPr>
    <w:rPr>
      <w:rFonts w:ascii="Times" w:hAnsi="Times"/>
      <w:b/>
      <w:bCs/>
      <w:lang w:val="en-US"/>
    </w:rPr>
  </w:style>
  <w:style w:type="paragraph" w:customStyle="1" w:styleId="2">
    <w:name w:val="2"/>
    <w:basedOn w:val="Normal"/>
    <w:next w:val="ListParagraph"/>
    <w:qFormat/>
    <w:rsid w:val="00D06261"/>
    <w:pPr>
      <w:ind w:left="720"/>
      <w:contextualSpacing/>
    </w:pPr>
    <w:rPr>
      <w:rFonts w:ascii="Cambria" w:hAnsi="Cambria"/>
    </w:rPr>
  </w:style>
  <w:style w:type="paragraph" w:customStyle="1" w:styleId="1">
    <w:name w:val="1"/>
    <w:basedOn w:val="Normal"/>
    <w:next w:val="ListParagraph"/>
    <w:qFormat/>
    <w:rsid w:val="00BA6CC0"/>
    <w:pPr>
      <w:ind w:left="720"/>
      <w:contextualSpacing/>
    </w:pPr>
    <w:rPr>
      <w:rFonts w:ascii="Cambria" w:hAnsi="Cambria"/>
    </w:rPr>
  </w:style>
  <w:style w:type="paragraph" w:customStyle="1" w:styleId="Prodoc">
    <w:name w:val="Prodoc"/>
    <w:basedOn w:val="Normal"/>
    <w:qFormat/>
    <w:rsid w:val="00F967DE"/>
    <w:pPr>
      <w:widowControl w:val="0"/>
      <w:autoSpaceDE w:val="0"/>
      <w:autoSpaceDN w:val="0"/>
      <w:adjustRightInd w:val="0"/>
      <w:spacing w:before="180" w:after="60" w:line="320" w:lineRule="exact"/>
      <w:ind w:right="181"/>
      <w:jc w:val="both"/>
    </w:pPr>
    <w:rPr>
      <w:rFonts w:ascii="Calibri" w:hAnsi="Calibri" w:cs="Calibri"/>
      <w:color w:val="000000"/>
      <w:sz w:val="22"/>
      <w:szCs w:val="22"/>
      <w:lang w:val="en-US"/>
    </w:rPr>
  </w:style>
  <w:style w:type="character" w:customStyle="1" w:styleId="fnChar">
    <w:name w:val="fn Char"/>
    <w:aliases w:val="single space Char,footnote text Char,ft Char,FOOTNOTES Char,ALTS FOOTNOTE Char,Footnote Text Char2 Char Char,Footnote Text Char1 Char Char Char,Footnote Text Char2 Char Char Char Char, Char1 Char,Footnote Text Char Char Char Char Char2,ADB Char1"/>
    <w:rsid w:val="00AB348A"/>
    <w:rPr>
      <w:rFonts w:ascii="Cambria" w:eastAsia="Cambria" w:hAnsi="Cambria" w:cs="Times New Roman"/>
      <w:sz w:val="24"/>
      <w:szCs w:val="24"/>
      <w:lang w:val="en-GB" w:eastAsia="en-US"/>
    </w:rPr>
  </w:style>
  <w:style w:type="paragraph" w:customStyle="1" w:styleId="Farvetliste-markeringsfarve11">
    <w:name w:val="Farvet liste - markeringsfarve 11"/>
    <w:basedOn w:val="Normal"/>
    <w:uiPriority w:val="34"/>
    <w:qFormat/>
    <w:rsid w:val="00C57EE1"/>
    <w:pPr>
      <w:spacing w:after="200"/>
      <w:ind w:left="720"/>
      <w:contextualSpacing/>
    </w:pPr>
    <w:rPr>
      <w:rFonts w:ascii="Cambria" w:eastAsia="Cambria" w:hAnsi="Cambria"/>
    </w:rPr>
  </w:style>
  <w:style w:type="paragraph" w:styleId="Revision">
    <w:name w:val="Revision"/>
    <w:hidden/>
    <w:rsid w:val="00413B34"/>
    <w:rPr>
      <w:lang w:val="en-GB"/>
    </w:rPr>
  </w:style>
  <w:style w:type="paragraph" w:customStyle="1" w:styleId="normal2">
    <w:name w:val="normal 2"/>
    <w:basedOn w:val="Normal"/>
    <w:link w:val="normal2Char"/>
    <w:rsid w:val="000455C0"/>
    <w:rPr>
      <w:rFonts w:ascii="Arial" w:hAnsi="Arial" w:cs="Arial"/>
      <w:bCs/>
      <w:sz w:val="22"/>
      <w:szCs w:val="22"/>
      <w:lang w:val="en-US"/>
    </w:rPr>
  </w:style>
  <w:style w:type="character" w:customStyle="1" w:styleId="normal2Char">
    <w:name w:val="normal 2 Char"/>
    <w:link w:val="normal2"/>
    <w:rsid w:val="000455C0"/>
    <w:rPr>
      <w:rFonts w:ascii="Arial" w:hAnsi="Arial" w:cs="Arial"/>
      <w:bCs/>
      <w:sz w:val="22"/>
      <w:szCs w:val="22"/>
    </w:rPr>
  </w:style>
  <w:style w:type="paragraph" w:customStyle="1" w:styleId="Prodoctext">
    <w:name w:val="Prodoc text"/>
    <w:basedOn w:val="BodyText"/>
    <w:link w:val="ProdoctextChar"/>
    <w:rsid w:val="000455C0"/>
    <w:pPr>
      <w:numPr>
        <w:ilvl w:val="2"/>
        <w:numId w:val="4"/>
      </w:numPr>
      <w:jc w:val="both"/>
    </w:pPr>
    <w:rPr>
      <w:rFonts w:ascii="Arial" w:hAnsi="Arial"/>
      <w:sz w:val="22"/>
      <w:szCs w:val="22"/>
      <w:lang w:eastAsia="en-GB"/>
    </w:rPr>
  </w:style>
  <w:style w:type="character" w:customStyle="1" w:styleId="ProdoctextChar">
    <w:name w:val="Prodoc text Char"/>
    <w:link w:val="Prodoctext"/>
    <w:rsid w:val="000455C0"/>
    <w:rPr>
      <w:rFonts w:ascii="Arial" w:hAnsi="Arial"/>
      <w:sz w:val="22"/>
      <w:szCs w:val="22"/>
      <w:lang w:val="sq-AL" w:eastAsia="en-GB"/>
    </w:rPr>
  </w:style>
  <w:style w:type="character" w:customStyle="1" w:styleId="apple-converted-space">
    <w:name w:val="apple-converted-space"/>
    <w:rsid w:val="009A23A1"/>
  </w:style>
  <w:style w:type="paragraph" w:customStyle="1" w:styleId="rtejustify">
    <w:name w:val="rtejustify"/>
    <w:basedOn w:val="Normal"/>
    <w:rsid w:val="005007E0"/>
    <w:pPr>
      <w:spacing w:before="100" w:beforeAutospacing="1" w:after="100" w:afterAutospacing="1"/>
    </w:pPr>
    <w:rPr>
      <w:rFonts w:ascii="Times" w:hAnsi="Times"/>
      <w:sz w:val="20"/>
      <w:szCs w:val="20"/>
      <w:lang w:val="en-US"/>
    </w:rPr>
  </w:style>
  <w:style w:type="character" w:styleId="Strong">
    <w:name w:val="Strong"/>
    <w:uiPriority w:val="22"/>
    <w:qFormat/>
    <w:rsid w:val="005007E0"/>
    <w:rPr>
      <w:b/>
      <w:bCs/>
    </w:rPr>
  </w:style>
  <w:style w:type="character" w:customStyle="1" w:styleId="ListParagraphChar">
    <w:name w:val="List Paragraph Char"/>
    <w:aliases w:val="List Paragraph (numbered (a)) Char,List Paragraph1 Char,Ha Char"/>
    <w:basedOn w:val="DefaultParagraphFont"/>
    <w:link w:val="ListParagraph"/>
    <w:uiPriority w:val="34"/>
    <w:locked/>
    <w:rsid w:val="00BB0EA4"/>
    <w:rPr>
      <w:rFonts w:ascii="Calibri" w:hAnsi="Calibri"/>
      <w:sz w:val="22"/>
      <w:szCs w:val="22"/>
      <w:lang w:val="en-GB" w:eastAsia="en-GB"/>
    </w:rPr>
  </w:style>
  <w:style w:type="paragraph" w:customStyle="1" w:styleId="Char2">
    <w:name w:val="Char2"/>
    <w:basedOn w:val="Normal"/>
    <w:link w:val="FootnoteReference"/>
    <w:rsid w:val="00BB0EA4"/>
    <w:pPr>
      <w:spacing w:before="120" w:after="160" w:line="240" w:lineRule="exact"/>
      <w:ind w:left="547"/>
      <w:jc w:val="both"/>
    </w:pPr>
    <w:rPr>
      <w:vertAlign w:val="superscript"/>
      <w:lang w:val="en-US"/>
    </w:rPr>
  </w:style>
  <w:style w:type="table" w:customStyle="1" w:styleId="TableGrid1">
    <w:name w:val="Table Grid1"/>
    <w:basedOn w:val="TableNormal"/>
    <w:next w:val="TableGrid"/>
    <w:uiPriority w:val="59"/>
    <w:rsid w:val="00D532D3"/>
    <w:rPr>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00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61">
    <w:name w:val="List Table 3 - Accent 61"/>
    <w:basedOn w:val="TableNormal"/>
    <w:next w:val="ListTable3-Accent62"/>
    <w:uiPriority w:val="48"/>
    <w:rsid w:val="00790F77"/>
    <w:rPr>
      <w:sz w:val="20"/>
      <w:szCs w:val="20"/>
      <w:lang w:val="en-GB" w:eastAsia="en-GB"/>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3-Accent62">
    <w:name w:val="List Table 3 - Accent 62"/>
    <w:basedOn w:val="TableNormal"/>
    <w:uiPriority w:val="48"/>
    <w:rsid w:val="00790F7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GridTable1Light-Accent21">
    <w:name w:val="Grid Table 1 Light - Accent 21"/>
    <w:basedOn w:val="TableNormal"/>
    <w:next w:val="GridTable1Light-Accent22"/>
    <w:uiPriority w:val="46"/>
    <w:rsid w:val="002A0323"/>
    <w:rPr>
      <w:sz w:val="20"/>
      <w:szCs w:val="20"/>
      <w:lang w:val="en-GB" w:eastAsia="en-GB"/>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22">
    <w:name w:val="Grid Table 1 Light - Accent 22"/>
    <w:basedOn w:val="TableNormal"/>
    <w:uiPriority w:val="46"/>
    <w:rsid w:val="002A032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CF24DF"/>
  </w:style>
  <w:style w:type="table" w:customStyle="1" w:styleId="TableGrid3">
    <w:name w:val="Table Grid3"/>
    <w:basedOn w:val="TableNormal"/>
    <w:next w:val="TableGrid"/>
    <w:uiPriority w:val="59"/>
    <w:rsid w:val="00CF2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F24DF"/>
    <w:rPr>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611">
    <w:name w:val="List Table 3 - Accent 611"/>
    <w:basedOn w:val="TableNormal"/>
    <w:next w:val="ListTable3-Accent62"/>
    <w:uiPriority w:val="48"/>
    <w:rsid w:val="00CF24DF"/>
    <w:rPr>
      <w:sz w:val="20"/>
      <w:szCs w:val="20"/>
      <w:lang w:val="en-GB" w:eastAsia="en-GB"/>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3-Accent621">
    <w:name w:val="List Table 3 - Accent 621"/>
    <w:basedOn w:val="TableNormal"/>
    <w:uiPriority w:val="48"/>
    <w:rsid w:val="00CF24D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GridTable1Light-Accent211">
    <w:name w:val="Grid Table 1 Light - Accent 211"/>
    <w:basedOn w:val="TableNormal"/>
    <w:next w:val="GridTable1Light-Accent22"/>
    <w:uiPriority w:val="46"/>
    <w:rsid w:val="00CF24DF"/>
    <w:rPr>
      <w:sz w:val="20"/>
      <w:szCs w:val="20"/>
      <w:lang w:val="en-GB" w:eastAsia="en-GB"/>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221">
    <w:name w:val="Grid Table 1 Light - Accent 221"/>
    <w:basedOn w:val="TableNormal"/>
    <w:uiPriority w:val="46"/>
    <w:rsid w:val="00CF24D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CF24DF"/>
    <w:rPr>
      <w:i/>
      <w:iCs/>
    </w:rPr>
  </w:style>
  <w:style w:type="paragraph" w:styleId="TOCHeading">
    <w:name w:val="TOC Heading"/>
    <w:basedOn w:val="Heading1"/>
    <w:next w:val="Normal"/>
    <w:uiPriority w:val="39"/>
    <w:unhideWhenUsed/>
    <w:qFormat/>
    <w:rsid w:val="001D60BB"/>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table" w:customStyle="1" w:styleId="TableGrid4">
    <w:name w:val="Table Grid4"/>
    <w:basedOn w:val="TableNormal"/>
    <w:next w:val="TableGrid"/>
    <w:uiPriority w:val="59"/>
    <w:rsid w:val="00214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84B88"/>
    <w:pPr>
      <w:spacing w:before="100" w:beforeAutospacing="1" w:after="100" w:afterAutospacing="1"/>
    </w:pPr>
    <w:rPr>
      <w:rFonts w:eastAsia="Times New Roman"/>
      <w:lang w:val="en-US"/>
    </w:rPr>
  </w:style>
  <w:style w:type="character" w:customStyle="1" w:styleId="UnresolvedMention1">
    <w:name w:val="Unresolved Mention1"/>
    <w:basedOn w:val="DefaultParagraphFont"/>
    <w:uiPriority w:val="99"/>
    <w:semiHidden/>
    <w:unhideWhenUsed/>
    <w:rsid w:val="00C96E3F"/>
    <w:rPr>
      <w:color w:val="605E5C"/>
      <w:shd w:val="clear" w:color="auto" w:fill="E1DFDD"/>
    </w:rPr>
  </w:style>
  <w:style w:type="character" w:customStyle="1" w:styleId="UnresolvedMention2">
    <w:name w:val="Unresolved Mention2"/>
    <w:basedOn w:val="DefaultParagraphFont"/>
    <w:uiPriority w:val="99"/>
    <w:semiHidden/>
    <w:unhideWhenUsed/>
    <w:rsid w:val="00BE7FE7"/>
    <w:rPr>
      <w:color w:val="605E5C"/>
      <w:shd w:val="clear" w:color="auto" w:fill="E1DFDD"/>
    </w:rPr>
  </w:style>
  <w:style w:type="paragraph" w:styleId="EndnoteText">
    <w:name w:val="endnote text"/>
    <w:basedOn w:val="Normal"/>
    <w:link w:val="EndnoteTextChar"/>
    <w:semiHidden/>
    <w:unhideWhenUsed/>
    <w:rsid w:val="00734EA8"/>
    <w:rPr>
      <w:sz w:val="20"/>
      <w:szCs w:val="20"/>
    </w:rPr>
  </w:style>
  <w:style w:type="character" w:customStyle="1" w:styleId="EndnoteTextChar">
    <w:name w:val="Endnote Text Char"/>
    <w:basedOn w:val="DefaultParagraphFont"/>
    <w:link w:val="EndnoteText"/>
    <w:semiHidden/>
    <w:rsid w:val="00734EA8"/>
    <w:rPr>
      <w:sz w:val="20"/>
      <w:szCs w:val="20"/>
      <w:lang w:val="sq-AL"/>
    </w:rPr>
  </w:style>
  <w:style w:type="character" w:styleId="EndnoteReference">
    <w:name w:val="endnote reference"/>
    <w:basedOn w:val="DefaultParagraphFont"/>
    <w:semiHidden/>
    <w:unhideWhenUsed/>
    <w:rsid w:val="00734E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7224">
      <w:bodyDiv w:val="1"/>
      <w:marLeft w:val="0"/>
      <w:marRight w:val="0"/>
      <w:marTop w:val="0"/>
      <w:marBottom w:val="0"/>
      <w:divBdr>
        <w:top w:val="none" w:sz="0" w:space="0" w:color="auto"/>
        <w:left w:val="none" w:sz="0" w:space="0" w:color="auto"/>
        <w:bottom w:val="none" w:sz="0" w:space="0" w:color="auto"/>
        <w:right w:val="none" w:sz="0" w:space="0" w:color="auto"/>
      </w:divBdr>
    </w:div>
    <w:div w:id="28459347">
      <w:bodyDiv w:val="1"/>
      <w:marLeft w:val="0"/>
      <w:marRight w:val="0"/>
      <w:marTop w:val="0"/>
      <w:marBottom w:val="0"/>
      <w:divBdr>
        <w:top w:val="none" w:sz="0" w:space="0" w:color="auto"/>
        <w:left w:val="none" w:sz="0" w:space="0" w:color="auto"/>
        <w:bottom w:val="none" w:sz="0" w:space="0" w:color="auto"/>
        <w:right w:val="none" w:sz="0" w:space="0" w:color="auto"/>
      </w:divBdr>
    </w:div>
    <w:div w:id="62028819">
      <w:bodyDiv w:val="1"/>
      <w:marLeft w:val="0"/>
      <w:marRight w:val="0"/>
      <w:marTop w:val="0"/>
      <w:marBottom w:val="0"/>
      <w:divBdr>
        <w:top w:val="none" w:sz="0" w:space="0" w:color="auto"/>
        <w:left w:val="none" w:sz="0" w:space="0" w:color="auto"/>
        <w:bottom w:val="none" w:sz="0" w:space="0" w:color="auto"/>
        <w:right w:val="none" w:sz="0" w:space="0" w:color="auto"/>
      </w:divBdr>
    </w:div>
    <w:div w:id="74209759">
      <w:bodyDiv w:val="1"/>
      <w:marLeft w:val="0"/>
      <w:marRight w:val="0"/>
      <w:marTop w:val="0"/>
      <w:marBottom w:val="0"/>
      <w:divBdr>
        <w:top w:val="none" w:sz="0" w:space="0" w:color="auto"/>
        <w:left w:val="none" w:sz="0" w:space="0" w:color="auto"/>
        <w:bottom w:val="none" w:sz="0" w:space="0" w:color="auto"/>
        <w:right w:val="none" w:sz="0" w:space="0" w:color="auto"/>
      </w:divBdr>
    </w:div>
    <w:div w:id="81806829">
      <w:bodyDiv w:val="1"/>
      <w:marLeft w:val="0"/>
      <w:marRight w:val="0"/>
      <w:marTop w:val="0"/>
      <w:marBottom w:val="0"/>
      <w:divBdr>
        <w:top w:val="none" w:sz="0" w:space="0" w:color="auto"/>
        <w:left w:val="none" w:sz="0" w:space="0" w:color="auto"/>
        <w:bottom w:val="none" w:sz="0" w:space="0" w:color="auto"/>
        <w:right w:val="none" w:sz="0" w:space="0" w:color="auto"/>
      </w:divBdr>
      <w:divsChild>
        <w:div w:id="160245479">
          <w:marLeft w:val="1426"/>
          <w:marRight w:val="0"/>
          <w:marTop w:val="60"/>
          <w:marBottom w:val="0"/>
          <w:divBdr>
            <w:top w:val="none" w:sz="0" w:space="0" w:color="auto"/>
            <w:left w:val="none" w:sz="0" w:space="0" w:color="auto"/>
            <w:bottom w:val="none" w:sz="0" w:space="0" w:color="auto"/>
            <w:right w:val="none" w:sz="0" w:space="0" w:color="auto"/>
          </w:divBdr>
        </w:div>
        <w:div w:id="163517848">
          <w:marLeft w:val="850"/>
          <w:marRight w:val="0"/>
          <w:marTop w:val="255"/>
          <w:marBottom w:val="0"/>
          <w:divBdr>
            <w:top w:val="none" w:sz="0" w:space="0" w:color="auto"/>
            <w:left w:val="none" w:sz="0" w:space="0" w:color="auto"/>
            <w:bottom w:val="none" w:sz="0" w:space="0" w:color="auto"/>
            <w:right w:val="none" w:sz="0" w:space="0" w:color="auto"/>
          </w:divBdr>
        </w:div>
        <w:div w:id="184290247">
          <w:marLeft w:val="1426"/>
          <w:marRight w:val="0"/>
          <w:marTop w:val="60"/>
          <w:marBottom w:val="0"/>
          <w:divBdr>
            <w:top w:val="none" w:sz="0" w:space="0" w:color="auto"/>
            <w:left w:val="none" w:sz="0" w:space="0" w:color="auto"/>
            <w:bottom w:val="none" w:sz="0" w:space="0" w:color="auto"/>
            <w:right w:val="none" w:sz="0" w:space="0" w:color="auto"/>
          </w:divBdr>
        </w:div>
        <w:div w:id="274872673">
          <w:marLeft w:val="850"/>
          <w:marRight w:val="0"/>
          <w:marTop w:val="255"/>
          <w:marBottom w:val="0"/>
          <w:divBdr>
            <w:top w:val="none" w:sz="0" w:space="0" w:color="auto"/>
            <w:left w:val="none" w:sz="0" w:space="0" w:color="auto"/>
            <w:bottom w:val="none" w:sz="0" w:space="0" w:color="auto"/>
            <w:right w:val="none" w:sz="0" w:space="0" w:color="auto"/>
          </w:divBdr>
        </w:div>
        <w:div w:id="622856221">
          <w:marLeft w:val="850"/>
          <w:marRight w:val="0"/>
          <w:marTop w:val="255"/>
          <w:marBottom w:val="0"/>
          <w:divBdr>
            <w:top w:val="none" w:sz="0" w:space="0" w:color="auto"/>
            <w:left w:val="none" w:sz="0" w:space="0" w:color="auto"/>
            <w:bottom w:val="none" w:sz="0" w:space="0" w:color="auto"/>
            <w:right w:val="none" w:sz="0" w:space="0" w:color="auto"/>
          </w:divBdr>
        </w:div>
        <w:div w:id="747074214">
          <w:marLeft w:val="1426"/>
          <w:marRight w:val="0"/>
          <w:marTop w:val="60"/>
          <w:marBottom w:val="0"/>
          <w:divBdr>
            <w:top w:val="none" w:sz="0" w:space="0" w:color="auto"/>
            <w:left w:val="none" w:sz="0" w:space="0" w:color="auto"/>
            <w:bottom w:val="none" w:sz="0" w:space="0" w:color="auto"/>
            <w:right w:val="none" w:sz="0" w:space="0" w:color="auto"/>
          </w:divBdr>
        </w:div>
        <w:div w:id="943615447">
          <w:marLeft w:val="1426"/>
          <w:marRight w:val="0"/>
          <w:marTop w:val="60"/>
          <w:marBottom w:val="0"/>
          <w:divBdr>
            <w:top w:val="none" w:sz="0" w:space="0" w:color="auto"/>
            <w:left w:val="none" w:sz="0" w:space="0" w:color="auto"/>
            <w:bottom w:val="none" w:sz="0" w:space="0" w:color="auto"/>
            <w:right w:val="none" w:sz="0" w:space="0" w:color="auto"/>
          </w:divBdr>
        </w:div>
        <w:div w:id="1570846982">
          <w:marLeft w:val="850"/>
          <w:marRight w:val="0"/>
          <w:marTop w:val="255"/>
          <w:marBottom w:val="0"/>
          <w:divBdr>
            <w:top w:val="none" w:sz="0" w:space="0" w:color="auto"/>
            <w:left w:val="none" w:sz="0" w:space="0" w:color="auto"/>
            <w:bottom w:val="none" w:sz="0" w:space="0" w:color="auto"/>
            <w:right w:val="none" w:sz="0" w:space="0" w:color="auto"/>
          </w:divBdr>
        </w:div>
        <w:div w:id="1766077150">
          <w:marLeft w:val="1426"/>
          <w:marRight w:val="0"/>
          <w:marTop w:val="60"/>
          <w:marBottom w:val="0"/>
          <w:divBdr>
            <w:top w:val="none" w:sz="0" w:space="0" w:color="auto"/>
            <w:left w:val="none" w:sz="0" w:space="0" w:color="auto"/>
            <w:bottom w:val="none" w:sz="0" w:space="0" w:color="auto"/>
            <w:right w:val="none" w:sz="0" w:space="0" w:color="auto"/>
          </w:divBdr>
        </w:div>
        <w:div w:id="2069497141">
          <w:marLeft w:val="1426"/>
          <w:marRight w:val="0"/>
          <w:marTop w:val="60"/>
          <w:marBottom w:val="0"/>
          <w:divBdr>
            <w:top w:val="none" w:sz="0" w:space="0" w:color="auto"/>
            <w:left w:val="none" w:sz="0" w:space="0" w:color="auto"/>
            <w:bottom w:val="none" w:sz="0" w:space="0" w:color="auto"/>
            <w:right w:val="none" w:sz="0" w:space="0" w:color="auto"/>
          </w:divBdr>
        </w:div>
      </w:divsChild>
    </w:div>
    <w:div w:id="93983980">
      <w:bodyDiv w:val="1"/>
      <w:marLeft w:val="0"/>
      <w:marRight w:val="0"/>
      <w:marTop w:val="0"/>
      <w:marBottom w:val="0"/>
      <w:divBdr>
        <w:top w:val="none" w:sz="0" w:space="0" w:color="auto"/>
        <w:left w:val="none" w:sz="0" w:space="0" w:color="auto"/>
        <w:bottom w:val="none" w:sz="0" w:space="0" w:color="auto"/>
        <w:right w:val="none" w:sz="0" w:space="0" w:color="auto"/>
      </w:divBdr>
    </w:div>
    <w:div w:id="135027055">
      <w:bodyDiv w:val="1"/>
      <w:marLeft w:val="0"/>
      <w:marRight w:val="0"/>
      <w:marTop w:val="0"/>
      <w:marBottom w:val="0"/>
      <w:divBdr>
        <w:top w:val="none" w:sz="0" w:space="0" w:color="auto"/>
        <w:left w:val="none" w:sz="0" w:space="0" w:color="auto"/>
        <w:bottom w:val="none" w:sz="0" w:space="0" w:color="auto"/>
        <w:right w:val="none" w:sz="0" w:space="0" w:color="auto"/>
      </w:divBdr>
      <w:divsChild>
        <w:div w:id="315232314">
          <w:marLeft w:val="1426"/>
          <w:marRight w:val="0"/>
          <w:marTop w:val="60"/>
          <w:marBottom w:val="0"/>
          <w:divBdr>
            <w:top w:val="none" w:sz="0" w:space="0" w:color="auto"/>
            <w:left w:val="none" w:sz="0" w:space="0" w:color="auto"/>
            <w:bottom w:val="none" w:sz="0" w:space="0" w:color="auto"/>
            <w:right w:val="none" w:sz="0" w:space="0" w:color="auto"/>
          </w:divBdr>
        </w:div>
        <w:div w:id="987369504">
          <w:marLeft w:val="1426"/>
          <w:marRight w:val="0"/>
          <w:marTop w:val="60"/>
          <w:marBottom w:val="0"/>
          <w:divBdr>
            <w:top w:val="none" w:sz="0" w:space="0" w:color="auto"/>
            <w:left w:val="none" w:sz="0" w:space="0" w:color="auto"/>
            <w:bottom w:val="none" w:sz="0" w:space="0" w:color="auto"/>
            <w:right w:val="none" w:sz="0" w:space="0" w:color="auto"/>
          </w:divBdr>
        </w:div>
        <w:div w:id="1398476414">
          <w:marLeft w:val="1426"/>
          <w:marRight w:val="0"/>
          <w:marTop w:val="60"/>
          <w:marBottom w:val="0"/>
          <w:divBdr>
            <w:top w:val="none" w:sz="0" w:space="0" w:color="auto"/>
            <w:left w:val="none" w:sz="0" w:space="0" w:color="auto"/>
            <w:bottom w:val="none" w:sz="0" w:space="0" w:color="auto"/>
            <w:right w:val="none" w:sz="0" w:space="0" w:color="auto"/>
          </w:divBdr>
        </w:div>
        <w:div w:id="1531381594">
          <w:marLeft w:val="1426"/>
          <w:marRight w:val="0"/>
          <w:marTop w:val="60"/>
          <w:marBottom w:val="0"/>
          <w:divBdr>
            <w:top w:val="none" w:sz="0" w:space="0" w:color="auto"/>
            <w:left w:val="none" w:sz="0" w:space="0" w:color="auto"/>
            <w:bottom w:val="none" w:sz="0" w:space="0" w:color="auto"/>
            <w:right w:val="none" w:sz="0" w:space="0" w:color="auto"/>
          </w:divBdr>
        </w:div>
        <w:div w:id="1615557414">
          <w:marLeft w:val="850"/>
          <w:marRight w:val="0"/>
          <w:marTop w:val="255"/>
          <w:marBottom w:val="0"/>
          <w:divBdr>
            <w:top w:val="none" w:sz="0" w:space="0" w:color="auto"/>
            <w:left w:val="none" w:sz="0" w:space="0" w:color="auto"/>
            <w:bottom w:val="none" w:sz="0" w:space="0" w:color="auto"/>
            <w:right w:val="none" w:sz="0" w:space="0" w:color="auto"/>
          </w:divBdr>
        </w:div>
        <w:div w:id="1879928440">
          <w:marLeft w:val="1426"/>
          <w:marRight w:val="0"/>
          <w:marTop w:val="60"/>
          <w:marBottom w:val="0"/>
          <w:divBdr>
            <w:top w:val="none" w:sz="0" w:space="0" w:color="auto"/>
            <w:left w:val="none" w:sz="0" w:space="0" w:color="auto"/>
            <w:bottom w:val="none" w:sz="0" w:space="0" w:color="auto"/>
            <w:right w:val="none" w:sz="0" w:space="0" w:color="auto"/>
          </w:divBdr>
        </w:div>
        <w:div w:id="1961449964">
          <w:marLeft w:val="850"/>
          <w:marRight w:val="0"/>
          <w:marTop w:val="255"/>
          <w:marBottom w:val="0"/>
          <w:divBdr>
            <w:top w:val="none" w:sz="0" w:space="0" w:color="auto"/>
            <w:left w:val="none" w:sz="0" w:space="0" w:color="auto"/>
            <w:bottom w:val="none" w:sz="0" w:space="0" w:color="auto"/>
            <w:right w:val="none" w:sz="0" w:space="0" w:color="auto"/>
          </w:divBdr>
        </w:div>
        <w:div w:id="2014842103">
          <w:marLeft w:val="850"/>
          <w:marRight w:val="0"/>
          <w:marTop w:val="255"/>
          <w:marBottom w:val="0"/>
          <w:divBdr>
            <w:top w:val="none" w:sz="0" w:space="0" w:color="auto"/>
            <w:left w:val="none" w:sz="0" w:space="0" w:color="auto"/>
            <w:bottom w:val="none" w:sz="0" w:space="0" w:color="auto"/>
            <w:right w:val="none" w:sz="0" w:space="0" w:color="auto"/>
          </w:divBdr>
        </w:div>
        <w:div w:id="2016766573">
          <w:marLeft w:val="1426"/>
          <w:marRight w:val="0"/>
          <w:marTop w:val="60"/>
          <w:marBottom w:val="0"/>
          <w:divBdr>
            <w:top w:val="none" w:sz="0" w:space="0" w:color="auto"/>
            <w:left w:val="none" w:sz="0" w:space="0" w:color="auto"/>
            <w:bottom w:val="none" w:sz="0" w:space="0" w:color="auto"/>
            <w:right w:val="none" w:sz="0" w:space="0" w:color="auto"/>
          </w:divBdr>
        </w:div>
        <w:div w:id="2044094308">
          <w:marLeft w:val="850"/>
          <w:marRight w:val="0"/>
          <w:marTop w:val="255"/>
          <w:marBottom w:val="0"/>
          <w:divBdr>
            <w:top w:val="none" w:sz="0" w:space="0" w:color="auto"/>
            <w:left w:val="none" w:sz="0" w:space="0" w:color="auto"/>
            <w:bottom w:val="none" w:sz="0" w:space="0" w:color="auto"/>
            <w:right w:val="none" w:sz="0" w:space="0" w:color="auto"/>
          </w:divBdr>
        </w:div>
      </w:divsChild>
    </w:div>
    <w:div w:id="190345830">
      <w:bodyDiv w:val="1"/>
      <w:marLeft w:val="0"/>
      <w:marRight w:val="0"/>
      <w:marTop w:val="0"/>
      <w:marBottom w:val="0"/>
      <w:divBdr>
        <w:top w:val="none" w:sz="0" w:space="0" w:color="auto"/>
        <w:left w:val="none" w:sz="0" w:space="0" w:color="auto"/>
        <w:bottom w:val="none" w:sz="0" w:space="0" w:color="auto"/>
        <w:right w:val="none" w:sz="0" w:space="0" w:color="auto"/>
      </w:divBdr>
    </w:div>
    <w:div w:id="201138020">
      <w:bodyDiv w:val="1"/>
      <w:marLeft w:val="0"/>
      <w:marRight w:val="0"/>
      <w:marTop w:val="0"/>
      <w:marBottom w:val="0"/>
      <w:divBdr>
        <w:top w:val="none" w:sz="0" w:space="0" w:color="auto"/>
        <w:left w:val="none" w:sz="0" w:space="0" w:color="auto"/>
        <w:bottom w:val="none" w:sz="0" w:space="0" w:color="auto"/>
        <w:right w:val="none" w:sz="0" w:space="0" w:color="auto"/>
      </w:divBdr>
      <w:divsChild>
        <w:div w:id="108816323">
          <w:marLeft w:val="1426"/>
          <w:marRight w:val="0"/>
          <w:marTop w:val="120"/>
          <w:marBottom w:val="0"/>
          <w:divBdr>
            <w:top w:val="none" w:sz="0" w:space="0" w:color="auto"/>
            <w:left w:val="none" w:sz="0" w:space="0" w:color="auto"/>
            <w:bottom w:val="none" w:sz="0" w:space="0" w:color="auto"/>
            <w:right w:val="none" w:sz="0" w:space="0" w:color="auto"/>
          </w:divBdr>
        </w:div>
        <w:div w:id="248514272">
          <w:marLeft w:val="1426"/>
          <w:marRight w:val="0"/>
          <w:marTop w:val="120"/>
          <w:marBottom w:val="0"/>
          <w:divBdr>
            <w:top w:val="none" w:sz="0" w:space="0" w:color="auto"/>
            <w:left w:val="none" w:sz="0" w:space="0" w:color="auto"/>
            <w:bottom w:val="none" w:sz="0" w:space="0" w:color="auto"/>
            <w:right w:val="none" w:sz="0" w:space="0" w:color="auto"/>
          </w:divBdr>
        </w:div>
        <w:div w:id="350256407">
          <w:marLeft w:val="1426"/>
          <w:marRight w:val="0"/>
          <w:marTop w:val="240"/>
          <w:marBottom w:val="0"/>
          <w:divBdr>
            <w:top w:val="none" w:sz="0" w:space="0" w:color="auto"/>
            <w:left w:val="none" w:sz="0" w:space="0" w:color="auto"/>
            <w:bottom w:val="none" w:sz="0" w:space="0" w:color="auto"/>
            <w:right w:val="none" w:sz="0" w:space="0" w:color="auto"/>
          </w:divBdr>
        </w:div>
        <w:div w:id="2142459838">
          <w:marLeft w:val="1426"/>
          <w:marRight w:val="0"/>
          <w:marTop w:val="120"/>
          <w:marBottom w:val="0"/>
          <w:divBdr>
            <w:top w:val="none" w:sz="0" w:space="0" w:color="auto"/>
            <w:left w:val="none" w:sz="0" w:space="0" w:color="auto"/>
            <w:bottom w:val="none" w:sz="0" w:space="0" w:color="auto"/>
            <w:right w:val="none" w:sz="0" w:space="0" w:color="auto"/>
          </w:divBdr>
        </w:div>
      </w:divsChild>
    </w:div>
    <w:div w:id="202135802">
      <w:bodyDiv w:val="1"/>
      <w:marLeft w:val="0"/>
      <w:marRight w:val="0"/>
      <w:marTop w:val="0"/>
      <w:marBottom w:val="0"/>
      <w:divBdr>
        <w:top w:val="none" w:sz="0" w:space="0" w:color="auto"/>
        <w:left w:val="none" w:sz="0" w:space="0" w:color="auto"/>
        <w:bottom w:val="none" w:sz="0" w:space="0" w:color="auto"/>
        <w:right w:val="none" w:sz="0" w:space="0" w:color="auto"/>
      </w:divBdr>
      <w:divsChild>
        <w:div w:id="317004280">
          <w:marLeft w:val="1426"/>
          <w:marRight w:val="0"/>
          <w:marTop w:val="255"/>
          <w:marBottom w:val="0"/>
          <w:divBdr>
            <w:top w:val="none" w:sz="0" w:space="0" w:color="auto"/>
            <w:left w:val="none" w:sz="0" w:space="0" w:color="auto"/>
            <w:bottom w:val="none" w:sz="0" w:space="0" w:color="auto"/>
            <w:right w:val="none" w:sz="0" w:space="0" w:color="auto"/>
          </w:divBdr>
        </w:div>
        <w:div w:id="391008455">
          <w:marLeft w:val="2405"/>
          <w:marRight w:val="0"/>
          <w:marTop w:val="0"/>
          <w:marBottom w:val="0"/>
          <w:divBdr>
            <w:top w:val="none" w:sz="0" w:space="0" w:color="auto"/>
            <w:left w:val="none" w:sz="0" w:space="0" w:color="auto"/>
            <w:bottom w:val="none" w:sz="0" w:space="0" w:color="auto"/>
            <w:right w:val="none" w:sz="0" w:space="0" w:color="auto"/>
          </w:divBdr>
        </w:div>
        <w:div w:id="421754898">
          <w:marLeft w:val="1426"/>
          <w:marRight w:val="0"/>
          <w:marTop w:val="255"/>
          <w:marBottom w:val="0"/>
          <w:divBdr>
            <w:top w:val="none" w:sz="0" w:space="0" w:color="auto"/>
            <w:left w:val="none" w:sz="0" w:space="0" w:color="auto"/>
            <w:bottom w:val="none" w:sz="0" w:space="0" w:color="auto"/>
            <w:right w:val="none" w:sz="0" w:space="0" w:color="auto"/>
          </w:divBdr>
        </w:div>
        <w:div w:id="425421827">
          <w:marLeft w:val="2146"/>
          <w:marRight w:val="0"/>
          <w:marTop w:val="0"/>
          <w:marBottom w:val="0"/>
          <w:divBdr>
            <w:top w:val="none" w:sz="0" w:space="0" w:color="auto"/>
            <w:left w:val="none" w:sz="0" w:space="0" w:color="auto"/>
            <w:bottom w:val="none" w:sz="0" w:space="0" w:color="auto"/>
            <w:right w:val="none" w:sz="0" w:space="0" w:color="auto"/>
          </w:divBdr>
        </w:div>
        <w:div w:id="431358862">
          <w:marLeft w:val="2146"/>
          <w:marRight w:val="0"/>
          <w:marTop w:val="0"/>
          <w:marBottom w:val="0"/>
          <w:divBdr>
            <w:top w:val="none" w:sz="0" w:space="0" w:color="auto"/>
            <w:left w:val="none" w:sz="0" w:space="0" w:color="auto"/>
            <w:bottom w:val="none" w:sz="0" w:space="0" w:color="auto"/>
            <w:right w:val="none" w:sz="0" w:space="0" w:color="auto"/>
          </w:divBdr>
        </w:div>
        <w:div w:id="557522023">
          <w:marLeft w:val="2146"/>
          <w:marRight w:val="0"/>
          <w:marTop w:val="0"/>
          <w:marBottom w:val="0"/>
          <w:divBdr>
            <w:top w:val="none" w:sz="0" w:space="0" w:color="auto"/>
            <w:left w:val="none" w:sz="0" w:space="0" w:color="auto"/>
            <w:bottom w:val="none" w:sz="0" w:space="0" w:color="auto"/>
            <w:right w:val="none" w:sz="0" w:space="0" w:color="auto"/>
          </w:divBdr>
        </w:div>
        <w:div w:id="650672807">
          <w:marLeft w:val="2405"/>
          <w:marRight w:val="0"/>
          <w:marTop w:val="0"/>
          <w:marBottom w:val="0"/>
          <w:divBdr>
            <w:top w:val="none" w:sz="0" w:space="0" w:color="auto"/>
            <w:left w:val="none" w:sz="0" w:space="0" w:color="auto"/>
            <w:bottom w:val="none" w:sz="0" w:space="0" w:color="auto"/>
            <w:right w:val="none" w:sz="0" w:space="0" w:color="auto"/>
          </w:divBdr>
        </w:div>
        <w:div w:id="748238386">
          <w:marLeft w:val="2146"/>
          <w:marRight w:val="0"/>
          <w:marTop w:val="0"/>
          <w:marBottom w:val="0"/>
          <w:divBdr>
            <w:top w:val="none" w:sz="0" w:space="0" w:color="auto"/>
            <w:left w:val="none" w:sz="0" w:space="0" w:color="auto"/>
            <w:bottom w:val="none" w:sz="0" w:space="0" w:color="auto"/>
            <w:right w:val="none" w:sz="0" w:space="0" w:color="auto"/>
          </w:divBdr>
        </w:div>
        <w:div w:id="767315728">
          <w:marLeft w:val="2146"/>
          <w:marRight w:val="0"/>
          <w:marTop w:val="0"/>
          <w:marBottom w:val="0"/>
          <w:divBdr>
            <w:top w:val="none" w:sz="0" w:space="0" w:color="auto"/>
            <w:left w:val="none" w:sz="0" w:space="0" w:color="auto"/>
            <w:bottom w:val="none" w:sz="0" w:space="0" w:color="auto"/>
            <w:right w:val="none" w:sz="0" w:space="0" w:color="auto"/>
          </w:divBdr>
        </w:div>
        <w:div w:id="774398130">
          <w:marLeft w:val="1426"/>
          <w:marRight w:val="0"/>
          <w:marTop w:val="255"/>
          <w:marBottom w:val="0"/>
          <w:divBdr>
            <w:top w:val="none" w:sz="0" w:space="0" w:color="auto"/>
            <w:left w:val="none" w:sz="0" w:space="0" w:color="auto"/>
            <w:bottom w:val="none" w:sz="0" w:space="0" w:color="auto"/>
            <w:right w:val="none" w:sz="0" w:space="0" w:color="auto"/>
          </w:divBdr>
        </w:div>
        <w:div w:id="1095709315">
          <w:marLeft w:val="1426"/>
          <w:marRight w:val="0"/>
          <w:marTop w:val="255"/>
          <w:marBottom w:val="0"/>
          <w:divBdr>
            <w:top w:val="none" w:sz="0" w:space="0" w:color="auto"/>
            <w:left w:val="none" w:sz="0" w:space="0" w:color="auto"/>
            <w:bottom w:val="none" w:sz="0" w:space="0" w:color="auto"/>
            <w:right w:val="none" w:sz="0" w:space="0" w:color="auto"/>
          </w:divBdr>
        </w:div>
        <w:div w:id="1168329919">
          <w:marLeft w:val="2146"/>
          <w:marRight w:val="0"/>
          <w:marTop w:val="0"/>
          <w:marBottom w:val="0"/>
          <w:divBdr>
            <w:top w:val="none" w:sz="0" w:space="0" w:color="auto"/>
            <w:left w:val="none" w:sz="0" w:space="0" w:color="auto"/>
            <w:bottom w:val="none" w:sz="0" w:space="0" w:color="auto"/>
            <w:right w:val="none" w:sz="0" w:space="0" w:color="auto"/>
          </w:divBdr>
        </w:div>
        <w:div w:id="1255095144">
          <w:marLeft w:val="2146"/>
          <w:marRight w:val="0"/>
          <w:marTop w:val="0"/>
          <w:marBottom w:val="0"/>
          <w:divBdr>
            <w:top w:val="none" w:sz="0" w:space="0" w:color="auto"/>
            <w:left w:val="none" w:sz="0" w:space="0" w:color="auto"/>
            <w:bottom w:val="none" w:sz="0" w:space="0" w:color="auto"/>
            <w:right w:val="none" w:sz="0" w:space="0" w:color="auto"/>
          </w:divBdr>
        </w:div>
        <w:div w:id="1491559799">
          <w:marLeft w:val="2146"/>
          <w:marRight w:val="0"/>
          <w:marTop w:val="0"/>
          <w:marBottom w:val="0"/>
          <w:divBdr>
            <w:top w:val="none" w:sz="0" w:space="0" w:color="auto"/>
            <w:left w:val="none" w:sz="0" w:space="0" w:color="auto"/>
            <w:bottom w:val="none" w:sz="0" w:space="0" w:color="auto"/>
            <w:right w:val="none" w:sz="0" w:space="0" w:color="auto"/>
          </w:divBdr>
        </w:div>
        <w:div w:id="1607080959">
          <w:marLeft w:val="2146"/>
          <w:marRight w:val="0"/>
          <w:marTop w:val="0"/>
          <w:marBottom w:val="0"/>
          <w:divBdr>
            <w:top w:val="none" w:sz="0" w:space="0" w:color="auto"/>
            <w:left w:val="none" w:sz="0" w:space="0" w:color="auto"/>
            <w:bottom w:val="none" w:sz="0" w:space="0" w:color="auto"/>
            <w:right w:val="none" w:sz="0" w:space="0" w:color="auto"/>
          </w:divBdr>
        </w:div>
        <w:div w:id="1714423460">
          <w:marLeft w:val="2146"/>
          <w:marRight w:val="0"/>
          <w:marTop w:val="0"/>
          <w:marBottom w:val="0"/>
          <w:divBdr>
            <w:top w:val="none" w:sz="0" w:space="0" w:color="auto"/>
            <w:left w:val="none" w:sz="0" w:space="0" w:color="auto"/>
            <w:bottom w:val="none" w:sz="0" w:space="0" w:color="auto"/>
            <w:right w:val="none" w:sz="0" w:space="0" w:color="auto"/>
          </w:divBdr>
        </w:div>
      </w:divsChild>
    </w:div>
    <w:div w:id="209539585">
      <w:bodyDiv w:val="1"/>
      <w:marLeft w:val="0"/>
      <w:marRight w:val="0"/>
      <w:marTop w:val="0"/>
      <w:marBottom w:val="0"/>
      <w:divBdr>
        <w:top w:val="none" w:sz="0" w:space="0" w:color="auto"/>
        <w:left w:val="none" w:sz="0" w:space="0" w:color="auto"/>
        <w:bottom w:val="none" w:sz="0" w:space="0" w:color="auto"/>
        <w:right w:val="none" w:sz="0" w:space="0" w:color="auto"/>
      </w:divBdr>
    </w:div>
    <w:div w:id="218634471">
      <w:bodyDiv w:val="1"/>
      <w:marLeft w:val="0"/>
      <w:marRight w:val="0"/>
      <w:marTop w:val="0"/>
      <w:marBottom w:val="0"/>
      <w:divBdr>
        <w:top w:val="none" w:sz="0" w:space="0" w:color="auto"/>
        <w:left w:val="none" w:sz="0" w:space="0" w:color="auto"/>
        <w:bottom w:val="none" w:sz="0" w:space="0" w:color="auto"/>
        <w:right w:val="none" w:sz="0" w:space="0" w:color="auto"/>
      </w:divBdr>
    </w:div>
    <w:div w:id="228031581">
      <w:bodyDiv w:val="1"/>
      <w:marLeft w:val="0"/>
      <w:marRight w:val="0"/>
      <w:marTop w:val="0"/>
      <w:marBottom w:val="0"/>
      <w:divBdr>
        <w:top w:val="none" w:sz="0" w:space="0" w:color="auto"/>
        <w:left w:val="none" w:sz="0" w:space="0" w:color="auto"/>
        <w:bottom w:val="none" w:sz="0" w:space="0" w:color="auto"/>
        <w:right w:val="none" w:sz="0" w:space="0" w:color="auto"/>
      </w:divBdr>
      <w:divsChild>
        <w:div w:id="523597635">
          <w:marLeft w:val="850"/>
          <w:marRight w:val="0"/>
          <w:marTop w:val="60"/>
          <w:marBottom w:val="0"/>
          <w:divBdr>
            <w:top w:val="none" w:sz="0" w:space="0" w:color="auto"/>
            <w:left w:val="none" w:sz="0" w:space="0" w:color="auto"/>
            <w:bottom w:val="none" w:sz="0" w:space="0" w:color="auto"/>
            <w:right w:val="none" w:sz="0" w:space="0" w:color="auto"/>
          </w:divBdr>
        </w:div>
        <w:div w:id="550502786">
          <w:marLeft w:val="1426"/>
          <w:marRight w:val="0"/>
          <w:marTop w:val="60"/>
          <w:marBottom w:val="0"/>
          <w:divBdr>
            <w:top w:val="none" w:sz="0" w:space="0" w:color="auto"/>
            <w:left w:val="none" w:sz="0" w:space="0" w:color="auto"/>
            <w:bottom w:val="none" w:sz="0" w:space="0" w:color="auto"/>
            <w:right w:val="none" w:sz="0" w:space="0" w:color="auto"/>
          </w:divBdr>
        </w:div>
        <w:div w:id="872307401">
          <w:marLeft w:val="1426"/>
          <w:marRight w:val="0"/>
          <w:marTop w:val="60"/>
          <w:marBottom w:val="0"/>
          <w:divBdr>
            <w:top w:val="none" w:sz="0" w:space="0" w:color="auto"/>
            <w:left w:val="none" w:sz="0" w:space="0" w:color="auto"/>
            <w:bottom w:val="none" w:sz="0" w:space="0" w:color="auto"/>
            <w:right w:val="none" w:sz="0" w:space="0" w:color="auto"/>
          </w:divBdr>
        </w:div>
        <w:div w:id="919604038">
          <w:marLeft w:val="1426"/>
          <w:marRight w:val="0"/>
          <w:marTop w:val="60"/>
          <w:marBottom w:val="0"/>
          <w:divBdr>
            <w:top w:val="none" w:sz="0" w:space="0" w:color="auto"/>
            <w:left w:val="none" w:sz="0" w:space="0" w:color="auto"/>
            <w:bottom w:val="none" w:sz="0" w:space="0" w:color="auto"/>
            <w:right w:val="none" w:sz="0" w:space="0" w:color="auto"/>
          </w:divBdr>
        </w:div>
        <w:div w:id="1486117923">
          <w:marLeft w:val="850"/>
          <w:marRight w:val="0"/>
          <w:marTop w:val="60"/>
          <w:marBottom w:val="0"/>
          <w:divBdr>
            <w:top w:val="none" w:sz="0" w:space="0" w:color="auto"/>
            <w:left w:val="none" w:sz="0" w:space="0" w:color="auto"/>
            <w:bottom w:val="none" w:sz="0" w:space="0" w:color="auto"/>
            <w:right w:val="none" w:sz="0" w:space="0" w:color="auto"/>
          </w:divBdr>
        </w:div>
        <w:div w:id="1493567813">
          <w:marLeft w:val="1426"/>
          <w:marRight w:val="0"/>
          <w:marTop w:val="60"/>
          <w:marBottom w:val="0"/>
          <w:divBdr>
            <w:top w:val="none" w:sz="0" w:space="0" w:color="auto"/>
            <w:left w:val="none" w:sz="0" w:space="0" w:color="auto"/>
            <w:bottom w:val="none" w:sz="0" w:space="0" w:color="auto"/>
            <w:right w:val="none" w:sz="0" w:space="0" w:color="auto"/>
          </w:divBdr>
        </w:div>
        <w:div w:id="1648784171">
          <w:marLeft w:val="850"/>
          <w:marRight w:val="0"/>
          <w:marTop w:val="60"/>
          <w:marBottom w:val="0"/>
          <w:divBdr>
            <w:top w:val="none" w:sz="0" w:space="0" w:color="auto"/>
            <w:left w:val="none" w:sz="0" w:space="0" w:color="auto"/>
            <w:bottom w:val="none" w:sz="0" w:space="0" w:color="auto"/>
            <w:right w:val="none" w:sz="0" w:space="0" w:color="auto"/>
          </w:divBdr>
        </w:div>
        <w:div w:id="1907835853">
          <w:marLeft w:val="1426"/>
          <w:marRight w:val="0"/>
          <w:marTop w:val="60"/>
          <w:marBottom w:val="0"/>
          <w:divBdr>
            <w:top w:val="none" w:sz="0" w:space="0" w:color="auto"/>
            <w:left w:val="none" w:sz="0" w:space="0" w:color="auto"/>
            <w:bottom w:val="none" w:sz="0" w:space="0" w:color="auto"/>
            <w:right w:val="none" w:sz="0" w:space="0" w:color="auto"/>
          </w:divBdr>
        </w:div>
        <w:div w:id="2029257633">
          <w:marLeft w:val="1426"/>
          <w:marRight w:val="0"/>
          <w:marTop w:val="60"/>
          <w:marBottom w:val="0"/>
          <w:divBdr>
            <w:top w:val="none" w:sz="0" w:space="0" w:color="auto"/>
            <w:left w:val="none" w:sz="0" w:space="0" w:color="auto"/>
            <w:bottom w:val="none" w:sz="0" w:space="0" w:color="auto"/>
            <w:right w:val="none" w:sz="0" w:space="0" w:color="auto"/>
          </w:divBdr>
        </w:div>
        <w:div w:id="2136211903">
          <w:marLeft w:val="1426"/>
          <w:marRight w:val="0"/>
          <w:marTop w:val="60"/>
          <w:marBottom w:val="0"/>
          <w:divBdr>
            <w:top w:val="none" w:sz="0" w:space="0" w:color="auto"/>
            <w:left w:val="none" w:sz="0" w:space="0" w:color="auto"/>
            <w:bottom w:val="none" w:sz="0" w:space="0" w:color="auto"/>
            <w:right w:val="none" w:sz="0" w:space="0" w:color="auto"/>
          </w:divBdr>
        </w:div>
      </w:divsChild>
    </w:div>
    <w:div w:id="229536349">
      <w:bodyDiv w:val="1"/>
      <w:marLeft w:val="0"/>
      <w:marRight w:val="0"/>
      <w:marTop w:val="0"/>
      <w:marBottom w:val="0"/>
      <w:divBdr>
        <w:top w:val="none" w:sz="0" w:space="0" w:color="auto"/>
        <w:left w:val="none" w:sz="0" w:space="0" w:color="auto"/>
        <w:bottom w:val="none" w:sz="0" w:space="0" w:color="auto"/>
        <w:right w:val="none" w:sz="0" w:space="0" w:color="auto"/>
      </w:divBdr>
    </w:div>
    <w:div w:id="259872041">
      <w:bodyDiv w:val="1"/>
      <w:marLeft w:val="0"/>
      <w:marRight w:val="0"/>
      <w:marTop w:val="0"/>
      <w:marBottom w:val="0"/>
      <w:divBdr>
        <w:top w:val="none" w:sz="0" w:space="0" w:color="auto"/>
        <w:left w:val="none" w:sz="0" w:space="0" w:color="auto"/>
        <w:bottom w:val="none" w:sz="0" w:space="0" w:color="auto"/>
        <w:right w:val="none" w:sz="0" w:space="0" w:color="auto"/>
      </w:divBdr>
    </w:div>
    <w:div w:id="267470592">
      <w:bodyDiv w:val="1"/>
      <w:marLeft w:val="0"/>
      <w:marRight w:val="0"/>
      <w:marTop w:val="0"/>
      <w:marBottom w:val="0"/>
      <w:divBdr>
        <w:top w:val="none" w:sz="0" w:space="0" w:color="auto"/>
        <w:left w:val="none" w:sz="0" w:space="0" w:color="auto"/>
        <w:bottom w:val="none" w:sz="0" w:space="0" w:color="auto"/>
        <w:right w:val="none" w:sz="0" w:space="0" w:color="auto"/>
      </w:divBdr>
      <w:divsChild>
        <w:div w:id="225918211">
          <w:marLeft w:val="1267"/>
          <w:marRight w:val="0"/>
          <w:marTop w:val="120"/>
          <w:marBottom w:val="0"/>
          <w:divBdr>
            <w:top w:val="none" w:sz="0" w:space="0" w:color="auto"/>
            <w:left w:val="none" w:sz="0" w:space="0" w:color="auto"/>
            <w:bottom w:val="none" w:sz="0" w:space="0" w:color="auto"/>
            <w:right w:val="none" w:sz="0" w:space="0" w:color="auto"/>
          </w:divBdr>
        </w:div>
        <w:div w:id="527059837">
          <w:marLeft w:val="850"/>
          <w:marRight w:val="0"/>
          <w:marTop w:val="60"/>
          <w:marBottom w:val="0"/>
          <w:divBdr>
            <w:top w:val="none" w:sz="0" w:space="0" w:color="auto"/>
            <w:left w:val="none" w:sz="0" w:space="0" w:color="auto"/>
            <w:bottom w:val="none" w:sz="0" w:space="0" w:color="auto"/>
            <w:right w:val="none" w:sz="0" w:space="0" w:color="auto"/>
          </w:divBdr>
        </w:div>
        <w:div w:id="533887098">
          <w:marLeft w:val="1426"/>
          <w:marRight w:val="0"/>
          <w:marTop w:val="120"/>
          <w:marBottom w:val="0"/>
          <w:divBdr>
            <w:top w:val="none" w:sz="0" w:space="0" w:color="auto"/>
            <w:left w:val="none" w:sz="0" w:space="0" w:color="auto"/>
            <w:bottom w:val="none" w:sz="0" w:space="0" w:color="auto"/>
            <w:right w:val="none" w:sz="0" w:space="0" w:color="auto"/>
          </w:divBdr>
        </w:div>
        <w:div w:id="656763608">
          <w:marLeft w:val="2146"/>
          <w:marRight w:val="0"/>
          <w:marTop w:val="120"/>
          <w:marBottom w:val="0"/>
          <w:divBdr>
            <w:top w:val="none" w:sz="0" w:space="0" w:color="auto"/>
            <w:left w:val="none" w:sz="0" w:space="0" w:color="auto"/>
            <w:bottom w:val="none" w:sz="0" w:space="0" w:color="auto"/>
            <w:right w:val="none" w:sz="0" w:space="0" w:color="auto"/>
          </w:divBdr>
        </w:div>
        <w:div w:id="658074965">
          <w:marLeft w:val="1267"/>
          <w:marRight w:val="0"/>
          <w:marTop w:val="120"/>
          <w:marBottom w:val="0"/>
          <w:divBdr>
            <w:top w:val="none" w:sz="0" w:space="0" w:color="auto"/>
            <w:left w:val="none" w:sz="0" w:space="0" w:color="auto"/>
            <w:bottom w:val="none" w:sz="0" w:space="0" w:color="auto"/>
            <w:right w:val="none" w:sz="0" w:space="0" w:color="auto"/>
          </w:divBdr>
        </w:div>
        <w:div w:id="1184587644">
          <w:marLeft w:val="1426"/>
          <w:marRight w:val="0"/>
          <w:marTop w:val="120"/>
          <w:marBottom w:val="0"/>
          <w:divBdr>
            <w:top w:val="none" w:sz="0" w:space="0" w:color="auto"/>
            <w:left w:val="none" w:sz="0" w:space="0" w:color="auto"/>
            <w:bottom w:val="none" w:sz="0" w:space="0" w:color="auto"/>
            <w:right w:val="none" w:sz="0" w:space="0" w:color="auto"/>
          </w:divBdr>
        </w:div>
        <w:div w:id="1286353780">
          <w:marLeft w:val="1426"/>
          <w:marRight w:val="0"/>
          <w:marTop w:val="120"/>
          <w:marBottom w:val="0"/>
          <w:divBdr>
            <w:top w:val="none" w:sz="0" w:space="0" w:color="auto"/>
            <w:left w:val="none" w:sz="0" w:space="0" w:color="auto"/>
            <w:bottom w:val="none" w:sz="0" w:space="0" w:color="auto"/>
            <w:right w:val="none" w:sz="0" w:space="0" w:color="auto"/>
          </w:divBdr>
        </w:div>
        <w:div w:id="1702898870">
          <w:marLeft w:val="1267"/>
          <w:marRight w:val="0"/>
          <w:marTop w:val="120"/>
          <w:marBottom w:val="0"/>
          <w:divBdr>
            <w:top w:val="none" w:sz="0" w:space="0" w:color="auto"/>
            <w:left w:val="none" w:sz="0" w:space="0" w:color="auto"/>
            <w:bottom w:val="none" w:sz="0" w:space="0" w:color="auto"/>
            <w:right w:val="none" w:sz="0" w:space="0" w:color="auto"/>
          </w:divBdr>
        </w:div>
        <w:div w:id="1895851370">
          <w:marLeft w:val="850"/>
          <w:marRight w:val="0"/>
          <w:marTop w:val="60"/>
          <w:marBottom w:val="0"/>
          <w:divBdr>
            <w:top w:val="none" w:sz="0" w:space="0" w:color="auto"/>
            <w:left w:val="none" w:sz="0" w:space="0" w:color="auto"/>
            <w:bottom w:val="none" w:sz="0" w:space="0" w:color="auto"/>
            <w:right w:val="none" w:sz="0" w:space="0" w:color="auto"/>
          </w:divBdr>
        </w:div>
      </w:divsChild>
    </w:div>
    <w:div w:id="282149895">
      <w:bodyDiv w:val="1"/>
      <w:marLeft w:val="0"/>
      <w:marRight w:val="0"/>
      <w:marTop w:val="0"/>
      <w:marBottom w:val="0"/>
      <w:divBdr>
        <w:top w:val="none" w:sz="0" w:space="0" w:color="auto"/>
        <w:left w:val="none" w:sz="0" w:space="0" w:color="auto"/>
        <w:bottom w:val="none" w:sz="0" w:space="0" w:color="auto"/>
        <w:right w:val="none" w:sz="0" w:space="0" w:color="auto"/>
      </w:divBdr>
      <w:divsChild>
        <w:div w:id="37779123">
          <w:marLeft w:val="850"/>
          <w:marRight w:val="0"/>
          <w:marTop w:val="60"/>
          <w:marBottom w:val="0"/>
          <w:divBdr>
            <w:top w:val="none" w:sz="0" w:space="0" w:color="auto"/>
            <w:left w:val="none" w:sz="0" w:space="0" w:color="auto"/>
            <w:bottom w:val="none" w:sz="0" w:space="0" w:color="auto"/>
            <w:right w:val="none" w:sz="0" w:space="0" w:color="auto"/>
          </w:divBdr>
        </w:div>
        <w:div w:id="90905273">
          <w:marLeft w:val="504"/>
          <w:marRight w:val="0"/>
          <w:marTop w:val="60"/>
          <w:marBottom w:val="0"/>
          <w:divBdr>
            <w:top w:val="none" w:sz="0" w:space="0" w:color="auto"/>
            <w:left w:val="none" w:sz="0" w:space="0" w:color="auto"/>
            <w:bottom w:val="none" w:sz="0" w:space="0" w:color="auto"/>
            <w:right w:val="none" w:sz="0" w:space="0" w:color="auto"/>
          </w:divBdr>
        </w:div>
        <w:div w:id="328556069">
          <w:marLeft w:val="850"/>
          <w:marRight w:val="0"/>
          <w:marTop w:val="60"/>
          <w:marBottom w:val="0"/>
          <w:divBdr>
            <w:top w:val="none" w:sz="0" w:space="0" w:color="auto"/>
            <w:left w:val="none" w:sz="0" w:space="0" w:color="auto"/>
            <w:bottom w:val="none" w:sz="0" w:space="0" w:color="auto"/>
            <w:right w:val="none" w:sz="0" w:space="0" w:color="auto"/>
          </w:divBdr>
        </w:div>
        <w:div w:id="436490056">
          <w:marLeft w:val="504"/>
          <w:marRight w:val="0"/>
          <w:marTop w:val="60"/>
          <w:marBottom w:val="0"/>
          <w:divBdr>
            <w:top w:val="none" w:sz="0" w:space="0" w:color="auto"/>
            <w:left w:val="none" w:sz="0" w:space="0" w:color="auto"/>
            <w:bottom w:val="none" w:sz="0" w:space="0" w:color="auto"/>
            <w:right w:val="none" w:sz="0" w:space="0" w:color="auto"/>
          </w:divBdr>
        </w:div>
        <w:div w:id="689721053">
          <w:marLeft w:val="850"/>
          <w:marRight w:val="0"/>
          <w:marTop w:val="60"/>
          <w:marBottom w:val="0"/>
          <w:divBdr>
            <w:top w:val="none" w:sz="0" w:space="0" w:color="auto"/>
            <w:left w:val="none" w:sz="0" w:space="0" w:color="auto"/>
            <w:bottom w:val="none" w:sz="0" w:space="0" w:color="auto"/>
            <w:right w:val="none" w:sz="0" w:space="0" w:color="auto"/>
          </w:divBdr>
        </w:div>
        <w:div w:id="1196042313">
          <w:marLeft w:val="850"/>
          <w:marRight w:val="0"/>
          <w:marTop w:val="60"/>
          <w:marBottom w:val="0"/>
          <w:divBdr>
            <w:top w:val="none" w:sz="0" w:space="0" w:color="auto"/>
            <w:left w:val="none" w:sz="0" w:space="0" w:color="auto"/>
            <w:bottom w:val="none" w:sz="0" w:space="0" w:color="auto"/>
            <w:right w:val="none" w:sz="0" w:space="0" w:color="auto"/>
          </w:divBdr>
        </w:div>
        <w:div w:id="1489788084">
          <w:marLeft w:val="850"/>
          <w:marRight w:val="0"/>
          <w:marTop w:val="60"/>
          <w:marBottom w:val="0"/>
          <w:divBdr>
            <w:top w:val="none" w:sz="0" w:space="0" w:color="auto"/>
            <w:left w:val="none" w:sz="0" w:space="0" w:color="auto"/>
            <w:bottom w:val="none" w:sz="0" w:space="0" w:color="auto"/>
            <w:right w:val="none" w:sz="0" w:space="0" w:color="auto"/>
          </w:divBdr>
        </w:div>
        <w:div w:id="1696619036">
          <w:marLeft w:val="850"/>
          <w:marRight w:val="0"/>
          <w:marTop w:val="60"/>
          <w:marBottom w:val="0"/>
          <w:divBdr>
            <w:top w:val="none" w:sz="0" w:space="0" w:color="auto"/>
            <w:left w:val="none" w:sz="0" w:space="0" w:color="auto"/>
            <w:bottom w:val="none" w:sz="0" w:space="0" w:color="auto"/>
            <w:right w:val="none" w:sz="0" w:space="0" w:color="auto"/>
          </w:divBdr>
        </w:div>
        <w:div w:id="1814712647">
          <w:marLeft w:val="850"/>
          <w:marRight w:val="0"/>
          <w:marTop w:val="60"/>
          <w:marBottom w:val="0"/>
          <w:divBdr>
            <w:top w:val="none" w:sz="0" w:space="0" w:color="auto"/>
            <w:left w:val="none" w:sz="0" w:space="0" w:color="auto"/>
            <w:bottom w:val="none" w:sz="0" w:space="0" w:color="auto"/>
            <w:right w:val="none" w:sz="0" w:space="0" w:color="auto"/>
          </w:divBdr>
        </w:div>
        <w:div w:id="1823697754">
          <w:marLeft w:val="504"/>
          <w:marRight w:val="0"/>
          <w:marTop w:val="60"/>
          <w:marBottom w:val="0"/>
          <w:divBdr>
            <w:top w:val="none" w:sz="0" w:space="0" w:color="auto"/>
            <w:left w:val="none" w:sz="0" w:space="0" w:color="auto"/>
            <w:bottom w:val="none" w:sz="0" w:space="0" w:color="auto"/>
            <w:right w:val="none" w:sz="0" w:space="0" w:color="auto"/>
          </w:divBdr>
        </w:div>
        <w:div w:id="1830948864">
          <w:marLeft w:val="850"/>
          <w:marRight w:val="0"/>
          <w:marTop w:val="60"/>
          <w:marBottom w:val="0"/>
          <w:divBdr>
            <w:top w:val="none" w:sz="0" w:space="0" w:color="auto"/>
            <w:left w:val="none" w:sz="0" w:space="0" w:color="auto"/>
            <w:bottom w:val="none" w:sz="0" w:space="0" w:color="auto"/>
            <w:right w:val="none" w:sz="0" w:space="0" w:color="auto"/>
          </w:divBdr>
        </w:div>
        <w:div w:id="1880167922">
          <w:marLeft w:val="850"/>
          <w:marRight w:val="0"/>
          <w:marTop w:val="60"/>
          <w:marBottom w:val="0"/>
          <w:divBdr>
            <w:top w:val="none" w:sz="0" w:space="0" w:color="auto"/>
            <w:left w:val="none" w:sz="0" w:space="0" w:color="auto"/>
            <w:bottom w:val="none" w:sz="0" w:space="0" w:color="auto"/>
            <w:right w:val="none" w:sz="0" w:space="0" w:color="auto"/>
          </w:divBdr>
        </w:div>
      </w:divsChild>
    </w:div>
    <w:div w:id="309405910">
      <w:bodyDiv w:val="1"/>
      <w:marLeft w:val="0"/>
      <w:marRight w:val="0"/>
      <w:marTop w:val="0"/>
      <w:marBottom w:val="0"/>
      <w:divBdr>
        <w:top w:val="none" w:sz="0" w:space="0" w:color="auto"/>
        <w:left w:val="none" w:sz="0" w:space="0" w:color="auto"/>
        <w:bottom w:val="none" w:sz="0" w:space="0" w:color="auto"/>
        <w:right w:val="none" w:sz="0" w:space="0" w:color="auto"/>
      </w:divBdr>
      <w:divsChild>
        <w:div w:id="512455059">
          <w:marLeft w:val="1843"/>
          <w:marRight w:val="0"/>
          <w:marTop w:val="0"/>
          <w:marBottom w:val="0"/>
          <w:divBdr>
            <w:top w:val="none" w:sz="0" w:space="0" w:color="auto"/>
            <w:left w:val="none" w:sz="0" w:space="0" w:color="auto"/>
            <w:bottom w:val="none" w:sz="0" w:space="0" w:color="auto"/>
            <w:right w:val="none" w:sz="0" w:space="0" w:color="auto"/>
          </w:divBdr>
        </w:div>
        <w:div w:id="601302513">
          <w:marLeft w:val="1843"/>
          <w:marRight w:val="0"/>
          <w:marTop w:val="0"/>
          <w:marBottom w:val="0"/>
          <w:divBdr>
            <w:top w:val="none" w:sz="0" w:space="0" w:color="auto"/>
            <w:left w:val="none" w:sz="0" w:space="0" w:color="auto"/>
            <w:bottom w:val="none" w:sz="0" w:space="0" w:color="auto"/>
            <w:right w:val="none" w:sz="0" w:space="0" w:color="auto"/>
          </w:divBdr>
        </w:div>
        <w:div w:id="685980294">
          <w:marLeft w:val="1843"/>
          <w:marRight w:val="0"/>
          <w:marTop w:val="0"/>
          <w:marBottom w:val="0"/>
          <w:divBdr>
            <w:top w:val="none" w:sz="0" w:space="0" w:color="auto"/>
            <w:left w:val="none" w:sz="0" w:space="0" w:color="auto"/>
            <w:bottom w:val="none" w:sz="0" w:space="0" w:color="auto"/>
            <w:right w:val="none" w:sz="0" w:space="0" w:color="auto"/>
          </w:divBdr>
        </w:div>
        <w:div w:id="785612509">
          <w:marLeft w:val="1843"/>
          <w:marRight w:val="0"/>
          <w:marTop w:val="0"/>
          <w:marBottom w:val="0"/>
          <w:divBdr>
            <w:top w:val="none" w:sz="0" w:space="0" w:color="auto"/>
            <w:left w:val="none" w:sz="0" w:space="0" w:color="auto"/>
            <w:bottom w:val="none" w:sz="0" w:space="0" w:color="auto"/>
            <w:right w:val="none" w:sz="0" w:space="0" w:color="auto"/>
          </w:divBdr>
        </w:div>
        <w:div w:id="839274229">
          <w:marLeft w:val="1843"/>
          <w:marRight w:val="0"/>
          <w:marTop w:val="0"/>
          <w:marBottom w:val="0"/>
          <w:divBdr>
            <w:top w:val="none" w:sz="0" w:space="0" w:color="auto"/>
            <w:left w:val="none" w:sz="0" w:space="0" w:color="auto"/>
            <w:bottom w:val="none" w:sz="0" w:space="0" w:color="auto"/>
            <w:right w:val="none" w:sz="0" w:space="0" w:color="auto"/>
          </w:divBdr>
        </w:div>
        <w:div w:id="954025887">
          <w:marLeft w:val="1843"/>
          <w:marRight w:val="0"/>
          <w:marTop w:val="0"/>
          <w:marBottom w:val="0"/>
          <w:divBdr>
            <w:top w:val="none" w:sz="0" w:space="0" w:color="auto"/>
            <w:left w:val="none" w:sz="0" w:space="0" w:color="auto"/>
            <w:bottom w:val="none" w:sz="0" w:space="0" w:color="auto"/>
            <w:right w:val="none" w:sz="0" w:space="0" w:color="auto"/>
          </w:divBdr>
        </w:div>
        <w:div w:id="1050037516">
          <w:marLeft w:val="1843"/>
          <w:marRight w:val="0"/>
          <w:marTop w:val="0"/>
          <w:marBottom w:val="0"/>
          <w:divBdr>
            <w:top w:val="none" w:sz="0" w:space="0" w:color="auto"/>
            <w:left w:val="none" w:sz="0" w:space="0" w:color="auto"/>
            <w:bottom w:val="none" w:sz="0" w:space="0" w:color="auto"/>
            <w:right w:val="none" w:sz="0" w:space="0" w:color="auto"/>
          </w:divBdr>
        </w:div>
        <w:div w:id="1789474170">
          <w:marLeft w:val="1843"/>
          <w:marRight w:val="0"/>
          <w:marTop w:val="0"/>
          <w:marBottom w:val="0"/>
          <w:divBdr>
            <w:top w:val="none" w:sz="0" w:space="0" w:color="auto"/>
            <w:left w:val="none" w:sz="0" w:space="0" w:color="auto"/>
            <w:bottom w:val="none" w:sz="0" w:space="0" w:color="auto"/>
            <w:right w:val="none" w:sz="0" w:space="0" w:color="auto"/>
          </w:divBdr>
        </w:div>
        <w:div w:id="1862011651">
          <w:marLeft w:val="1843"/>
          <w:marRight w:val="0"/>
          <w:marTop w:val="0"/>
          <w:marBottom w:val="0"/>
          <w:divBdr>
            <w:top w:val="none" w:sz="0" w:space="0" w:color="auto"/>
            <w:left w:val="none" w:sz="0" w:space="0" w:color="auto"/>
            <w:bottom w:val="none" w:sz="0" w:space="0" w:color="auto"/>
            <w:right w:val="none" w:sz="0" w:space="0" w:color="auto"/>
          </w:divBdr>
        </w:div>
      </w:divsChild>
    </w:div>
    <w:div w:id="310983830">
      <w:bodyDiv w:val="1"/>
      <w:marLeft w:val="0"/>
      <w:marRight w:val="0"/>
      <w:marTop w:val="0"/>
      <w:marBottom w:val="0"/>
      <w:divBdr>
        <w:top w:val="none" w:sz="0" w:space="0" w:color="auto"/>
        <w:left w:val="none" w:sz="0" w:space="0" w:color="auto"/>
        <w:bottom w:val="none" w:sz="0" w:space="0" w:color="auto"/>
        <w:right w:val="none" w:sz="0" w:space="0" w:color="auto"/>
      </w:divBdr>
      <w:divsChild>
        <w:div w:id="386103408">
          <w:marLeft w:val="979"/>
          <w:marRight w:val="0"/>
          <w:marTop w:val="120"/>
          <w:marBottom w:val="0"/>
          <w:divBdr>
            <w:top w:val="none" w:sz="0" w:space="0" w:color="auto"/>
            <w:left w:val="none" w:sz="0" w:space="0" w:color="auto"/>
            <w:bottom w:val="none" w:sz="0" w:space="0" w:color="auto"/>
            <w:right w:val="none" w:sz="0" w:space="0" w:color="auto"/>
          </w:divBdr>
        </w:div>
        <w:div w:id="1098794399">
          <w:marLeft w:val="979"/>
          <w:marRight w:val="0"/>
          <w:marTop w:val="120"/>
          <w:marBottom w:val="0"/>
          <w:divBdr>
            <w:top w:val="none" w:sz="0" w:space="0" w:color="auto"/>
            <w:left w:val="none" w:sz="0" w:space="0" w:color="auto"/>
            <w:bottom w:val="none" w:sz="0" w:space="0" w:color="auto"/>
            <w:right w:val="none" w:sz="0" w:space="0" w:color="auto"/>
          </w:divBdr>
        </w:div>
        <w:div w:id="1471749504">
          <w:marLeft w:val="979"/>
          <w:marRight w:val="0"/>
          <w:marTop w:val="120"/>
          <w:marBottom w:val="0"/>
          <w:divBdr>
            <w:top w:val="none" w:sz="0" w:space="0" w:color="auto"/>
            <w:left w:val="none" w:sz="0" w:space="0" w:color="auto"/>
            <w:bottom w:val="none" w:sz="0" w:space="0" w:color="auto"/>
            <w:right w:val="none" w:sz="0" w:space="0" w:color="auto"/>
          </w:divBdr>
        </w:div>
      </w:divsChild>
    </w:div>
    <w:div w:id="346444826">
      <w:bodyDiv w:val="1"/>
      <w:marLeft w:val="0"/>
      <w:marRight w:val="0"/>
      <w:marTop w:val="0"/>
      <w:marBottom w:val="0"/>
      <w:divBdr>
        <w:top w:val="none" w:sz="0" w:space="0" w:color="auto"/>
        <w:left w:val="none" w:sz="0" w:space="0" w:color="auto"/>
        <w:bottom w:val="none" w:sz="0" w:space="0" w:color="auto"/>
        <w:right w:val="none" w:sz="0" w:space="0" w:color="auto"/>
      </w:divBdr>
    </w:div>
    <w:div w:id="347678903">
      <w:bodyDiv w:val="1"/>
      <w:marLeft w:val="0"/>
      <w:marRight w:val="0"/>
      <w:marTop w:val="0"/>
      <w:marBottom w:val="0"/>
      <w:divBdr>
        <w:top w:val="none" w:sz="0" w:space="0" w:color="auto"/>
        <w:left w:val="none" w:sz="0" w:space="0" w:color="auto"/>
        <w:bottom w:val="none" w:sz="0" w:space="0" w:color="auto"/>
        <w:right w:val="none" w:sz="0" w:space="0" w:color="auto"/>
      </w:divBdr>
    </w:div>
    <w:div w:id="372198721">
      <w:bodyDiv w:val="1"/>
      <w:marLeft w:val="0"/>
      <w:marRight w:val="0"/>
      <w:marTop w:val="0"/>
      <w:marBottom w:val="0"/>
      <w:divBdr>
        <w:top w:val="none" w:sz="0" w:space="0" w:color="auto"/>
        <w:left w:val="none" w:sz="0" w:space="0" w:color="auto"/>
        <w:bottom w:val="none" w:sz="0" w:space="0" w:color="auto"/>
        <w:right w:val="none" w:sz="0" w:space="0" w:color="auto"/>
      </w:divBdr>
    </w:div>
    <w:div w:id="431125407">
      <w:bodyDiv w:val="1"/>
      <w:marLeft w:val="0"/>
      <w:marRight w:val="0"/>
      <w:marTop w:val="0"/>
      <w:marBottom w:val="0"/>
      <w:divBdr>
        <w:top w:val="none" w:sz="0" w:space="0" w:color="auto"/>
        <w:left w:val="none" w:sz="0" w:space="0" w:color="auto"/>
        <w:bottom w:val="none" w:sz="0" w:space="0" w:color="auto"/>
        <w:right w:val="none" w:sz="0" w:space="0" w:color="auto"/>
      </w:divBdr>
    </w:div>
    <w:div w:id="446197893">
      <w:bodyDiv w:val="1"/>
      <w:marLeft w:val="0"/>
      <w:marRight w:val="0"/>
      <w:marTop w:val="0"/>
      <w:marBottom w:val="0"/>
      <w:divBdr>
        <w:top w:val="none" w:sz="0" w:space="0" w:color="auto"/>
        <w:left w:val="none" w:sz="0" w:space="0" w:color="auto"/>
        <w:bottom w:val="none" w:sz="0" w:space="0" w:color="auto"/>
        <w:right w:val="none" w:sz="0" w:space="0" w:color="auto"/>
      </w:divBdr>
    </w:div>
    <w:div w:id="463891038">
      <w:bodyDiv w:val="1"/>
      <w:marLeft w:val="0"/>
      <w:marRight w:val="0"/>
      <w:marTop w:val="0"/>
      <w:marBottom w:val="0"/>
      <w:divBdr>
        <w:top w:val="none" w:sz="0" w:space="0" w:color="auto"/>
        <w:left w:val="none" w:sz="0" w:space="0" w:color="auto"/>
        <w:bottom w:val="none" w:sz="0" w:space="0" w:color="auto"/>
        <w:right w:val="none" w:sz="0" w:space="0" w:color="auto"/>
      </w:divBdr>
    </w:div>
    <w:div w:id="468087750">
      <w:bodyDiv w:val="1"/>
      <w:marLeft w:val="0"/>
      <w:marRight w:val="0"/>
      <w:marTop w:val="0"/>
      <w:marBottom w:val="0"/>
      <w:divBdr>
        <w:top w:val="none" w:sz="0" w:space="0" w:color="auto"/>
        <w:left w:val="none" w:sz="0" w:space="0" w:color="auto"/>
        <w:bottom w:val="none" w:sz="0" w:space="0" w:color="auto"/>
        <w:right w:val="none" w:sz="0" w:space="0" w:color="auto"/>
      </w:divBdr>
    </w:div>
    <w:div w:id="480779211">
      <w:bodyDiv w:val="1"/>
      <w:marLeft w:val="0"/>
      <w:marRight w:val="0"/>
      <w:marTop w:val="0"/>
      <w:marBottom w:val="0"/>
      <w:divBdr>
        <w:top w:val="none" w:sz="0" w:space="0" w:color="auto"/>
        <w:left w:val="none" w:sz="0" w:space="0" w:color="auto"/>
        <w:bottom w:val="none" w:sz="0" w:space="0" w:color="auto"/>
        <w:right w:val="none" w:sz="0" w:space="0" w:color="auto"/>
      </w:divBdr>
      <w:divsChild>
        <w:div w:id="84545840">
          <w:marLeft w:val="1426"/>
          <w:marRight w:val="0"/>
          <w:marTop w:val="60"/>
          <w:marBottom w:val="0"/>
          <w:divBdr>
            <w:top w:val="none" w:sz="0" w:space="0" w:color="auto"/>
            <w:left w:val="none" w:sz="0" w:space="0" w:color="auto"/>
            <w:bottom w:val="none" w:sz="0" w:space="0" w:color="auto"/>
            <w:right w:val="none" w:sz="0" w:space="0" w:color="auto"/>
          </w:divBdr>
        </w:div>
        <w:div w:id="365176711">
          <w:marLeft w:val="1426"/>
          <w:marRight w:val="0"/>
          <w:marTop w:val="60"/>
          <w:marBottom w:val="0"/>
          <w:divBdr>
            <w:top w:val="none" w:sz="0" w:space="0" w:color="auto"/>
            <w:left w:val="none" w:sz="0" w:space="0" w:color="auto"/>
            <w:bottom w:val="none" w:sz="0" w:space="0" w:color="auto"/>
            <w:right w:val="none" w:sz="0" w:space="0" w:color="auto"/>
          </w:divBdr>
        </w:div>
        <w:div w:id="473840171">
          <w:marLeft w:val="1426"/>
          <w:marRight w:val="0"/>
          <w:marTop w:val="60"/>
          <w:marBottom w:val="0"/>
          <w:divBdr>
            <w:top w:val="none" w:sz="0" w:space="0" w:color="auto"/>
            <w:left w:val="none" w:sz="0" w:space="0" w:color="auto"/>
            <w:bottom w:val="none" w:sz="0" w:space="0" w:color="auto"/>
            <w:right w:val="none" w:sz="0" w:space="0" w:color="auto"/>
          </w:divBdr>
        </w:div>
        <w:div w:id="1212185009">
          <w:marLeft w:val="1426"/>
          <w:marRight w:val="0"/>
          <w:marTop w:val="60"/>
          <w:marBottom w:val="0"/>
          <w:divBdr>
            <w:top w:val="none" w:sz="0" w:space="0" w:color="auto"/>
            <w:left w:val="none" w:sz="0" w:space="0" w:color="auto"/>
            <w:bottom w:val="none" w:sz="0" w:space="0" w:color="auto"/>
            <w:right w:val="none" w:sz="0" w:space="0" w:color="auto"/>
          </w:divBdr>
        </w:div>
        <w:div w:id="1259368427">
          <w:marLeft w:val="850"/>
          <w:marRight w:val="0"/>
          <w:marTop w:val="60"/>
          <w:marBottom w:val="0"/>
          <w:divBdr>
            <w:top w:val="none" w:sz="0" w:space="0" w:color="auto"/>
            <w:left w:val="none" w:sz="0" w:space="0" w:color="auto"/>
            <w:bottom w:val="none" w:sz="0" w:space="0" w:color="auto"/>
            <w:right w:val="none" w:sz="0" w:space="0" w:color="auto"/>
          </w:divBdr>
        </w:div>
        <w:div w:id="1358309290">
          <w:marLeft w:val="850"/>
          <w:marRight w:val="0"/>
          <w:marTop w:val="60"/>
          <w:marBottom w:val="0"/>
          <w:divBdr>
            <w:top w:val="none" w:sz="0" w:space="0" w:color="auto"/>
            <w:left w:val="none" w:sz="0" w:space="0" w:color="auto"/>
            <w:bottom w:val="none" w:sz="0" w:space="0" w:color="auto"/>
            <w:right w:val="none" w:sz="0" w:space="0" w:color="auto"/>
          </w:divBdr>
        </w:div>
        <w:div w:id="1569266354">
          <w:marLeft w:val="1426"/>
          <w:marRight w:val="0"/>
          <w:marTop w:val="60"/>
          <w:marBottom w:val="0"/>
          <w:divBdr>
            <w:top w:val="none" w:sz="0" w:space="0" w:color="auto"/>
            <w:left w:val="none" w:sz="0" w:space="0" w:color="auto"/>
            <w:bottom w:val="none" w:sz="0" w:space="0" w:color="auto"/>
            <w:right w:val="none" w:sz="0" w:space="0" w:color="auto"/>
          </w:divBdr>
        </w:div>
        <w:div w:id="1594241499">
          <w:marLeft w:val="1426"/>
          <w:marRight w:val="0"/>
          <w:marTop w:val="60"/>
          <w:marBottom w:val="0"/>
          <w:divBdr>
            <w:top w:val="none" w:sz="0" w:space="0" w:color="auto"/>
            <w:left w:val="none" w:sz="0" w:space="0" w:color="auto"/>
            <w:bottom w:val="none" w:sz="0" w:space="0" w:color="auto"/>
            <w:right w:val="none" w:sz="0" w:space="0" w:color="auto"/>
          </w:divBdr>
        </w:div>
        <w:div w:id="1596817033">
          <w:marLeft w:val="1426"/>
          <w:marRight w:val="0"/>
          <w:marTop w:val="60"/>
          <w:marBottom w:val="0"/>
          <w:divBdr>
            <w:top w:val="none" w:sz="0" w:space="0" w:color="auto"/>
            <w:left w:val="none" w:sz="0" w:space="0" w:color="auto"/>
            <w:bottom w:val="none" w:sz="0" w:space="0" w:color="auto"/>
            <w:right w:val="none" w:sz="0" w:space="0" w:color="auto"/>
          </w:divBdr>
        </w:div>
        <w:div w:id="1708331259">
          <w:marLeft w:val="850"/>
          <w:marRight w:val="0"/>
          <w:marTop w:val="60"/>
          <w:marBottom w:val="0"/>
          <w:divBdr>
            <w:top w:val="none" w:sz="0" w:space="0" w:color="auto"/>
            <w:left w:val="none" w:sz="0" w:space="0" w:color="auto"/>
            <w:bottom w:val="none" w:sz="0" w:space="0" w:color="auto"/>
            <w:right w:val="none" w:sz="0" w:space="0" w:color="auto"/>
          </w:divBdr>
        </w:div>
      </w:divsChild>
    </w:div>
    <w:div w:id="485632650">
      <w:bodyDiv w:val="1"/>
      <w:marLeft w:val="0"/>
      <w:marRight w:val="0"/>
      <w:marTop w:val="0"/>
      <w:marBottom w:val="0"/>
      <w:divBdr>
        <w:top w:val="none" w:sz="0" w:space="0" w:color="auto"/>
        <w:left w:val="none" w:sz="0" w:space="0" w:color="auto"/>
        <w:bottom w:val="none" w:sz="0" w:space="0" w:color="auto"/>
        <w:right w:val="none" w:sz="0" w:space="0" w:color="auto"/>
      </w:divBdr>
      <w:divsChild>
        <w:div w:id="215244800">
          <w:marLeft w:val="1426"/>
          <w:marRight w:val="0"/>
          <w:marTop w:val="60"/>
          <w:marBottom w:val="0"/>
          <w:divBdr>
            <w:top w:val="none" w:sz="0" w:space="0" w:color="auto"/>
            <w:left w:val="none" w:sz="0" w:space="0" w:color="auto"/>
            <w:bottom w:val="none" w:sz="0" w:space="0" w:color="auto"/>
            <w:right w:val="none" w:sz="0" w:space="0" w:color="auto"/>
          </w:divBdr>
        </w:div>
        <w:div w:id="467863322">
          <w:marLeft w:val="850"/>
          <w:marRight w:val="0"/>
          <w:marTop w:val="60"/>
          <w:marBottom w:val="0"/>
          <w:divBdr>
            <w:top w:val="none" w:sz="0" w:space="0" w:color="auto"/>
            <w:left w:val="none" w:sz="0" w:space="0" w:color="auto"/>
            <w:bottom w:val="none" w:sz="0" w:space="0" w:color="auto"/>
            <w:right w:val="none" w:sz="0" w:space="0" w:color="auto"/>
          </w:divBdr>
        </w:div>
        <w:div w:id="656226522">
          <w:marLeft w:val="1426"/>
          <w:marRight w:val="0"/>
          <w:marTop w:val="60"/>
          <w:marBottom w:val="0"/>
          <w:divBdr>
            <w:top w:val="none" w:sz="0" w:space="0" w:color="auto"/>
            <w:left w:val="none" w:sz="0" w:space="0" w:color="auto"/>
            <w:bottom w:val="none" w:sz="0" w:space="0" w:color="auto"/>
            <w:right w:val="none" w:sz="0" w:space="0" w:color="auto"/>
          </w:divBdr>
        </w:div>
        <w:div w:id="834615219">
          <w:marLeft w:val="1426"/>
          <w:marRight w:val="0"/>
          <w:marTop w:val="60"/>
          <w:marBottom w:val="0"/>
          <w:divBdr>
            <w:top w:val="none" w:sz="0" w:space="0" w:color="auto"/>
            <w:left w:val="none" w:sz="0" w:space="0" w:color="auto"/>
            <w:bottom w:val="none" w:sz="0" w:space="0" w:color="auto"/>
            <w:right w:val="none" w:sz="0" w:space="0" w:color="auto"/>
          </w:divBdr>
        </w:div>
        <w:div w:id="844393693">
          <w:marLeft w:val="850"/>
          <w:marRight w:val="0"/>
          <w:marTop w:val="180"/>
          <w:marBottom w:val="0"/>
          <w:divBdr>
            <w:top w:val="none" w:sz="0" w:space="0" w:color="auto"/>
            <w:left w:val="none" w:sz="0" w:space="0" w:color="auto"/>
            <w:bottom w:val="none" w:sz="0" w:space="0" w:color="auto"/>
            <w:right w:val="none" w:sz="0" w:space="0" w:color="auto"/>
          </w:divBdr>
        </w:div>
        <w:div w:id="1012300707">
          <w:marLeft w:val="850"/>
          <w:marRight w:val="0"/>
          <w:marTop w:val="180"/>
          <w:marBottom w:val="0"/>
          <w:divBdr>
            <w:top w:val="none" w:sz="0" w:space="0" w:color="auto"/>
            <w:left w:val="none" w:sz="0" w:space="0" w:color="auto"/>
            <w:bottom w:val="none" w:sz="0" w:space="0" w:color="auto"/>
            <w:right w:val="none" w:sz="0" w:space="0" w:color="auto"/>
          </w:divBdr>
        </w:div>
        <w:div w:id="1091657830">
          <w:marLeft w:val="1426"/>
          <w:marRight w:val="0"/>
          <w:marTop w:val="60"/>
          <w:marBottom w:val="0"/>
          <w:divBdr>
            <w:top w:val="none" w:sz="0" w:space="0" w:color="auto"/>
            <w:left w:val="none" w:sz="0" w:space="0" w:color="auto"/>
            <w:bottom w:val="none" w:sz="0" w:space="0" w:color="auto"/>
            <w:right w:val="none" w:sz="0" w:space="0" w:color="auto"/>
          </w:divBdr>
        </w:div>
        <w:div w:id="1599026186">
          <w:marLeft w:val="1426"/>
          <w:marRight w:val="0"/>
          <w:marTop w:val="60"/>
          <w:marBottom w:val="0"/>
          <w:divBdr>
            <w:top w:val="none" w:sz="0" w:space="0" w:color="auto"/>
            <w:left w:val="none" w:sz="0" w:space="0" w:color="auto"/>
            <w:bottom w:val="none" w:sz="0" w:space="0" w:color="auto"/>
            <w:right w:val="none" w:sz="0" w:space="0" w:color="auto"/>
          </w:divBdr>
        </w:div>
        <w:div w:id="1736515183">
          <w:marLeft w:val="1426"/>
          <w:marRight w:val="0"/>
          <w:marTop w:val="60"/>
          <w:marBottom w:val="0"/>
          <w:divBdr>
            <w:top w:val="none" w:sz="0" w:space="0" w:color="auto"/>
            <w:left w:val="none" w:sz="0" w:space="0" w:color="auto"/>
            <w:bottom w:val="none" w:sz="0" w:space="0" w:color="auto"/>
            <w:right w:val="none" w:sz="0" w:space="0" w:color="auto"/>
          </w:divBdr>
        </w:div>
        <w:div w:id="1823232647">
          <w:marLeft w:val="1426"/>
          <w:marRight w:val="0"/>
          <w:marTop w:val="60"/>
          <w:marBottom w:val="0"/>
          <w:divBdr>
            <w:top w:val="none" w:sz="0" w:space="0" w:color="auto"/>
            <w:left w:val="none" w:sz="0" w:space="0" w:color="auto"/>
            <w:bottom w:val="none" w:sz="0" w:space="0" w:color="auto"/>
            <w:right w:val="none" w:sz="0" w:space="0" w:color="auto"/>
          </w:divBdr>
        </w:div>
        <w:div w:id="2130734405">
          <w:marLeft w:val="1426"/>
          <w:marRight w:val="0"/>
          <w:marTop w:val="60"/>
          <w:marBottom w:val="0"/>
          <w:divBdr>
            <w:top w:val="none" w:sz="0" w:space="0" w:color="auto"/>
            <w:left w:val="none" w:sz="0" w:space="0" w:color="auto"/>
            <w:bottom w:val="none" w:sz="0" w:space="0" w:color="auto"/>
            <w:right w:val="none" w:sz="0" w:space="0" w:color="auto"/>
          </w:divBdr>
        </w:div>
      </w:divsChild>
    </w:div>
    <w:div w:id="519396232">
      <w:bodyDiv w:val="1"/>
      <w:marLeft w:val="0"/>
      <w:marRight w:val="0"/>
      <w:marTop w:val="0"/>
      <w:marBottom w:val="0"/>
      <w:divBdr>
        <w:top w:val="none" w:sz="0" w:space="0" w:color="auto"/>
        <w:left w:val="none" w:sz="0" w:space="0" w:color="auto"/>
        <w:bottom w:val="none" w:sz="0" w:space="0" w:color="auto"/>
        <w:right w:val="none" w:sz="0" w:space="0" w:color="auto"/>
      </w:divBdr>
    </w:div>
    <w:div w:id="529882338">
      <w:bodyDiv w:val="1"/>
      <w:marLeft w:val="0"/>
      <w:marRight w:val="0"/>
      <w:marTop w:val="0"/>
      <w:marBottom w:val="0"/>
      <w:divBdr>
        <w:top w:val="none" w:sz="0" w:space="0" w:color="auto"/>
        <w:left w:val="none" w:sz="0" w:space="0" w:color="auto"/>
        <w:bottom w:val="none" w:sz="0" w:space="0" w:color="auto"/>
        <w:right w:val="none" w:sz="0" w:space="0" w:color="auto"/>
      </w:divBdr>
    </w:div>
    <w:div w:id="530146813">
      <w:bodyDiv w:val="1"/>
      <w:marLeft w:val="0"/>
      <w:marRight w:val="0"/>
      <w:marTop w:val="0"/>
      <w:marBottom w:val="0"/>
      <w:divBdr>
        <w:top w:val="none" w:sz="0" w:space="0" w:color="auto"/>
        <w:left w:val="none" w:sz="0" w:space="0" w:color="auto"/>
        <w:bottom w:val="none" w:sz="0" w:space="0" w:color="auto"/>
        <w:right w:val="none" w:sz="0" w:space="0" w:color="auto"/>
      </w:divBdr>
    </w:div>
    <w:div w:id="535625905">
      <w:bodyDiv w:val="1"/>
      <w:marLeft w:val="0"/>
      <w:marRight w:val="0"/>
      <w:marTop w:val="0"/>
      <w:marBottom w:val="0"/>
      <w:divBdr>
        <w:top w:val="none" w:sz="0" w:space="0" w:color="auto"/>
        <w:left w:val="none" w:sz="0" w:space="0" w:color="auto"/>
        <w:bottom w:val="none" w:sz="0" w:space="0" w:color="auto"/>
        <w:right w:val="none" w:sz="0" w:space="0" w:color="auto"/>
      </w:divBdr>
    </w:div>
    <w:div w:id="538670513">
      <w:bodyDiv w:val="1"/>
      <w:marLeft w:val="0"/>
      <w:marRight w:val="0"/>
      <w:marTop w:val="0"/>
      <w:marBottom w:val="0"/>
      <w:divBdr>
        <w:top w:val="none" w:sz="0" w:space="0" w:color="auto"/>
        <w:left w:val="none" w:sz="0" w:space="0" w:color="auto"/>
        <w:bottom w:val="none" w:sz="0" w:space="0" w:color="auto"/>
        <w:right w:val="none" w:sz="0" w:space="0" w:color="auto"/>
      </w:divBdr>
    </w:div>
    <w:div w:id="548341428">
      <w:bodyDiv w:val="1"/>
      <w:marLeft w:val="0"/>
      <w:marRight w:val="0"/>
      <w:marTop w:val="0"/>
      <w:marBottom w:val="0"/>
      <w:divBdr>
        <w:top w:val="none" w:sz="0" w:space="0" w:color="auto"/>
        <w:left w:val="none" w:sz="0" w:space="0" w:color="auto"/>
        <w:bottom w:val="none" w:sz="0" w:space="0" w:color="auto"/>
        <w:right w:val="none" w:sz="0" w:space="0" w:color="auto"/>
      </w:divBdr>
    </w:div>
    <w:div w:id="571694327">
      <w:bodyDiv w:val="1"/>
      <w:marLeft w:val="0"/>
      <w:marRight w:val="0"/>
      <w:marTop w:val="0"/>
      <w:marBottom w:val="0"/>
      <w:divBdr>
        <w:top w:val="none" w:sz="0" w:space="0" w:color="auto"/>
        <w:left w:val="none" w:sz="0" w:space="0" w:color="auto"/>
        <w:bottom w:val="none" w:sz="0" w:space="0" w:color="auto"/>
        <w:right w:val="none" w:sz="0" w:space="0" w:color="auto"/>
      </w:divBdr>
    </w:div>
    <w:div w:id="592014335">
      <w:bodyDiv w:val="1"/>
      <w:marLeft w:val="0"/>
      <w:marRight w:val="0"/>
      <w:marTop w:val="0"/>
      <w:marBottom w:val="0"/>
      <w:divBdr>
        <w:top w:val="none" w:sz="0" w:space="0" w:color="auto"/>
        <w:left w:val="none" w:sz="0" w:space="0" w:color="auto"/>
        <w:bottom w:val="none" w:sz="0" w:space="0" w:color="auto"/>
        <w:right w:val="none" w:sz="0" w:space="0" w:color="auto"/>
      </w:divBdr>
    </w:div>
    <w:div w:id="622812865">
      <w:bodyDiv w:val="1"/>
      <w:marLeft w:val="0"/>
      <w:marRight w:val="0"/>
      <w:marTop w:val="0"/>
      <w:marBottom w:val="0"/>
      <w:divBdr>
        <w:top w:val="none" w:sz="0" w:space="0" w:color="auto"/>
        <w:left w:val="none" w:sz="0" w:space="0" w:color="auto"/>
        <w:bottom w:val="none" w:sz="0" w:space="0" w:color="auto"/>
        <w:right w:val="none" w:sz="0" w:space="0" w:color="auto"/>
      </w:divBdr>
      <w:divsChild>
        <w:div w:id="61485232">
          <w:marLeft w:val="1973"/>
          <w:marRight w:val="0"/>
          <w:marTop w:val="0"/>
          <w:marBottom w:val="0"/>
          <w:divBdr>
            <w:top w:val="none" w:sz="0" w:space="0" w:color="auto"/>
            <w:left w:val="none" w:sz="0" w:space="0" w:color="auto"/>
            <w:bottom w:val="none" w:sz="0" w:space="0" w:color="auto"/>
            <w:right w:val="none" w:sz="0" w:space="0" w:color="auto"/>
          </w:divBdr>
        </w:div>
        <w:div w:id="324675827">
          <w:marLeft w:val="1973"/>
          <w:marRight w:val="0"/>
          <w:marTop w:val="40"/>
          <w:marBottom w:val="0"/>
          <w:divBdr>
            <w:top w:val="none" w:sz="0" w:space="0" w:color="auto"/>
            <w:left w:val="none" w:sz="0" w:space="0" w:color="auto"/>
            <w:bottom w:val="none" w:sz="0" w:space="0" w:color="auto"/>
            <w:right w:val="none" w:sz="0" w:space="0" w:color="auto"/>
          </w:divBdr>
        </w:div>
        <w:div w:id="386075591">
          <w:marLeft w:val="1973"/>
          <w:marRight w:val="0"/>
          <w:marTop w:val="40"/>
          <w:marBottom w:val="0"/>
          <w:divBdr>
            <w:top w:val="none" w:sz="0" w:space="0" w:color="auto"/>
            <w:left w:val="none" w:sz="0" w:space="0" w:color="auto"/>
            <w:bottom w:val="none" w:sz="0" w:space="0" w:color="auto"/>
            <w:right w:val="none" w:sz="0" w:space="0" w:color="auto"/>
          </w:divBdr>
        </w:div>
        <w:div w:id="606623087">
          <w:marLeft w:val="1973"/>
          <w:marRight w:val="0"/>
          <w:marTop w:val="0"/>
          <w:marBottom w:val="0"/>
          <w:divBdr>
            <w:top w:val="none" w:sz="0" w:space="0" w:color="auto"/>
            <w:left w:val="none" w:sz="0" w:space="0" w:color="auto"/>
            <w:bottom w:val="none" w:sz="0" w:space="0" w:color="auto"/>
            <w:right w:val="none" w:sz="0" w:space="0" w:color="auto"/>
          </w:divBdr>
        </w:div>
        <w:div w:id="852299115">
          <w:marLeft w:val="850"/>
          <w:marRight w:val="0"/>
          <w:marTop w:val="60"/>
          <w:marBottom w:val="0"/>
          <w:divBdr>
            <w:top w:val="none" w:sz="0" w:space="0" w:color="auto"/>
            <w:left w:val="none" w:sz="0" w:space="0" w:color="auto"/>
            <w:bottom w:val="none" w:sz="0" w:space="0" w:color="auto"/>
            <w:right w:val="none" w:sz="0" w:space="0" w:color="auto"/>
          </w:divBdr>
        </w:div>
        <w:div w:id="883101995">
          <w:marLeft w:val="1973"/>
          <w:marRight w:val="0"/>
          <w:marTop w:val="40"/>
          <w:marBottom w:val="0"/>
          <w:divBdr>
            <w:top w:val="none" w:sz="0" w:space="0" w:color="auto"/>
            <w:left w:val="none" w:sz="0" w:space="0" w:color="auto"/>
            <w:bottom w:val="none" w:sz="0" w:space="0" w:color="auto"/>
            <w:right w:val="none" w:sz="0" w:space="0" w:color="auto"/>
          </w:divBdr>
        </w:div>
        <w:div w:id="929194703">
          <w:marLeft w:val="1685"/>
          <w:marRight w:val="0"/>
          <w:marTop w:val="120"/>
          <w:marBottom w:val="0"/>
          <w:divBdr>
            <w:top w:val="none" w:sz="0" w:space="0" w:color="auto"/>
            <w:left w:val="none" w:sz="0" w:space="0" w:color="auto"/>
            <w:bottom w:val="none" w:sz="0" w:space="0" w:color="auto"/>
            <w:right w:val="none" w:sz="0" w:space="0" w:color="auto"/>
          </w:divBdr>
        </w:div>
        <w:div w:id="996689398">
          <w:marLeft w:val="1973"/>
          <w:marRight w:val="0"/>
          <w:marTop w:val="40"/>
          <w:marBottom w:val="0"/>
          <w:divBdr>
            <w:top w:val="none" w:sz="0" w:space="0" w:color="auto"/>
            <w:left w:val="none" w:sz="0" w:space="0" w:color="auto"/>
            <w:bottom w:val="none" w:sz="0" w:space="0" w:color="auto"/>
            <w:right w:val="none" w:sz="0" w:space="0" w:color="auto"/>
          </w:divBdr>
        </w:div>
        <w:div w:id="996763497">
          <w:marLeft w:val="1685"/>
          <w:marRight w:val="0"/>
          <w:marTop w:val="120"/>
          <w:marBottom w:val="0"/>
          <w:divBdr>
            <w:top w:val="none" w:sz="0" w:space="0" w:color="auto"/>
            <w:left w:val="none" w:sz="0" w:space="0" w:color="auto"/>
            <w:bottom w:val="none" w:sz="0" w:space="0" w:color="auto"/>
            <w:right w:val="none" w:sz="0" w:space="0" w:color="auto"/>
          </w:divBdr>
        </w:div>
        <w:div w:id="1496261212">
          <w:marLeft w:val="1973"/>
          <w:marRight w:val="0"/>
          <w:marTop w:val="40"/>
          <w:marBottom w:val="0"/>
          <w:divBdr>
            <w:top w:val="none" w:sz="0" w:space="0" w:color="auto"/>
            <w:left w:val="none" w:sz="0" w:space="0" w:color="auto"/>
            <w:bottom w:val="none" w:sz="0" w:space="0" w:color="auto"/>
            <w:right w:val="none" w:sz="0" w:space="0" w:color="auto"/>
          </w:divBdr>
        </w:div>
        <w:div w:id="1582183294">
          <w:marLeft w:val="1685"/>
          <w:marRight w:val="0"/>
          <w:marTop w:val="120"/>
          <w:marBottom w:val="0"/>
          <w:divBdr>
            <w:top w:val="none" w:sz="0" w:space="0" w:color="auto"/>
            <w:left w:val="none" w:sz="0" w:space="0" w:color="auto"/>
            <w:bottom w:val="none" w:sz="0" w:space="0" w:color="auto"/>
            <w:right w:val="none" w:sz="0" w:space="0" w:color="auto"/>
          </w:divBdr>
        </w:div>
        <w:div w:id="2049719186">
          <w:marLeft w:val="1685"/>
          <w:marRight w:val="0"/>
          <w:marTop w:val="120"/>
          <w:marBottom w:val="0"/>
          <w:divBdr>
            <w:top w:val="none" w:sz="0" w:space="0" w:color="auto"/>
            <w:left w:val="none" w:sz="0" w:space="0" w:color="auto"/>
            <w:bottom w:val="none" w:sz="0" w:space="0" w:color="auto"/>
            <w:right w:val="none" w:sz="0" w:space="0" w:color="auto"/>
          </w:divBdr>
        </w:div>
        <w:div w:id="2135831658">
          <w:marLeft w:val="1973"/>
          <w:marRight w:val="0"/>
          <w:marTop w:val="40"/>
          <w:marBottom w:val="0"/>
          <w:divBdr>
            <w:top w:val="none" w:sz="0" w:space="0" w:color="auto"/>
            <w:left w:val="none" w:sz="0" w:space="0" w:color="auto"/>
            <w:bottom w:val="none" w:sz="0" w:space="0" w:color="auto"/>
            <w:right w:val="none" w:sz="0" w:space="0" w:color="auto"/>
          </w:divBdr>
        </w:div>
      </w:divsChild>
    </w:div>
    <w:div w:id="631521445">
      <w:bodyDiv w:val="1"/>
      <w:marLeft w:val="0"/>
      <w:marRight w:val="0"/>
      <w:marTop w:val="0"/>
      <w:marBottom w:val="0"/>
      <w:divBdr>
        <w:top w:val="none" w:sz="0" w:space="0" w:color="auto"/>
        <w:left w:val="none" w:sz="0" w:space="0" w:color="auto"/>
        <w:bottom w:val="none" w:sz="0" w:space="0" w:color="auto"/>
        <w:right w:val="none" w:sz="0" w:space="0" w:color="auto"/>
      </w:divBdr>
      <w:divsChild>
        <w:div w:id="235870120">
          <w:marLeft w:val="1354"/>
          <w:marRight w:val="0"/>
          <w:marTop w:val="0"/>
          <w:marBottom w:val="0"/>
          <w:divBdr>
            <w:top w:val="none" w:sz="0" w:space="0" w:color="auto"/>
            <w:left w:val="none" w:sz="0" w:space="0" w:color="auto"/>
            <w:bottom w:val="none" w:sz="0" w:space="0" w:color="auto"/>
            <w:right w:val="none" w:sz="0" w:space="0" w:color="auto"/>
          </w:divBdr>
        </w:div>
        <w:div w:id="316765435">
          <w:marLeft w:val="1354"/>
          <w:marRight w:val="0"/>
          <w:marTop w:val="0"/>
          <w:marBottom w:val="0"/>
          <w:divBdr>
            <w:top w:val="none" w:sz="0" w:space="0" w:color="auto"/>
            <w:left w:val="none" w:sz="0" w:space="0" w:color="auto"/>
            <w:bottom w:val="none" w:sz="0" w:space="0" w:color="auto"/>
            <w:right w:val="none" w:sz="0" w:space="0" w:color="auto"/>
          </w:divBdr>
        </w:div>
        <w:div w:id="319240600">
          <w:marLeft w:val="1354"/>
          <w:marRight w:val="0"/>
          <w:marTop w:val="0"/>
          <w:marBottom w:val="0"/>
          <w:divBdr>
            <w:top w:val="none" w:sz="0" w:space="0" w:color="auto"/>
            <w:left w:val="none" w:sz="0" w:space="0" w:color="auto"/>
            <w:bottom w:val="none" w:sz="0" w:space="0" w:color="auto"/>
            <w:right w:val="none" w:sz="0" w:space="0" w:color="auto"/>
          </w:divBdr>
        </w:div>
        <w:div w:id="588733521">
          <w:marLeft w:val="1354"/>
          <w:marRight w:val="0"/>
          <w:marTop w:val="0"/>
          <w:marBottom w:val="0"/>
          <w:divBdr>
            <w:top w:val="none" w:sz="0" w:space="0" w:color="auto"/>
            <w:left w:val="none" w:sz="0" w:space="0" w:color="auto"/>
            <w:bottom w:val="none" w:sz="0" w:space="0" w:color="auto"/>
            <w:right w:val="none" w:sz="0" w:space="0" w:color="auto"/>
          </w:divBdr>
        </w:div>
        <w:div w:id="667826422">
          <w:marLeft w:val="1354"/>
          <w:marRight w:val="0"/>
          <w:marTop w:val="0"/>
          <w:marBottom w:val="0"/>
          <w:divBdr>
            <w:top w:val="none" w:sz="0" w:space="0" w:color="auto"/>
            <w:left w:val="none" w:sz="0" w:space="0" w:color="auto"/>
            <w:bottom w:val="none" w:sz="0" w:space="0" w:color="auto"/>
            <w:right w:val="none" w:sz="0" w:space="0" w:color="auto"/>
          </w:divBdr>
        </w:div>
        <w:div w:id="768619567">
          <w:marLeft w:val="763"/>
          <w:marRight w:val="0"/>
          <w:marTop w:val="0"/>
          <w:marBottom w:val="0"/>
          <w:divBdr>
            <w:top w:val="none" w:sz="0" w:space="0" w:color="auto"/>
            <w:left w:val="none" w:sz="0" w:space="0" w:color="auto"/>
            <w:bottom w:val="none" w:sz="0" w:space="0" w:color="auto"/>
            <w:right w:val="none" w:sz="0" w:space="0" w:color="auto"/>
          </w:divBdr>
        </w:div>
        <w:div w:id="785074996">
          <w:marLeft w:val="1354"/>
          <w:marRight w:val="0"/>
          <w:marTop w:val="0"/>
          <w:marBottom w:val="0"/>
          <w:divBdr>
            <w:top w:val="none" w:sz="0" w:space="0" w:color="auto"/>
            <w:left w:val="none" w:sz="0" w:space="0" w:color="auto"/>
            <w:bottom w:val="none" w:sz="0" w:space="0" w:color="auto"/>
            <w:right w:val="none" w:sz="0" w:space="0" w:color="auto"/>
          </w:divBdr>
        </w:div>
        <w:div w:id="818151692">
          <w:marLeft w:val="1354"/>
          <w:marRight w:val="0"/>
          <w:marTop w:val="0"/>
          <w:marBottom w:val="0"/>
          <w:divBdr>
            <w:top w:val="none" w:sz="0" w:space="0" w:color="auto"/>
            <w:left w:val="none" w:sz="0" w:space="0" w:color="auto"/>
            <w:bottom w:val="none" w:sz="0" w:space="0" w:color="auto"/>
            <w:right w:val="none" w:sz="0" w:space="0" w:color="auto"/>
          </w:divBdr>
        </w:div>
        <w:div w:id="892350028">
          <w:marLeft w:val="1987"/>
          <w:marRight w:val="0"/>
          <w:marTop w:val="0"/>
          <w:marBottom w:val="0"/>
          <w:divBdr>
            <w:top w:val="none" w:sz="0" w:space="0" w:color="auto"/>
            <w:left w:val="none" w:sz="0" w:space="0" w:color="auto"/>
            <w:bottom w:val="none" w:sz="0" w:space="0" w:color="auto"/>
            <w:right w:val="none" w:sz="0" w:space="0" w:color="auto"/>
          </w:divBdr>
        </w:div>
        <w:div w:id="940603873">
          <w:marLeft w:val="763"/>
          <w:marRight w:val="0"/>
          <w:marTop w:val="0"/>
          <w:marBottom w:val="0"/>
          <w:divBdr>
            <w:top w:val="none" w:sz="0" w:space="0" w:color="auto"/>
            <w:left w:val="none" w:sz="0" w:space="0" w:color="auto"/>
            <w:bottom w:val="none" w:sz="0" w:space="0" w:color="auto"/>
            <w:right w:val="none" w:sz="0" w:space="0" w:color="auto"/>
          </w:divBdr>
        </w:div>
        <w:div w:id="963198883">
          <w:marLeft w:val="1354"/>
          <w:marRight w:val="0"/>
          <w:marTop w:val="0"/>
          <w:marBottom w:val="0"/>
          <w:divBdr>
            <w:top w:val="none" w:sz="0" w:space="0" w:color="auto"/>
            <w:left w:val="none" w:sz="0" w:space="0" w:color="auto"/>
            <w:bottom w:val="none" w:sz="0" w:space="0" w:color="auto"/>
            <w:right w:val="none" w:sz="0" w:space="0" w:color="auto"/>
          </w:divBdr>
        </w:div>
        <w:div w:id="977421377">
          <w:marLeft w:val="763"/>
          <w:marRight w:val="0"/>
          <w:marTop w:val="0"/>
          <w:marBottom w:val="0"/>
          <w:divBdr>
            <w:top w:val="none" w:sz="0" w:space="0" w:color="auto"/>
            <w:left w:val="none" w:sz="0" w:space="0" w:color="auto"/>
            <w:bottom w:val="none" w:sz="0" w:space="0" w:color="auto"/>
            <w:right w:val="none" w:sz="0" w:space="0" w:color="auto"/>
          </w:divBdr>
        </w:div>
        <w:div w:id="1203519316">
          <w:marLeft w:val="1354"/>
          <w:marRight w:val="0"/>
          <w:marTop w:val="0"/>
          <w:marBottom w:val="0"/>
          <w:divBdr>
            <w:top w:val="none" w:sz="0" w:space="0" w:color="auto"/>
            <w:left w:val="none" w:sz="0" w:space="0" w:color="auto"/>
            <w:bottom w:val="none" w:sz="0" w:space="0" w:color="auto"/>
            <w:right w:val="none" w:sz="0" w:space="0" w:color="auto"/>
          </w:divBdr>
        </w:div>
        <w:div w:id="1417627000">
          <w:marLeft w:val="1354"/>
          <w:marRight w:val="0"/>
          <w:marTop w:val="0"/>
          <w:marBottom w:val="0"/>
          <w:divBdr>
            <w:top w:val="none" w:sz="0" w:space="0" w:color="auto"/>
            <w:left w:val="none" w:sz="0" w:space="0" w:color="auto"/>
            <w:bottom w:val="none" w:sz="0" w:space="0" w:color="auto"/>
            <w:right w:val="none" w:sz="0" w:space="0" w:color="auto"/>
          </w:divBdr>
        </w:div>
        <w:div w:id="1567690274">
          <w:marLeft w:val="763"/>
          <w:marRight w:val="0"/>
          <w:marTop w:val="0"/>
          <w:marBottom w:val="0"/>
          <w:divBdr>
            <w:top w:val="none" w:sz="0" w:space="0" w:color="auto"/>
            <w:left w:val="none" w:sz="0" w:space="0" w:color="auto"/>
            <w:bottom w:val="none" w:sz="0" w:space="0" w:color="auto"/>
            <w:right w:val="none" w:sz="0" w:space="0" w:color="auto"/>
          </w:divBdr>
        </w:div>
        <w:div w:id="1605917630">
          <w:marLeft w:val="1987"/>
          <w:marRight w:val="0"/>
          <w:marTop w:val="0"/>
          <w:marBottom w:val="0"/>
          <w:divBdr>
            <w:top w:val="none" w:sz="0" w:space="0" w:color="auto"/>
            <w:left w:val="none" w:sz="0" w:space="0" w:color="auto"/>
            <w:bottom w:val="none" w:sz="0" w:space="0" w:color="auto"/>
            <w:right w:val="none" w:sz="0" w:space="0" w:color="auto"/>
          </w:divBdr>
        </w:div>
        <w:div w:id="2055883979">
          <w:marLeft w:val="1354"/>
          <w:marRight w:val="0"/>
          <w:marTop w:val="0"/>
          <w:marBottom w:val="0"/>
          <w:divBdr>
            <w:top w:val="none" w:sz="0" w:space="0" w:color="auto"/>
            <w:left w:val="none" w:sz="0" w:space="0" w:color="auto"/>
            <w:bottom w:val="none" w:sz="0" w:space="0" w:color="auto"/>
            <w:right w:val="none" w:sz="0" w:space="0" w:color="auto"/>
          </w:divBdr>
        </w:div>
      </w:divsChild>
    </w:div>
    <w:div w:id="648901365">
      <w:bodyDiv w:val="1"/>
      <w:marLeft w:val="0"/>
      <w:marRight w:val="0"/>
      <w:marTop w:val="0"/>
      <w:marBottom w:val="0"/>
      <w:divBdr>
        <w:top w:val="none" w:sz="0" w:space="0" w:color="auto"/>
        <w:left w:val="none" w:sz="0" w:space="0" w:color="auto"/>
        <w:bottom w:val="none" w:sz="0" w:space="0" w:color="auto"/>
        <w:right w:val="none" w:sz="0" w:space="0" w:color="auto"/>
      </w:divBdr>
      <w:divsChild>
        <w:div w:id="768044337">
          <w:marLeft w:val="1166"/>
          <w:marRight w:val="0"/>
          <w:marTop w:val="120"/>
          <w:marBottom w:val="0"/>
          <w:divBdr>
            <w:top w:val="none" w:sz="0" w:space="0" w:color="auto"/>
            <w:left w:val="none" w:sz="0" w:space="0" w:color="auto"/>
            <w:bottom w:val="none" w:sz="0" w:space="0" w:color="auto"/>
            <w:right w:val="none" w:sz="0" w:space="0" w:color="auto"/>
          </w:divBdr>
        </w:div>
        <w:div w:id="1620062346">
          <w:marLeft w:val="1166"/>
          <w:marRight w:val="0"/>
          <w:marTop w:val="120"/>
          <w:marBottom w:val="0"/>
          <w:divBdr>
            <w:top w:val="none" w:sz="0" w:space="0" w:color="auto"/>
            <w:left w:val="none" w:sz="0" w:space="0" w:color="auto"/>
            <w:bottom w:val="none" w:sz="0" w:space="0" w:color="auto"/>
            <w:right w:val="none" w:sz="0" w:space="0" w:color="auto"/>
          </w:divBdr>
        </w:div>
        <w:div w:id="1773435715">
          <w:marLeft w:val="1166"/>
          <w:marRight w:val="0"/>
          <w:marTop w:val="120"/>
          <w:marBottom w:val="0"/>
          <w:divBdr>
            <w:top w:val="none" w:sz="0" w:space="0" w:color="auto"/>
            <w:left w:val="none" w:sz="0" w:space="0" w:color="auto"/>
            <w:bottom w:val="none" w:sz="0" w:space="0" w:color="auto"/>
            <w:right w:val="none" w:sz="0" w:space="0" w:color="auto"/>
          </w:divBdr>
        </w:div>
      </w:divsChild>
    </w:div>
    <w:div w:id="666205057">
      <w:bodyDiv w:val="1"/>
      <w:marLeft w:val="0"/>
      <w:marRight w:val="0"/>
      <w:marTop w:val="0"/>
      <w:marBottom w:val="0"/>
      <w:divBdr>
        <w:top w:val="none" w:sz="0" w:space="0" w:color="auto"/>
        <w:left w:val="none" w:sz="0" w:space="0" w:color="auto"/>
        <w:bottom w:val="none" w:sz="0" w:space="0" w:color="auto"/>
        <w:right w:val="none" w:sz="0" w:space="0" w:color="auto"/>
      </w:divBdr>
    </w:div>
    <w:div w:id="674772436">
      <w:bodyDiv w:val="1"/>
      <w:marLeft w:val="0"/>
      <w:marRight w:val="0"/>
      <w:marTop w:val="0"/>
      <w:marBottom w:val="0"/>
      <w:divBdr>
        <w:top w:val="none" w:sz="0" w:space="0" w:color="auto"/>
        <w:left w:val="none" w:sz="0" w:space="0" w:color="auto"/>
        <w:bottom w:val="none" w:sz="0" w:space="0" w:color="auto"/>
        <w:right w:val="none" w:sz="0" w:space="0" w:color="auto"/>
      </w:divBdr>
      <w:divsChild>
        <w:div w:id="151725388">
          <w:marLeft w:val="1426"/>
          <w:marRight w:val="0"/>
          <w:marTop w:val="60"/>
          <w:marBottom w:val="0"/>
          <w:divBdr>
            <w:top w:val="none" w:sz="0" w:space="0" w:color="auto"/>
            <w:left w:val="none" w:sz="0" w:space="0" w:color="auto"/>
            <w:bottom w:val="none" w:sz="0" w:space="0" w:color="auto"/>
            <w:right w:val="none" w:sz="0" w:space="0" w:color="auto"/>
          </w:divBdr>
        </w:div>
        <w:div w:id="168906100">
          <w:marLeft w:val="1426"/>
          <w:marRight w:val="0"/>
          <w:marTop w:val="60"/>
          <w:marBottom w:val="0"/>
          <w:divBdr>
            <w:top w:val="none" w:sz="0" w:space="0" w:color="auto"/>
            <w:left w:val="none" w:sz="0" w:space="0" w:color="auto"/>
            <w:bottom w:val="none" w:sz="0" w:space="0" w:color="auto"/>
            <w:right w:val="none" w:sz="0" w:space="0" w:color="auto"/>
          </w:divBdr>
        </w:div>
        <w:div w:id="269901012">
          <w:marLeft w:val="1685"/>
          <w:marRight w:val="0"/>
          <w:marTop w:val="60"/>
          <w:marBottom w:val="0"/>
          <w:divBdr>
            <w:top w:val="none" w:sz="0" w:space="0" w:color="auto"/>
            <w:left w:val="none" w:sz="0" w:space="0" w:color="auto"/>
            <w:bottom w:val="none" w:sz="0" w:space="0" w:color="auto"/>
            <w:right w:val="none" w:sz="0" w:space="0" w:color="auto"/>
          </w:divBdr>
        </w:div>
        <w:div w:id="288780976">
          <w:marLeft w:val="1426"/>
          <w:marRight w:val="0"/>
          <w:marTop w:val="60"/>
          <w:marBottom w:val="0"/>
          <w:divBdr>
            <w:top w:val="none" w:sz="0" w:space="0" w:color="auto"/>
            <w:left w:val="none" w:sz="0" w:space="0" w:color="auto"/>
            <w:bottom w:val="none" w:sz="0" w:space="0" w:color="auto"/>
            <w:right w:val="none" w:sz="0" w:space="0" w:color="auto"/>
          </w:divBdr>
        </w:div>
        <w:div w:id="346442351">
          <w:marLeft w:val="1685"/>
          <w:marRight w:val="0"/>
          <w:marTop w:val="60"/>
          <w:marBottom w:val="0"/>
          <w:divBdr>
            <w:top w:val="none" w:sz="0" w:space="0" w:color="auto"/>
            <w:left w:val="none" w:sz="0" w:space="0" w:color="auto"/>
            <w:bottom w:val="none" w:sz="0" w:space="0" w:color="auto"/>
            <w:right w:val="none" w:sz="0" w:space="0" w:color="auto"/>
          </w:divBdr>
        </w:div>
        <w:div w:id="378433029">
          <w:marLeft w:val="1426"/>
          <w:marRight w:val="0"/>
          <w:marTop w:val="60"/>
          <w:marBottom w:val="0"/>
          <w:divBdr>
            <w:top w:val="none" w:sz="0" w:space="0" w:color="auto"/>
            <w:left w:val="none" w:sz="0" w:space="0" w:color="auto"/>
            <w:bottom w:val="none" w:sz="0" w:space="0" w:color="auto"/>
            <w:right w:val="none" w:sz="0" w:space="0" w:color="auto"/>
          </w:divBdr>
        </w:div>
        <w:div w:id="497119201">
          <w:marLeft w:val="1426"/>
          <w:marRight w:val="0"/>
          <w:marTop w:val="60"/>
          <w:marBottom w:val="0"/>
          <w:divBdr>
            <w:top w:val="none" w:sz="0" w:space="0" w:color="auto"/>
            <w:left w:val="none" w:sz="0" w:space="0" w:color="auto"/>
            <w:bottom w:val="none" w:sz="0" w:space="0" w:color="auto"/>
            <w:right w:val="none" w:sz="0" w:space="0" w:color="auto"/>
          </w:divBdr>
        </w:div>
        <w:div w:id="549807368">
          <w:marLeft w:val="1426"/>
          <w:marRight w:val="0"/>
          <w:marTop w:val="60"/>
          <w:marBottom w:val="0"/>
          <w:divBdr>
            <w:top w:val="none" w:sz="0" w:space="0" w:color="auto"/>
            <w:left w:val="none" w:sz="0" w:space="0" w:color="auto"/>
            <w:bottom w:val="none" w:sz="0" w:space="0" w:color="auto"/>
            <w:right w:val="none" w:sz="0" w:space="0" w:color="auto"/>
          </w:divBdr>
        </w:div>
        <w:div w:id="1609701738">
          <w:marLeft w:val="1426"/>
          <w:marRight w:val="0"/>
          <w:marTop w:val="60"/>
          <w:marBottom w:val="0"/>
          <w:divBdr>
            <w:top w:val="none" w:sz="0" w:space="0" w:color="auto"/>
            <w:left w:val="none" w:sz="0" w:space="0" w:color="auto"/>
            <w:bottom w:val="none" w:sz="0" w:space="0" w:color="auto"/>
            <w:right w:val="none" w:sz="0" w:space="0" w:color="auto"/>
          </w:divBdr>
        </w:div>
      </w:divsChild>
    </w:div>
    <w:div w:id="705105696">
      <w:bodyDiv w:val="1"/>
      <w:marLeft w:val="0"/>
      <w:marRight w:val="0"/>
      <w:marTop w:val="0"/>
      <w:marBottom w:val="0"/>
      <w:divBdr>
        <w:top w:val="none" w:sz="0" w:space="0" w:color="auto"/>
        <w:left w:val="none" w:sz="0" w:space="0" w:color="auto"/>
        <w:bottom w:val="none" w:sz="0" w:space="0" w:color="auto"/>
        <w:right w:val="none" w:sz="0" w:space="0" w:color="auto"/>
      </w:divBdr>
    </w:div>
    <w:div w:id="784347024">
      <w:bodyDiv w:val="1"/>
      <w:marLeft w:val="0"/>
      <w:marRight w:val="0"/>
      <w:marTop w:val="0"/>
      <w:marBottom w:val="0"/>
      <w:divBdr>
        <w:top w:val="none" w:sz="0" w:space="0" w:color="auto"/>
        <w:left w:val="none" w:sz="0" w:space="0" w:color="auto"/>
        <w:bottom w:val="none" w:sz="0" w:space="0" w:color="auto"/>
        <w:right w:val="none" w:sz="0" w:space="0" w:color="auto"/>
      </w:divBdr>
    </w:div>
    <w:div w:id="817764497">
      <w:bodyDiv w:val="1"/>
      <w:marLeft w:val="0"/>
      <w:marRight w:val="0"/>
      <w:marTop w:val="0"/>
      <w:marBottom w:val="0"/>
      <w:divBdr>
        <w:top w:val="none" w:sz="0" w:space="0" w:color="auto"/>
        <w:left w:val="none" w:sz="0" w:space="0" w:color="auto"/>
        <w:bottom w:val="none" w:sz="0" w:space="0" w:color="auto"/>
        <w:right w:val="none" w:sz="0" w:space="0" w:color="auto"/>
      </w:divBdr>
    </w:div>
    <w:div w:id="820852648">
      <w:bodyDiv w:val="1"/>
      <w:marLeft w:val="0"/>
      <w:marRight w:val="0"/>
      <w:marTop w:val="0"/>
      <w:marBottom w:val="0"/>
      <w:divBdr>
        <w:top w:val="none" w:sz="0" w:space="0" w:color="auto"/>
        <w:left w:val="none" w:sz="0" w:space="0" w:color="auto"/>
        <w:bottom w:val="none" w:sz="0" w:space="0" w:color="auto"/>
        <w:right w:val="none" w:sz="0" w:space="0" w:color="auto"/>
      </w:divBdr>
    </w:div>
    <w:div w:id="858082300">
      <w:bodyDiv w:val="1"/>
      <w:marLeft w:val="0"/>
      <w:marRight w:val="0"/>
      <w:marTop w:val="0"/>
      <w:marBottom w:val="0"/>
      <w:divBdr>
        <w:top w:val="none" w:sz="0" w:space="0" w:color="auto"/>
        <w:left w:val="none" w:sz="0" w:space="0" w:color="auto"/>
        <w:bottom w:val="none" w:sz="0" w:space="0" w:color="auto"/>
        <w:right w:val="none" w:sz="0" w:space="0" w:color="auto"/>
      </w:divBdr>
      <w:divsChild>
        <w:div w:id="325716470">
          <w:marLeft w:val="1685"/>
          <w:marRight w:val="0"/>
          <w:marTop w:val="60"/>
          <w:marBottom w:val="0"/>
          <w:divBdr>
            <w:top w:val="none" w:sz="0" w:space="0" w:color="auto"/>
            <w:left w:val="none" w:sz="0" w:space="0" w:color="auto"/>
            <w:bottom w:val="none" w:sz="0" w:space="0" w:color="auto"/>
            <w:right w:val="none" w:sz="0" w:space="0" w:color="auto"/>
          </w:divBdr>
        </w:div>
        <w:div w:id="453449490">
          <w:marLeft w:val="1685"/>
          <w:marRight w:val="0"/>
          <w:marTop w:val="60"/>
          <w:marBottom w:val="0"/>
          <w:divBdr>
            <w:top w:val="none" w:sz="0" w:space="0" w:color="auto"/>
            <w:left w:val="none" w:sz="0" w:space="0" w:color="auto"/>
            <w:bottom w:val="none" w:sz="0" w:space="0" w:color="auto"/>
            <w:right w:val="none" w:sz="0" w:space="0" w:color="auto"/>
          </w:divBdr>
        </w:div>
        <w:div w:id="585505560">
          <w:marLeft w:val="1685"/>
          <w:marRight w:val="0"/>
          <w:marTop w:val="60"/>
          <w:marBottom w:val="0"/>
          <w:divBdr>
            <w:top w:val="none" w:sz="0" w:space="0" w:color="auto"/>
            <w:left w:val="none" w:sz="0" w:space="0" w:color="auto"/>
            <w:bottom w:val="none" w:sz="0" w:space="0" w:color="auto"/>
            <w:right w:val="none" w:sz="0" w:space="0" w:color="auto"/>
          </w:divBdr>
        </w:div>
      </w:divsChild>
    </w:div>
    <w:div w:id="867723150">
      <w:bodyDiv w:val="1"/>
      <w:marLeft w:val="0"/>
      <w:marRight w:val="0"/>
      <w:marTop w:val="0"/>
      <w:marBottom w:val="0"/>
      <w:divBdr>
        <w:top w:val="none" w:sz="0" w:space="0" w:color="auto"/>
        <w:left w:val="none" w:sz="0" w:space="0" w:color="auto"/>
        <w:bottom w:val="none" w:sz="0" w:space="0" w:color="auto"/>
        <w:right w:val="none" w:sz="0" w:space="0" w:color="auto"/>
      </w:divBdr>
    </w:div>
    <w:div w:id="875702479">
      <w:bodyDiv w:val="1"/>
      <w:marLeft w:val="0"/>
      <w:marRight w:val="0"/>
      <w:marTop w:val="0"/>
      <w:marBottom w:val="0"/>
      <w:divBdr>
        <w:top w:val="none" w:sz="0" w:space="0" w:color="auto"/>
        <w:left w:val="none" w:sz="0" w:space="0" w:color="auto"/>
        <w:bottom w:val="none" w:sz="0" w:space="0" w:color="auto"/>
        <w:right w:val="none" w:sz="0" w:space="0" w:color="auto"/>
      </w:divBdr>
    </w:div>
    <w:div w:id="886457464">
      <w:bodyDiv w:val="1"/>
      <w:marLeft w:val="0"/>
      <w:marRight w:val="0"/>
      <w:marTop w:val="0"/>
      <w:marBottom w:val="0"/>
      <w:divBdr>
        <w:top w:val="none" w:sz="0" w:space="0" w:color="auto"/>
        <w:left w:val="none" w:sz="0" w:space="0" w:color="auto"/>
        <w:bottom w:val="none" w:sz="0" w:space="0" w:color="auto"/>
        <w:right w:val="none" w:sz="0" w:space="0" w:color="auto"/>
      </w:divBdr>
    </w:div>
    <w:div w:id="903175601">
      <w:bodyDiv w:val="1"/>
      <w:marLeft w:val="0"/>
      <w:marRight w:val="0"/>
      <w:marTop w:val="0"/>
      <w:marBottom w:val="0"/>
      <w:divBdr>
        <w:top w:val="none" w:sz="0" w:space="0" w:color="auto"/>
        <w:left w:val="none" w:sz="0" w:space="0" w:color="auto"/>
        <w:bottom w:val="none" w:sz="0" w:space="0" w:color="auto"/>
        <w:right w:val="none" w:sz="0" w:space="0" w:color="auto"/>
      </w:divBdr>
    </w:div>
    <w:div w:id="918370659">
      <w:bodyDiv w:val="1"/>
      <w:marLeft w:val="0"/>
      <w:marRight w:val="0"/>
      <w:marTop w:val="0"/>
      <w:marBottom w:val="0"/>
      <w:divBdr>
        <w:top w:val="none" w:sz="0" w:space="0" w:color="auto"/>
        <w:left w:val="none" w:sz="0" w:space="0" w:color="auto"/>
        <w:bottom w:val="none" w:sz="0" w:space="0" w:color="auto"/>
        <w:right w:val="none" w:sz="0" w:space="0" w:color="auto"/>
      </w:divBdr>
      <w:divsChild>
        <w:div w:id="91052071">
          <w:marLeft w:val="1426"/>
          <w:marRight w:val="0"/>
          <w:marTop w:val="180"/>
          <w:marBottom w:val="0"/>
          <w:divBdr>
            <w:top w:val="none" w:sz="0" w:space="0" w:color="auto"/>
            <w:left w:val="none" w:sz="0" w:space="0" w:color="auto"/>
            <w:bottom w:val="none" w:sz="0" w:space="0" w:color="auto"/>
            <w:right w:val="none" w:sz="0" w:space="0" w:color="auto"/>
          </w:divBdr>
        </w:div>
        <w:div w:id="501623712">
          <w:marLeft w:val="1843"/>
          <w:marRight w:val="0"/>
          <w:marTop w:val="0"/>
          <w:marBottom w:val="0"/>
          <w:divBdr>
            <w:top w:val="none" w:sz="0" w:space="0" w:color="auto"/>
            <w:left w:val="none" w:sz="0" w:space="0" w:color="auto"/>
            <w:bottom w:val="none" w:sz="0" w:space="0" w:color="auto"/>
            <w:right w:val="none" w:sz="0" w:space="0" w:color="auto"/>
          </w:divBdr>
        </w:div>
        <w:div w:id="994145364">
          <w:marLeft w:val="1426"/>
          <w:marRight w:val="0"/>
          <w:marTop w:val="180"/>
          <w:marBottom w:val="0"/>
          <w:divBdr>
            <w:top w:val="none" w:sz="0" w:space="0" w:color="auto"/>
            <w:left w:val="none" w:sz="0" w:space="0" w:color="auto"/>
            <w:bottom w:val="none" w:sz="0" w:space="0" w:color="auto"/>
            <w:right w:val="none" w:sz="0" w:space="0" w:color="auto"/>
          </w:divBdr>
        </w:div>
        <w:div w:id="1263756645">
          <w:marLeft w:val="1973"/>
          <w:marRight w:val="0"/>
          <w:marTop w:val="0"/>
          <w:marBottom w:val="0"/>
          <w:divBdr>
            <w:top w:val="none" w:sz="0" w:space="0" w:color="auto"/>
            <w:left w:val="none" w:sz="0" w:space="0" w:color="auto"/>
            <w:bottom w:val="none" w:sz="0" w:space="0" w:color="auto"/>
            <w:right w:val="none" w:sz="0" w:space="0" w:color="auto"/>
          </w:divBdr>
        </w:div>
        <w:div w:id="1579710767">
          <w:marLeft w:val="1843"/>
          <w:marRight w:val="0"/>
          <w:marTop w:val="0"/>
          <w:marBottom w:val="0"/>
          <w:divBdr>
            <w:top w:val="none" w:sz="0" w:space="0" w:color="auto"/>
            <w:left w:val="none" w:sz="0" w:space="0" w:color="auto"/>
            <w:bottom w:val="none" w:sz="0" w:space="0" w:color="auto"/>
            <w:right w:val="none" w:sz="0" w:space="0" w:color="auto"/>
          </w:divBdr>
        </w:div>
        <w:div w:id="1640261672">
          <w:marLeft w:val="1843"/>
          <w:marRight w:val="0"/>
          <w:marTop w:val="0"/>
          <w:marBottom w:val="0"/>
          <w:divBdr>
            <w:top w:val="none" w:sz="0" w:space="0" w:color="auto"/>
            <w:left w:val="none" w:sz="0" w:space="0" w:color="auto"/>
            <w:bottom w:val="none" w:sz="0" w:space="0" w:color="auto"/>
            <w:right w:val="none" w:sz="0" w:space="0" w:color="auto"/>
          </w:divBdr>
        </w:div>
        <w:div w:id="2026469993">
          <w:marLeft w:val="1973"/>
          <w:marRight w:val="0"/>
          <w:marTop w:val="0"/>
          <w:marBottom w:val="0"/>
          <w:divBdr>
            <w:top w:val="none" w:sz="0" w:space="0" w:color="auto"/>
            <w:left w:val="none" w:sz="0" w:space="0" w:color="auto"/>
            <w:bottom w:val="none" w:sz="0" w:space="0" w:color="auto"/>
            <w:right w:val="none" w:sz="0" w:space="0" w:color="auto"/>
          </w:divBdr>
        </w:div>
        <w:div w:id="2040621659">
          <w:marLeft w:val="1426"/>
          <w:marRight w:val="0"/>
          <w:marTop w:val="180"/>
          <w:marBottom w:val="0"/>
          <w:divBdr>
            <w:top w:val="none" w:sz="0" w:space="0" w:color="auto"/>
            <w:left w:val="none" w:sz="0" w:space="0" w:color="auto"/>
            <w:bottom w:val="none" w:sz="0" w:space="0" w:color="auto"/>
            <w:right w:val="none" w:sz="0" w:space="0" w:color="auto"/>
          </w:divBdr>
        </w:div>
      </w:divsChild>
    </w:div>
    <w:div w:id="931082413">
      <w:bodyDiv w:val="1"/>
      <w:marLeft w:val="0"/>
      <w:marRight w:val="0"/>
      <w:marTop w:val="0"/>
      <w:marBottom w:val="0"/>
      <w:divBdr>
        <w:top w:val="none" w:sz="0" w:space="0" w:color="auto"/>
        <w:left w:val="none" w:sz="0" w:space="0" w:color="auto"/>
        <w:bottom w:val="none" w:sz="0" w:space="0" w:color="auto"/>
        <w:right w:val="none" w:sz="0" w:space="0" w:color="auto"/>
      </w:divBdr>
      <w:divsChild>
        <w:div w:id="72894178">
          <w:marLeft w:val="1987"/>
          <w:marRight w:val="0"/>
          <w:marTop w:val="0"/>
          <w:marBottom w:val="0"/>
          <w:divBdr>
            <w:top w:val="none" w:sz="0" w:space="0" w:color="auto"/>
            <w:left w:val="none" w:sz="0" w:space="0" w:color="auto"/>
            <w:bottom w:val="none" w:sz="0" w:space="0" w:color="auto"/>
            <w:right w:val="none" w:sz="0" w:space="0" w:color="auto"/>
          </w:divBdr>
        </w:div>
        <w:div w:id="525020029">
          <w:marLeft w:val="1397"/>
          <w:marRight w:val="0"/>
          <w:marTop w:val="0"/>
          <w:marBottom w:val="0"/>
          <w:divBdr>
            <w:top w:val="none" w:sz="0" w:space="0" w:color="auto"/>
            <w:left w:val="none" w:sz="0" w:space="0" w:color="auto"/>
            <w:bottom w:val="none" w:sz="0" w:space="0" w:color="auto"/>
            <w:right w:val="none" w:sz="0" w:space="0" w:color="auto"/>
          </w:divBdr>
        </w:div>
        <w:div w:id="599215323">
          <w:marLeft w:val="1397"/>
          <w:marRight w:val="0"/>
          <w:marTop w:val="0"/>
          <w:marBottom w:val="0"/>
          <w:divBdr>
            <w:top w:val="none" w:sz="0" w:space="0" w:color="auto"/>
            <w:left w:val="none" w:sz="0" w:space="0" w:color="auto"/>
            <w:bottom w:val="none" w:sz="0" w:space="0" w:color="auto"/>
            <w:right w:val="none" w:sz="0" w:space="0" w:color="auto"/>
          </w:divBdr>
        </w:div>
        <w:div w:id="657464892">
          <w:marLeft w:val="1987"/>
          <w:marRight w:val="0"/>
          <w:marTop w:val="0"/>
          <w:marBottom w:val="0"/>
          <w:divBdr>
            <w:top w:val="none" w:sz="0" w:space="0" w:color="auto"/>
            <w:left w:val="none" w:sz="0" w:space="0" w:color="auto"/>
            <w:bottom w:val="none" w:sz="0" w:space="0" w:color="auto"/>
            <w:right w:val="none" w:sz="0" w:space="0" w:color="auto"/>
          </w:divBdr>
        </w:div>
        <w:div w:id="887498500">
          <w:marLeft w:val="1987"/>
          <w:marRight w:val="0"/>
          <w:marTop w:val="0"/>
          <w:marBottom w:val="0"/>
          <w:divBdr>
            <w:top w:val="none" w:sz="0" w:space="0" w:color="auto"/>
            <w:left w:val="none" w:sz="0" w:space="0" w:color="auto"/>
            <w:bottom w:val="none" w:sz="0" w:space="0" w:color="auto"/>
            <w:right w:val="none" w:sz="0" w:space="0" w:color="auto"/>
          </w:divBdr>
        </w:div>
        <w:div w:id="1120998416">
          <w:marLeft w:val="1987"/>
          <w:marRight w:val="0"/>
          <w:marTop w:val="0"/>
          <w:marBottom w:val="0"/>
          <w:divBdr>
            <w:top w:val="none" w:sz="0" w:space="0" w:color="auto"/>
            <w:left w:val="none" w:sz="0" w:space="0" w:color="auto"/>
            <w:bottom w:val="none" w:sz="0" w:space="0" w:color="auto"/>
            <w:right w:val="none" w:sz="0" w:space="0" w:color="auto"/>
          </w:divBdr>
        </w:div>
        <w:div w:id="1140422022">
          <w:marLeft w:val="1987"/>
          <w:marRight w:val="0"/>
          <w:marTop w:val="0"/>
          <w:marBottom w:val="0"/>
          <w:divBdr>
            <w:top w:val="none" w:sz="0" w:space="0" w:color="auto"/>
            <w:left w:val="none" w:sz="0" w:space="0" w:color="auto"/>
            <w:bottom w:val="none" w:sz="0" w:space="0" w:color="auto"/>
            <w:right w:val="none" w:sz="0" w:space="0" w:color="auto"/>
          </w:divBdr>
        </w:div>
        <w:div w:id="1199201224">
          <w:marLeft w:val="1987"/>
          <w:marRight w:val="0"/>
          <w:marTop w:val="0"/>
          <w:marBottom w:val="0"/>
          <w:divBdr>
            <w:top w:val="none" w:sz="0" w:space="0" w:color="auto"/>
            <w:left w:val="none" w:sz="0" w:space="0" w:color="auto"/>
            <w:bottom w:val="none" w:sz="0" w:space="0" w:color="auto"/>
            <w:right w:val="none" w:sz="0" w:space="0" w:color="auto"/>
          </w:divBdr>
        </w:div>
        <w:div w:id="1383941916">
          <w:marLeft w:val="1397"/>
          <w:marRight w:val="0"/>
          <w:marTop w:val="0"/>
          <w:marBottom w:val="0"/>
          <w:divBdr>
            <w:top w:val="none" w:sz="0" w:space="0" w:color="auto"/>
            <w:left w:val="none" w:sz="0" w:space="0" w:color="auto"/>
            <w:bottom w:val="none" w:sz="0" w:space="0" w:color="auto"/>
            <w:right w:val="none" w:sz="0" w:space="0" w:color="auto"/>
          </w:divBdr>
        </w:div>
        <w:div w:id="1516186126">
          <w:marLeft w:val="1987"/>
          <w:marRight w:val="0"/>
          <w:marTop w:val="0"/>
          <w:marBottom w:val="0"/>
          <w:divBdr>
            <w:top w:val="none" w:sz="0" w:space="0" w:color="auto"/>
            <w:left w:val="none" w:sz="0" w:space="0" w:color="auto"/>
            <w:bottom w:val="none" w:sz="0" w:space="0" w:color="auto"/>
            <w:right w:val="none" w:sz="0" w:space="0" w:color="auto"/>
          </w:divBdr>
        </w:div>
        <w:div w:id="1599287595">
          <w:marLeft w:val="1987"/>
          <w:marRight w:val="0"/>
          <w:marTop w:val="0"/>
          <w:marBottom w:val="0"/>
          <w:divBdr>
            <w:top w:val="none" w:sz="0" w:space="0" w:color="auto"/>
            <w:left w:val="none" w:sz="0" w:space="0" w:color="auto"/>
            <w:bottom w:val="none" w:sz="0" w:space="0" w:color="auto"/>
            <w:right w:val="none" w:sz="0" w:space="0" w:color="auto"/>
          </w:divBdr>
        </w:div>
        <w:div w:id="1729769450">
          <w:marLeft w:val="1987"/>
          <w:marRight w:val="0"/>
          <w:marTop w:val="0"/>
          <w:marBottom w:val="0"/>
          <w:divBdr>
            <w:top w:val="none" w:sz="0" w:space="0" w:color="auto"/>
            <w:left w:val="none" w:sz="0" w:space="0" w:color="auto"/>
            <w:bottom w:val="none" w:sz="0" w:space="0" w:color="auto"/>
            <w:right w:val="none" w:sz="0" w:space="0" w:color="auto"/>
          </w:divBdr>
        </w:div>
        <w:div w:id="1936742167">
          <w:marLeft w:val="1987"/>
          <w:marRight w:val="0"/>
          <w:marTop w:val="0"/>
          <w:marBottom w:val="0"/>
          <w:divBdr>
            <w:top w:val="none" w:sz="0" w:space="0" w:color="auto"/>
            <w:left w:val="none" w:sz="0" w:space="0" w:color="auto"/>
            <w:bottom w:val="none" w:sz="0" w:space="0" w:color="auto"/>
            <w:right w:val="none" w:sz="0" w:space="0" w:color="auto"/>
          </w:divBdr>
        </w:div>
        <w:div w:id="2023967294">
          <w:marLeft w:val="1397"/>
          <w:marRight w:val="0"/>
          <w:marTop w:val="0"/>
          <w:marBottom w:val="0"/>
          <w:divBdr>
            <w:top w:val="none" w:sz="0" w:space="0" w:color="auto"/>
            <w:left w:val="none" w:sz="0" w:space="0" w:color="auto"/>
            <w:bottom w:val="none" w:sz="0" w:space="0" w:color="auto"/>
            <w:right w:val="none" w:sz="0" w:space="0" w:color="auto"/>
          </w:divBdr>
        </w:div>
        <w:div w:id="2085911577">
          <w:marLeft w:val="1987"/>
          <w:marRight w:val="0"/>
          <w:marTop w:val="0"/>
          <w:marBottom w:val="0"/>
          <w:divBdr>
            <w:top w:val="none" w:sz="0" w:space="0" w:color="auto"/>
            <w:left w:val="none" w:sz="0" w:space="0" w:color="auto"/>
            <w:bottom w:val="none" w:sz="0" w:space="0" w:color="auto"/>
            <w:right w:val="none" w:sz="0" w:space="0" w:color="auto"/>
          </w:divBdr>
        </w:div>
      </w:divsChild>
    </w:div>
    <w:div w:id="940067950">
      <w:bodyDiv w:val="1"/>
      <w:marLeft w:val="0"/>
      <w:marRight w:val="0"/>
      <w:marTop w:val="0"/>
      <w:marBottom w:val="0"/>
      <w:divBdr>
        <w:top w:val="none" w:sz="0" w:space="0" w:color="auto"/>
        <w:left w:val="none" w:sz="0" w:space="0" w:color="auto"/>
        <w:bottom w:val="none" w:sz="0" w:space="0" w:color="auto"/>
        <w:right w:val="none" w:sz="0" w:space="0" w:color="auto"/>
      </w:divBdr>
    </w:div>
    <w:div w:id="968897244">
      <w:bodyDiv w:val="1"/>
      <w:marLeft w:val="0"/>
      <w:marRight w:val="0"/>
      <w:marTop w:val="0"/>
      <w:marBottom w:val="0"/>
      <w:divBdr>
        <w:top w:val="none" w:sz="0" w:space="0" w:color="auto"/>
        <w:left w:val="none" w:sz="0" w:space="0" w:color="auto"/>
        <w:bottom w:val="none" w:sz="0" w:space="0" w:color="auto"/>
        <w:right w:val="none" w:sz="0" w:space="0" w:color="auto"/>
      </w:divBdr>
    </w:div>
    <w:div w:id="977606296">
      <w:bodyDiv w:val="1"/>
      <w:marLeft w:val="0"/>
      <w:marRight w:val="0"/>
      <w:marTop w:val="0"/>
      <w:marBottom w:val="0"/>
      <w:divBdr>
        <w:top w:val="none" w:sz="0" w:space="0" w:color="auto"/>
        <w:left w:val="none" w:sz="0" w:space="0" w:color="auto"/>
        <w:bottom w:val="none" w:sz="0" w:space="0" w:color="auto"/>
        <w:right w:val="none" w:sz="0" w:space="0" w:color="auto"/>
      </w:divBdr>
    </w:div>
    <w:div w:id="987635302">
      <w:bodyDiv w:val="1"/>
      <w:marLeft w:val="0"/>
      <w:marRight w:val="0"/>
      <w:marTop w:val="0"/>
      <w:marBottom w:val="0"/>
      <w:divBdr>
        <w:top w:val="none" w:sz="0" w:space="0" w:color="auto"/>
        <w:left w:val="none" w:sz="0" w:space="0" w:color="auto"/>
        <w:bottom w:val="none" w:sz="0" w:space="0" w:color="auto"/>
        <w:right w:val="none" w:sz="0" w:space="0" w:color="auto"/>
      </w:divBdr>
      <w:divsChild>
        <w:div w:id="280502074">
          <w:marLeft w:val="1426"/>
          <w:marRight w:val="0"/>
          <w:marTop w:val="0"/>
          <w:marBottom w:val="0"/>
          <w:divBdr>
            <w:top w:val="none" w:sz="0" w:space="0" w:color="auto"/>
            <w:left w:val="none" w:sz="0" w:space="0" w:color="auto"/>
            <w:bottom w:val="none" w:sz="0" w:space="0" w:color="auto"/>
            <w:right w:val="none" w:sz="0" w:space="0" w:color="auto"/>
          </w:divBdr>
        </w:div>
        <w:div w:id="355272738">
          <w:marLeft w:val="1426"/>
          <w:marRight w:val="0"/>
          <w:marTop w:val="0"/>
          <w:marBottom w:val="0"/>
          <w:divBdr>
            <w:top w:val="none" w:sz="0" w:space="0" w:color="auto"/>
            <w:left w:val="none" w:sz="0" w:space="0" w:color="auto"/>
            <w:bottom w:val="none" w:sz="0" w:space="0" w:color="auto"/>
            <w:right w:val="none" w:sz="0" w:space="0" w:color="auto"/>
          </w:divBdr>
        </w:div>
        <w:div w:id="389111647">
          <w:marLeft w:val="1426"/>
          <w:marRight w:val="0"/>
          <w:marTop w:val="0"/>
          <w:marBottom w:val="0"/>
          <w:divBdr>
            <w:top w:val="none" w:sz="0" w:space="0" w:color="auto"/>
            <w:left w:val="none" w:sz="0" w:space="0" w:color="auto"/>
            <w:bottom w:val="none" w:sz="0" w:space="0" w:color="auto"/>
            <w:right w:val="none" w:sz="0" w:space="0" w:color="auto"/>
          </w:divBdr>
        </w:div>
        <w:div w:id="456292779">
          <w:marLeft w:val="1426"/>
          <w:marRight w:val="0"/>
          <w:marTop w:val="0"/>
          <w:marBottom w:val="0"/>
          <w:divBdr>
            <w:top w:val="none" w:sz="0" w:space="0" w:color="auto"/>
            <w:left w:val="none" w:sz="0" w:space="0" w:color="auto"/>
            <w:bottom w:val="none" w:sz="0" w:space="0" w:color="auto"/>
            <w:right w:val="none" w:sz="0" w:space="0" w:color="auto"/>
          </w:divBdr>
        </w:div>
        <w:div w:id="1031612022">
          <w:marLeft w:val="1426"/>
          <w:marRight w:val="0"/>
          <w:marTop w:val="0"/>
          <w:marBottom w:val="0"/>
          <w:divBdr>
            <w:top w:val="none" w:sz="0" w:space="0" w:color="auto"/>
            <w:left w:val="none" w:sz="0" w:space="0" w:color="auto"/>
            <w:bottom w:val="none" w:sz="0" w:space="0" w:color="auto"/>
            <w:right w:val="none" w:sz="0" w:space="0" w:color="auto"/>
          </w:divBdr>
        </w:div>
        <w:div w:id="1627659271">
          <w:marLeft w:val="1426"/>
          <w:marRight w:val="0"/>
          <w:marTop w:val="0"/>
          <w:marBottom w:val="0"/>
          <w:divBdr>
            <w:top w:val="none" w:sz="0" w:space="0" w:color="auto"/>
            <w:left w:val="none" w:sz="0" w:space="0" w:color="auto"/>
            <w:bottom w:val="none" w:sz="0" w:space="0" w:color="auto"/>
            <w:right w:val="none" w:sz="0" w:space="0" w:color="auto"/>
          </w:divBdr>
        </w:div>
        <w:div w:id="2107967766">
          <w:marLeft w:val="1426"/>
          <w:marRight w:val="0"/>
          <w:marTop w:val="0"/>
          <w:marBottom w:val="0"/>
          <w:divBdr>
            <w:top w:val="none" w:sz="0" w:space="0" w:color="auto"/>
            <w:left w:val="none" w:sz="0" w:space="0" w:color="auto"/>
            <w:bottom w:val="none" w:sz="0" w:space="0" w:color="auto"/>
            <w:right w:val="none" w:sz="0" w:space="0" w:color="auto"/>
          </w:divBdr>
        </w:div>
      </w:divsChild>
    </w:div>
    <w:div w:id="994257113">
      <w:bodyDiv w:val="1"/>
      <w:marLeft w:val="0"/>
      <w:marRight w:val="0"/>
      <w:marTop w:val="0"/>
      <w:marBottom w:val="0"/>
      <w:divBdr>
        <w:top w:val="none" w:sz="0" w:space="0" w:color="auto"/>
        <w:left w:val="none" w:sz="0" w:space="0" w:color="auto"/>
        <w:bottom w:val="none" w:sz="0" w:space="0" w:color="auto"/>
        <w:right w:val="none" w:sz="0" w:space="0" w:color="auto"/>
      </w:divBdr>
      <w:divsChild>
        <w:div w:id="38016238">
          <w:marLeft w:val="1166"/>
          <w:marRight w:val="0"/>
          <w:marTop w:val="120"/>
          <w:marBottom w:val="0"/>
          <w:divBdr>
            <w:top w:val="none" w:sz="0" w:space="0" w:color="auto"/>
            <w:left w:val="none" w:sz="0" w:space="0" w:color="auto"/>
            <w:bottom w:val="none" w:sz="0" w:space="0" w:color="auto"/>
            <w:right w:val="none" w:sz="0" w:space="0" w:color="auto"/>
          </w:divBdr>
        </w:div>
        <w:div w:id="147333719">
          <w:marLeft w:val="1800"/>
          <w:marRight w:val="0"/>
          <w:marTop w:val="120"/>
          <w:marBottom w:val="0"/>
          <w:divBdr>
            <w:top w:val="none" w:sz="0" w:space="0" w:color="auto"/>
            <w:left w:val="none" w:sz="0" w:space="0" w:color="auto"/>
            <w:bottom w:val="none" w:sz="0" w:space="0" w:color="auto"/>
            <w:right w:val="none" w:sz="0" w:space="0" w:color="auto"/>
          </w:divBdr>
        </w:div>
        <w:div w:id="155267585">
          <w:marLeft w:val="1166"/>
          <w:marRight w:val="0"/>
          <w:marTop w:val="240"/>
          <w:marBottom w:val="0"/>
          <w:divBdr>
            <w:top w:val="none" w:sz="0" w:space="0" w:color="auto"/>
            <w:left w:val="none" w:sz="0" w:space="0" w:color="auto"/>
            <w:bottom w:val="none" w:sz="0" w:space="0" w:color="auto"/>
            <w:right w:val="none" w:sz="0" w:space="0" w:color="auto"/>
          </w:divBdr>
        </w:div>
        <w:div w:id="510727706">
          <w:marLeft w:val="1800"/>
          <w:marRight w:val="0"/>
          <w:marTop w:val="120"/>
          <w:marBottom w:val="0"/>
          <w:divBdr>
            <w:top w:val="none" w:sz="0" w:space="0" w:color="auto"/>
            <w:left w:val="none" w:sz="0" w:space="0" w:color="auto"/>
            <w:bottom w:val="none" w:sz="0" w:space="0" w:color="auto"/>
            <w:right w:val="none" w:sz="0" w:space="0" w:color="auto"/>
          </w:divBdr>
        </w:div>
        <w:div w:id="792484757">
          <w:marLeft w:val="1800"/>
          <w:marRight w:val="0"/>
          <w:marTop w:val="120"/>
          <w:marBottom w:val="0"/>
          <w:divBdr>
            <w:top w:val="none" w:sz="0" w:space="0" w:color="auto"/>
            <w:left w:val="none" w:sz="0" w:space="0" w:color="auto"/>
            <w:bottom w:val="none" w:sz="0" w:space="0" w:color="auto"/>
            <w:right w:val="none" w:sz="0" w:space="0" w:color="auto"/>
          </w:divBdr>
        </w:div>
        <w:div w:id="940455798">
          <w:marLeft w:val="1166"/>
          <w:marRight w:val="0"/>
          <w:marTop w:val="240"/>
          <w:marBottom w:val="0"/>
          <w:divBdr>
            <w:top w:val="none" w:sz="0" w:space="0" w:color="auto"/>
            <w:left w:val="none" w:sz="0" w:space="0" w:color="auto"/>
            <w:bottom w:val="none" w:sz="0" w:space="0" w:color="auto"/>
            <w:right w:val="none" w:sz="0" w:space="0" w:color="auto"/>
          </w:divBdr>
        </w:div>
        <w:div w:id="1111322087">
          <w:marLeft w:val="1800"/>
          <w:marRight w:val="0"/>
          <w:marTop w:val="120"/>
          <w:marBottom w:val="0"/>
          <w:divBdr>
            <w:top w:val="none" w:sz="0" w:space="0" w:color="auto"/>
            <w:left w:val="none" w:sz="0" w:space="0" w:color="auto"/>
            <w:bottom w:val="none" w:sz="0" w:space="0" w:color="auto"/>
            <w:right w:val="none" w:sz="0" w:space="0" w:color="auto"/>
          </w:divBdr>
        </w:div>
        <w:div w:id="1213536386">
          <w:marLeft w:val="1800"/>
          <w:marRight w:val="0"/>
          <w:marTop w:val="120"/>
          <w:marBottom w:val="0"/>
          <w:divBdr>
            <w:top w:val="none" w:sz="0" w:space="0" w:color="auto"/>
            <w:left w:val="none" w:sz="0" w:space="0" w:color="auto"/>
            <w:bottom w:val="none" w:sz="0" w:space="0" w:color="auto"/>
            <w:right w:val="none" w:sz="0" w:space="0" w:color="auto"/>
          </w:divBdr>
        </w:div>
        <w:div w:id="1872106622">
          <w:marLeft w:val="1800"/>
          <w:marRight w:val="0"/>
          <w:marTop w:val="120"/>
          <w:marBottom w:val="0"/>
          <w:divBdr>
            <w:top w:val="none" w:sz="0" w:space="0" w:color="auto"/>
            <w:left w:val="none" w:sz="0" w:space="0" w:color="auto"/>
            <w:bottom w:val="none" w:sz="0" w:space="0" w:color="auto"/>
            <w:right w:val="none" w:sz="0" w:space="0" w:color="auto"/>
          </w:divBdr>
        </w:div>
      </w:divsChild>
    </w:div>
    <w:div w:id="1018656481">
      <w:bodyDiv w:val="1"/>
      <w:marLeft w:val="0"/>
      <w:marRight w:val="0"/>
      <w:marTop w:val="0"/>
      <w:marBottom w:val="0"/>
      <w:divBdr>
        <w:top w:val="none" w:sz="0" w:space="0" w:color="auto"/>
        <w:left w:val="none" w:sz="0" w:space="0" w:color="auto"/>
        <w:bottom w:val="none" w:sz="0" w:space="0" w:color="auto"/>
        <w:right w:val="none" w:sz="0" w:space="0" w:color="auto"/>
      </w:divBdr>
      <w:divsChild>
        <w:div w:id="106587795">
          <w:marLeft w:val="1426"/>
          <w:marRight w:val="0"/>
          <w:marTop w:val="0"/>
          <w:marBottom w:val="0"/>
          <w:divBdr>
            <w:top w:val="none" w:sz="0" w:space="0" w:color="auto"/>
            <w:left w:val="none" w:sz="0" w:space="0" w:color="auto"/>
            <w:bottom w:val="none" w:sz="0" w:space="0" w:color="auto"/>
            <w:right w:val="none" w:sz="0" w:space="0" w:color="auto"/>
          </w:divBdr>
        </w:div>
        <w:div w:id="303122839">
          <w:marLeft w:val="1426"/>
          <w:marRight w:val="0"/>
          <w:marTop w:val="0"/>
          <w:marBottom w:val="0"/>
          <w:divBdr>
            <w:top w:val="none" w:sz="0" w:space="0" w:color="auto"/>
            <w:left w:val="none" w:sz="0" w:space="0" w:color="auto"/>
            <w:bottom w:val="none" w:sz="0" w:space="0" w:color="auto"/>
            <w:right w:val="none" w:sz="0" w:space="0" w:color="auto"/>
          </w:divBdr>
        </w:div>
        <w:div w:id="784151885">
          <w:marLeft w:val="1426"/>
          <w:marRight w:val="0"/>
          <w:marTop w:val="0"/>
          <w:marBottom w:val="0"/>
          <w:divBdr>
            <w:top w:val="none" w:sz="0" w:space="0" w:color="auto"/>
            <w:left w:val="none" w:sz="0" w:space="0" w:color="auto"/>
            <w:bottom w:val="none" w:sz="0" w:space="0" w:color="auto"/>
            <w:right w:val="none" w:sz="0" w:space="0" w:color="auto"/>
          </w:divBdr>
        </w:div>
        <w:div w:id="1011444559">
          <w:marLeft w:val="1426"/>
          <w:marRight w:val="0"/>
          <w:marTop w:val="0"/>
          <w:marBottom w:val="0"/>
          <w:divBdr>
            <w:top w:val="none" w:sz="0" w:space="0" w:color="auto"/>
            <w:left w:val="none" w:sz="0" w:space="0" w:color="auto"/>
            <w:bottom w:val="none" w:sz="0" w:space="0" w:color="auto"/>
            <w:right w:val="none" w:sz="0" w:space="0" w:color="auto"/>
          </w:divBdr>
        </w:div>
        <w:div w:id="1123311232">
          <w:marLeft w:val="1426"/>
          <w:marRight w:val="0"/>
          <w:marTop w:val="0"/>
          <w:marBottom w:val="0"/>
          <w:divBdr>
            <w:top w:val="none" w:sz="0" w:space="0" w:color="auto"/>
            <w:left w:val="none" w:sz="0" w:space="0" w:color="auto"/>
            <w:bottom w:val="none" w:sz="0" w:space="0" w:color="auto"/>
            <w:right w:val="none" w:sz="0" w:space="0" w:color="auto"/>
          </w:divBdr>
        </w:div>
        <w:div w:id="1129864283">
          <w:marLeft w:val="1195"/>
          <w:marRight w:val="0"/>
          <w:marTop w:val="0"/>
          <w:marBottom w:val="0"/>
          <w:divBdr>
            <w:top w:val="none" w:sz="0" w:space="0" w:color="auto"/>
            <w:left w:val="none" w:sz="0" w:space="0" w:color="auto"/>
            <w:bottom w:val="none" w:sz="0" w:space="0" w:color="auto"/>
            <w:right w:val="none" w:sz="0" w:space="0" w:color="auto"/>
          </w:divBdr>
        </w:div>
        <w:div w:id="1199929133">
          <w:marLeft w:val="1426"/>
          <w:marRight w:val="0"/>
          <w:marTop w:val="0"/>
          <w:marBottom w:val="0"/>
          <w:divBdr>
            <w:top w:val="none" w:sz="0" w:space="0" w:color="auto"/>
            <w:left w:val="none" w:sz="0" w:space="0" w:color="auto"/>
            <w:bottom w:val="none" w:sz="0" w:space="0" w:color="auto"/>
            <w:right w:val="none" w:sz="0" w:space="0" w:color="auto"/>
          </w:divBdr>
        </w:div>
        <w:div w:id="1293050587">
          <w:marLeft w:val="1195"/>
          <w:marRight w:val="0"/>
          <w:marTop w:val="0"/>
          <w:marBottom w:val="0"/>
          <w:divBdr>
            <w:top w:val="none" w:sz="0" w:space="0" w:color="auto"/>
            <w:left w:val="none" w:sz="0" w:space="0" w:color="auto"/>
            <w:bottom w:val="none" w:sz="0" w:space="0" w:color="auto"/>
            <w:right w:val="none" w:sz="0" w:space="0" w:color="auto"/>
          </w:divBdr>
        </w:div>
        <w:div w:id="1420324830">
          <w:marLeft w:val="1426"/>
          <w:marRight w:val="0"/>
          <w:marTop w:val="0"/>
          <w:marBottom w:val="0"/>
          <w:divBdr>
            <w:top w:val="none" w:sz="0" w:space="0" w:color="auto"/>
            <w:left w:val="none" w:sz="0" w:space="0" w:color="auto"/>
            <w:bottom w:val="none" w:sz="0" w:space="0" w:color="auto"/>
            <w:right w:val="none" w:sz="0" w:space="0" w:color="auto"/>
          </w:divBdr>
        </w:div>
        <w:div w:id="1552300941">
          <w:marLeft w:val="1426"/>
          <w:marRight w:val="0"/>
          <w:marTop w:val="0"/>
          <w:marBottom w:val="0"/>
          <w:divBdr>
            <w:top w:val="none" w:sz="0" w:space="0" w:color="auto"/>
            <w:left w:val="none" w:sz="0" w:space="0" w:color="auto"/>
            <w:bottom w:val="none" w:sz="0" w:space="0" w:color="auto"/>
            <w:right w:val="none" w:sz="0" w:space="0" w:color="auto"/>
          </w:divBdr>
        </w:div>
        <w:div w:id="1670020177">
          <w:marLeft w:val="1426"/>
          <w:marRight w:val="0"/>
          <w:marTop w:val="0"/>
          <w:marBottom w:val="0"/>
          <w:divBdr>
            <w:top w:val="none" w:sz="0" w:space="0" w:color="auto"/>
            <w:left w:val="none" w:sz="0" w:space="0" w:color="auto"/>
            <w:bottom w:val="none" w:sz="0" w:space="0" w:color="auto"/>
            <w:right w:val="none" w:sz="0" w:space="0" w:color="auto"/>
          </w:divBdr>
        </w:div>
        <w:div w:id="1847164586">
          <w:marLeft w:val="1426"/>
          <w:marRight w:val="0"/>
          <w:marTop w:val="0"/>
          <w:marBottom w:val="0"/>
          <w:divBdr>
            <w:top w:val="none" w:sz="0" w:space="0" w:color="auto"/>
            <w:left w:val="none" w:sz="0" w:space="0" w:color="auto"/>
            <w:bottom w:val="none" w:sz="0" w:space="0" w:color="auto"/>
            <w:right w:val="none" w:sz="0" w:space="0" w:color="auto"/>
          </w:divBdr>
        </w:div>
        <w:div w:id="1920406409">
          <w:marLeft w:val="1195"/>
          <w:marRight w:val="0"/>
          <w:marTop w:val="0"/>
          <w:marBottom w:val="0"/>
          <w:divBdr>
            <w:top w:val="none" w:sz="0" w:space="0" w:color="auto"/>
            <w:left w:val="none" w:sz="0" w:space="0" w:color="auto"/>
            <w:bottom w:val="none" w:sz="0" w:space="0" w:color="auto"/>
            <w:right w:val="none" w:sz="0" w:space="0" w:color="auto"/>
          </w:divBdr>
        </w:div>
        <w:div w:id="2097824074">
          <w:marLeft w:val="1426"/>
          <w:marRight w:val="0"/>
          <w:marTop w:val="0"/>
          <w:marBottom w:val="0"/>
          <w:divBdr>
            <w:top w:val="none" w:sz="0" w:space="0" w:color="auto"/>
            <w:left w:val="none" w:sz="0" w:space="0" w:color="auto"/>
            <w:bottom w:val="none" w:sz="0" w:space="0" w:color="auto"/>
            <w:right w:val="none" w:sz="0" w:space="0" w:color="auto"/>
          </w:divBdr>
        </w:div>
      </w:divsChild>
    </w:div>
    <w:div w:id="1038893885">
      <w:bodyDiv w:val="1"/>
      <w:marLeft w:val="0"/>
      <w:marRight w:val="0"/>
      <w:marTop w:val="0"/>
      <w:marBottom w:val="0"/>
      <w:divBdr>
        <w:top w:val="none" w:sz="0" w:space="0" w:color="auto"/>
        <w:left w:val="none" w:sz="0" w:space="0" w:color="auto"/>
        <w:bottom w:val="none" w:sz="0" w:space="0" w:color="auto"/>
        <w:right w:val="none" w:sz="0" w:space="0" w:color="auto"/>
      </w:divBdr>
    </w:div>
    <w:div w:id="1062370079">
      <w:bodyDiv w:val="1"/>
      <w:marLeft w:val="0"/>
      <w:marRight w:val="0"/>
      <w:marTop w:val="0"/>
      <w:marBottom w:val="0"/>
      <w:divBdr>
        <w:top w:val="none" w:sz="0" w:space="0" w:color="auto"/>
        <w:left w:val="none" w:sz="0" w:space="0" w:color="auto"/>
        <w:bottom w:val="none" w:sz="0" w:space="0" w:color="auto"/>
        <w:right w:val="none" w:sz="0" w:space="0" w:color="auto"/>
      </w:divBdr>
      <w:divsChild>
        <w:div w:id="622616165">
          <w:marLeft w:val="1685"/>
          <w:marRight w:val="0"/>
          <w:marTop w:val="0"/>
          <w:marBottom w:val="0"/>
          <w:divBdr>
            <w:top w:val="none" w:sz="0" w:space="0" w:color="auto"/>
            <w:left w:val="none" w:sz="0" w:space="0" w:color="auto"/>
            <w:bottom w:val="none" w:sz="0" w:space="0" w:color="auto"/>
            <w:right w:val="none" w:sz="0" w:space="0" w:color="auto"/>
          </w:divBdr>
        </w:div>
        <w:div w:id="739640651">
          <w:marLeft w:val="1685"/>
          <w:marRight w:val="0"/>
          <w:marTop w:val="60"/>
          <w:marBottom w:val="0"/>
          <w:divBdr>
            <w:top w:val="none" w:sz="0" w:space="0" w:color="auto"/>
            <w:left w:val="none" w:sz="0" w:space="0" w:color="auto"/>
            <w:bottom w:val="none" w:sz="0" w:space="0" w:color="auto"/>
            <w:right w:val="none" w:sz="0" w:space="0" w:color="auto"/>
          </w:divBdr>
        </w:div>
        <w:div w:id="789670742">
          <w:marLeft w:val="1685"/>
          <w:marRight w:val="0"/>
          <w:marTop w:val="0"/>
          <w:marBottom w:val="0"/>
          <w:divBdr>
            <w:top w:val="none" w:sz="0" w:space="0" w:color="auto"/>
            <w:left w:val="none" w:sz="0" w:space="0" w:color="auto"/>
            <w:bottom w:val="none" w:sz="0" w:space="0" w:color="auto"/>
            <w:right w:val="none" w:sz="0" w:space="0" w:color="auto"/>
          </w:divBdr>
        </w:div>
        <w:div w:id="814224177">
          <w:marLeft w:val="850"/>
          <w:marRight w:val="0"/>
          <w:marTop w:val="60"/>
          <w:marBottom w:val="0"/>
          <w:divBdr>
            <w:top w:val="none" w:sz="0" w:space="0" w:color="auto"/>
            <w:left w:val="none" w:sz="0" w:space="0" w:color="auto"/>
            <w:bottom w:val="none" w:sz="0" w:space="0" w:color="auto"/>
            <w:right w:val="none" w:sz="0" w:space="0" w:color="auto"/>
          </w:divBdr>
        </w:div>
        <w:div w:id="843012732">
          <w:marLeft w:val="850"/>
          <w:marRight w:val="0"/>
          <w:marTop w:val="60"/>
          <w:marBottom w:val="0"/>
          <w:divBdr>
            <w:top w:val="none" w:sz="0" w:space="0" w:color="auto"/>
            <w:left w:val="none" w:sz="0" w:space="0" w:color="auto"/>
            <w:bottom w:val="none" w:sz="0" w:space="0" w:color="auto"/>
            <w:right w:val="none" w:sz="0" w:space="0" w:color="auto"/>
          </w:divBdr>
        </w:div>
        <w:div w:id="1068771313">
          <w:marLeft w:val="1685"/>
          <w:marRight w:val="0"/>
          <w:marTop w:val="60"/>
          <w:marBottom w:val="0"/>
          <w:divBdr>
            <w:top w:val="none" w:sz="0" w:space="0" w:color="auto"/>
            <w:left w:val="none" w:sz="0" w:space="0" w:color="auto"/>
            <w:bottom w:val="none" w:sz="0" w:space="0" w:color="auto"/>
            <w:right w:val="none" w:sz="0" w:space="0" w:color="auto"/>
          </w:divBdr>
        </w:div>
        <w:div w:id="1168517361">
          <w:marLeft w:val="1685"/>
          <w:marRight w:val="0"/>
          <w:marTop w:val="0"/>
          <w:marBottom w:val="0"/>
          <w:divBdr>
            <w:top w:val="none" w:sz="0" w:space="0" w:color="auto"/>
            <w:left w:val="none" w:sz="0" w:space="0" w:color="auto"/>
            <w:bottom w:val="none" w:sz="0" w:space="0" w:color="auto"/>
            <w:right w:val="none" w:sz="0" w:space="0" w:color="auto"/>
          </w:divBdr>
        </w:div>
        <w:div w:id="1286422298">
          <w:marLeft w:val="850"/>
          <w:marRight w:val="0"/>
          <w:marTop w:val="60"/>
          <w:marBottom w:val="0"/>
          <w:divBdr>
            <w:top w:val="none" w:sz="0" w:space="0" w:color="auto"/>
            <w:left w:val="none" w:sz="0" w:space="0" w:color="auto"/>
            <w:bottom w:val="none" w:sz="0" w:space="0" w:color="auto"/>
            <w:right w:val="none" w:sz="0" w:space="0" w:color="auto"/>
          </w:divBdr>
        </w:div>
        <w:div w:id="1868718157">
          <w:marLeft w:val="1685"/>
          <w:marRight w:val="0"/>
          <w:marTop w:val="60"/>
          <w:marBottom w:val="0"/>
          <w:divBdr>
            <w:top w:val="none" w:sz="0" w:space="0" w:color="auto"/>
            <w:left w:val="none" w:sz="0" w:space="0" w:color="auto"/>
            <w:bottom w:val="none" w:sz="0" w:space="0" w:color="auto"/>
            <w:right w:val="none" w:sz="0" w:space="0" w:color="auto"/>
          </w:divBdr>
        </w:div>
        <w:div w:id="1922568305">
          <w:marLeft w:val="1685"/>
          <w:marRight w:val="0"/>
          <w:marTop w:val="60"/>
          <w:marBottom w:val="0"/>
          <w:divBdr>
            <w:top w:val="none" w:sz="0" w:space="0" w:color="auto"/>
            <w:left w:val="none" w:sz="0" w:space="0" w:color="auto"/>
            <w:bottom w:val="none" w:sz="0" w:space="0" w:color="auto"/>
            <w:right w:val="none" w:sz="0" w:space="0" w:color="auto"/>
          </w:divBdr>
        </w:div>
        <w:div w:id="1923484524">
          <w:marLeft w:val="850"/>
          <w:marRight w:val="0"/>
          <w:marTop w:val="60"/>
          <w:marBottom w:val="0"/>
          <w:divBdr>
            <w:top w:val="none" w:sz="0" w:space="0" w:color="auto"/>
            <w:left w:val="none" w:sz="0" w:space="0" w:color="auto"/>
            <w:bottom w:val="none" w:sz="0" w:space="0" w:color="auto"/>
            <w:right w:val="none" w:sz="0" w:space="0" w:color="auto"/>
          </w:divBdr>
        </w:div>
        <w:div w:id="1944528614">
          <w:marLeft w:val="850"/>
          <w:marRight w:val="0"/>
          <w:marTop w:val="60"/>
          <w:marBottom w:val="0"/>
          <w:divBdr>
            <w:top w:val="none" w:sz="0" w:space="0" w:color="auto"/>
            <w:left w:val="none" w:sz="0" w:space="0" w:color="auto"/>
            <w:bottom w:val="none" w:sz="0" w:space="0" w:color="auto"/>
            <w:right w:val="none" w:sz="0" w:space="0" w:color="auto"/>
          </w:divBdr>
        </w:div>
      </w:divsChild>
    </w:div>
    <w:div w:id="1071849224">
      <w:bodyDiv w:val="1"/>
      <w:marLeft w:val="0"/>
      <w:marRight w:val="0"/>
      <w:marTop w:val="0"/>
      <w:marBottom w:val="0"/>
      <w:divBdr>
        <w:top w:val="none" w:sz="0" w:space="0" w:color="auto"/>
        <w:left w:val="none" w:sz="0" w:space="0" w:color="auto"/>
        <w:bottom w:val="none" w:sz="0" w:space="0" w:color="auto"/>
        <w:right w:val="none" w:sz="0" w:space="0" w:color="auto"/>
      </w:divBdr>
      <w:divsChild>
        <w:div w:id="678237966">
          <w:marLeft w:val="850"/>
          <w:marRight w:val="0"/>
          <w:marTop w:val="60"/>
          <w:marBottom w:val="0"/>
          <w:divBdr>
            <w:top w:val="none" w:sz="0" w:space="0" w:color="auto"/>
            <w:left w:val="none" w:sz="0" w:space="0" w:color="auto"/>
            <w:bottom w:val="none" w:sz="0" w:space="0" w:color="auto"/>
            <w:right w:val="none" w:sz="0" w:space="0" w:color="auto"/>
          </w:divBdr>
        </w:div>
        <w:div w:id="819738321">
          <w:marLeft w:val="850"/>
          <w:marRight w:val="0"/>
          <w:marTop w:val="60"/>
          <w:marBottom w:val="0"/>
          <w:divBdr>
            <w:top w:val="none" w:sz="0" w:space="0" w:color="auto"/>
            <w:left w:val="none" w:sz="0" w:space="0" w:color="auto"/>
            <w:bottom w:val="none" w:sz="0" w:space="0" w:color="auto"/>
            <w:right w:val="none" w:sz="0" w:space="0" w:color="auto"/>
          </w:divBdr>
        </w:div>
        <w:div w:id="1138375506">
          <w:marLeft w:val="850"/>
          <w:marRight w:val="0"/>
          <w:marTop w:val="60"/>
          <w:marBottom w:val="0"/>
          <w:divBdr>
            <w:top w:val="none" w:sz="0" w:space="0" w:color="auto"/>
            <w:left w:val="none" w:sz="0" w:space="0" w:color="auto"/>
            <w:bottom w:val="none" w:sz="0" w:space="0" w:color="auto"/>
            <w:right w:val="none" w:sz="0" w:space="0" w:color="auto"/>
          </w:divBdr>
        </w:div>
        <w:div w:id="1294557749">
          <w:marLeft w:val="850"/>
          <w:marRight w:val="0"/>
          <w:marTop w:val="60"/>
          <w:marBottom w:val="0"/>
          <w:divBdr>
            <w:top w:val="none" w:sz="0" w:space="0" w:color="auto"/>
            <w:left w:val="none" w:sz="0" w:space="0" w:color="auto"/>
            <w:bottom w:val="none" w:sz="0" w:space="0" w:color="auto"/>
            <w:right w:val="none" w:sz="0" w:space="0" w:color="auto"/>
          </w:divBdr>
        </w:div>
        <w:div w:id="1373649389">
          <w:marLeft w:val="850"/>
          <w:marRight w:val="0"/>
          <w:marTop w:val="60"/>
          <w:marBottom w:val="0"/>
          <w:divBdr>
            <w:top w:val="none" w:sz="0" w:space="0" w:color="auto"/>
            <w:left w:val="none" w:sz="0" w:space="0" w:color="auto"/>
            <w:bottom w:val="none" w:sz="0" w:space="0" w:color="auto"/>
            <w:right w:val="none" w:sz="0" w:space="0" w:color="auto"/>
          </w:divBdr>
        </w:div>
        <w:div w:id="1441340232">
          <w:marLeft w:val="850"/>
          <w:marRight w:val="0"/>
          <w:marTop w:val="60"/>
          <w:marBottom w:val="0"/>
          <w:divBdr>
            <w:top w:val="none" w:sz="0" w:space="0" w:color="auto"/>
            <w:left w:val="none" w:sz="0" w:space="0" w:color="auto"/>
            <w:bottom w:val="none" w:sz="0" w:space="0" w:color="auto"/>
            <w:right w:val="none" w:sz="0" w:space="0" w:color="auto"/>
          </w:divBdr>
        </w:div>
        <w:div w:id="1482229619">
          <w:marLeft w:val="850"/>
          <w:marRight w:val="0"/>
          <w:marTop w:val="60"/>
          <w:marBottom w:val="0"/>
          <w:divBdr>
            <w:top w:val="none" w:sz="0" w:space="0" w:color="auto"/>
            <w:left w:val="none" w:sz="0" w:space="0" w:color="auto"/>
            <w:bottom w:val="none" w:sz="0" w:space="0" w:color="auto"/>
            <w:right w:val="none" w:sz="0" w:space="0" w:color="auto"/>
          </w:divBdr>
        </w:div>
      </w:divsChild>
    </w:div>
    <w:div w:id="1095637379">
      <w:bodyDiv w:val="1"/>
      <w:marLeft w:val="0"/>
      <w:marRight w:val="0"/>
      <w:marTop w:val="0"/>
      <w:marBottom w:val="0"/>
      <w:divBdr>
        <w:top w:val="none" w:sz="0" w:space="0" w:color="auto"/>
        <w:left w:val="none" w:sz="0" w:space="0" w:color="auto"/>
        <w:bottom w:val="none" w:sz="0" w:space="0" w:color="auto"/>
        <w:right w:val="none" w:sz="0" w:space="0" w:color="auto"/>
      </w:divBdr>
    </w:div>
    <w:div w:id="1097679799">
      <w:bodyDiv w:val="1"/>
      <w:marLeft w:val="0"/>
      <w:marRight w:val="0"/>
      <w:marTop w:val="0"/>
      <w:marBottom w:val="0"/>
      <w:divBdr>
        <w:top w:val="none" w:sz="0" w:space="0" w:color="auto"/>
        <w:left w:val="none" w:sz="0" w:space="0" w:color="auto"/>
        <w:bottom w:val="none" w:sz="0" w:space="0" w:color="auto"/>
        <w:right w:val="none" w:sz="0" w:space="0" w:color="auto"/>
      </w:divBdr>
      <w:divsChild>
        <w:div w:id="74717160">
          <w:marLeft w:val="1123"/>
          <w:marRight w:val="0"/>
          <w:marTop w:val="60"/>
          <w:marBottom w:val="0"/>
          <w:divBdr>
            <w:top w:val="none" w:sz="0" w:space="0" w:color="auto"/>
            <w:left w:val="none" w:sz="0" w:space="0" w:color="auto"/>
            <w:bottom w:val="none" w:sz="0" w:space="0" w:color="auto"/>
            <w:right w:val="none" w:sz="0" w:space="0" w:color="auto"/>
          </w:divBdr>
        </w:div>
        <w:div w:id="163131347">
          <w:marLeft w:val="1123"/>
          <w:marRight w:val="0"/>
          <w:marTop w:val="60"/>
          <w:marBottom w:val="0"/>
          <w:divBdr>
            <w:top w:val="none" w:sz="0" w:space="0" w:color="auto"/>
            <w:left w:val="none" w:sz="0" w:space="0" w:color="auto"/>
            <w:bottom w:val="none" w:sz="0" w:space="0" w:color="auto"/>
            <w:right w:val="none" w:sz="0" w:space="0" w:color="auto"/>
          </w:divBdr>
        </w:div>
        <w:div w:id="192889576">
          <w:marLeft w:val="1123"/>
          <w:marRight w:val="0"/>
          <w:marTop w:val="60"/>
          <w:marBottom w:val="0"/>
          <w:divBdr>
            <w:top w:val="none" w:sz="0" w:space="0" w:color="auto"/>
            <w:left w:val="none" w:sz="0" w:space="0" w:color="auto"/>
            <w:bottom w:val="none" w:sz="0" w:space="0" w:color="auto"/>
            <w:right w:val="none" w:sz="0" w:space="0" w:color="auto"/>
          </w:divBdr>
        </w:div>
        <w:div w:id="405229804">
          <w:marLeft w:val="1123"/>
          <w:marRight w:val="0"/>
          <w:marTop w:val="60"/>
          <w:marBottom w:val="0"/>
          <w:divBdr>
            <w:top w:val="none" w:sz="0" w:space="0" w:color="auto"/>
            <w:left w:val="none" w:sz="0" w:space="0" w:color="auto"/>
            <w:bottom w:val="none" w:sz="0" w:space="0" w:color="auto"/>
            <w:right w:val="none" w:sz="0" w:space="0" w:color="auto"/>
          </w:divBdr>
        </w:div>
        <w:div w:id="639531826">
          <w:marLeft w:val="1123"/>
          <w:marRight w:val="0"/>
          <w:marTop w:val="60"/>
          <w:marBottom w:val="0"/>
          <w:divBdr>
            <w:top w:val="none" w:sz="0" w:space="0" w:color="auto"/>
            <w:left w:val="none" w:sz="0" w:space="0" w:color="auto"/>
            <w:bottom w:val="none" w:sz="0" w:space="0" w:color="auto"/>
            <w:right w:val="none" w:sz="0" w:space="0" w:color="auto"/>
          </w:divBdr>
        </w:div>
        <w:div w:id="772827438">
          <w:marLeft w:val="547"/>
          <w:marRight w:val="0"/>
          <w:marTop w:val="160"/>
          <w:marBottom w:val="0"/>
          <w:divBdr>
            <w:top w:val="none" w:sz="0" w:space="0" w:color="auto"/>
            <w:left w:val="none" w:sz="0" w:space="0" w:color="auto"/>
            <w:bottom w:val="none" w:sz="0" w:space="0" w:color="auto"/>
            <w:right w:val="none" w:sz="0" w:space="0" w:color="auto"/>
          </w:divBdr>
        </w:div>
        <w:div w:id="777724698">
          <w:marLeft w:val="1123"/>
          <w:marRight w:val="0"/>
          <w:marTop w:val="60"/>
          <w:marBottom w:val="0"/>
          <w:divBdr>
            <w:top w:val="none" w:sz="0" w:space="0" w:color="auto"/>
            <w:left w:val="none" w:sz="0" w:space="0" w:color="auto"/>
            <w:bottom w:val="none" w:sz="0" w:space="0" w:color="auto"/>
            <w:right w:val="none" w:sz="0" w:space="0" w:color="auto"/>
          </w:divBdr>
        </w:div>
        <w:div w:id="797337717">
          <w:marLeft w:val="547"/>
          <w:marRight w:val="0"/>
          <w:marTop w:val="400"/>
          <w:marBottom w:val="0"/>
          <w:divBdr>
            <w:top w:val="none" w:sz="0" w:space="0" w:color="auto"/>
            <w:left w:val="none" w:sz="0" w:space="0" w:color="auto"/>
            <w:bottom w:val="none" w:sz="0" w:space="0" w:color="auto"/>
            <w:right w:val="none" w:sz="0" w:space="0" w:color="auto"/>
          </w:divBdr>
        </w:div>
        <w:div w:id="1254625856">
          <w:marLeft w:val="1123"/>
          <w:marRight w:val="0"/>
          <w:marTop w:val="60"/>
          <w:marBottom w:val="0"/>
          <w:divBdr>
            <w:top w:val="none" w:sz="0" w:space="0" w:color="auto"/>
            <w:left w:val="none" w:sz="0" w:space="0" w:color="auto"/>
            <w:bottom w:val="none" w:sz="0" w:space="0" w:color="auto"/>
            <w:right w:val="none" w:sz="0" w:space="0" w:color="auto"/>
          </w:divBdr>
        </w:div>
        <w:div w:id="1867910269">
          <w:marLeft w:val="1123"/>
          <w:marRight w:val="0"/>
          <w:marTop w:val="60"/>
          <w:marBottom w:val="0"/>
          <w:divBdr>
            <w:top w:val="none" w:sz="0" w:space="0" w:color="auto"/>
            <w:left w:val="none" w:sz="0" w:space="0" w:color="auto"/>
            <w:bottom w:val="none" w:sz="0" w:space="0" w:color="auto"/>
            <w:right w:val="none" w:sz="0" w:space="0" w:color="auto"/>
          </w:divBdr>
        </w:div>
      </w:divsChild>
    </w:div>
    <w:div w:id="1212840418">
      <w:bodyDiv w:val="1"/>
      <w:marLeft w:val="0"/>
      <w:marRight w:val="0"/>
      <w:marTop w:val="0"/>
      <w:marBottom w:val="0"/>
      <w:divBdr>
        <w:top w:val="none" w:sz="0" w:space="0" w:color="auto"/>
        <w:left w:val="none" w:sz="0" w:space="0" w:color="auto"/>
        <w:bottom w:val="none" w:sz="0" w:space="0" w:color="auto"/>
        <w:right w:val="none" w:sz="0" w:space="0" w:color="auto"/>
      </w:divBdr>
    </w:div>
    <w:div w:id="1289972962">
      <w:bodyDiv w:val="1"/>
      <w:marLeft w:val="0"/>
      <w:marRight w:val="0"/>
      <w:marTop w:val="0"/>
      <w:marBottom w:val="0"/>
      <w:divBdr>
        <w:top w:val="none" w:sz="0" w:space="0" w:color="auto"/>
        <w:left w:val="none" w:sz="0" w:space="0" w:color="auto"/>
        <w:bottom w:val="none" w:sz="0" w:space="0" w:color="auto"/>
        <w:right w:val="none" w:sz="0" w:space="0" w:color="auto"/>
      </w:divBdr>
    </w:div>
    <w:div w:id="1294020073">
      <w:bodyDiv w:val="1"/>
      <w:marLeft w:val="0"/>
      <w:marRight w:val="0"/>
      <w:marTop w:val="0"/>
      <w:marBottom w:val="0"/>
      <w:divBdr>
        <w:top w:val="none" w:sz="0" w:space="0" w:color="auto"/>
        <w:left w:val="none" w:sz="0" w:space="0" w:color="auto"/>
        <w:bottom w:val="none" w:sz="0" w:space="0" w:color="auto"/>
        <w:right w:val="none" w:sz="0" w:space="0" w:color="auto"/>
      </w:divBdr>
      <w:divsChild>
        <w:div w:id="38407518">
          <w:marLeft w:val="0"/>
          <w:marRight w:val="0"/>
          <w:marTop w:val="0"/>
          <w:marBottom w:val="150"/>
          <w:divBdr>
            <w:top w:val="none" w:sz="0" w:space="0" w:color="auto"/>
            <w:left w:val="none" w:sz="0" w:space="0" w:color="auto"/>
            <w:bottom w:val="none" w:sz="0" w:space="0" w:color="auto"/>
            <w:right w:val="none" w:sz="0" w:space="0" w:color="auto"/>
          </w:divBdr>
          <w:divsChild>
            <w:div w:id="1206870493">
              <w:marLeft w:val="0"/>
              <w:marRight w:val="0"/>
              <w:marTop w:val="0"/>
              <w:marBottom w:val="0"/>
              <w:divBdr>
                <w:top w:val="none" w:sz="0" w:space="0" w:color="auto"/>
                <w:left w:val="none" w:sz="0" w:space="0" w:color="auto"/>
                <w:bottom w:val="none" w:sz="0" w:space="0" w:color="auto"/>
                <w:right w:val="none" w:sz="0" w:space="0" w:color="auto"/>
              </w:divBdr>
              <w:divsChild>
                <w:div w:id="2136480962">
                  <w:marLeft w:val="0"/>
                  <w:marRight w:val="0"/>
                  <w:marTop w:val="150"/>
                  <w:marBottom w:val="0"/>
                  <w:divBdr>
                    <w:top w:val="none" w:sz="0" w:space="0" w:color="auto"/>
                    <w:left w:val="none" w:sz="0" w:space="0" w:color="auto"/>
                    <w:bottom w:val="none" w:sz="0" w:space="0" w:color="auto"/>
                    <w:right w:val="none" w:sz="0" w:space="0" w:color="auto"/>
                  </w:divBdr>
                  <w:divsChild>
                    <w:div w:id="15538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72584">
      <w:bodyDiv w:val="1"/>
      <w:marLeft w:val="0"/>
      <w:marRight w:val="0"/>
      <w:marTop w:val="0"/>
      <w:marBottom w:val="0"/>
      <w:divBdr>
        <w:top w:val="none" w:sz="0" w:space="0" w:color="auto"/>
        <w:left w:val="none" w:sz="0" w:space="0" w:color="auto"/>
        <w:bottom w:val="none" w:sz="0" w:space="0" w:color="auto"/>
        <w:right w:val="none" w:sz="0" w:space="0" w:color="auto"/>
      </w:divBdr>
      <w:divsChild>
        <w:div w:id="42795834">
          <w:marLeft w:val="547"/>
          <w:marRight w:val="0"/>
          <w:marTop w:val="160"/>
          <w:marBottom w:val="0"/>
          <w:divBdr>
            <w:top w:val="none" w:sz="0" w:space="0" w:color="auto"/>
            <w:left w:val="none" w:sz="0" w:space="0" w:color="auto"/>
            <w:bottom w:val="none" w:sz="0" w:space="0" w:color="auto"/>
            <w:right w:val="none" w:sz="0" w:space="0" w:color="auto"/>
          </w:divBdr>
        </w:div>
        <w:div w:id="81806333">
          <w:marLeft w:val="547"/>
          <w:marRight w:val="0"/>
          <w:marTop w:val="160"/>
          <w:marBottom w:val="0"/>
          <w:divBdr>
            <w:top w:val="none" w:sz="0" w:space="0" w:color="auto"/>
            <w:left w:val="none" w:sz="0" w:space="0" w:color="auto"/>
            <w:bottom w:val="none" w:sz="0" w:space="0" w:color="auto"/>
            <w:right w:val="none" w:sz="0" w:space="0" w:color="auto"/>
          </w:divBdr>
        </w:div>
        <w:div w:id="211889124">
          <w:marLeft w:val="1123"/>
          <w:marRight w:val="0"/>
          <w:marTop w:val="60"/>
          <w:marBottom w:val="0"/>
          <w:divBdr>
            <w:top w:val="none" w:sz="0" w:space="0" w:color="auto"/>
            <w:left w:val="none" w:sz="0" w:space="0" w:color="auto"/>
            <w:bottom w:val="none" w:sz="0" w:space="0" w:color="auto"/>
            <w:right w:val="none" w:sz="0" w:space="0" w:color="auto"/>
          </w:divBdr>
        </w:div>
        <w:div w:id="694888700">
          <w:marLeft w:val="547"/>
          <w:marRight w:val="0"/>
          <w:marTop w:val="160"/>
          <w:marBottom w:val="0"/>
          <w:divBdr>
            <w:top w:val="none" w:sz="0" w:space="0" w:color="auto"/>
            <w:left w:val="none" w:sz="0" w:space="0" w:color="auto"/>
            <w:bottom w:val="none" w:sz="0" w:space="0" w:color="auto"/>
            <w:right w:val="none" w:sz="0" w:space="0" w:color="auto"/>
          </w:divBdr>
        </w:div>
        <w:div w:id="1363244493">
          <w:marLeft w:val="1123"/>
          <w:marRight w:val="0"/>
          <w:marTop w:val="60"/>
          <w:marBottom w:val="0"/>
          <w:divBdr>
            <w:top w:val="none" w:sz="0" w:space="0" w:color="auto"/>
            <w:left w:val="none" w:sz="0" w:space="0" w:color="auto"/>
            <w:bottom w:val="none" w:sz="0" w:space="0" w:color="auto"/>
            <w:right w:val="none" w:sz="0" w:space="0" w:color="auto"/>
          </w:divBdr>
        </w:div>
        <w:div w:id="2014869353">
          <w:marLeft w:val="1123"/>
          <w:marRight w:val="0"/>
          <w:marTop w:val="60"/>
          <w:marBottom w:val="0"/>
          <w:divBdr>
            <w:top w:val="none" w:sz="0" w:space="0" w:color="auto"/>
            <w:left w:val="none" w:sz="0" w:space="0" w:color="auto"/>
            <w:bottom w:val="none" w:sz="0" w:space="0" w:color="auto"/>
            <w:right w:val="none" w:sz="0" w:space="0" w:color="auto"/>
          </w:divBdr>
        </w:div>
        <w:div w:id="2128549563">
          <w:marLeft w:val="547"/>
          <w:marRight w:val="0"/>
          <w:marTop w:val="160"/>
          <w:marBottom w:val="0"/>
          <w:divBdr>
            <w:top w:val="none" w:sz="0" w:space="0" w:color="auto"/>
            <w:left w:val="none" w:sz="0" w:space="0" w:color="auto"/>
            <w:bottom w:val="none" w:sz="0" w:space="0" w:color="auto"/>
            <w:right w:val="none" w:sz="0" w:space="0" w:color="auto"/>
          </w:divBdr>
        </w:div>
      </w:divsChild>
    </w:div>
    <w:div w:id="1333877925">
      <w:bodyDiv w:val="1"/>
      <w:marLeft w:val="0"/>
      <w:marRight w:val="0"/>
      <w:marTop w:val="0"/>
      <w:marBottom w:val="0"/>
      <w:divBdr>
        <w:top w:val="none" w:sz="0" w:space="0" w:color="auto"/>
        <w:left w:val="none" w:sz="0" w:space="0" w:color="auto"/>
        <w:bottom w:val="none" w:sz="0" w:space="0" w:color="auto"/>
        <w:right w:val="none" w:sz="0" w:space="0" w:color="auto"/>
      </w:divBdr>
    </w:div>
    <w:div w:id="1364332348">
      <w:bodyDiv w:val="1"/>
      <w:marLeft w:val="0"/>
      <w:marRight w:val="0"/>
      <w:marTop w:val="0"/>
      <w:marBottom w:val="0"/>
      <w:divBdr>
        <w:top w:val="none" w:sz="0" w:space="0" w:color="auto"/>
        <w:left w:val="none" w:sz="0" w:space="0" w:color="auto"/>
        <w:bottom w:val="none" w:sz="0" w:space="0" w:color="auto"/>
        <w:right w:val="none" w:sz="0" w:space="0" w:color="auto"/>
      </w:divBdr>
    </w:div>
    <w:div w:id="1382750490">
      <w:bodyDiv w:val="1"/>
      <w:marLeft w:val="0"/>
      <w:marRight w:val="0"/>
      <w:marTop w:val="0"/>
      <w:marBottom w:val="0"/>
      <w:divBdr>
        <w:top w:val="none" w:sz="0" w:space="0" w:color="auto"/>
        <w:left w:val="none" w:sz="0" w:space="0" w:color="auto"/>
        <w:bottom w:val="none" w:sz="0" w:space="0" w:color="auto"/>
        <w:right w:val="none" w:sz="0" w:space="0" w:color="auto"/>
      </w:divBdr>
    </w:div>
    <w:div w:id="1417096261">
      <w:bodyDiv w:val="1"/>
      <w:marLeft w:val="0"/>
      <w:marRight w:val="0"/>
      <w:marTop w:val="0"/>
      <w:marBottom w:val="0"/>
      <w:divBdr>
        <w:top w:val="none" w:sz="0" w:space="0" w:color="auto"/>
        <w:left w:val="none" w:sz="0" w:space="0" w:color="auto"/>
        <w:bottom w:val="none" w:sz="0" w:space="0" w:color="auto"/>
        <w:right w:val="none" w:sz="0" w:space="0" w:color="auto"/>
      </w:divBdr>
    </w:div>
    <w:div w:id="1424566248">
      <w:bodyDiv w:val="1"/>
      <w:marLeft w:val="0"/>
      <w:marRight w:val="0"/>
      <w:marTop w:val="0"/>
      <w:marBottom w:val="0"/>
      <w:divBdr>
        <w:top w:val="none" w:sz="0" w:space="0" w:color="auto"/>
        <w:left w:val="none" w:sz="0" w:space="0" w:color="auto"/>
        <w:bottom w:val="none" w:sz="0" w:space="0" w:color="auto"/>
        <w:right w:val="none" w:sz="0" w:space="0" w:color="auto"/>
      </w:divBdr>
      <w:divsChild>
        <w:div w:id="495920621">
          <w:marLeft w:val="1080"/>
          <w:marRight w:val="0"/>
          <w:marTop w:val="0"/>
          <w:marBottom w:val="0"/>
          <w:divBdr>
            <w:top w:val="none" w:sz="0" w:space="0" w:color="auto"/>
            <w:left w:val="none" w:sz="0" w:space="0" w:color="auto"/>
            <w:bottom w:val="none" w:sz="0" w:space="0" w:color="auto"/>
            <w:right w:val="none" w:sz="0" w:space="0" w:color="auto"/>
          </w:divBdr>
        </w:div>
        <w:div w:id="826551867">
          <w:marLeft w:val="1080"/>
          <w:marRight w:val="0"/>
          <w:marTop w:val="0"/>
          <w:marBottom w:val="0"/>
          <w:divBdr>
            <w:top w:val="none" w:sz="0" w:space="0" w:color="auto"/>
            <w:left w:val="none" w:sz="0" w:space="0" w:color="auto"/>
            <w:bottom w:val="none" w:sz="0" w:space="0" w:color="auto"/>
            <w:right w:val="none" w:sz="0" w:space="0" w:color="auto"/>
          </w:divBdr>
        </w:div>
        <w:div w:id="890921366">
          <w:marLeft w:val="547"/>
          <w:marRight w:val="0"/>
          <w:marTop w:val="100"/>
          <w:marBottom w:val="0"/>
          <w:divBdr>
            <w:top w:val="none" w:sz="0" w:space="0" w:color="auto"/>
            <w:left w:val="none" w:sz="0" w:space="0" w:color="auto"/>
            <w:bottom w:val="none" w:sz="0" w:space="0" w:color="auto"/>
            <w:right w:val="none" w:sz="0" w:space="0" w:color="auto"/>
          </w:divBdr>
        </w:div>
        <w:div w:id="1337027655">
          <w:marLeft w:val="547"/>
          <w:marRight w:val="0"/>
          <w:marTop w:val="100"/>
          <w:marBottom w:val="0"/>
          <w:divBdr>
            <w:top w:val="none" w:sz="0" w:space="0" w:color="auto"/>
            <w:left w:val="none" w:sz="0" w:space="0" w:color="auto"/>
            <w:bottom w:val="none" w:sz="0" w:space="0" w:color="auto"/>
            <w:right w:val="none" w:sz="0" w:space="0" w:color="auto"/>
          </w:divBdr>
        </w:div>
        <w:div w:id="1577783439">
          <w:marLeft w:val="547"/>
          <w:marRight w:val="0"/>
          <w:marTop w:val="100"/>
          <w:marBottom w:val="0"/>
          <w:divBdr>
            <w:top w:val="none" w:sz="0" w:space="0" w:color="auto"/>
            <w:left w:val="none" w:sz="0" w:space="0" w:color="auto"/>
            <w:bottom w:val="none" w:sz="0" w:space="0" w:color="auto"/>
            <w:right w:val="none" w:sz="0" w:space="0" w:color="auto"/>
          </w:divBdr>
        </w:div>
        <w:div w:id="1607498573">
          <w:marLeft w:val="1080"/>
          <w:marRight w:val="0"/>
          <w:marTop w:val="0"/>
          <w:marBottom w:val="0"/>
          <w:divBdr>
            <w:top w:val="none" w:sz="0" w:space="0" w:color="auto"/>
            <w:left w:val="none" w:sz="0" w:space="0" w:color="auto"/>
            <w:bottom w:val="none" w:sz="0" w:space="0" w:color="auto"/>
            <w:right w:val="none" w:sz="0" w:space="0" w:color="auto"/>
          </w:divBdr>
        </w:div>
        <w:div w:id="1719084411">
          <w:marLeft w:val="547"/>
          <w:marRight w:val="0"/>
          <w:marTop w:val="100"/>
          <w:marBottom w:val="0"/>
          <w:divBdr>
            <w:top w:val="none" w:sz="0" w:space="0" w:color="auto"/>
            <w:left w:val="none" w:sz="0" w:space="0" w:color="auto"/>
            <w:bottom w:val="none" w:sz="0" w:space="0" w:color="auto"/>
            <w:right w:val="none" w:sz="0" w:space="0" w:color="auto"/>
          </w:divBdr>
        </w:div>
        <w:div w:id="1795126536">
          <w:marLeft w:val="547"/>
          <w:marRight w:val="0"/>
          <w:marTop w:val="100"/>
          <w:marBottom w:val="0"/>
          <w:divBdr>
            <w:top w:val="none" w:sz="0" w:space="0" w:color="auto"/>
            <w:left w:val="none" w:sz="0" w:space="0" w:color="auto"/>
            <w:bottom w:val="none" w:sz="0" w:space="0" w:color="auto"/>
            <w:right w:val="none" w:sz="0" w:space="0" w:color="auto"/>
          </w:divBdr>
        </w:div>
        <w:div w:id="2012294490">
          <w:marLeft w:val="547"/>
          <w:marRight w:val="0"/>
          <w:marTop w:val="100"/>
          <w:marBottom w:val="0"/>
          <w:divBdr>
            <w:top w:val="none" w:sz="0" w:space="0" w:color="auto"/>
            <w:left w:val="none" w:sz="0" w:space="0" w:color="auto"/>
            <w:bottom w:val="none" w:sz="0" w:space="0" w:color="auto"/>
            <w:right w:val="none" w:sz="0" w:space="0" w:color="auto"/>
          </w:divBdr>
        </w:div>
      </w:divsChild>
    </w:div>
    <w:div w:id="1485507218">
      <w:bodyDiv w:val="1"/>
      <w:marLeft w:val="0"/>
      <w:marRight w:val="0"/>
      <w:marTop w:val="0"/>
      <w:marBottom w:val="0"/>
      <w:divBdr>
        <w:top w:val="none" w:sz="0" w:space="0" w:color="auto"/>
        <w:left w:val="none" w:sz="0" w:space="0" w:color="auto"/>
        <w:bottom w:val="none" w:sz="0" w:space="0" w:color="auto"/>
        <w:right w:val="none" w:sz="0" w:space="0" w:color="auto"/>
      </w:divBdr>
      <w:divsChild>
        <w:div w:id="198932233">
          <w:marLeft w:val="547"/>
          <w:marRight w:val="0"/>
          <w:marTop w:val="160"/>
          <w:marBottom w:val="0"/>
          <w:divBdr>
            <w:top w:val="none" w:sz="0" w:space="0" w:color="auto"/>
            <w:left w:val="none" w:sz="0" w:space="0" w:color="auto"/>
            <w:bottom w:val="none" w:sz="0" w:space="0" w:color="auto"/>
            <w:right w:val="none" w:sz="0" w:space="0" w:color="auto"/>
          </w:divBdr>
        </w:div>
        <w:div w:id="756244211">
          <w:marLeft w:val="547"/>
          <w:marRight w:val="0"/>
          <w:marTop w:val="160"/>
          <w:marBottom w:val="0"/>
          <w:divBdr>
            <w:top w:val="none" w:sz="0" w:space="0" w:color="auto"/>
            <w:left w:val="none" w:sz="0" w:space="0" w:color="auto"/>
            <w:bottom w:val="none" w:sz="0" w:space="0" w:color="auto"/>
            <w:right w:val="none" w:sz="0" w:space="0" w:color="auto"/>
          </w:divBdr>
        </w:div>
        <w:div w:id="1049232781">
          <w:marLeft w:val="547"/>
          <w:marRight w:val="0"/>
          <w:marTop w:val="160"/>
          <w:marBottom w:val="0"/>
          <w:divBdr>
            <w:top w:val="none" w:sz="0" w:space="0" w:color="auto"/>
            <w:left w:val="none" w:sz="0" w:space="0" w:color="auto"/>
            <w:bottom w:val="none" w:sz="0" w:space="0" w:color="auto"/>
            <w:right w:val="none" w:sz="0" w:space="0" w:color="auto"/>
          </w:divBdr>
        </w:div>
        <w:div w:id="1299410347">
          <w:marLeft w:val="547"/>
          <w:marRight w:val="0"/>
          <w:marTop w:val="160"/>
          <w:marBottom w:val="0"/>
          <w:divBdr>
            <w:top w:val="none" w:sz="0" w:space="0" w:color="auto"/>
            <w:left w:val="none" w:sz="0" w:space="0" w:color="auto"/>
            <w:bottom w:val="none" w:sz="0" w:space="0" w:color="auto"/>
            <w:right w:val="none" w:sz="0" w:space="0" w:color="auto"/>
          </w:divBdr>
        </w:div>
      </w:divsChild>
    </w:div>
    <w:div w:id="1497039847">
      <w:bodyDiv w:val="1"/>
      <w:marLeft w:val="0"/>
      <w:marRight w:val="0"/>
      <w:marTop w:val="0"/>
      <w:marBottom w:val="0"/>
      <w:divBdr>
        <w:top w:val="none" w:sz="0" w:space="0" w:color="auto"/>
        <w:left w:val="none" w:sz="0" w:space="0" w:color="auto"/>
        <w:bottom w:val="none" w:sz="0" w:space="0" w:color="auto"/>
        <w:right w:val="none" w:sz="0" w:space="0" w:color="auto"/>
      </w:divBdr>
      <w:divsChild>
        <w:div w:id="823742785">
          <w:marLeft w:val="547"/>
          <w:marRight w:val="0"/>
          <w:marTop w:val="300"/>
          <w:marBottom w:val="0"/>
          <w:divBdr>
            <w:top w:val="none" w:sz="0" w:space="0" w:color="auto"/>
            <w:left w:val="none" w:sz="0" w:space="0" w:color="auto"/>
            <w:bottom w:val="none" w:sz="0" w:space="0" w:color="auto"/>
            <w:right w:val="none" w:sz="0" w:space="0" w:color="auto"/>
          </w:divBdr>
        </w:div>
        <w:div w:id="1104417361">
          <w:marLeft w:val="547"/>
          <w:marRight w:val="0"/>
          <w:marTop w:val="300"/>
          <w:marBottom w:val="0"/>
          <w:divBdr>
            <w:top w:val="none" w:sz="0" w:space="0" w:color="auto"/>
            <w:left w:val="none" w:sz="0" w:space="0" w:color="auto"/>
            <w:bottom w:val="none" w:sz="0" w:space="0" w:color="auto"/>
            <w:right w:val="none" w:sz="0" w:space="0" w:color="auto"/>
          </w:divBdr>
        </w:div>
        <w:div w:id="1230723604">
          <w:marLeft w:val="547"/>
          <w:marRight w:val="0"/>
          <w:marTop w:val="400"/>
          <w:marBottom w:val="0"/>
          <w:divBdr>
            <w:top w:val="none" w:sz="0" w:space="0" w:color="auto"/>
            <w:left w:val="none" w:sz="0" w:space="0" w:color="auto"/>
            <w:bottom w:val="none" w:sz="0" w:space="0" w:color="auto"/>
            <w:right w:val="none" w:sz="0" w:space="0" w:color="auto"/>
          </w:divBdr>
        </w:div>
        <w:div w:id="1993488808">
          <w:marLeft w:val="547"/>
          <w:marRight w:val="0"/>
          <w:marTop w:val="300"/>
          <w:marBottom w:val="0"/>
          <w:divBdr>
            <w:top w:val="none" w:sz="0" w:space="0" w:color="auto"/>
            <w:left w:val="none" w:sz="0" w:space="0" w:color="auto"/>
            <w:bottom w:val="none" w:sz="0" w:space="0" w:color="auto"/>
            <w:right w:val="none" w:sz="0" w:space="0" w:color="auto"/>
          </w:divBdr>
        </w:div>
        <w:div w:id="2007004321">
          <w:marLeft w:val="547"/>
          <w:marRight w:val="0"/>
          <w:marTop w:val="300"/>
          <w:marBottom w:val="0"/>
          <w:divBdr>
            <w:top w:val="none" w:sz="0" w:space="0" w:color="auto"/>
            <w:left w:val="none" w:sz="0" w:space="0" w:color="auto"/>
            <w:bottom w:val="none" w:sz="0" w:space="0" w:color="auto"/>
            <w:right w:val="none" w:sz="0" w:space="0" w:color="auto"/>
          </w:divBdr>
        </w:div>
      </w:divsChild>
    </w:div>
    <w:div w:id="1534658259">
      <w:bodyDiv w:val="1"/>
      <w:marLeft w:val="0"/>
      <w:marRight w:val="0"/>
      <w:marTop w:val="0"/>
      <w:marBottom w:val="0"/>
      <w:divBdr>
        <w:top w:val="none" w:sz="0" w:space="0" w:color="auto"/>
        <w:left w:val="none" w:sz="0" w:space="0" w:color="auto"/>
        <w:bottom w:val="none" w:sz="0" w:space="0" w:color="auto"/>
        <w:right w:val="none" w:sz="0" w:space="0" w:color="auto"/>
      </w:divBdr>
      <w:divsChild>
        <w:div w:id="94980654">
          <w:marLeft w:val="850"/>
          <w:marRight w:val="0"/>
          <w:marTop w:val="60"/>
          <w:marBottom w:val="0"/>
          <w:divBdr>
            <w:top w:val="none" w:sz="0" w:space="0" w:color="auto"/>
            <w:left w:val="none" w:sz="0" w:space="0" w:color="auto"/>
            <w:bottom w:val="none" w:sz="0" w:space="0" w:color="auto"/>
            <w:right w:val="none" w:sz="0" w:space="0" w:color="auto"/>
          </w:divBdr>
        </w:div>
        <w:div w:id="494490036">
          <w:marLeft w:val="1426"/>
          <w:marRight w:val="0"/>
          <w:marTop w:val="120"/>
          <w:marBottom w:val="0"/>
          <w:divBdr>
            <w:top w:val="none" w:sz="0" w:space="0" w:color="auto"/>
            <w:left w:val="none" w:sz="0" w:space="0" w:color="auto"/>
            <w:bottom w:val="none" w:sz="0" w:space="0" w:color="auto"/>
            <w:right w:val="none" w:sz="0" w:space="0" w:color="auto"/>
          </w:divBdr>
        </w:div>
        <w:div w:id="498692056">
          <w:marLeft w:val="2146"/>
          <w:marRight w:val="0"/>
          <w:marTop w:val="120"/>
          <w:marBottom w:val="0"/>
          <w:divBdr>
            <w:top w:val="none" w:sz="0" w:space="0" w:color="auto"/>
            <w:left w:val="none" w:sz="0" w:space="0" w:color="auto"/>
            <w:bottom w:val="none" w:sz="0" w:space="0" w:color="auto"/>
            <w:right w:val="none" w:sz="0" w:space="0" w:color="auto"/>
          </w:divBdr>
        </w:div>
        <w:div w:id="510532004">
          <w:marLeft w:val="1267"/>
          <w:marRight w:val="0"/>
          <w:marTop w:val="120"/>
          <w:marBottom w:val="0"/>
          <w:divBdr>
            <w:top w:val="none" w:sz="0" w:space="0" w:color="auto"/>
            <w:left w:val="none" w:sz="0" w:space="0" w:color="auto"/>
            <w:bottom w:val="none" w:sz="0" w:space="0" w:color="auto"/>
            <w:right w:val="none" w:sz="0" w:space="0" w:color="auto"/>
          </w:divBdr>
        </w:div>
        <w:div w:id="545071790">
          <w:marLeft w:val="1426"/>
          <w:marRight w:val="0"/>
          <w:marTop w:val="120"/>
          <w:marBottom w:val="0"/>
          <w:divBdr>
            <w:top w:val="none" w:sz="0" w:space="0" w:color="auto"/>
            <w:left w:val="none" w:sz="0" w:space="0" w:color="auto"/>
            <w:bottom w:val="none" w:sz="0" w:space="0" w:color="auto"/>
            <w:right w:val="none" w:sz="0" w:space="0" w:color="auto"/>
          </w:divBdr>
        </w:div>
        <w:div w:id="1045377068">
          <w:marLeft w:val="1267"/>
          <w:marRight w:val="0"/>
          <w:marTop w:val="120"/>
          <w:marBottom w:val="0"/>
          <w:divBdr>
            <w:top w:val="none" w:sz="0" w:space="0" w:color="auto"/>
            <w:left w:val="none" w:sz="0" w:space="0" w:color="auto"/>
            <w:bottom w:val="none" w:sz="0" w:space="0" w:color="auto"/>
            <w:right w:val="none" w:sz="0" w:space="0" w:color="auto"/>
          </w:divBdr>
        </w:div>
        <w:div w:id="1186334523">
          <w:marLeft w:val="1426"/>
          <w:marRight w:val="0"/>
          <w:marTop w:val="120"/>
          <w:marBottom w:val="0"/>
          <w:divBdr>
            <w:top w:val="none" w:sz="0" w:space="0" w:color="auto"/>
            <w:left w:val="none" w:sz="0" w:space="0" w:color="auto"/>
            <w:bottom w:val="none" w:sz="0" w:space="0" w:color="auto"/>
            <w:right w:val="none" w:sz="0" w:space="0" w:color="auto"/>
          </w:divBdr>
        </w:div>
        <w:div w:id="1695690268">
          <w:marLeft w:val="850"/>
          <w:marRight w:val="0"/>
          <w:marTop w:val="60"/>
          <w:marBottom w:val="0"/>
          <w:divBdr>
            <w:top w:val="none" w:sz="0" w:space="0" w:color="auto"/>
            <w:left w:val="none" w:sz="0" w:space="0" w:color="auto"/>
            <w:bottom w:val="none" w:sz="0" w:space="0" w:color="auto"/>
            <w:right w:val="none" w:sz="0" w:space="0" w:color="auto"/>
          </w:divBdr>
        </w:div>
        <w:div w:id="2053845071">
          <w:marLeft w:val="1267"/>
          <w:marRight w:val="0"/>
          <w:marTop w:val="120"/>
          <w:marBottom w:val="0"/>
          <w:divBdr>
            <w:top w:val="none" w:sz="0" w:space="0" w:color="auto"/>
            <w:left w:val="none" w:sz="0" w:space="0" w:color="auto"/>
            <w:bottom w:val="none" w:sz="0" w:space="0" w:color="auto"/>
            <w:right w:val="none" w:sz="0" w:space="0" w:color="auto"/>
          </w:divBdr>
        </w:div>
      </w:divsChild>
    </w:div>
    <w:div w:id="1539589592">
      <w:bodyDiv w:val="1"/>
      <w:marLeft w:val="0"/>
      <w:marRight w:val="0"/>
      <w:marTop w:val="0"/>
      <w:marBottom w:val="0"/>
      <w:divBdr>
        <w:top w:val="none" w:sz="0" w:space="0" w:color="auto"/>
        <w:left w:val="none" w:sz="0" w:space="0" w:color="auto"/>
        <w:bottom w:val="none" w:sz="0" w:space="0" w:color="auto"/>
        <w:right w:val="none" w:sz="0" w:space="0" w:color="auto"/>
      </w:divBdr>
    </w:div>
    <w:div w:id="1549143467">
      <w:bodyDiv w:val="1"/>
      <w:marLeft w:val="0"/>
      <w:marRight w:val="0"/>
      <w:marTop w:val="0"/>
      <w:marBottom w:val="0"/>
      <w:divBdr>
        <w:top w:val="none" w:sz="0" w:space="0" w:color="auto"/>
        <w:left w:val="none" w:sz="0" w:space="0" w:color="auto"/>
        <w:bottom w:val="none" w:sz="0" w:space="0" w:color="auto"/>
        <w:right w:val="none" w:sz="0" w:space="0" w:color="auto"/>
      </w:divBdr>
      <w:divsChild>
        <w:div w:id="392195572">
          <w:marLeft w:val="1166"/>
          <w:marRight w:val="0"/>
          <w:marTop w:val="0"/>
          <w:marBottom w:val="0"/>
          <w:divBdr>
            <w:top w:val="none" w:sz="0" w:space="0" w:color="auto"/>
            <w:left w:val="none" w:sz="0" w:space="0" w:color="auto"/>
            <w:bottom w:val="none" w:sz="0" w:space="0" w:color="auto"/>
            <w:right w:val="none" w:sz="0" w:space="0" w:color="auto"/>
          </w:divBdr>
        </w:div>
        <w:div w:id="472867732">
          <w:marLeft w:val="1166"/>
          <w:marRight w:val="0"/>
          <w:marTop w:val="0"/>
          <w:marBottom w:val="0"/>
          <w:divBdr>
            <w:top w:val="none" w:sz="0" w:space="0" w:color="auto"/>
            <w:left w:val="none" w:sz="0" w:space="0" w:color="auto"/>
            <w:bottom w:val="none" w:sz="0" w:space="0" w:color="auto"/>
            <w:right w:val="none" w:sz="0" w:space="0" w:color="auto"/>
          </w:divBdr>
        </w:div>
        <w:div w:id="812797505">
          <w:marLeft w:val="1166"/>
          <w:marRight w:val="0"/>
          <w:marTop w:val="0"/>
          <w:marBottom w:val="0"/>
          <w:divBdr>
            <w:top w:val="none" w:sz="0" w:space="0" w:color="auto"/>
            <w:left w:val="none" w:sz="0" w:space="0" w:color="auto"/>
            <w:bottom w:val="none" w:sz="0" w:space="0" w:color="auto"/>
            <w:right w:val="none" w:sz="0" w:space="0" w:color="auto"/>
          </w:divBdr>
        </w:div>
        <w:div w:id="845485416">
          <w:marLeft w:val="1166"/>
          <w:marRight w:val="0"/>
          <w:marTop w:val="0"/>
          <w:marBottom w:val="0"/>
          <w:divBdr>
            <w:top w:val="none" w:sz="0" w:space="0" w:color="auto"/>
            <w:left w:val="none" w:sz="0" w:space="0" w:color="auto"/>
            <w:bottom w:val="none" w:sz="0" w:space="0" w:color="auto"/>
            <w:right w:val="none" w:sz="0" w:space="0" w:color="auto"/>
          </w:divBdr>
        </w:div>
        <w:div w:id="885457459">
          <w:marLeft w:val="547"/>
          <w:marRight w:val="0"/>
          <w:marTop w:val="101"/>
          <w:marBottom w:val="0"/>
          <w:divBdr>
            <w:top w:val="none" w:sz="0" w:space="0" w:color="auto"/>
            <w:left w:val="none" w:sz="0" w:space="0" w:color="auto"/>
            <w:bottom w:val="none" w:sz="0" w:space="0" w:color="auto"/>
            <w:right w:val="none" w:sz="0" w:space="0" w:color="auto"/>
          </w:divBdr>
        </w:div>
        <w:div w:id="1109617570">
          <w:marLeft w:val="1166"/>
          <w:marRight w:val="0"/>
          <w:marTop w:val="0"/>
          <w:marBottom w:val="0"/>
          <w:divBdr>
            <w:top w:val="none" w:sz="0" w:space="0" w:color="auto"/>
            <w:left w:val="none" w:sz="0" w:space="0" w:color="auto"/>
            <w:bottom w:val="none" w:sz="0" w:space="0" w:color="auto"/>
            <w:right w:val="none" w:sz="0" w:space="0" w:color="auto"/>
          </w:divBdr>
        </w:div>
        <w:div w:id="1229725525">
          <w:marLeft w:val="1166"/>
          <w:marRight w:val="0"/>
          <w:marTop w:val="0"/>
          <w:marBottom w:val="0"/>
          <w:divBdr>
            <w:top w:val="none" w:sz="0" w:space="0" w:color="auto"/>
            <w:left w:val="none" w:sz="0" w:space="0" w:color="auto"/>
            <w:bottom w:val="none" w:sz="0" w:space="0" w:color="auto"/>
            <w:right w:val="none" w:sz="0" w:space="0" w:color="auto"/>
          </w:divBdr>
        </w:div>
        <w:div w:id="1959943927">
          <w:marLeft w:val="547"/>
          <w:marRight w:val="0"/>
          <w:marTop w:val="101"/>
          <w:marBottom w:val="0"/>
          <w:divBdr>
            <w:top w:val="none" w:sz="0" w:space="0" w:color="auto"/>
            <w:left w:val="none" w:sz="0" w:space="0" w:color="auto"/>
            <w:bottom w:val="none" w:sz="0" w:space="0" w:color="auto"/>
            <w:right w:val="none" w:sz="0" w:space="0" w:color="auto"/>
          </w:divBdr>
        </w:div>
      </w:divsChild>
    </w:div>
    <w:div w:id="1562793798">
      <w:bodyDiv w:val="1"/>
      <w:marLeft w:val="0"/>
      <w:marRight w:val="0"/>
      <w:marTop w:val="0"/>
      <w:marBottom w:val="0"/>
      <w:divBdr>
        <w:top w:val="none" w:sz="0" w:space="0" w:color="auto"/>
        <w:left w:val="none" w:sz="0" w:space="0" w:color="auto"/>
        <w:bottom w:val="none" w:sz="0" w:space="0" w:color="auto"/>
        <w:right w:val="none" w:sz="0" w:space="0" w:color="auto"/>
      </w:divBdr>
      <w:divsChild>
        <w:div w:id="571426653">
          <w:marLeft w:val="850"/>
          <w:marRight w:val="0"/>
          <w:marTop w:val="60"/>
          <w:marBottom w:val="0"/>
          <w:divBdr>
            <w:top w:val="none" w:sz="0" w:space="0" w:color="auto"/>
            <w:left w:val="none" w:sz="0" w:space="0" w:color="auto"/>
            <w:bottom w:val="none" w:sz="0" w:space="0" w:color="auto"/>
            <w:right w:val="none" w:sz="0" w:space="0" w:color="auto"/>
          </w:divBdr>
        </w:div>
        <w:div w:id="664750215">
          <w:marLeft w:val="1570"/>
          <w:marRight w:val="0"/>
          <w:marTop w:val="115"/>
          <w:marBottom w:val="0"/>
          <w:divBdr>
            <w:top w:val="none" w:sz="0" w:space="0" w:color="auto"/>
            <w:left w:val="none" w:sz="0" w:space="0" w:color="auto"/>
            <w:bottom w:val="none" w:sz="0" w:space="0" w:color="auto"/>
            <w:right w:val="none" w:sz="0" w:space="0" w:color="auto"/>
          </w:divBdr>
        </w:div>
        <w:div w:id="672222402">
          <w:marLeft w:val="1570"/>
          <w:marRight w:val="0"/>
          <w:marTop w:val="115"/>
          <w:marBottom w:val="0"/>
          <w:divBdr>
            <w:top w:val="none" w:sz="0" w:space="0" w:color="auto"/>
            <w:left w:val="none" w:sz="0" w:space="0" w:color="auto"/>
            <w:bottom w:val="none" w:sz="0" w:space="0" w:color="auto"/>
            <w:right w:val="none" w:sz="0" w:space="0" w:color="auto"/>
          </w:divBdr>
        </w:div>
        <w:div w:id="964654037">
          <w:marLeft w:val="850"/>
          <w:marRight w:val="0"/>
          <w:marTop w:val="60"/>
          <w:marBottom w:val="0"/>
          <w:divBdr>
            <w:top w:val="none" w:sz="0" w:space="0" w:color="auto"/>
            <w:left w:val="none" w:sz="0" w:space="0" w:color="auto"/>
            <w:bottom w:val="none" w:sz="0" w:space="0" w:color="auto"/>
            <w:right w:val="none" w:sz="0" w:space="0" w:color="auto"/>
          </w:divBdr>
        </w:div>
        <w:div w:id="1115716334">
          <w:marLeft w:val="1570"/>
          <w:marRight w:val="0"/>
          <w:marTop w:val="115"/>
          <w:marBottom w:val="0"/>
          <w:divBdr>
            <w:top w:val="none" w:sz="0" w:space="0" w:color="auto"/>
            <w:left w:val="none" w:sz="0" w:space="0" w:color="auto"/>
            <w:bottom w:val="none" w:sz="0" w:space="0" w:color="auto"/>
            <w:right w:val="none" w:sz="0" w:space="0" w:color="auto"/>
          </w:divBdr>
        </w:div>
        <w:div w:id="1825318435">
          <w:marLeft w:val="850"/>
          <w:marRight w:val="0"/>
          <w:marTop w:val="60"/>
          <w:marBottom w:val="0"/>
          <w:divBdr>
            <w:top w:val="none" w:sz="0" w:space="0" w:color="auto"/>
            <w:left w:val="none" w:sz="0" w:space="0" w:color="auto"/>
            <w:bottom w:val="none" w:sz="0" w:space="0" w:color="auto"/>
            <w:right w:val="none" w:sz="0" w:space="0" w:color="auto"/>
          </w:divBdr>
        </w:div>
        <w:div w:id="1827622958">
          <w:marLeft w:val="1570"/>
          <w:marRight w:val="0"/>
          <w:marTop w:val="115"/>
          <w:marBottom w:val="0"/>
          <w:divBdr>
            <w:top w:val="none" w:sz="0" w:space="0" w:color="auto"/>
            <w:left w:val="none" w:sz="0" w:space="0" w:color="auto"/>
            <w:bottom w:val="none" w:sz="0" w:space="0" w:color="auto"/>
            <w:right w:val="none" w:sz="0" w:space="0" w:color="auto"/>
          </w:divBdr>
        </w:div>
        <w:div w:id="1896894817">
          <w:marLeft w:val="1570"/>
          <w:marRight w:val="0"/>
          <w:marTop w:val="115"/>
          <w:marBottom w:val="0"/>
          <w:divBdr>
            <w:top w:val="none" w:sz="0" w:space="0" w:color="auto"/>
            <w:left w:val="none" w:sz="0" w:space="0" w:color="auto"/>
            <w:bottom w:val="none" w:sz="0" w:space="0" w:color="auto"/>
            <w:right w:val="none" w:sz="0" w:space="0" w:color="auto"/>
          </w:divBdr>
        </w:div>
        <w:div w:id="2137217366">
          <w:marLeft w:val="1570"/>
          <w:marRight w:val="0"/>
          <w:marTop w:val="115"/>
          <w:marBottom w:val="0"/>
          <w:divBdr>
            <w:top w:val="none" w:sz="0" w:space="0" w:color="auto"/>
            <w:left w:val="none" w:sz="0" w:space="0" w:color="auto"/>
            <w:bottom w:val="none" w:sz="0" w:space="0" w:color="auto"/>
            <w:right w:val="none" w:sz="0" w:space="0" w:color="auto"/>
          </w:divBdr>
        </w:div>
      </w:divsChild>
    </w:div>
    <w:div w:id="1574200976">
      <w:bodyDiv w:val="1"/>
      <w:marLeft w:val="0"/>
      <w:marRight w:val="0"/>
      <w:marTop w:val="0"/>
      <w:marBottom w:val="0"/>
      <w:divBdr>
        <w:top w:val="none" w:sz="0" w:space="0" w:color="auto"/>
        <w:left w:val="none" w:sz="0" w:space="0" w:color="auto"/>
        <w:bottom w:val="none" w:sz="0" w:space="0" w:color="auto"/>
        <w:right w:val="none" w:sz="0" w:space="0" w:color="auto"/>
      </w:divBdr>
    </w:div>
    <w:div w:id="1591892010">
      <w:bodyDiv w:val="1"/>
      <w:marLeft w:val="0"/>
      <w:marRight w:val="0"/>
      <w:marTop w:val="0"/>
      <w:marBottom w:val="0"/>
      <w:divBdr>
        <w:top w:val="none" w:sz="0" w:space="0" w:color="auto"/>
        <w:left w:val="none" w:sz="0" w:space="0" w:color="auto"/>
        <w:bottom w:val="none" w:sz="0" w:space="0" w:color="auto"/>
        <w:right w:val="none" w:sz="0" w:space="0" w:color="auto"/>
      </w:divBdr>
    </w:div>
    <w:div w:id="1594706568">
      <w:bodyDiv w:val="1"/>
      <w:marLeft w:val="0"/>
      <w:marRight w:val="0"/>
      <w:marTop w:val="0"/>
      <w:marBottom w:val="0"/>
      <w:divBdr>
        <w:top w:val="none" w:sz="0" w:space="0" w:color="auto"/>
        <w:left w:val="none" w:sz="0" w:space="0" w:color="auto"/>
        <w:bottom w:val="none" w:sz="0" w:space="0" w:color="auto"/>
        <w:right w:val="none" w:sz="0" w:space="0" w:color="auto"/>
      </w:divBdr>
    </w:div>
    <w:div w:id="1600412570">
      <w:bodyDiv w:val="1"/>
      <w:marLeft w:val="0"/>
      <w:marRight w:val="0"/>
      <w:marTop w:val="0"/>
      <w:marBottom w:val="0"/>
      <w:divBdr>
        <w:top w:val="none" w:sz="0" w:space="0" w:color="auto"/>
        <w:left w:val="none" w:sz="0" w:space="0" w:color="auto"/>
        <w:bottom w:val="none" w:sz="0" w:space="0" w:color="auto"/>
        <w:right w:val="none" w:sz="0" w:space="0" w:color="auto"/>
      </w:divBdr>
    </w:div>
    <w:div w:id="1614246241">
      <w:bodyDiv w:val="1"/>
      <w:marLeft w:val="0"/>
      <w:marRight w:val="0"/>
      <w:marTop w:val="0"/>
      <w:marBottom w:val="0"/>
      <w:divBdr>
        <w:top w:val="none" w:sz="0" w:space="0" w:color="auto"/>
        <w:left w:val="none" w:sz="0" w:space="0" w:color="auto"/>
        <w:bottom w:val="none" w:sz="0" w:space="0" w:color="auto"/>
        <w:right w:val="none" w:sz="0" w:space="0" w:color="auto"/>
      </w:divBdr>
    </w:div>
    <w:div w:id="1671450416">
      <w:bodyDiv w:val="1"/>
      <w:marLeft w:val="0"/>
      <w:marRight w:val="0"/>
      <w:marTop w:val="0"/>
      <w:marBottom w:val="0"/>
      <w:divBdr>
        <w:top w:val="none" w:sz="0" w:space="0" w:color="auto"/>
        <w:left w:val="none" w:sz="0" w:space="0" w:color="auto"/>
        <w:bottom w:val="none" w:sz="0" w:space="0" w:color="auto"/>
        <w:right w:val="none" w:sz="0" w:space="0" w:color="auto"/>
      </w:divBdr>
    </w:div>
    <w:div w:id="1689453269">
      <w:bodyDiv w:val="1"/>
      <w:marLeft w:val="0"/>
      <w:marRight w:val="0"/>
      <w:marTop w:val="0"/>
      <w:marBottom w:val="0"/>
      <w:divBdr>
        <w:top w:val="none" w:sz="0" w:space="0" w:color="auto"/>
        <w:left w:val="none" w:sz="0" w:space="0" w:color="auto"/>
        <w:bottom w:val="none" w:sz="0" w:space="0" w:color="auto"/>
        <w:right w:val="none" w:sz="0" w:space="0" w:color="auto"/>
      </w:divBdr>
      <w:divsChild>
        <w:div w:id="628903146">
          <w:marLeft w:val="547"/>
          <w:marRight w:val="0"/>
          <w:marTop w:val="400"/>
          <w:marBottom w:val="0"/>
          <w:divBdr>
            <w:top w:val="none" w:sz="0" w:space="0" w:color="auto"/>
            <w:left w:val="none" w:sz="0" w:space="0" w:color="auto"/>
            <w:bottom w:val="none" w:sz="0" w:space="0" w:color="auto"/>
            <w:right w:val="none" w:sz="0" w:space="0" w:color="auto"/>
          </w:divBdr>
        </w:div>
        <w:div w:id="756636381">
          <w:marLeft w:val="1080"/>
          <w:marRight w:val="0"/>
          <w:marTop w:val="40"/>
          <w:marBottom w:val="0"/>
          <w:divBdr>
            <w:top w:val="none" w:sz="0" w:space="0" w:color="auto"/>
            <w:left w:val="none" w:sz="0" w:space="0" w:color="auto"/>
            <w:bottom w:val="none" w:sz="0" w:space="0" w:color="auto"/>
            <w:right w:val="none" w:sz="0" w:space="0" w:color="auto"/>
          </w:divBdr>
        </w:div>
        <w:div w:id="948127606">
          <w:marLeft w:val="547"/>
          <w:marRight w:val="0"/>
          <w:marTop w:val="100"/>
          <w:marBottom w:val="0"/>
          <w:divBdr>
            <w:top w:val="none" w:sz="0" w:space="0" w:color="auto"/>
            <w:left w:val="none" w:sz="0" w:space="0" w:color="auto"/>
            <w:bottom w:val="none" w:sz="0" w:space="0" w:color="auto"/>
            <w:right w:val="none" w:sz="0" w:space="0" w:color="auto"/>
          </w:divBdr>
        </w:div>
        <w:div w:id="1264802929">
          <w:marLeft w:val="547"/>
          <w:marRight w:val="0"/>
          <w:marTop w:val="100"/>
          <w:marBottom w:val="0"/>
          <w:divBdr>
            <w:top w:val="none" w:sz="0" w:space="0" w:color="auto"/>
            <w:left w:val="none" w:sz="0" w:space="0" w:color="auto"/>
            <w:bottom w:val="none" w:sz="0" w:space="0" w:color="auto"/>
            <w:right w:val="none" w:sz="0" w:space="0" w:color="auto"/>
          </w:divBdr>
        </w:div>
        <w:div w:id="1628314337">
          <w:marLeft w:val="1080"/>
          <w:marRight w:val="0"/>
          <w:marTop w:val="40"/>
          <w:marBottom w:val="0"/>
          <w:divBdr>
            <w:top w:val="none" w:sz="0" w:space="0" w:color="auto"/>
            <w:left w:val="none" w:sz="0" w:space="0" w:color="auto"/>
            <w:bottom w:val="none" w:sz="0" w:space="0" w:color="auto"/>
            <w:right w:val="none" w:sz="0" w:space="0" w:color="auto"/>
          </w:divBdr>
        </w:div>
        <w:div w:id="1671788563">
          <w:marLeft w:val="1080"/>
          <w:marRight w:val="0"/>
          <w:marTop w:val="40"/>
          <w:marBottom w:val="0"/>
          <w:divBdr>
            <w:top w:val="none" w:sz="0" w:space="0" w:color="auto"/>
            <w:left w:val="none" w:sz="0" w:space="0" w:color="auto"/>
            <w:bottom w:val="none" w:sz="0" w:space="0" w:color="auto"/>
            <w:right w:val="none" w:sz="0" w:space="0" w:color="auto"/>
          </w:divBdr>
        </w:div>
        <w:div w:id="2044597624">
          <w:marLeft w:val="547"/>
          <w:marRight w:val="0"/>
          <w:marTop w:val="100"/>
          <w:marBottom w:val="0"/>
          <w:divBdr>
            <w:top w:val="none" w:sz="0" w:space="0" w:color="auto"/>
            <w:left w:val="none" w:sz="0" w:space="0" w:color="auto"/>
            <w:bottom w:val="none" w:sz="0" w:space="0" w:color="auto"/>
            <w:right w:val="none" w:sz="0" w:space="0" w:color="auto"/>
          </w:divBdr>
        </w:div>
      </w:divsChild>
    </w:div>
    <w:div w:id="1714840563">
      <w:bodyDiv w:val="1"/>
      <w:marLeft w:val="0"/>
      <w:marRight w:val="0"/>
      <w:marTop w:val="0"/>
      <w:marBottom w:val="0"/>
      <w:divBdr>
        <w:top w:val="none" w:sz="0" w:space="0" w:color="auto"/>
        <w:left w:val="none" w:sz="0" w:space="0" w:color="auto"/>
        <w:bottom w:val="none" w:sz="0" w:space="0" w:color="auto"/>
        <w:right w:val="none" w:sz="0" w:space="0" w:color="auto"/>
      </w:divBdr>
    </w:div>
    <w:div w:id="1718773421">
      <w:bodyDiv w:val="1"/>
      <w:marLeft w:val="0"/>
      <w:marRight w:val="0"/>
      <w:marTop w:val="0"/>
      <w:marBottom w:val="0"/>
      <w:divBdr>
        <w:top w:val="none" w:sz="0" w:space="0" w:color="auto"/>
        <w:left w:val="none" w:sz="0" w:space="0" w:color="auto"/>
        <w:bottom w:val="none" w:sz="0" w:space="0" w:color="auto"/>
        <w:right w:val="none" w:sz="0" w:space="0" w:color="auto"/>
      </w:divBdr>
      <w:divsChild>
        <w:div w:id="230779443">
          <w:marLeft w:val="1123"/>
          <w:marRight w:val="0"/>
          <w:marTop w:val="0"/>
          <w:marBottom w:val="0"/>
          <w:divBdr>
            <w:top w:val="none" w:sz="0" w:space="0" w:color="auto"/>
            <w:left w:val="none" w:sz="0" w:space="0" w:color="auto"/>
            <w:bottom w:val="none" w:sz="0" w:space="0" w:color="auto"/>
            <w:right w:val="none" w:sz="0" w:space="0" w:color="auto"/>
          </w:divBdr>
        </w:div>
        <w:div w:id="691801348">
          <w:marLeft w:val="547"/>
          <w:marRight w:val="0"/>
          <w:marTop w:val="100"/>
          <w:marBottom w:val="0"/>
          <w:divBdr>
            <w:top w:val="none" w:sz="0" w:space="0" w:color="auto"/>
            <w:left w:val="none" w:sz="0" w:space="0" w:color="auto"/>
            <w:bottom w:val="none" w:sz="0" w:space="0" w:color="auto"/>
            <w:right w:val="none" w:sz="0" w:space="0" w:color="auto"/>
          </w:divBdr>
        </w:div>
        <w:div w:id="1101220252">
          <w:marLeft w:val="547"/>
          <w:marRight w:val="0"/>
          <w:marTop w:val="100"/>
          <w:marBottom w:val="0"/>
          <w:divBdr>
            <w:top w:val="none" w:sz="0" w:space="0" w:color="auto"/>
            <w:left w:val="none" w:sz="0" w:space="0" w:color="auto"/>
            <w:bottom w:val="none" w:sz="0" w:space="0" w:color="auto"/>
            <w:right w:val="none" w:sz="0" w:space="0" w:color="auto"/>
          </w:divBdr>
        </w:div>
        <w:div w:id="1128743379">
          <w:marLeft w:val="547"/>
          <w:marRight w:val="0"/>
          <w:marTop w:val="100"/>
          <w:marBottom w:val="0"/>
          <w:divBdr>
            <w:top w:val="none" w:sz="0" w:space="0" w:color="auto"/>
            <w:left w:val="none" w:sz="0" w:space="0" w:color="auto"/>
            <w:bottom w:val="none" w:sz="0" w:space="0" w:color="auto"/>
            <w:right w:val="none" w:sz="0" w:space="0" w:color="auto"/>
          </w:divBdr>
        </w:div>
        <w:div w:id="1244952015">
          <w:marLeft w:val="547"/>
          <w:marRight w:val="0"/>
          <w:marTop w:val="100"/>
          <w:marBottom w:val="0"/>
          <w:divBdr>
            <w:top w:val="none" w:sz="0" w:space="0" w:color="auto"/>
            <w:left w:val="none" w:sz="0" w:space="0" w:color="auto"/>
            <w:bottom w:val="none" w:sz="0" w:space="0" w:color="auto"/>
            <w:right w:val="none" w:sz="0" w:space="0" w:color="auto"/>
          </w:divBdr>
        </w:div>
        <w:div w:id="1263220113">
          <w:marLeft w:val="1123"/>
          <w:marRight w:val="0"/>
          <w:marTop w:val="0"/>
          <w:marBottom w:val="0"/>
          <w:divBdr>
            <w:top w:val="none" w:sz="0" w:space="0" w:color="auto"/>
            <w:left w:val="none" w:sz="0" w:space="0" w:color="auto"/>
            <w:bottom w:val="none" w:sz="0" w:space="0" w:color="auto"/>
            <w:right w:val="none" w:sz="0" w:space="0" w:color="auto"/>
          </w:divBdr>
        </w:div>
        <w:div w:id="2037734762">
          <w:marLeft w:val="547"/>
          <w:marRight w:val="0"/>
          <w:marTop w:val="400"/>
          <w:marBottom w:val="0"/>
          <w:divBdr>
            <w:top w:val="none" w:sz="0" w:space="0" w:color="auto"/>
            <w:left w:val="none" w:sz="0" w:space="0" w:color="auto"/>
            <w:bottom w:val="none" w:sz="0" w:space="0" w:color="auto"/>
            <w:right w:val="none" w:sz="0" w:space="0" w:color="auto"/>
          </w:divBdr>
        </w:div>
        <w:div w:id="2123375289">
          <w:marLeft w:val="1123"/>
          <w:marRight w:val="0"/>
          <w:marTop w:val="0"/>
          <w:marBottom w:val="0"/>
          <w:divBdr>
            <w:top w:val="none" w:sz="0" w:space="0" w:color="auto"/>
            <w:left w:val="none" w:sz="0" w:space="0" w:color="auto"/>
            <w:bottom w:val="none" w:sz="0" w:space="0" w:color="auto"/>
            <w:right w:val="none" w:sz="0" w:space="0" w:color="auto"/>
          </w:divBdr>
        </w:div>
      </w:divsChild>
    </w:div>
    <w:div w:id="1771126373">
      <w:bodyDiv w:val="1"/>
      <w:marLeft w:val="0"/>
      <w:marRight w:val="0"/>
      <w:marTop w:val="0"/>
      <w:marBottom w:val="0"/>
      <w:divBdr>
        <w:top w:val="none" w:sz="0" w:space="0" w:color="auto"/>
        <w:left w:val="none" w:sz="0" w:space="0" w:color="auto"/>
        <w:bottom w:val="none" w:sz="0" w:space="0" w:color="auto"/>
        <w:right w:val="none" w:sz="0" w:space="0" w:color="auto"/>
      </w:divBdr>
    </w:div>
    <w:div w:id="1803382637">
      <w:bodyDiv w:val="1"/>
      <w:marLeft w:val="0"/>
      <w:marRight w:val="0"/>
      <w:marTop w:val="0"/>
      <w:marBottom w:val="0"/>
      <w:divBdr>
        <w:top w:val="none" w:sz="0" w:space="0" w:color="auto"/>
        <w:left w:val="none" w:sz="0" w:space="0" w:color="auto"/>
        <w:bottom w:val="none" w:sz="0" w:space="0" w:color="auto"/>
        <w:right w:val="none" w:sz="0" w:space="0" w:color="auto"/>
      </w:divBdr>
      <w:divsChild>
        <w:div w:id="1519271">
          <w:marLeft w:val="1426"/>
          <w:marRight w:val="0"/>
          <w:marTop w:val="60"/>
          <w:marBottom w:val="0"/>
          <w:divBdr>
            <w:top w:val="none" w:sz="0" w:space="0" w:color="auto"/>
            <w:left w:val="none" w:sz="0" w:space="0" w:color="auto"/>
            <w:bottom w:val="none" w:sz="0" w:space="0" w:color="auto"/>
            <w:right w:val="none" w:sz="0" w:space="0" w:color="auto"/>
          </w:divBdr>
        </w:div>
        <w:div w:id="213734694">
          <w:marLeft w:val="1426"/>
          <w:marRight w:val="0"/>
          <w:marTop w:val="60"/>
          <w:marBottom w:val="0"/>
          <w:divBdr>
            <w:top w:val="none" w:sz="0" w:space="0" w:color="auto"/>
            <w:left w:val="none" w:sz="0" w:space="0" w:color="auto"/>
            <w:bottom w:val="none" w:sz="0" w:space="0" w:color="auto"/>
            <w:right w:val="none" w:sz="0" w:space="0" w:color="auto"/>
          </w:divBdr>
        </w:div>
        <w:div w:id="1861889006">
          <w:marLeft w:val="1426"/>
          <w:marRight w:val="0"/>
          <w:marTop w:val="60"/>
          <w:marBottom w:val="0"/>
          <w:divBdr>
            <w:top w:val="none" w:sz="0" w:space="0" w:color="auto"/>
            <w:left w:val="none" w:sz="0" w:space="0" w:color="auto"/>
            <w:bottom w:val="none" w:sz="0" w:space="0" w:color="auto"/>
            <w:right w:val="none" w:sz="0" w:space="0" w:color="auto"/>
          </w:divBdr>
        </w:div>
      </w:divsChild>
    </w:div>
    <w:div w:id="1830636733">
      <w:bodyDiv w:val="1"/>
      <w:marLeft w:val="0"/>
      <w:marRight w:val="0"/>
      <w:marTop w:val="0"/>
      <w:marBottom w:val="0"/>
      <w:divBdr>
        <w:top w:val="none" w:sz="0" w:space="0" w:color="auto"/>
        <w:left w:val="none" w:sz="0" w:space="0" w:color="auto"/>
        <w:bottom w:val="none" w:sz="0" w:space="0" w:color="auto"/>
        <w:right w:val="none" w:sz="0" w:space="0" w:color="auto"/>
      </w:divBdr>
    </w:div>
    <w:div w:id="1847134858">
      <w:bodyDiv w:val="1"/>
      <w:marLeft w:val="0"/>
      <w:marRight w:val="0"/>
      <w:marTop w:val="0"/>
      <w:marBottom w:val="0"/>
      <w:divBdr>
        <w:top w:val="none" w:sz="0" w:space="0" w:color="auto"/>
        <w:left w:val="none" w:sz="0" w:space="0" w:color="auto"/>
        <w:bottom w:val="none" w:sz="0" w:space="0" w:color="auto"/>
        <w:right w:val="none" w:sz="0" w:space="0" w:color="auto"/>
      </w:divBdr>
      <w:divsChild>
        <w:div w:id="146241653">
          <w:marLeft w:val="1426"/>
          <w:marRight w:val="0"/>
          <w:marTop w:val="0"/>
          <w:marBottom w:val="0"/>
          <w:divBdr>
            <w:top w:val="none" w:sz="0" w:space="0" w:color="auto"/>
            <w:left w:val="none" w:sz="0" w:space="0" w:color="auto"/>
            <w:bottom w:val="none" w:sz="0" w:space="0" w:color="auto"/>
            <w:right w:val="none" w:sz="0" w:space="0" w:color="auto"/>
          </w:divBdr>
        </w:div>
        <w:div w:id="198127218">
          <w:marLeft w:val="1426"/>
          <w:marRight w:val="0"/>
          <w:marTop w:val="0"/>
          <w:marBottom w:val="0"/>
          <w:divBdr>
            <w:top w:val="none" w:sz="0" w:space="0" w:color="auto"/>
            <w:left w:val="none" w:sz="0" w:space="0" w:color="auto"/>
            <w:bottom w:val="none" w:sz="0" w:space="0" w:color="auto"/>
            <w:right w:val="none" w:sz="0" w:space="0" w:color="auto"/>
          </w:divBdr>
        </w:div>
        <w:div w:id="264505812">
          <w:marLeft w:val="1426"/>
          <w:marRight w:val="0"/>
          <w:marTop w:val="0"/>
          <w:marBottom w:val="0"/>
          <w:divBdr>
            <w:top w:val="none" w:sz="0" w:space="0" w:color="auto"/>
            <w:left w:val="none" w:sz="0" w:space="0" w:color="auto"/>
            <w:bottom w:val="none" w:sz="0" w:space="0" w:color="auto"/>
            <w:right w:val="none" w:sz="0" w:space="0" w:color="auto"/>
          </w:divBdr>
        </w:div>
        <w:div w:id="855650825">
          <w:marLeft w:val="1195"/>
          <w:marRight w:val="0"/>
          <w:marTop w:val="0"/>
          <w:marBottom w:val="0"/>
          <w:divBdr>
            <w:top w:val="none" w:sz="0" w:space="0" w:color="auto"/>
            <w:left w:val="none" w:sz="0" w:space="0" w:color="auto"/>
            <w:bottom w:val="none" w:sz="0" w:space="0" w:color="auto"/>
            <w:right w:val="none" w:sz="0" w:space="0" w:color="auto"/>
          </w:divBdr>
        </w:div>
        <w:div w:id="1070081933">
          <w:marLeft w:val="1426"/>
          <w:marRight w:val="0"/>
          <w:marTop w:val="0"/>
          <w:marBottom w:val="0"/>
          <w:divBdr>
            <w:top w:val="none" w:sz="0" w:space="0" w:color="auto"/>
            <w:left w:val="none" w:sz="0" w:space="0" w:color="auto"/>
            <w:bottom w:val="none" w:sz="0" w:space="0" w:color="auto"/>
            <w:right w:val="none" w:sz="0" w:space="0" w:color="auto"/>
          </w:divBdr>
        </w:div>
        <w:div w:id="1902062108">
          <w:marLeft w:val="1426"/>
          <w:marRight w:val="0"/>
          <w:marTop w:val="0"/>
          <w:marBottom w:val="0"/>
          <w:divBdr>
            <w:top w:val="none" w:sz="0" w:space="0" w:color="auto"/>
            <w:left w:val="none" w:sz="0" w:space="0" w:color="auto"/>
            <w:bottom w:val="none" w:sz="0" w:space="0" w:color="auto"/>
            <w:right w:val="none" w:sz="0" w:space="0" w:color="auto"/>
          </w:divBdr>
        </w:div>
      </w:divsChild>
    </w:div>
    <w:div w:id="1942226920">
      <w:bodyDiv w:val="1"/>
      <w:marLeft w:val="0"/>
      <w:marRight w:val="0"/>
      <w:marTop w:val="0"/>
      <w:marBottom w:val="0"/>
      <w:divBdr>
        <w:top w:val="none" w:sz="0" w:space="0" w:color="auto"/>
        <w:left w:val="none" w:sz="0" w:space="0" w:color="auto"/>
        <w:bottom w:val="none" w:sz="0" w:space="0" w:color="auto"/>
        <w:right w:val="none" w:sz="0" w:space="0" w:color="auto"/>
      </w:divBdr>
      <w:divsChild>
        <w:div w:id="18430639">
          <w:marLeft w:val="1354"/>
          <w:marRight w:val="0"/>
          <w:marTop w:val="0"/>
          <w:marBottom w:val="0"/>
          <w:divBdr>
            <w:top w:val="none" w:sz="0" w:space="0" w:color="auto"/>
            <w:left w:val="none" w:sz="0" w:space="0" w:color="auto"/>
            <w:bottom w:val="none" w:sz="0" w:space="0" w:color="auto"/>
            <w:right w:val="none" w:sz="0" w:space="0" w:color="auto"/>
          </w:divBdr>
        </w:div>
        <w:div w:id="257644738">
          <w:marLeft w:val="1354"/>
          <w:marRight w:val="0"/>
          <w:marTop w:val="0"/>
          <w:marBottom w:val="0"/>
          <w:divBdr>
            <w:top w:val="none" w:sz="0" w:space="0" w:color="auto"/>
            <w:left w:val="none" w:sz="0" w:space="0" w:color="auto"/>
            <w:bottom w:val="none" w:sz="0" w:space="0" w:color="auto"/>
            <w:right w:val="none" w:sz="0" w:space="0" w:color="auto"/>
          </w:divBdr>
        </w:div>
        <w:div w:id="345985787">
          <w:marLeft w:val="1354"/>
          <w:marRight w:val="0"/>
          <w:marTop w:val="0"/>
          <w:marBottom w:val="0"/>
          <w:divBdr>
            <w:top w:val="none" w:sz="0" w:space="0" w:color="auto"/>
            <w:left w:val="none" w:sz="0" w:space="0" w:color="auto"/>
            <w:bottom w:val="none" w:sz="0" w:space="0" w:color="auto"/>
            <w:right w:val="none" w:sz="0" w:space="0" w:color="auto"/>
          </w:divBdr>
        </w:div>
        <w:div w:id="932319716">
          <w:marLeft w:val="1354"/>
          <w:marRight w:val="0"/>
          <w:marTop w:val="0"/>
          <w:marBottom w:val="0"/>
          <w:divBdr>
            <w:top w:val="none" w:sz="0" w:space="0" w:color="auto"/>
            <w:left w:val="none" w:sz="0" w:space="0" w:color="auto"/>
            <w:bottom w:val="none" w:sz="0" w:space="0" w:color="auto"/>
            <w:right w:val="none" w:sz="0" w:space="0" w:color="auto"/>
          </w:divBdr>
        </w:div>
        <w:div w:id="1303924802">
          <w:marLeft w:val="1354"/>
          <w:marRight w:val="0"/>
          <w:marTop w:val="0"/>
          <w:marBottom w:val="0"/>
          <w:divBdr>
            <w:top w:val="none" w:sz="0" w:space="0" w:color="auto"/>
            <w:left w:val="none" w:sz="0" w:space="0" w:color="auto"/>
            <w:bottom w:val="none" w:sz="0" w:space="0" w:color="auto"/>
            <w:right w:val="none" w:sz="0" w:space="0" w:color="auto"/>
          </w:divBdr>
        </w:div>
        <w:div w:id="1547447857">
          <w:marLeft w:val="1354"/>
          <w:marRight w:val="0"/>
          <w:marTop w:val="0"/>
          <w:marBottom w:val="0"/>
          <w:divBdr>
            <w:top w:val="none" w:sz="0" w:space="0" w:color="auto"/>
            <w:left w:val="none" w:sz="0" w:space="0" w:color="auto"/>
            <w:bottom w:val="none" w:sz="0" w:space="0" w:color="auto"/>
            <w:right w:val="none" w:sz="0" w:space="0" w:color="auto"/>
          </w:divBdr>
        </w:div>
        <w:div w:id="1705014262">
          <w:marLeft w:val="1354"/>
          <w:marRight w:val="0"/>
          <w:marTop w:val="0"/>
          <w:marBottom w:val="0"/>
          <w:divBdr>
            <w:top w:val="none" w:sz="0" w:space="0" w:color="auto"/>
            <w:left w:val="none" w:sz="0" w:space="0" w:color="auto"/>
            <w:bottom w:val="none" w:sz="0" w:space="0" w:color="auto"/>
            <w:right w:val="none" w:sz="0" w:space="0" w:color="auto"/>
          </w:divBdr>
        </w:div>
      </w:divsChild>
    </w:div>
    <w:div w:id="1960449119">
      <w:bodyDiv w:val="1"/>
      <w:marLeft w:val="0"/>
      <w:marRight w:val="0"/>
      <w:marTop w:val="0"/>
      <w:marBottom w:val="0"/>
      <w:divBdr>
        <w:top w:val="none" w:sz="0" w:space="0" w:color="auto"/>
        <w:left w:val="none" w:sz="0" w:space="0" w:color="auto"/>
        <w:bottom w:val="none" w:sz="0" w:space="0" w:color="auto"/>
        <w:right w:val="none" w:sz="0" w:space="0" w:color="auto"/>
      </w:divBdr>
      <w:divsChild>
        <w:div w:id="712115340">
          <w:marLeft w:val="547"/>
          <w:marRight w:val="0"/>
          <w:marTop w:val="100"/>
          <w:marBottom w:val="0"/>
          <w:divBdr>
            <w:top w:val="none" w:sz="0" w:space="0" w:color="auto"/>
            <w:left w:val="none" w:sz="0" w:space="0" w:color="auto"/>
            <w:bottom w:val="none" w:sz="0" w:space="0" w:color="auto"/>
            <w:right w:val="none" w:sz="0" w:space="0" w:color="auto"/>
          </w:divBdr>
        </w:div>
        <w:div w:id="973485804">
          <w:marLeft w:val="547"/>
          <w:marRight w:val="0"/>
          <w:marTop w:val="220"/>
          <w:marBottom w:val="0"/>
          <w:divBdr>
            <w:top w:val="none" w:sz="0" w:space="0" w:color="auto"/>
            <w:left w:val="none" w:sz="0" w:space="0" w:color="auto"/>
            <w:bottom w:val="none" w:sz="0" w:space="0" w:color="auto"/>
            <w:right w:val="none" w:sz="0" w:space="0" w:color="auto"/>
          </w:divBdr>
        </w:div>
        <w:div w:id="1025982601">
          <w:marLeft w:val="1080"/>
          <w:marRight w:val="0"/>
          <w:marTop w:val="100"/>
          <w:marBottom w:val="0"/>
          <w:divBdr>
            <w:top w:val="none" w:sz="0" w:space="0" w:color="auto"/>
            <w:left w:val="none" w:sz="0" w:space="0" w:color="auto"/>
            <w:bottom w:val="none" w:sz="0" w:space="0" w:color="auto"/>
            <w:right w:val="none" w:sz="0" w:space="0" w:color="auto"/>
          </w:divBdr>
        </w:div>
        <w:div w:id="1132476512">
          <w:marLeft w:val="547"/>
          <w:marRight w:val="0"/>
          <w:marTop w:val="100"/>
          <w:marBottom w:val="0"/>
          <w:divBdr>
            <w:top w:val="none" w:sz="0" w:space="0" w:color="auto"/>
            <w:left w:val="none" w:sz="0" w:space="0" w:color="auto"/>
            <w:bottom w:val="none" w:sz="0" w:space="0" w:color="auto"/>
            <w:right w:val="none" w:sz="0" w:space="0" w:color="auto"/>
          </w:divBdr>
        </w:div>
        <w:div w:id="1347899270">
          <w:marLeft w:val="1080"/>
          <w:marRight w:val="0"/>
          <w:marTop w:val="100"/>
          <w:marBottom w:val="0"/>
          <w:divBdr>
            <w:top w:val="none" w:sz="0" w:space="0" w:color="auto"/>
            <w:left w:val="none" w:sz="0" w:space="0" w:color="auto"/>
            <w:bottom w:val="none" w:sz="0" w:space="0" w:color="auto"/>
            <w:right w:val="none" w:sz="0" w:space="0" w:color="auto"/>
          </w:divBdr>
        </w:div>
        <w:div w:id="1432167794">
          <w:marLeft w:val="1080"/>
          <w:marRight w:val="0"/>
          <w:marTop w:val="100"/>
          <w:marBottom w:val="0"/>
          <w:divBdr>
            <w:top w:val="none" w:sz="0" w:space="0" w:color="auto"/>
            <w:left w:val="none" w:sz="0" w:space="0" w:color="auto"/>
            <w:bottom w:val="none" w:sz="0" w:space="0" w:color="auto"/>
            <w:right w:val="none" w:sz="0" w:space="0" w:color="auto"/>
          </w:divBdr>
        </w:div>
        <w:div w:id="1719629046">
          <w:marLeft w:val="1080"/>
          <w:marRight w:val="0"/>
          <w:marTop w:val="100"/>
          <w:marBottom w:val="0"/>
          <w:divBdr>
            <w:top w:val="none" w:sz="0" w:space="0" w:color="auto"/>
            <w:left w:val="none" w:sz="0" w:space="0" w:color="auto"/>
            <w:bottom w:val="none" w:sz="0" w:space="0" w:color="auto"/>
            <w:right w:val="none" w:sz="0" w:space="0" w:color="auto"/>
          </w:divBdr>
        </w:div>
        <w:div w:id="2022390312">
          <w:marLeft w:val="1080"/>
          <w:marRight w:val="0"/>
          <w:marTop w:val="100"/>
          <w:marBottom w:val="0"/>
          <w:divBdr>
            <w:top w:val="none" w:sz="0" w:space="0" w:color="auto"/>
            <w:left w:val="none" w:sz="0" w:space="0" w:color="auto"/>
            <w:bottom w:val="none" w:sz="0" w:space="0" w:color="auto"/>
            <w:right w:val="none" w:sz="0" w:space="0" w:color="auto"/>
          </w:divBdr>
        </w:div>
      </w:divsChild>
    </w:div>
    <w:div w:id="1985114330">
      <w:bodyDiv w:val="1"/>
      <w:marLeft w:val="0"/>
      <w:marRight w:val="0"/>
      <w:marTop w:val="0"/>
      <w:marBottom w:val="0"/>
      <w:divBdr>
        <w:top w:val="none" w:sz="0" w:space="0" w:color="auto"/>
        <w:left w:val="none" w:sz="0" w:space="0" w:color="auto"/>
        <w:bottom w:val="none" w:sz="0" w:space="0" w:color="auto"/>
        <w:right w:val="none" w:sz="0" w:space="0" w:color="auto"/>
      </w:divBdr>
    </w:div>
    <w:div w:id="2017070978">
      <w:bodyDiv w:val="1"/>
      <w:marLeft w:val="0"/>
      <w:marRight w:val="0"/>
      <w:marTop w:val="0"/>
      <w:marBottom w:val="0"/>
      <w:divBdr>
        <w:top w:val="none" w:sz="0" w:space="0" w:color="auto"/>
        <w:left w:val="none" w:sz="0" w:space="0" w:color="auto"/>
        <w:bottom w:val="none" w:sz="0" w:space="0" w:color="auto"/>
        <w:right w:val="none" w:sz="0" w:space="0" w:color="auto"/>
      </w:divBdr>
    </w:div>
    <w:div w:id="2027823663">
      <w:bodyDiv w:val="1"/>
      <w:marLeft w:val="0"/>
      <w:marRight w:val="0"/>
      <w:marTop w:val="0"/>
      <w:marBottom w:val="0"/>
      <w:divBdr>
        <w:top w:val="none" w:sz="0" w:space="0" w:color="auto"/>
        <w:left w:val="none" w:sz="0" w:space="0" w:color="auto"/>
        <w:bottom w:val="none" w:sz="0" w:space="0" w:color="auto"/>
        <w:right w:val="none" w:sz="0" w:space="0" w:color="auto"/>
      </w:divBdr>
    </w:div>
    <w:div w:id="2076924746">
      <w:bodyDiv w:val="1"/>
      <w:marLeft w:val="0"/>
      <w:marRight w:val="0"/>
      <w:marTop w:val="0"/>
      <w:marBottom w:val="0"/>
      <w:divBdr>
        <w:top w:val="none" w:sz="0" w:space="0" w:color="auto"/>
        <w:left w:val="none" w:sz="0" w:space="0" w:color="auto"/>
        <w:bottom w:val="none" w:sz="0" w:space="0" w:color="auto"/>
        <w:right w:val="none" w:sz="0" w:space="0" w:color="auto"/>
      </w:divBdr>
      <w:divsChild>
        <w:div w:id="136150117">
          <w:marLeft w:val="763"/>
          <w:marRight w:val="0"/>
          <w:marTop w:val="0"/>
          <w:marBottom w:val="0"/>
          <w:divBdr>
            <w:top w:val="none" w:sz="0" w:space="0" w:color="auto"/>
            <w:left w:val="none" w:sz="0" w:space="0" w:color="auto"/>
            <w:bottom w:val="none" w:sz="0" w:space="0" w:color="auto"/>
            <w:right w:val="none" w:sz="0" w:space="0" w:color="auto"/>
          </w:divBdr>
        </w:div>
        <w:div w:id="390353790">
          <w:marLeft w:val="1987"/>
          <w:marRight w:val="0"/>
          <w:marTop w:val="0"/>
          <w:marBottom w:val="0"/>
          <w:divBdr>
            <w:top w:val="none" w:sz="0" w:space="0" w:color="auto"/>
            <w:left w:val="none" w:sz="0" w:space="0" w:color="auto"/>
            <w:bottom w:val="none" w:sz="0" w:space="0" w:color="auto"/>
            <w:right w:val="none" w:sz="0" w:space="0" w:color="auto"/>
          </w:divBdr>
        </w:div>
        <w:div w:id="878736989">
          <w:marLeft w:val="1987"/>
          <w:marRight w:val="0"/>
          <w:marTop w:val="0"/>
          <w:marBottom w:val="0"/>
          <w:divBdr>
            <w:top w:val="none" w:sz="0" w:space="0" w:color="auto"/>
            <w:left w:val="none" w:sz="0" w:space="0" w:color="auto"/>
            <w:bottom w:val="none" w:sz="0" w:space="0" w:color="auto"/>
            <w:right w:val="none" w:sz="0" w:space="0" w:color="auto"/>
          </w:divBdr>
        </w:div>
        <w:div w:id="889732980">
          <w:marLeft w:val="1987"/>
          <w:marRight w:val="0"/>
          <w:marTop w:val="0"/>
          <w:marBottom w:val="0"/>
          <w:divBdr>
            <w:top w:val="none" w:sz="0" w:space="0" w:color="auto"/>
            <w:left w:val="none" w:sz="0" w:space="0" w:color="auto"/>
            <w:bottom w:val="none" w:sz="0" w:space="0" w:color="auto"/>
            <w:right w:val="none" w:sz="0" w:space="0" w:color="auto"/>
          </w:divBdr>
        </w:div>
        <w:div w:id="1772358150">
          <w:marLeft w:val="1354"/>
          <w:marRight w:val="0"/>
          <w:marTop w:val="0"/>
          <w:marBottom w:val="0"/>
          <w:divBdr>
            <w:top w:val="none" w:sz="0" w:space="0" w:color="auto"/>
            <w:left w:val="none" w:sz="0" w:space="0" w:color="auto"/>
            <w:bottom w:val="none" w:sz="0" w:space="0" w:color="auto"/>
            <w:right w:val="none" w:sz="0" w:space="0" w:color="auto"/>
          </w:divBdr>
        </w:div>
        <w:div w:id="1804686865">
          <w:marLeft w:val="1354"/>
          <w:marRight w:val="0"/>
          <w:marTop w:val="0"/>
          <w:marBottom w:val="0"/>
          <w:divBdr>
            <w:top w:val="none" w:sz="0" w:space="0" w:color="auto"/>
            <w:left w:val="none" w:sz="0" w:space="0" w:color="auto"/>
            <w:bottom w:val="none" w:sz="0" w:space="0" w:color="auto"/>
            <w:right w:val="none" w:sz="0" w:space="0" w:color="auto"/>
          </w:divBdr>
        </w:div>
        <w:div w:id="2109739594">
          <w:marLeft w:val="1987"/>
          <w:marRight w:val="0"/>
          <w:marTop w:val="0"/>
          <w:marBottom w:val="0"/>
          <w:divBdr>
            <w:top w:val="none" w:sz="0" w:space="0" w:color="auto"/>
            <w:left w:val="none" w:sz="0" w:space="0" w:color="auto"/>
            <w:bottom w:val="none" w:sz="0" w:space="0" w:color="auto"/>
            <w:right w:val="none" w:sz="0" w:space="0" w:color="auto"/>
          </w:divBdr>
        </w:div>
      </w:divsChild>
    </w:div>
    <w:div w:id="2081520347">
      <w:bodyDiv w:val="1"/>
      <w:marLeft w:val="0"/>
      <w:marRight w:val="0"/>
      <w:marTop w:val="0"/>
      <w:marBottom w:val="0"/>
      <w:divBdr>
        <w:top w:val="none" w:sz="0" w:space="0" w:color="auto"/>
        <w:left w:val="none" w:sz="0" w:space="0" w:color="auto"/>
        <w:bottom w:val="none" w:sz="0" w:space="0" w:color="auto"/>
        <w:right w:val="none" w:sz="0" w:space="0" w:color="auto"/>
      </w:divBdr>
    </w:div>
    <w:div w:id="2083671158">
      <w:bodyDiv w:val="1"/>
      <w:marLeft w:val="0"/>
      <w:marRight w:val="0"/>
      <w:marTop w:val="0"/>
      <w:marBottom w:val="0"/>
      <w:divBdr>
        <w:top w:val="none" w:sz="0" w:space="0" w:color="auto"/>
        <w:left w:val="none" w:sz="0" w:space="0" w:color="auto"/>
        <w:bottom w:val="none" w:sz="0" w:space="0" w:color="auto"/>
        <w:right w:val="none" w:sz="0" w:space="0" w:color="auto"/>
      </w:divBdr>
      <w:divsChild>
        <w:div w:id="5374049">
          <w:marLeft w:val="547"/>
          <w:marRight w:val="0"/>
          <w:marTop w:val="240"/>
          <w:marBottom w:val="0"/>
          <w:divBdr>
            <w:top w:val="none" w:sz="0" w:space="0" w:color="auto"/>
            <w:left w:val="none" w:sz="0" w:space="0" w:color="auto"/>
            <w:bottom w:val="none" w:sz="0" w:space="0" w:color="auto"/>
            <w:right w:val="none" w:sz="0" w:space="0" w:color="auto"/>
          </w:divBdr>
        </w:div>
        <w:div w:id="201066056">
          <w:marLeft w:val="547"/>
          <w:marRight w:val="0"/>
          <w:marTop w:val="240"/>
          <w:marBottom w:val="0"/>
          <w:divBdr>
            <w:top w:val="none" w:sz="0" w:space="0" w:color="auto"/>
            <w:left w:val="none" w:sz="0" w:space="0" w:color="auto"/>
            <w:bottom w:val="none" w:sz="0" w:space="0" w:color="auto"/>
            <w:right w:val="none" w:sz="0" w:space="0" w:color="auto"/>
          </w:divBdr>
        </w:div>
        <w:div w:id="344357734">
          <w:marLeft w:val="547"/>
          <w:marRight w:val="0"/>
          <w:marTop w:val="240"/>
          <w:marBottom w:val="0"/>
          <w:divBdr>
            <w:top w:val="none" w:sz="0" w:space="0" w:color="auto"/>
            <w:left w:val="none" w:sz="0" w:space="0" w:color="auto"/>
            <w:bottom w:val="none" w:sz="0" w:space="0" w:color="auto"/>
            <w:right w:val="none" w:sz="0" w:space="0" w:color="auto"/>
          </w:divBdr>
        </w:div>
        <w:div w:id="430395897">
          <w:marLeft w:val="547"/>
          <w:marRight w:val="0"/>
          <w:marTop w:val="240"/>
          <w:marBottom w:val="0"/>
          <w:divBdr>
            <w:top w:val="none" w:sz="0" w:space="0" w:color="auto"/>
            <w:left w:val="none" w:sz="0" w:space="0" w:color="auto"/>
            <w:bottom w:val="none" w:sz="0" w:space="0" w:color="auto"/>
            <w:right w:val="none" w:sz="0" w:space="0" w:color="auto"/>
          </w:divBdr>
        </w:div>
        <w:div w:id="1016889001">
          <w:marLeft w:val="547"/>
          <w:marRight w:val="0"/>
          <w:marTop w:val="240"/>
          <w:marBottom w:val="0"/>
          <w:divBdr>
            <w:top w:val="none" w:sz="0" w:space="0" w:color="auto"/>
            <w:left w:val="none" w:sz="0" w:space="0" w:color="auto"/>
            <w:bottom w:val="none" w:sz="0" w:space="0" w:color="auto"/>
            <w:right w:val="none" w:sz="0" w:space="0" w:color="auto"/>
          </w:divBdr>
        </w:div>
        <w:div w:id="1313825599">
          <w:marLeft w:val="547"/>
          <w:marRight w:val="0"/>
          <w:marTop w:val="240"/>
          <w:marBottom w:val="0"/>
          <w:divBdr>
            <w:top w:val="none" w:sz="0" w:space="0" w:color="auto"/>
            <w:left w:val="none" w:sz="0" w:space="0" w:color="auto"/>
            <w:bottom w:val="none" w:sz="0" w:space="0" w:color="auto"/>
            <w:right w:val="none" w:sz="0" w:space="0" w:color="auto"/>
          </w:divBdr>
        </w:div>
        <w:div w:id="1517965308">
          <w:marLeft w:val="547"/>
          <w:marRight w:val="0"/>
          <w:marTop w:val="240"/>
          <w:marBottom w:val="0"/>
          <w:divBdr>
            <w:top w:val="none" w:sz="0" w:space="0" w:color="auto"/>
            <w:left w:val="none" w:sz="0" w:space="0" w:color="auto"/>
            <w:bottom w:val="none" w:sz="0" w:space="0" w:color="auto"/>
            <w:right w:val="none" w:sz="0" w:space="0" w:color="auto"/>
          </w:divBdr>
        </w:div>
        <w:div w:id="1619989855">
          <w:marLeft w:val="547"/>
          <w:marRight w:val="0"/>
          <w:marTop w:val="240"/>
          <w:marBottom w:val="0"/>
          <w:divBdr>
            <w:top w:val="none" w:sz="0" w:space="0" w:color="auto"/>
            <w:left w:val="none" w:sz="0" w:space="0" w:color="auto"/>
            <w:bottom w:val="none" w:sz="0" w:space="0" w:color="auto"/>
            <w:right w:val="none" w:sz="0" w:space="0" w:color="auto"/>
          </w:divBdr>
        </w:div>
        <w:div w:id="1904442503">
          <w:marLeft w:val="547"/>
          <w:marRight w:val="0"/>
          <w:marTop w:val="240"/>
          <w:marBottom w:val="0"/>
          <w:divBdr>
            <w:top w:val="none" w:sz="0" w:space="0" w:color="auto"/>
            <w:left w:val="none" w:sz="0" w:space="0" w:color="auto"/>
            <w:bottom w:val="none" w:sz="0" w:space="0" w:color="auto"/>
            <w:right w:val="none" w:sz="0" w:space="0" w:color="auto"/>
          </w:divBdr>
        </w:div>
        <w:div w:id="2134397181">
          <w:marLeft w:val="547"/>
          <w:marRight w:val="0"/>
          <w:marTop w:val="240"/>
          <w:marBottom w:val="0"/>
          <w:divBdr>
            <w:top w:val="none" w:sz="0" w:space="0" w:color="auto"/>
            <w:left w:val="none" w:sz="0" w:space="0" w:color="auto"/>
            <w:bottom w:val="none" w:sz="0" w:space="0" w:color="auto"/>
            <w:right w:val="none" w:sz="0" w:space="0" w:color="auto"/>
          </w:divBdr>
        </w:div>
      </w:divsChild>
    </w:div>
    <w:div w:id="2098212285">
      <w:bodyDiv w:val="1"/>
      <w:marLeft w:val="0"/>
      <w:marRight w:val="0"/>
      <w:marTop w:val="0"/>
      <w:marBottom w:val="0"/>
      <w:divBdr>
        <w:top w:val="none" w:sz="0" w:space="0" w:color="auto"/>
        <w:left w:val="none" w:sz="0" w:space="0" w:color="auto"/>
        <w:bottom w:val="none" w:sz="0" w:space="0" w:color="auto"/>
        <w:right w:val="none" w:sz="0" w:space="0" w:color="auto"/>
      </w:divBdr>
      <w:divsChild>
        <w:div w:id="3215514">
          <w:marLeft w:val="1080"/>
          <w:marRight w:val="0"/>
          <w:marTop w:val="40"/>
          <w:marBottom w:val="0"/>
          <w:divBdr>
            <w:top w:val="none" w:sz="0" w:space="0" w:color="auto"/>
            <w:left w:val="none" w:sz="0" w:space="0" w:color="auto"/>
            <w:bottom w:val="none" w:sz="0" w:space="0" w:color="auto"/>
            <w:right w:val="none" w:sz="0" w:space="0" w:color="auto"/>
          </w:divBdr>
        </w:div>
        <w:div w:id="246353726">
          <w:marLeft w:val="1080"/>
          <w:marRight w:val="0"/>
          <w:marTop w:val="240"/>
          <w:marBottom w:val="0"/>
          <w:divBdr>
            <w:top w:val="none" w:sz="0" w:space="0" w:color="auto"/>
            <w:left w:val="none" w:sz="0" w:space="0" w:color="auto"/>
            <w:bottom w:val="none" w:sz="0" w:space="0" w:color="auto"/>
            <w:right w:val="none" w:sz="0" w:space="0" w:color="auto"/>
          </w:divBdr>
        </w:div>
        <w:div w:id="413430317">
          <w:marLeft w:val="547"/>
          <w:marRight w:val="0"/>
          <w:marTop w:val="60"/>
          <w:marBottom w:val="0"/>
          <w:divBdr>
            <w:top w:val="none" w:sz="0" w:space="0" w:color="auto"/>
            <w:left w:val="none" w:sz="0" w:space="0" w:color="auto"/>
            <w:bottom w:val="none" w:sz="0" w:space="0" w:color="auto"/>
            <w:right w:val="none" w:sz="0" w:space="0" w:color="auto"/>
          </w:divBdr>
        </w:div>
        <w:div w:id="607353931">
          <w:marLeft w:val="547"/>
          <w:marRight w:val="0"/>
          <w:marTop w:val="60"/>
          <w:marBottom w:val="0"/>
          <w:divBdr>
            <w:top w:val="none" w:sz="0" w:space="0" w:color="auto"/>
            <w:left w:val="none" w:sz="0" w:space="0" w:color="auto"/>
            <w:bottom w:val="none" w:sz="0" w:space="0" w:color="auto"/>
            <w:right w:val="none" w:sz="0" w:space="0" w:color="auto"/>
          </w:divBdr>
        </w:div>
        <w:div w:id="1800881740">
          <w:marLeft w:val="547"/>
          <w:marRight w:val="0"/>
          <w:marTop w:val="60"/>
          <w:marBottom w:val="0"/>
          <w:divBdr>
            <w:top w:val="none" w:sz="0" w:space="0" w:color="auto"/>
            <w:left w:val="none" w:sz="0" w:space="0" w:color="auto"/>
            <w:bottom w:val="none" w:sz="0" w:space="0" w:color="auto"/>
            <w:right w:val="none" w:sz="0" w:space="0" w:color="auto"/>
          </w:divBdr>
        </w:div>
      </w:divsChild>
    </w:div>
    <w:div w:id="2102485573">
      <w:bodyDiv w:val="1"/>
      <w:marLeft w:val="0"/>
      <w:marRight w:val="0"/>
      <w:marTop w:val="0"/>
      <w:marBottom w:val="0"/>
      <w:divBdr>
        <w:top w:val="none" w:sz="0" w:space="0" w:color="auto"/>
        <w:left w:val="none" w:sz="0" w:space="0" w:color="auto"/>
        <w:bottom w:val="none" w:sz="0" w:space="0" w:color="auto"/>
        <w:right w:val="none" w:sz="0" w:space="0" w:color="auto"/>
      </w:divBdr>
      <w:divsChild>
        <w:div w:id="149906916">
          <w:marLeft w:val="1685"/>
          <w:marRight w:val="0"/>
          <w:marTop w:val="60"/>
          <w:marBottom w:val="0"/>
          <w:divBdr>
            <w:top w:val="none" w:sz="0" w:space="0" w:color="auto"/>
            <w:left w:val="none" w:sz="0" w:space="0" w:color="auto"/>
            <w:bottom w:val="none" w:sz="0" w:space="0" w:color="auto"/>
            <w:right w:val="none" w:sz="0" w:space="0" w:color="auto"/>
          </w:divBdr>
        </w:div>
        <w:div w:id="789977217">
          <w:marLeft w:val="1426"/>
          <w:marRight w:val="0"/>
          <w:marTop w:val="60"/>
          <w:marBottom w:val="0"/>
          <w:divBdr>
            <w:top w:val="none" w:sz="0" w:space="0" w:color="auto"/>
            <w:left w:val="none" w:sz="0" w:space="0" w:color="auto"/>
            <w:bottom w:val="none" w:sz="0" w:space="0" w:color="auto"/>
            <w:right w:val="none" w:sz="0" w:space="0" w:color="auto"/>
          </w:divBdr>
        </w:div>
        <w:div w:id="1243758265">
          <w:marLeft w:val="965"/>
          <w:marRight w:val="0"/>
          <w:marTop w:val="60"/>
          <w:marBottom w:val="0"/>
          <w:divBdr>
            <w:top w:val="none" w:sz="0" w:space="0" w:color="auto"/>
            <w:left w:val="none" w:sz="0" w:space="0" w:color="auto"/>
            <w:bottom w:val="none" w:sz="0" w:space="0" w:color="auto"/>
            <w:right w:val="none" w:sz="0" w:space="0" w:color="auto"/>
          </w:divBdr>
        </w:div>
        <w:div w:id="1254047634">
          <w:marLeft w:val="850"/>
          <w:marRight w:val="0"/>
          <w:marTop w:val="60"/>
          <w:marBottom w:val="0"/>
          <w:divBdr>
            <w:top w:val="none" w:sz="0" w:space="0" w:color="auto"/>
            <w:left w:val="none" w:sz="0" w:space="0" w:color="auto"/>
            <w:bottom w:val="none" w:sz="0" w:space="0" w:color="auto"/>
            <w:right w:val="none" w:sz="0" w:space="0" w:color="auto"/>
          </w:divBdr>
        </w:div>
        <w:div w:id="1264652106">
          <w:marLeft w:val="1426"/>
          <w:marRight w:val="0"/>
          <w:marTop w:val="60"/>
          <w:marBottom w:val="0"/>
          <w:divBdr>
            <w:top w:val="none" w:sz="0" w:space="0" w:color="auto"/>
            <w:left w:val="none" w:sz="0" w:space="0" w:color="auto"/>
            <w:bottom w:val="none" w:sz="0" w:space="0" w:color="auto"/>
            <w:right w:val="none" w:sz="0" w:space="0" w:color="auto"/>
          </w:divBdr>
        </w:div>
        <w:div w:id="1406682723">
          <w:marLeft w:val="1426"/>
          <w:marRight w:val="0"/>
          <w:marTop w:val="60"/>
          <w:marBottom w:val="0"/>
          <w:divBdr>
            <w:top w:val="none" w:sz="0" w:space="0" w:color="auto"/>
            <w:left w:val="none" w:sz="0" w:space="0" w:color="auto"/>
            <w:bottom w:val="none" w:sz="0" w:space="0" w:color="auto"/>
            <w:right w:val="none" w:sz="0" w:space="0" w:color="auto"/>
          </w:divBdr>
        </w:div>
        <w:div w:id="1483690112">
          <w:marLeft w:val="965"/>
          <w:marRight w:val="0"/>
          <w:marTop w:val="60"/>
          <w:marBottom w:val="0"/>
          <w:divBdr>
            <w:top w:val="none" w:sz="0" w:space="0" w:color="auto"/>
            <w:left w:val="none" w:sz="0" w:space="0" w:color="auto"/>
            <w:bottom w:val="none" w:sz="0" w:space="0" w:color="auto"/>
            <w:right w:val="none" w:sz="0" w:space="0" w:color="auto"/>
          </w:divBdr>
        </w:div>
        <w:div w:id="1679191288">
          <w:marLeft w:val="1426"/>
          <w:marRight w:val="0"/>
          <w:marTop w:val="60"/>
          <w:marBottom w:val="0"/>
          <w:divBdr>
            <w:top w:val="none" w:sz="0" w:space="0" w:color="auto"/>
            <w:left w:val="none" w:sz="0" w:space="0" w:color="auto"/>
            <w:bottom w:val="none" w:sz="0" w:space="0" w:color="auto"/>
            <w:right w:val="none" w:sz="0" w:space="0" w:color="auto"/>
          </w:divBdr>
        </w:div>
        <w:div w:id="1706253329">
          <w:marLeft w:val="1426"/>
          <w:marRight w:val="0"/>
          <w:marTop w:val="60"/>
          <w:marBottom w:val="0"/>
          <w:divBdr>
            <w:top w:val="none" w:sz="0" w:space="0" w:color="auto"/>
            <w:left w:val="none" w:sz="0" w:space="0" w:color="auto"/>
            <w:bottom w:val="none" w:sz="0" w:space="0" w:color="auto"/>
            <w:right w:val="none" w:sz="0" w:space="0" w:color="auto"/>
          </w:divBdr>
        </w:div>
        <w:div w:id="1886141250">
          <w:marLeft w:val="1426"/>
          <w:marRight w:val="0"/>
          <w:marTop w:val="60"/>
          <w:marBottom w:val="0"/>
          <w:divBdr>
            <w:top w:val="none" w:sz="0" w:space="0" w:color="auto"/>
            <w:left w:val="none" w:sz="0" w:space="0" w:color="auto"/>
            <w:bottom w:val="none" w:sz="0" w:space="0" w:color="auto"/>
            <w:right w:val="none" w:sz="0" w:space="0" w:color="auto"/>
          </w:divBdr>
        </w:div>
        <w:div w:id="1955476479">
          <w:marLeft w:val="1426"/>
          <w:marRight w:val="0"/>
          <w:marTop w:val="60"/>
          <w:marBottom w:val="0"/>
          <w:divBdr>
            <w:top w:val="none" w:sz="0" w:space="0" w:color="auto"/>
            <w:left w:val="none" w:sz="0" w:space="0" w:color="auto"/>
            <w:bottom w:val="none" w:sz="0" w:space="0" w:color="auto"/>
            <w:right w:val="none" w:sz="0" w:space="0" w:color="auto"/>
          </w:divBdr>
        </w:div>
      </w:divsChild>
    </w:div>
    <w:div w:id="2125464295">
      <w:bodyDiv w:val="1"/>
      <w:marLeft w:val="0"/>
      <w:marRight w:val="0"/>
      <w:marTop w:val="0"/>
      <w:marBottom w:val="0"/>
      <w:divBdr>
        <w:top w:val="none" w:sz="0" w:space="0" w:color="auto"/>
        <w:left w:val="none" w:sz="0" w:space="0" w:color="auto"/>
        <w:bottom w:val="none" w:sz="0" w:space="0" w:color="auto"/>
        <w:right w:val="none" w:sz="0" w:space="0" w:color="auto"/>
      </w:divBdr>
    </w:div>
    <w:div w:id="2139253575">
      <w:bodyDiv w:val="1"/>
      <w:marLeft w:val="0"/>
      <w:marRight w:val="0"/>
      <w:marTop w:val="0"/>
      <w:marBottom w:val="0"/>
      <w:divBdr>
        <w:top w:val="none" w:sz="0" w:space="0" w:color="auto"/>
        <w:left w:val="none" w:sz="0" w:space="0" w:color="auto"/>
        <w:bottom w:val="none" w:sz="0" w:space="0" w:color="auto"/>
        <w:right w:val="none" w:sz="0" w:space="0" w:color="auto"/>
      </w:divBdr>
      <w:divsChild>
        <w:div w:id="71897911">
          <w:marLeft w:val="2405"/>
          <w:marRight w:val="0"/>
          <w:marTop w:val="0"/>
          <w:marBottom w:val="0"/>
          <w:divBdr>
            <w:top w:val="none" w:sz="0" w:space="0" w:color="auto"/>
            <w:left w:val="none" w:sz="0" w:space="0" w:color="auto"/>
            <w:bottom w:val="none" w:sz="0" w:space="0" w:color="auto"/>
            <w:right w:val="none" w:sz="0" w:space="0" w:color="auto"/>
          </w:divBdr>
        </w:div>
        <w:div w:id="213473643">
          <w:marLeft w:val="1426"/>
          <w:marRight w:val="0"/>
          <w:marTop w:val="255"/>
          <w:marBottom w:val="0"/>
          <w:divBdr>
            <w:top w:val="none" w:sz="0" w:space="0" w:color="auto"/>
            <w:left w:val="none" w:sz="0" w:space="0" w:color="auto"/>
            <w:bottom w:val="none" w:sz="0" w:space="0" w:color="auto"/>
            <w:right w:val="none" w:sz="0" w:space="0" w:color="auto"/>
          </w:divBdr>
        </w:div>
        <w:div w:id="373500869">
          <w:marLeft w:val="2146"/>
          <w:marRight w:val="0"/>
          <w:marTop w:val="0"/>
          <w:marBottom w:val="0"/>
          <w:divBdr>
            <w:top w:val="none" w:sz="0" w:space="0" w:color="auto"/>
            <w:left w:val="none" w:sz="0" w:space="0" w:color="auto"/>
            <w:bottom w:val="none" w:sz="0" w:space="0" w:color="auto"/>
            <w:right w:val="none" w:sz="0" w:space="0" w:color="auto"/>
          </w:divBdr>
        </w:div>
        <w:div w:id="528252319">
          <w:marLeft w:val="2146"/>
          <w:marRight w:val="0"/>
          <w:marTop w:val="0"/>
          <w:marBottom w:val="0"/>
          <w:divBdr>
            <w:top w:val="none" w:sz="0" w:space="0" w:color="auto"/>
            <w:left w:val="none" w:sz="0" w:space="0" w:color="auto"/>
            <w:bottom w:val="none" w:sz="0" w:space="0" w:color="auto"/>
            <w:right w:val="none" w:sz="0" w:space="0" w:color="auto"/>
          </w:divBdr>
        </w:div>
        <w:div w:id="699009999">
          <w:marLeft w:val="2146"/>
          <w:marRight w:val="0"/>
          <w:marTop w:val="0"/>
          <w:marBottom w:val="0"/>
          <w:divBdr>
            <w:top w:val="none" w:sz="0" w:space="0" w:color="auto"/>
            <w:left w:val="none" w:sz="0" w:space="0" w:color="auto"/>
            <w:bottom w:val="none" w:sz="0" w:space="0" w:color="auto"/>
            <w:right w:val="none" w:sz="0" w:space="0" w:color="auto"/>
          </w:divBdr>
        </w:div>
        <w:div w:id="809205171">
          <w:marLeft w:val="2146"/>
          <w:marRight w:val="0"/>
          <w:marTop w:val="0"/>
          <w:marBottom w:val="0"/>
          <w:divBdr>
            <w:top w:val="none" w:sz="0" w:space="0" w:color="auto"/>
            <w:left w:val="none" w:sz="0" w:space="0" w:color="auto"/>
            <w:bottom w:val="none" w:sz="0" w:space="0" w:color="auto"/>
            <w:right w:val="none" w:sz="0" w:space="0" w:color="auto"/>
          </w:divBdr>
        </w:div>
        <w:div w:id="858658934">
          <w:marLeft w:val="1426"/>
          <w:marRight w:val="0"/>
          <w:marTop w:val="255"/>
          <w:marBottom w:val="0"/>
          <w:divBdr>
            <w:top w:val="none" w:sz="0" w:space="0" w:color="auto"/>
            <w:left w:val="none" w:sz="0" w:space="0" w:color="auto"/>
            <w:bottom w:val="none" w:sz="0" w:space="0" w:color="auto"/>
            <w:right w:val="none" w:sz="0" w:space="0" w:color="auto"/>
          </w:divBdr>
        </w:div>
        <w:div w:id="976184237">
          <w:marLeft w:val="2146"/>
          <w:marRight w:val="0"/>
          <w:marTop w:val="0"/>
          <w:marBottom w:val="0"/>
          <w:divBdr>
            <w:top w:val="none" w:sz="0" w:space="0" w:color="auto"/>
            <w:left w:val="none" w:sz="0" w:space="0" w:color="auto"/>
            <w:bottom w:val="none" w:sz="0" w:space="0" w:color="auto"/>
            <w:right w:val="none" w:sz="0" w:space="0" w:color="auto"/>
          </w:divBdr>
        </w:div>
        <w:div w:id="1297686707">
          <w:marLeft w:val="2405"/>
          <w:marRight w:val="0"/>
          <w:marTop w:val="0"/>
          <w:marBottom w:val="0"/>
          <w:divBdr>
            <w:top w:val="none" w:sz="0" w:space="0" w:color="auto"/>
            <w:left w:val="none" w:sz="0" w:space="0" w:color="auto"/>
            <w:bottom w:val="none" w:sz="0" w:space="0" w:color="auto"/>
            <w:right w:val="none" w:sz="0" w:space="0" w:color="auto"/>
          </w:divBdr>
        </w:div>
        <w:div w:id="1478836227">
          <w:marLeft w:val="1426"/>
          <w:marRight w:val="0"/>
          <w:marTop w:val="255"/>
          <w:marBottom w:val="0"/>
          <w:divBdr>
            <w:top w:val="none" w:sz="0" w:space="0" w:color="auto"/>
            <w:left w:val="none" w:sz="0" w:space="0" w:color="auto"/>
            <w:bottom w:val="none" w:sz="0" w:space="0" w:color="auto"/>
            <w:right w:val="none" w:sz="0" w:space="0" w:color="auto"/>
          </w:divBdr>
        </w:div>
        <w:div w:id="1530022876">
          <w:marLeft w:val="1426"/>
          <w:marRight w:val="0"/>
          <w:marTop w:val="255"/>
          <w:marBottom w:val="0"/>
          <w:divBdr>
            <w:top w:val="none" w:sz="0" w:space="0" w:color="auto"/>
            <w:left w:val="none" w:sz="0" w:space="0" w:color="auto"/>
            <w:bottom w:val="none" w:sz="0" w:space="0" w:color="auto"/>
            <w:right w:val="none" w:sz="0" w:space="0" w:color="auto"/>
          </w:divBdr>
        </w:div>
        <w:div w:id="1731077974">
          <w:marLeft w:val="2146"/>
          <w:marRight w:val="0"/>
          <w:marTop w:val="0"/>
          <w:marBottom w:val="0"/>
          <w:divBdr>
            <w:top w:val="none" w:sz="0" w:space="0" w:color="auto"/>
            <w:left w:val="none" w:sz="0" w:space="0" w:color="auto"/>
            <w:bottom w:val="none" w:sz="0" w:space="0" w:color="auto"/>
            <w:right w:val="none" w:sz="0" w:space="0" w:color="auto"/>
          </w:divBdr>
        </w:div>
        <w:div w:id="1921984832">
          <w:marLeft w:val="2146"/>
          <w:marRight w:val="0"/>
          <w:marTop w:val="0"/>
          <w:marBottom w:val="0"/>
          <w:divBdr>
            <w:top w:val="none" w:sz="0" w:space="0" w:color="auto"/>
            <w:left w:val="none" w:sz="0" w:space="0" w:color="auto"/>
            <w:bottom w:val="none" w:sz="0" w:space="0" w:color="auto"/>
            <w:right w:val="none" w:sz="0" w:space="0" w:color="auto"/>
          </w:divBdr>
        </w:div>
        <w:div w:id="1980452810">
          <w:marLeft w:val="2146"/>
          <w:marRight w:val="0"/>
          <w:marTop w:val="0"/>
          <w:marBottom w:val="0"/>
          <w:divBdr>
            <w:top w:val="none" w:sz="0" w:space="0" w:color="auto"/>
            <w:left w:val="none" w:sz="0" w:space="0" w:color="auto"/>
            <w:bottom w:val="none" w:sz="0" w:space="0" w:color="auto"/>
            <w:right w:val="none" w:sz="0" w:space="0" w:color="auto"/>
          </w:divBdr>
        </w:div>
        <w:div w:id="2024168793">
          <w:marLeft w:val="2146"/>
          <w:marRight w:val="0"/>
          <w:marTop w:val="0"/>
          <w:marBottom w:val="0"/>
          <w:divBdr>
            <w:top w:val="none" w:sz="0" w:space="0" w:color="auto"/>
            <w:left w:val="none" w:sz="0" w:space="0" w:color="auto"/>
            <w:bottom w:val="none" w:sz="0" w:space="0" w:color="auto"/>
            <w:right w:val="none" w:sz="0" w:space="0" w:color="auto"/>
          </w:divBdr>
        </w:div>
        <w:div w:id="2133359133">
          <w:marLeft w:val="21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iellor.gashi@rks-gov.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5.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iellor.Gashi@rks-gov.ne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23EB1696E04E4CB681C2850DC974AA" ma:contentTypeVersion="15" ma:contentTypeDescription="Create a new document." ma:contentTypeScope="" ma:versionID="bafde71861df16a8fe0fae29715665ad">
  <xsd:schema xmlns:xsd="http://www.w3.org/2001/XMLSchema" xmlns:xs="http://www.w3.org/2001/XMLSchema" xmlns:p="http://schemas.microsoft.com/office/2006/metadata/properties" xmlns:ns2="abb6e558-0cc0-4fbe-b0b5-dab548eeacdf" xmlns:ns3="3466bae5-2255-4667-b2b4-427a49a75148" targetNamespace="http://schemas.microsoft.com/office/2006/metadata/properties" ma:root="true" ma:fieldsID="43cb0edd64676cbd4a348597b9c99f7f" ns2:_="" ns3:_="">
    <xsd:import namespace="abb6e558-0cc0-4fbe-b0b5-dab548eeacdf"/>
    <xsd:import namespace="3466bae5-2255-4667-b2b4-427a49a751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6e558-0cc0-4fbe-b0b5-dab548eea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bc43cd4-23ed-4fb6-b16a-0777e254c02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66bae5-2255-4667-b2b4-427a49a751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11d27b-0162-4e14-a2dc-2224fe71a568}" ma:internalName="TaxCatchAll" ma:showField="CatchAllData" ma:web="3466bae5-2255-4667-b2b4-427a49a75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2A0BC-16D5-4746-8D02-4A1ED7C6339D}">
  <ds:schemaRefs>
    <ds:schemaRef ds:uri="http://schemas.microsoft.com/sharepoint/v3/contenttype/forms"/>
  </ds:schemaRefs>
</ds:datastoreItem>
</file>

<file path=customXml/itemProps2.xml><?xml version="1.0" encoding="utf-8"?>
<ds:datastoreItem xmlns:ds="http://schemas.openxmlformats.org/officeDocument/2006/customXml" ds:itemID="{3DA397F2-415E-463E-B428-3D217EAC8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6e558-0cc0-4fbe-b0b5-dab548eeacdf"/>
    <ds:schemaRef ds:uri="3466bae5-2255-4667-b2b4-427a49a75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3406B6-9DC7-4E3F-BF37-9563C995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13733</Words>
  <Characters>78279</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91829</CharactersWithSpaces>
  <SharedDoc>false</SharedDoc>
  <HLinks>
    <vt:vector size="18" baseType="variant">
      <vt:variant>
        <vt:i4>4063326</vt:i4>
      </vt:variant>
      <vt:variant>
        <vt:i4>99</vt:i4>
      </vt:variant>
      <vt:variant>
        <vt:i4>0</vt:i4>
      </vt:variant>
      <vt:variant>
        <vt:i4>5</vt:i4>
      </vt:variant>
      <vt:variant>
        <vt:lpwstr>http://www.president-office.gov.mm/en/briefing-room/speeches-and-remarks/2012/12/26/id-1320</vt:lpwstr>
      </vt:variant>
      <vt:variant>
        <vt:lpwstr/>
      </vt:variant>
      <vt:variant>
        <vt:i4>6946899</vt:i4>
      </vt:variant>
      <vt:variant>
        <vt:i4>29024</vt:i4>
      </vt:variant>
      <vt:variant>
        <vt:i4>1026</vt:i4>
      </vt:variant>
      <vt:variant>
        <vt:i4>1</vt:i4>
      </vt:variant>
      <vt:variant>
        <vt:lpwstr>Myanmar Administrative Structure[3]</vt:lpwstr>
      </vt:variant>
      <vt:variant>
        <vt:lpwstr/>
      </vt:variant>
      <vt:variant>
        <vt:i4>1638409</vt:i4>
      </vt:variant>
      <vt:variant>
        <vt:i4>63326</vt:i4>
      </vt:variant>
      <vt:variant>
        <vt:i4>1025</vt:i4>
      </vt:variant>
      <vt:variant>
        <vt:i4>1</vt:i4>
      </vt:variant>
      <vt:variant>
        <vt:lpwstr>Myanmar gov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PULSE Electronics</dc:creator>
  <cp:lastModifiedBy>Lazar Mitic</cp:lastModifiedBy>
  <cp:revision>2</cp:revision>
  <dcterms:created xsi:type="dcterms:W3CDTF">2025-12-12T10:13:00Z</dcterms:created>
  <dcterms:modified xsi:type="dcterms:W3CDTF">2025-12-12T10:13:00Z</dcterms:modified>
</cp:coreProperties>
</file>