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Ex1.xml" ContentType="application/vnd.ms-office.chartex+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Ex2.xml" ContentType="application/vnd.ms-office.chartex+xml"/>
  <Override PartName="/word/charts/style13.xml" ContentType="application/vnd.ms-office.chartstyle+xml"/>
  <Override PartName="/word/charts/colors13.xml" ContentType="application/vnd.ms-office.chartcolorstyle+xml"/>
  <Override PartName="/word/theme/themeOverride1.xml" ContentType="application/vnd.openxmlformats-officedocument.themeOverride+xml"/>
  <Override PartName="/word/charts/chart12.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3.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4.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5.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6.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7.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8.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19.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0.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1.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2.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3.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4.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5.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6.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7.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28.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Ex3.xml" ContentType="application/vnd.ms-office.chartex+xml"/>
  <Override PartName="/word/charts/style31.xml" ContentType="application/vnd.ms-office.chartstyle+xml"/>
  <Override PartName="/word/charts/colors31.xml" ContentType="application/vnd.ms-office.chartcolorstyle+xml"/>
  <Override PartName="/word/charts/chart29.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Ex4.xml" ContentType="application/vnd.ms-office.chartex+xml"/>
  <Override PartName="/word/charts/style33.xml" ContentType="application/vnd.ms-office.chartstyle+xml"/>
  <Override PartName="/word/charts/colors33.xml" ContentType="application/vnd.ms-office.chartcolorstyle+xml"/>
  <Override PartName="/word/charts/chartEx5.xml" ContentType="application/vnd.ms-office.chartex+xml"/>
  <Override PartName="/word/charts/style34.xml" ContentType="application/vnd.ms-office.chartstyle+xml"/>
  <Override PartName="/word/charts/colors34.xml" ContentType="application/vnd.ms-office.chartcolorstyle+xml"/>
  <Override PartName="/word/charts/chart30.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1.xml" ContentType="application/vnd.openxmlformats-officedocument.drawingml.chart+xml"/>
  <Override PartName="/word/charts/style36.xml" ContentType="application/vnd.ms-office.chartstyle+xml"/>
  <Override PartName="/word/charts/colors3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212D9" w14:textId="0D7ABAC7" w:rsidR="001F5C47" w:rsidRPr="001F5C47" w:rsidRDefault="001F5C47" w:rsidP="001F5C47">
      <w:pPr>
        <w:spacing w:after="0"/>
        <w:jc w:val="center"/>
        <w:rPr>
          <w:rFonts w:ascii="Book Antiqua" w:eastAsia="Batang" w:hAnsi="Book Antiqua"/>
        </w:rPr>
      </w:pPr>
      <w:r>
        <w:rPr>
          <w:noProof/>
          <w:lang w:eastAsia="sq-AL"/>
        </w:rPr>
        <w:drawing>
          <wp:inline distT="0" distB="0" distL="0" distR="0" wp14:anchorId="2880207A" wp14:editId="70955190">
            <wp:extent cx="6105125" cy="8115299"/>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1865" cy="8124259"/>
                    </a:xfrm>
                    <a:prstGeom prst="rect">
                      <a:avLst/>
                    </a:prstGeom>
                    <a:noFill/>
                    <a:ln>
                      <a:noFill/>
                    </a:ln>
                  </pic:spPr>
                </pic:pic>
              </a:graphicData>
            </a:graphic>
          </wp:inline>
        </w:drawing>
      </w:r>
      <w:r w:rsidR="004E0DA8">
        <w:rPr>
          <w:rFonts w:ascii="Calibri" w:eastAsia="Batang" w:hAnsi="Calibri"/>
        </w:rPr>
        <w:t xml:space="preserve"> </w:t>
      </w:r>
      <w:r w:rsidR="003F57AE" w:rsidRPr="00594CBB">
        <w:rPr>
          <w:rFonts w:ascii="Calibri" w:eastAsia="Batang" w:hAnsi="Calibri"/>
        </w:rPr>
        <w:t xml:space="preserve">  </w:t>
      </w:r>
      <w:bookmarkStart w:id="0" w:name="_Hlk227672521"/>
    </w:p>
    <w:sdt>
      <w:sdtPr>
        <w:rPr>
          <w:rFonts w:asciiTheme="minorHAnsi" w:eastAsiaTheme="minorEastAsia" w:hAnsiTheme="minorHAnsi" w:cstheme="minorBidi"/>
          <w:b w:val="0"/>
          <w:bCs w:val="0"/>
          <w:caps w:val="0"/>
          <w:color w:val="auto"/>
          <w:spacing w:val="0"/>
          <w:sz w:val="20"/>
          <w:szCs w:val="22"/>
          <w:lang w:val="en-US"/>
        </w:rPr>
        <w:id w:val="-1029799664"/>
        <w:docPartObj>
          <w:docPartGallery w:val="Table of Contents"/>
          <w:docPartUnique/>
        </w:docPartObj>
      </w:sdtPr>
      <w:sdtEndPr>
        <w:rPr>
          <w:sz w:val="22"/>
          <w:lang w:val="sq-AL"/>
        </w:rPr>
      </w:sdtEndPr>
      <w:sdtContent>
        <w:p w14:paraId="09CFA975" w14:textId="3E7239C7" w:rsidR="005B0653" w:rsidRPr="001A6FD7" w:rsidRDefault="00A83156" w:rsidP="00A83156">
          <w:pPr>
            <w:pStyle w:val="TOCHeading"/>
            <w:spacing w:line="240" w:lineRule="auto"/>
            <w:rPr>
              <w:rFonts w:asciiTheme="majorHAnsi" w:hAnsiTheme="majorHAnsi" w:cstheme="majorHAnsi"/>
              <w:caps w:val="0"/>
              <w:color w:val="2F5496" w:themeColor="accent5" w:themeShade="BF"/>
              <w:sz w:val="16"/>
              <w:szCs w:val="20"/>
            </w:rPr>
          </w:pPr>
          <w:r w:rsidRPr="00C263D5">
            <w:rPr>
              <w:rFonts w:asciiTheme="majorHAnsi" w:hAnsiTheme="majorHAnsi" w:cstheme="majorHAnsi"/>
              <w:caps w:val="0"/>
              <w:color w:val="2F5496" w:themeColor="accent5" w:themeShade="BF"/>
              <w:sz w:val="16"/>
              <w:szCs w:val="20"/>
            </w:rPr>
            <w:t>Përmbajtja</w:t>
          </w:r>
          <w:r w:rsidRPr="00C263D5">
            <w:rPr>
              <w:rFonts w:asciiTheme="majorHAnsi" w:hAnsiTheme="majorHAnsi" w:cstheme="majorHAnsi"/>
              <w:color w:val="2F5496" w:themeColor="accent5" w:themeShade="BF"/>
              <w:sz w:val="16"/>
              <w:szCs w:val="20"/>
            </w:rPr>
            <w:fldChar w:fldCharType="begin"/>
          </w:r>
          <w:r w:rsidRPr="00C263D5">
            <w:rPr>
              <w:rFonts w:asciiTheme="majorHAnsi" w:hAnsiTheme="majorHAnsi" w:cstheme="majorHAnsi"/>
              <w:color w:val="2F5496" w:themeColor="accent5" w:themeShade="BF"/>
              <w:sz w:val="16"/>
              <w:szCs w:val="20"/>
            </w:rPr>
            <w:instrText xml:space="preserve"> TOC \o "1-3" \h \z \u </w:instrText>
          </w:r>
          <w:r w:rsidRPr="00C263D5">
            <w:rPr>
              <w:rFonts w:asciiTheme="majorHAnsi" w:hAnsiTheme="majorHAnsi" w:cstheme="majorHAnsi"/>
              <w:color w:val="2F5496" w:themeColor="accent5" w:themeShade="BF"/>
              <w:sz w:val="16"/>
              <w:szCs w:val="20"/>
            </w:rPr>
            <w:fldChar w:fldCharType="separate"/>
          </w:r>
        </w:p>
        <w:p w14:paraId="7EA4ABEA" w14:textId="42B21F40" w:rsidR="005B0653" w:rsidRPr="00C263D5" w:rsidRDefault="001A6FD7" w:rsidP="00CB4DE5">
          <w:pPr>
            <w:pStyle w:val="TOC1"/>
            <w:rPr>
              <w:rFonts w:asciiTheme="majorHAnsi" w:hAnsiTheme="majorHAnsi" w:cstheme="majorHAnsi"/>
              <w:sz w:val="22"/>
            </w:rPr>
          </w:pPr>
          <w:r>
            <w:t>P</w:t>
          </w:r>
          <w:r w:rsidRPr="001A6FD7">
            <w:t>Ë</w:t>
          </w:r>
          <w:r>
            <w:t xml:space="preserve">RMBLEDHJE EKZEKUTIVE </w:t>
          </w:r>
          <w:hyperlink w:anchor="_Toc227827152" w:history="1">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_Toc227827152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4</w:t>
            </w:r>
            <w:r w:rsidR="005B0653" w:rsidRPr="00C263D5">
              <w:rPr>
                <w:rFonts w:asciiTheme="majorHAnsi" w:hAnsiTheme="majorHAnsi" w:cstheme="majorHAnsi"/>
                <w:webHidden/>
              </w:rPr>
              <w:fldChar w:fldCharType="end"/>
            </w:r>
          </w:hyperlink>
        </w:p>
        <w:p w14:paraId="365DA4FC" w14:textId="55FFA2C1" w:rsidR="005B0653" w:rsidRDefault="00D04369" w:rsidP="00CB4DE5">
          <w:pPr>
            <w:pStyle w:val="TOC1"/>
            <w:rPr>
              <w:rFonts w:asciiTheme="majorHAnsi" w:hAnsiTheme="majorHAnsi" w:cstheme="majorHAnsi"/>
            </w:rPr>
          </w:pPr>
          <w:hyperlink w:anchor="_Toc227827154" w:history="1">
            <w:r w:rsidR="001A6FD7">
              <w:rPr>
                <w:rStyle w:val="Hyperlink"/>
                <w:rFonts w:asciiTheme="majorHAnsi" w:hAnsiTheme="majorHAnsi" w:cstheme="majorHAnsi"/>
              </w:rPr>
              <w:t>HYRJE</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_Toc227827154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5</w:t>
            </w:r>
            <w:r w:rsidR="005B0653" w:rsidRPr="00C263D5">
              <w:rPr>
                <w:rFonts w:asciiTheme="majorHAnsi" w:hAnsiTheme="majorHAnsi" w:cstheme="majorHAnsi"/>
                <w:webHidden/>
              </w:rPr>
              <w:fldChar w:fldCharType="end"/>
            </w:r>
          </w:hyperlink>
        </w:p>
        <w:p w14:paraId="4DB5053D" w14:textId="30F305DE" w:rsidR="001A6FD7" w:rsidRPr="00C263D5" w:rsidRDefault="00D04369" w:rsidP="001A6FD7">
          <w:pPr>
            <w:pStyle w:val="TOC1"/>
            <w:rPr>
              <w:rFonts w:asciiTheme="majorHAnsi" w:hAnsiTheme="majorHAnsi" w:cstheme="majorHAnsi"/>
              <w:sz w:val="22"/>
            </w:rPr>
          </w:pPr>
          <w:hyperlink w:anchor="_Toc227827154" w:history="1">
            <w:r w:rsidR="001A6FD7" w:rsidRPr="00C263D5">
              <w:rPr>
                <w:rStyle w:val="Hyperlink"/>
                <w:rFonts w:asciiTheme="majorHAnsi" w:hAnsiTheme="majorHAnsi" w:cstheme="majorHAnsi"/>
              </w:rPr>
              <w:t>QËLLIMI</w:t>
            </w:r>
            <w:r w:rsidR="001A6FD7">
              <w:rPr>
                <w:rStyle w:val="Hyperlink"/>
                <w:rFonts w:asciiTheme="majorHAnsi" w:hAnsiTheme="majorHAnsi" w:cstheme="majorHAnsi"/>
              </w:rPr>
              <w:t xml:space="preserve"> I RAPORIT </w:t>
            </w:r>
            <w:r w:rsidR="001A6FD7" w:rsidRPr="00C263D5">
              <w:rPr>
                <w:rFonts w:asciiTheme="majorHAnsi" w:hAnsiTheme="majorHAnsi" w:cstheme="majorHAnsi"/>
                <w:webHidden/>
              </w:rPr>
              <w:tab/>
            </w:r>
            <w:r w:rsidR="001A6FD7" w:rsidRPr="00C263D5">
              <w:rPr>
                <w:rFonts w:asciiTheme="majorHAnsi" w:hAnsiTheme="majorHAnsi" w:cstheme="majorHAnsi"/>
                <w:webHidden/>
              </w:rPr>
              <w:fldChar w:fldCharType="begin"/>
            </w:r>
            <w:r w:rsidR="001A6FD7" w:rsidRPr="00C263D5">
              <w:rPr>
                <w:rFonts w:asciiTheme="majorHAnsi" w:hAnsiTheme="majorHAnsi" w:cstheme="majorHAnsi"/>
                <w:webHidden/>
              </w:rPr>
              <w:instrText xml:space="preserve"> PAGEREF _Toc227827154 \h </w:instrText>
            </w:r>
            <w:r w:rsidR="001A6FD7" w:rsidRPr="00C263D5">
              <w:rPr>
                <w:rFonts w:asciiTheme="majorHAnsi" w:hAnsiTheme="majorHAnsi" w:cstheme="majorHAnsi"/>
                <w:webHidden/>
              </w:rPr>
            </w:r>
            <w:r w:rsidR="001A6FD7" w:rsidRPr="00C263D5">
              <w:rPr>
                <w:rFonts w:asciiTheme="majorHAnsi" w:hAnsiTheme="majorHAnsi" w:cstheme="majorHAnsi"/>
                <w:webHidden/>
              </w:rPr>
              <w:fldChar w:fldCharType="separate"/>
            </w:r>
            <w:r w:rsidR="001A6FD7" w:rsidRPr="00C263D5">
              <w:rPr>
                <w:rFonts w:asciiTheme="majorHAnsi" w:hAnsiTheme="majorHAnsi" w:cstheme="majorHAnsi"/>
                <w:webHidden/>
              </w:rPr>
              <w:t>5</w:t>
            </w:r>
            <w:r w:rsidR="001A6FD7" w:rsidRPr="00C263D5">
              <w:rPr>
                <w:rFonts w:asciiTheme="majorHAnsi" w:hAnsiTheme="majorHAnsi" w:cstheme="majorHAnsi"/>
                <w:webHidden/>
              </w:rPr>
              <w:fldChar w:fldCharType="end"/>
            </w:r>
          </w:hyperlink>
        </w:p>
        <w:p w14:paraId="418F361B" w14:textId="0C38A491" w:rsidR="005B0653" w:rsidRPr="00C263D5" w:rsidRDefault="00D04369" w:rsidP="00CB4DE5">
          <w:pPr>
            <w:pStyle w:val="TOC1"/>
            <w:rPr>
              <w:rFonts w:asciiTheme="majorHAnsi" w:hAnsiTheme="majorHAnsi" w:cstheme="majorHAnsi"/>
              <w:sz w:val="22"/>
            </w:rPr>
          </w:pPr>
          <w:hyperlink w:anchor="_Toc227827155" w:history="1">
            <w:r w:rsidR="005B0653" w:rsidRPr="00C263D5">
              <w:rPr>
                <w:rStyle w:val="Hyperlink"/>
                <w:rFonts w:asciiTheme="majorHAnsi" w:hAnsiTheme="majorHAnsi" w:cstheme="majorHAnsi"/>
              </w:rPr>
              <w:t>METODOLOGJIA</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_Toc227827155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6</w:t>
            </w:r>
            <w:r w:rsidR="005B0653" w:rsidRPr="00C263D5">
              <w:rPr>
                <w:rFonts w:asciiTheme="majorHAnsi" w:hAnsiTheme="majorHAnsi" w:cstheme="majorHAnsi"/>
                <w:webHidden/>
              </w:rPr>
              <w:fldChar w:fldCharType="end"/>
            </w:r>
          </w:hyperlink>
        </w:p>
        <w:p w14:paraId="2E1B8C7E" w14:textId="0C892AB1" w:rsidR="005B0653" w:rsidRPr="00C263D5" w:rsidRDefault="00D04369" w:rsidP="00CB4DE5">
          <w:pPr>
            <w:pStyle w:val="TOC1"/>
            <w:rPr>
              <w:rFonts w:asciiTheme="majorHAnsi" w:hAnsiTheme="majorHAnsi" w:cstheme="majorHAnsi"/>
              <w:sz w:val="22"/>
            </w:rPr>
          </w:pPr>
          <w:hyperlink w:anchor="_Toc227827156" w:history="1">
            <w:r w:rsidR="005B0653" w:rsidRPr="00C263D5">
              <w:rPr>
                <w:rStyle w:val="Hyperlink"/>
                <w:rFonts w:asciiTheme="majorHAnsi" w:hAnsiTheme="majorHAnsi" w:cstheme="majorHAnsi"/>
              </w:rPr>
              <w:t>PËRMBLEDHJE EKZEKUTIVE</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_Toc227827156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7</w:t>
            </w:r>
            <w:r w:rsidR="005B0653" w:rsidRPr="00C263D5">
              <w:rPr>
                <w:rFonts w:asciiTheme="majorHAnsi" w:hAnsiTheme="majorHAnsi" w:cstheme="majorHAnsi"/>
                <w:webHidden/>
              </w:rPr>
              <w:fldChar w:fldCharType="end"/>
            </w:r>
          </w:hyperlink>
        </w:p>
        <w:p w14:paraId="71E979B7" w14:textId="1B9CCDB0" w:rsidR="005B0653" w:rsidRPr="00C263D5" w:rsidRDefault="00D04369" w:rsidP="00CB4DE5">
          <w:pPr>
            <w:pStyle w:val="TOC1"/>
            <w:rPr>
              <w:rFonts w:asciiTheme="majorHAnsi" w:hAnsiTheme="majorHAnsi" w:cstheme="majorHAnsi"/>
              <w:sz w:val="22"/>
            </w:rPr>
          </w:pPr>
          <w:hyperlink w:anchor="_Toc227827157" w:history="1">
            <w:r w:rsidR="005B0653" w:rsidRPr="00C263D5">
              <w:rPr>
                <w:rStyle w:val="Hyperlink"/>
                <w:rFonts w:asciiTheme="majorHAnsi" w:hAnsiTheme="majorHAnsi" w:cstheme="majorHAnsi"/>
              </w:rPr>
              <w:t>K</w:t>
            </w:r>
            <w:r w:rsidR="00051CD5" w:rsidRPr="00C263D5">
              <w:rPr>
                <w:rStyle w:val="Hyperlink"/>
                <w:rFonts w:asciiTheme="majorHAnsi" w:hAnsiTheme="majorHAnsi" w:cstheme="majorHAnsi"/>
              </w:rPr>
              <w:t>ORNIZA LIGJOR</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_Toc227827157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8</w:t>
            </w:r>
            <w:r w:rsidR="005B0653" w:rsidRPr="00C263D5">
              <w:rPr>
                <w:rFonts w:asciiTheme="majorHAnsi" w:hAnsiTheme="majorHAnsi" w:cstheme="majorHAnsi"/>
                <w:webHidden/>
              </w:rPr>
              <w:fldChar w:fldCharType="end"/>
            </w:r>
          </w:hyperlink>
        </w:p>
        <w:p w14:paraId="24EF474F" w14:textId="41C43874" w:rsidR="005B0653" w:rsidRPr="00C263D5" w:rsidRDefault="00D04369" w:rsidP="00CB4DE5">
          <w:pPr>
            <w:pStyle w:val="TOC1"/>
            <w:rPr>
              <w:rFonts w:asciiTheme="majorHAnsi" w:hAnsiTheme="majorHAnsi" w:cstheme="majorHAnsi"/>
              <w:sz w:val="22"/>
            </w:rPr>
          </w:pPr>
          <w:hyperlink w:anchor="_Toc227827158" w:history="1">
            <w:r w:rsidR="005B0653" w:rsidRPr="00C263D5">
              <w:rPr>
                <w:rStyle w:val="Hyperlink"/>
                <w:rFonts w:asciiTheme="majorHAnsi" w:hAnsiTheme="majorHAnsi" w:cstheme="majorHAnsi"/>
              </w:rPr>
              <w:t>TRANSPARENCA E PUNËS SË KUVENDEVE TË KOMUNAVE</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_Toc227827158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9</w:t>
            </w:r>
            <w:r w:rsidR="005B0653" w:rsidRPr="00C263D5">
              <w:rPr>
                <w:rFonts w:asciiTheme="majorHAnsi" w:hAnsiTheme="majorHAnsi" w:cstheme="majorHAnsi"/>
                <w:webHidden/>
              </w:rPr>
              <w:fldChar w:fldCharType="end"/>
            </w:r>
          </w:hyperlink>
        </w:p>
        <w:bookmarkStart w:id="1" w:name="_Hlk229649891"/>
        <w:p w14:paraId="0A8F75D9" w14:textId="7FA3247C" w:rsidR="005B0653" w:rsidRPr="00C263D5" w:rsidRDefault="00026B54" w:rsidP="00CB4DE5">
          <w:pPr>
            <w:pStyle w:val="TOC1"/>
            <w:rPr>
              <w:rFonts w:asciiTheme="majorHAnsi" w:hAnsiTheme="majorHAnsi" w:cstheme="majorHAnsi"/>
              <w:sz w:val="22"/>
            </w:rPr>
          </w:pPr>
          <w:r>
            <w:fldChar w:fldCharType="begin"/>
          </w:r>
          <w:r>
            <w:instrText xml:space="preserve"> HYPERLINK \l "_Toc227827159" </w:instrText>
          </w:r>
          <w:r>
            <w:fldChar w:fldCharType="separate"/>
          </w:r>
          <w:r w:rsidR="005B0653" w:rsidRPr="00C263D5">
            <w:rPr>
              <w:rStyle w:val="Hyperlink"/>
              <w:rFonts w:asciiTheme="majorHAnsi" w:hAnsiTheme="majorHAnsi" w:cstheme="majorHAnsi"/>
            </w:rPr>
            <w:t>N</w:t>
          </w:r>
          <w:r w:rsidR="00051CD5" w:rsidRPr="00C263D5">
            <w:rPr>
              <w:rStyle w:val="Hyperlink"/>
              <w:rFonts w:asciiTheme="majorHAnsi" w:hAnsiTheme="majorHAnsi" w:cstheme="majorHAnsi"/>
            </w:rPr>
            <w:t xml:space="preserve">joftimet për mbledhjet e kuvendeve të komunave </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_Toc227827159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10</w:t>
          </w:r>
          <w:r w:rsidR="005B0653" w:rsidRPr="00C263D5">
            <w:rPr>
              <w:rFonts w:asciiTheme="majorHAnsi" w:hAnsiTheme="majorHAnsi" w:cstheme="majorHAnsi"/>
              <w:webHidden/>
            </w:rPr>
            <w:fldChar w:fldCharType="end"/>
          </w:r>
          <w:r>
            <w:rPr>
              <w:rFonts w:asciiTheme="majorHAnsi" w:hAnsiTheme="majorHAnsi" w:cstheme="majorHAnsi"/>
            </w:rPr>
            <w:fldChar w:fldCharType="end"/>
          </w:r>
        </w:p>
        <w:bookmarkEnd w:id="1"/>
        <w:p w14:paraId="3CA8B8A2" w14:textId="513A1723" w:rsidR="005B0653" w:rsidRPr="00C263D5" w:rsidRDefault="00026B54" w:rsidP="00CB4DE5">
          <w:pPr>
            <w:pStyle w:val="TOC1"/>
            <w:rPr>
              <w:rFonts w:asciiTheme="majorHAnsi" w:hAnsiTheme="majorHAnsi" w:cstheme="majorHAnsi"/>
              <w:sz w:val="22"/>
            </w:rPr>
          </w:pPr>
          <w:r>
            <w:fldChar w:fldCharType="begin"/>
          </w:r>
          <w:r>
            <w:instrText xml:space="preserve"> HYPERLINK \l "_Toc227827160" </w:instrText>
          </w:r>
          <w:r>
            <w:fldChar w:fldCharType="separate"/>
          </w:r>
          <w:r w:rsidR="005B0653" w:rsidRPr="00C263D5">
            <w:rPr>
              <w:rStyle w:val="Hyperlink"/>
              <w:rFonts w:asciiTheme="majorHAnsi" w:hAnsiTheme="majorHAnsi" w:cstheme="majorHAnsi"/>
            </w:rPr>
            <w:t>Komitetet për Politike dhe Financa</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_Toc227827160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11</w:t>
          </w:r>
          <w:r w:rsidR="005B0653" w:rsidRPr="00C263D5">
            <w:rPr>
              <w:rFonts w:asciiTheme="majorHAnsi" w:hAnsiTheme="majorHAnsi" w:cstheme="majorHAnsi"/>
              <w:webHidden/>
            </w:rPr>
            <w:fldChar w:fldCharType="end"/>
          </w:r>
          <w:r>
            <w:rPr>
              <w:rFonts w:asciiTheme="majorHAnsi" w:hAnsiTheme="majorHAnsi" w:cstheme="majorHAnsi"/>
            </w:rPr>
            <w:fldChar w:fldCharType="end"/>
          </w:r>
        </w:p>
        <w:p w14:paraId="2FBFFE89" w14:textId="32BC9B51" w:rsidR="005B0653" w:rsidRPr="00C263D5" w:rsidRDefault="00D04369" w:rsidP="00CB4DE5">
          <w:pPr>
            <w:pStyle w:val="TOC1"/>
            <w:rPr>
              <w:rFonts w:asciiTheme="majorHAnsi" w:hAnsiTheme="majorHAnsi" w:cstheme="majorHAnsi"/>
              <w:sz w:val="22"/>
            </w:rPr>
          </w:pPr>
          <w:hyperlink w:anchor="_Toc227827161" w:history="1">
            <w:r w:rsidR="005B0653" w:rsidRPr="00C263D5">
              <w:rPr>
                <w:rStyle w:val="Hyperlink"/>
                <w:rFonts w:asciiTheme="majorHAnsi" w:hAnsiTheme="majorHAnsi" w:cstheme="majorHAnsi"/>
              </w:rPr>
              <w:t>Komiteti për Komunitete</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_Toc227827161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12</w:t>
            </w:r>
            <w:r w:rsidR="005B0653" w:rsidRPr="00C263D5">
              <w:rPr>
                <w:rFonts w:asciiTheme="majorHAnsi" w:hAnsiTheme="majorHAnsi" w:cstheme="majorHAnsi"/>
                <w:webHidden/>
              </w:rPr>
              <w:fldChar w:fldCharType="end"/>
            </w:r>
          </w:hyperlink>
        </w:p>
        <w:p w14:paraId="7394A5E2" w14:textId="7F63B04E" w:rsidR="005B0653" w:rsidRPr="00C263D5" w:rsidRDefault="00D04369" w:rsidP="00CB4DE5">
          <w:pPr>
            <w:pStyle w:val="TOC1"/>
            <w:rPr>
              <w:rFonts w:asciiTheme="majorHAnsi" w:hAnsiTheme="majorHAnsi" w:cstheme="majorHAnsi"/>
              <w:sz w:val="22"/>
            </w:rPr>
          </w:pPr>
          <w:hyperlink w:anchor="_Toc227827162" w:history="1">
            <w:r w:rsidR="005B0653" w:rsidRPr="00C263D5">
              <w:rPr>
                <w:rStyle w:val="Hyperlink"/>
                <w:rFonts w:asciiTheme="majorHAnsi" w:hAnsiTheme="majorHAnsi" w:cstheme="majorHAnsi"/>
              </w:rPr>
              <w:t>Vendimet e Kuvendit Komunal</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_Toc227827162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14</w:t>
            </w:r>
            <w:r w:rsidR="005B0653" w:rsidRPr="00C263D5">
              <w:rPr>
                <w:rFonts w:asciiTheme="majorHAnsi" w:hAnsiTheme="majorHAnsi" w:cstheme="majorHAnsi"/>
                <w:webHidden/>
              </w:rPr>
              <w:fldChar w:fldCharType="end"/>
            </w:r>
          </w:hyperlink>
        </w:p>
        <w:p w14:paraId="28ACC052" w14:textId="2E60DA08" w:rsidR="005B0653" w:rsidRPr="00C263D5" w:rsidRDefault="00D04369" w:rsidP="00CB4DE5">
          <w:pPr>
            <w:pStyle w:val="TOC1"/>
            <w:rPr>
              <w:rFonts w:asciiTheme="majorHAnsi" w:hAnsiTheme="majorHAnsi" w:cstheme="majorHAnsi"/>
              <w:sz w:val="22"/>
            </w:rPr>
          </w:pPr>
          <w:hyperlink w:anchor="_Toc227827163" w:history="1">
            <w:r w:rsidR="005B0653" w:rsidRPr="00C263D5">
              <w:rPr>
                <w:rStyle w:val="Hyperlink"/>
                <w:rFonts w:asciiTheme="majorHAnsi" w:hAnsiTheme="majorHAnsi" w:cstheme="majorHAnsi"/>
                <w:lang w:eastAsia="sq-AL"/>
              </w:rPr>
              <w:t>Rregulloret e Publikuar</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_Toc227827163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15</w:t>
            </w:r>
            <w:r w:rsidR="005B0653" w:rsidRPr="00C263D5">
              <w:rPr>
                <w:rFonts w:asciiTheme="majorHAnsi" w:hAnsiTheme="majorHAnsi" w:cstheme="majorHAnsi"/>
                <w:webHidden/>
              </w:rPr>
              <w:fldChar w:fldCharType="end"/>
            </w:r>
          </w:hyperlink>
        </w:p>
        <w:p w14:paraId="065ACEF4" w14:textId="1CB465DF" w:rsidR="005B0653" w:rsidRPr="00C263D5" w:rsidRDefault="00D04369" w:rsidP="005B0653">
          <w:pPr>
            <w:pStyle w:val="TOC2"/>
            <w:ind w:left="0"/>
            <w:rPr>
              <w:lang w:val="en-GB" w:eastAsia="en-GB"/>
            </w:rPr>
          </w:pPr>
          <w:hyperlink w:anchor="_Toc227827164" w:history="1">
            <w:r w:rsidR="005B0653" w:rsidRPr="00C263D5">
              <w:rPr>
                <w:rStyle w:val="Hyperlink"/>
                <w:sz w:val="16"/>
                <w:szCs w:val="16"/>
              </w:rPr>
              <w:t>Procesverbalet për mbledhjeve të  kuvendit të komunës</w:t>
            </w:r>
            <w:r w:rsidR="005B0653" w:rsidRPr="00C263D5">
              <w:rPr>
                <w:webHidden/>
              </w:rPr>
              <w:tab/>
            </w:r>
            <w:r w:rsidR="005B0653" w:rsidRPr="00C263D5">
              <w:rPr>
                <w:webHidden/>
              </w:rPr>
              <w:fldChar w:fldCharType="begin"/>
            </w:r>
            <w:r w:rsidR="005B0653" w:rsidRPr="00C263D5">
              <w:rPr>
                <w:webHidden/>
              </w:rPr>
              <w:instrText xml:space="preserve"> PAGEREF _Toc227827164 \h </w:instrText>
            </w:r>
            <w:r w:rsidR="005B0653" w:rsidRPr="00C263D5">
              <w:rPr>
                <w:webHidden/>
              </w:rPr>
            </w:r>
            <w:r w:rsidR="005B0653" w:rsidRPr="00C263D5">
              <w:rPr>
                <w:webHidden/>
              </w:rPr>
              <w:fldChar w:fldCharType="separate"/>
            </w:r>
            <w:r w:rsidR="005B0653" w:rsidRPr="00C263D5">
              <w:rPr>
                <w:webHidden/>
              </w:rPr>
              <w:t>16</w:t>
            </w:r>
            <w:r w:rsidR="005B0653" w:rsidRPr="00C263D5">
              <w:rPr>
                <w:webHidden/>
              </w:rPr>
              <w:fldChar w:fldCharType="end"/>
            </w:r>
          </w:hyperlink>
        </w:p>
        <w:p w14:paraId="64C20CDA" w14:textId="5C6C90AE" w:rsidR="005B0653" w:rsidRPr="00C263D5" w:rsidRDefault="00D04369" w:rsidP="005B0653">
          <w:pPr>
            <w:pStyle w:val="TOC2"/>
            <w:ind w:left="0"/>
            <w:rPr>
              <w:lang w:val="en-GB" w:eastAsia="en-GB"/>
            </w:rPr>
          </w:pPr>
          <w:hyperlink w:anchor="_Toc227827165" w:history="1">
            <w:r w:rsidR="005B0653" w:rsidRPr="00C263D5">
              <w:rPr>
                <w:rStyle w:val="Hyperlink"/>
                <w:rFonts w:eastAsia="Times New Roman"/>
                <w:sz w:val="16"/>
                <w:szCs w:val="16"/>
              </w:rPr>
              <w:t>Procesverbale nga mbledhjet e Komitetit për Politikë dhe Financa</w:t>
            </w:r>
            <w:r w:rsidR="005B0653" w:rsidRPr="00C263D5">
              <w:rPr>
                <w:webHidden/>
              </w:rPr>
              <w:tab/>
            </w:r>
            <w:r w:rsidR="005B0653" w:rsidRPr="00C263D5">
              <w:rPr>
                <w:webHidden/>
              </w:rPr>
              <w:fldChar w:fldCharType="begin"/>
            </w:r>
            <w:r w:rsidR="005B0653" w:rsidRPr="00C263D5">
              <w:rPr>
                <w:webHidden/>
              </w:rPr>
              <w:instrText xml:space="preserve"> PAGEREF _Toc227827165 \h </w:instrText>
            </w:r>
            <w:r w:rsidR="005B0653" w:rsidRPr="00C263D5">
              <w:rPr>
                <w:webHidden/>
              </w:rPr>
            </w:r>
            <w:r w:rsidR="005B0653" w:rsidRPr="00C263D5">
              <w:rPr>
                <w:webHidden/>
              </w:rPr>
              <w:fldChar w:fldCharType="separate"/>
            </w:r>
            <w:r w:rsidR="005B0653" w:rsidRPr="00C263D5">
              <w:rPr>
                <w:webHidden/>
              </w:rPr>
              <w:t>16</w:t>
            </w:r>
            <w:r w:rsidR="005B0653" w:rsidRPr="00C263D5">
              <w:rPr>
                <w:webHidden/>
              </w:rPr>
              <w:fldChar w:fldCharType="end"/>
            </w:r>
          </w:hyperlink>
        </w:p>
        <w:p w14:paraId="0373F977" w14:textId="67C0AF04" w:rsidR="005B0653" w:rsidRPr="00C263D5" w:rsidRDefault="00D04369" w:rsidP="005B0653">
          <w:pPr>
            <w:pStyle w:val="TOC2"/>
            <w:ind w:left="0"/>
            <w:rPr>
              <w:lang w:val="en-GB" w:eastAsia="en-GB"/>
            </w:rPr>
          </w:pPr>
          <w:hyperlink w:anchor="_Toc227827166" w:history="1">
            <w:r w:rsidR="005B0653" w:rsidRPr="00C263D5">
              <w:rPr>
                <w:rStyle w:val="Hyperlink"/>
                <w:rFonts w:eastAsia="Times New Roman"/>
                <w:sz w:val="16"/>
                <w:szCs w:val="16"/>
              </w:rPr>
              <w:t>Procesverbalet nga  mbledhjet e Komitetit për Komunitete</w:t>
            </w:r>
            <w:r w:rsidR="005B0653" w:rsidRPr="00C263D5">
              <w:rPr>
                <w:webHidden/>
              </w:rPr>
              <w:tab/>
            </w:r>
            <w:r w:rsidR="005B0653" w:rsidRPr="00C263D5">
              <w:rPr>
                <w:webHidden/>
              </w:rPr>
              <w:fldChar w:fldCharType="begin"/>
            </w:r>
            <w:r w:rsidR="005B0653" w:rsidRPr="00C263D5">
              <w:rPr>
                <w:webHidden/>
              </w:rPr>
              <w:instrText xml:space="preserve"> PAGEREF _Toc227827166 \h </w:instrText>
            </w:r>
            <w:r w:rsidR="005B0653" w:rsidRPr="00C263D5">
              <w:rPr>
                <w:webHidden/>
              </w:rPr>
            </w:r>
            <w:r w:rsidR="005B0653" w:rsidRPr="00C263D5">
              <w:rPr>
                <w:webHidden/>
              </w:rPr>
              <w:fldChar w:fldCharType="separate"/>
            </w:r>
            <w:r w:rsidR="005B0653" w:rsidRPr="00C263D5">
              <w:rPr>
                <w:webHidden/>
              </w:rPr>
              <w:t>17</w:t>
            </w:r>
            <w:r w:rsidR="005B0653" w:rsidRPr="00C263D5">
              <w:rPr>
                <w:webHidden/>
              </w:rPr>
              <w:fldChar w:fldCharType="end"/>
            </w:r>
          </w:hyperlink>
        </w:p>
        <w:p w14:paraId="1335FDC9" w14:textId="348C8FF6" w:rsidR="005B0653" w:rsidRPr="00C263D5" w:rsidRDefault="00D04369" w:rsidP="00CB4DE5">
          <w:pPr>
            <w:pStyle w:val="TOC1"/>
            <w:rPr>
              <w:rFonts w:asciiTheme="majorHAnsi" w:hAnsiTheme="majorHAnsi" w:cstheme="majorHAnsi"/>
              <w:sz w:val="22"/>
            </w:rPr>
          </w:pPr>
          <w:hyperlink w:anchor="_Toc227827167" w:history="1">
            <w:r w:rsidR="005B0653" w:rsidRPr="00C263D5">
              <w:rPr>
                <w:rStyle w:val="Hyperlink"/>
                <w:rFonts w:asciiTheme="majorHAnsi" w:hAnsiTheme="majorHAnsi" w:cstheme="majorHAnsi"/>
              </w:rPr>
              <w:t>Transmetimi online i mbledhjeve të Kuvendeve Komunale</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_Toc227827167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18</w:t>
            </w:r>
            <w:r w:rsidR="005B0653" w:rsidRPr="00C263D5">
              <w:rPr>
                <w:rFonts w:asciiTheme="majorHAnsi" w:hAnsiTheme="majorHAnsi" w:cstheme="majorHAnsi"/>
                <w:webHidden/>
              </w:rPr>
              <w:fldChar w:fldCharType="end"/>
            </w:r>
          </w:hyperlink>
        </w:p>
        <w:p w14:paraId="1955BA4D" w14:textId="4D5FEB3B" w:rsidR="005B0653" w:rsidRPr="00C263D5" w:rsidRDefault="00D04369" w:rsidP="00CB4DE5">
          <w:pPr>
            <w:pStyle w:val="TOC1"/>
            <w:rPr>
              <w:rFonts w:asciiTheme="majorHAnsi" w:hAnsiTheme="majorHAnsi" w:cstheme="majorHAnsi"/>
              <w:sz w:val="22"/>
            </w:rPr>
          </w:pPr>
          <w:hyperlink w:anchor="_Toc227827168" w:history="1">
            <w:r w:rsidR="005B0653" w:rsidRPr="00C263D5">
              <w:rPr>
                <w:rStyle w:val="Hyperlink"/>
                <w:rFonts w:asciiTheme="majorHAnsi" w:hAnsiTheme="majorHAnsi" w:cstheme="majorHAnsi"/>
              </w:rPr>
              <w:t>Publikimi i planit të punës të  kuvendit  komunale</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_Toc227827168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19</w:t>
            </w:r>
            <w:r w:rsidR="005B0653" w:rsidRPr="00C263D5">
              <w:rPr>
                <w:rFonts w:asciiTheme="majorHAnsi" w:hAnsiTheme="majorHAnsi" w:cstheme="majorHAnsi"/>
                <w:webHidden/>
              </w:rPr>
              <w:fldChar w:fldCharType="end"/>
            </w:r>
          </w:hyperlink>
        </w:p>
        <w:p w14:paraId="08D8CAE2" w14:textId="0ADE5C5E" w:rsidR="005B0653" w:rsidRPr="00C263D5" w:rsidRDefault="00D04369" w:rsidP="00CB4DE5">
          <w:pPr>
            <w:pStyle w:val="TOC1"/>
            <w:rPr>
              <w:rFonts w:asciiTheme="majorHAnsi" w:hAnsiTheme="majorHAnsi" w:cstheme="majorHAnsi"/>
              <w:sz w:val="22"/>
            </w:rPr>
          </w:pPr>
          <w:hyperlink w:anchor="_Toc227827169" w:history="1">
            <w:r w:rsidR="005B0653" w:rsidRPr="00C263D5">
              <w:rPr>
                <w:rStyle w:val="Hyperlink"/>
                <w:rFonts w:asciiTheme="majorHAnsi" w:hAnsiTheme="majorHAnsi" w:cstheme="majorHAnsi"/>
              </w:rPr>
              <w:t xml:space="preserve">Planet </w:t>
            </w:r>
            <w:r w:rsidR="00CB4DE5" w:rsidRPr="00C263D5">
              <w:rPr>
                <w:rStyle w:val="Hyperlink"/>
                <w:rFonts w:asciiTheme="majorHAnsi" w:hAnsiTheme="majorHAnsi" w:cstheme="majorHAnsi"/>
              </w:rPr>
              <w:t>/</w:t>
            </w:r>
            <w:r w:rsidR="005B0653" w:rsidRPr="00C263D5">
              <w:rPr>
                <w:rStyle w:val="Hyperlink"/>
                <w:rFonts w:asciiTheme="majorHAnsi" w:hAnsiTheme="majorHAnsi" w:cstheme="majorHAnsi"/>
              </w:rPr>
              <w:t xml:space="preserve"> dokumentet strategjike</w:t>
            </w:r>
            <w:r w:rsidR="00051CD5" w:rsidRPr="00C263D5">
              <w:rPr>
                <w:rStyle w:val="Hyperlink"/>
                <w:rFonts w:asciiTheme="majorHAnsi" w:hAnsiTheme="majorHAnsi" w:cstheme="majorHAnsi"/>
              </w:rPr>
              <w:t xml:space="preserve"> dhe harta zonale</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_Toc227827169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21</w:t>
            </w:r>
            <w:r w:rsidR="005B0653" w:rsidRPr="00C263D5">
              <w:rPr>
                <w:rFonts w:asciiTheme="majorHAnsi" w:hAnsiTheme="majorHAnsi" w:cstheme="majorHAnsi"/>
                <w:webHidden/>
              </w:rPr>
              <w:fldChar w:fldCharType="end"/>
            </w:r>
          </w:hyperlink>
        </w:p>
        <w:p w14:paraId="183D19D7" w14:textId="24E40536" w:rsidR="005B0653" w:rsidRPr="00C263D5" w:rsidRDefault="00D04369" w:rsidP="00CB4DE5">
          <w:pPr>
            <w:pStyle w:val="TOC1"/>
            <w:rPr>
              <w:rStyle w:val="Hyperlink"/>
              <w:rFonts w:asciiTheme="majorHAnsi" w:hAnsiTheme="majorHAnsi" w:cstheme="majorHAnsi"/>
            </w:rPr>
          </w:pPr>
          <w:hyperlink w:anchor="_Toc227827171" w:history="1">
            <w:r w:rsidR="005B0653" w:rsidRPr="00C263D5">
              <w:rPr>
                <w:rStyle w:val="Hyperlink"/>
                <w:rFonts w:asciiTheme="majorHAnsi" w:hAnsiTheme="majorHAnsi" w:cstheme="majorHAnsi"/>
              </w:rPr>
              <w:t>Plani i Veprimit për Transparencë</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_Toc227827171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22</w:t>
            </w:r>
            <w:r w:rsidR="005B0653" w:rsidRPr="00C263D5">
              <w:rPr>
                <w:rFonts w:asciiTheme="majorHAnsi" w:hAnsiTheme="majorHAnsi" w:cstheme="majorHAnsi"/>
                <w:webHidden/>
              </w:rPr>
              <w:fldChar w:fldCharType="end"/>
            </w:r>
          </w:hyperlink>
        </w:p>
        <w:p w14:paraId="5AA8BF86" w14:textId="50B79500" w:rsidR="00051CD5" w:rsidRPr="00C263D5" w:rsidRDefault="00051CD5" w:rsidP="00051CD5">
          <w:pPr>
            <w:rPr>
              <w:rFonts w:asciiTheme="majorHAnsi" w:hAnsiTheme="majorHAnsi" w:cstheme="majorHAnsi"/>
              <w:sz w:val="18"/>
              <w:szCs w:val="18"/>
              <w:lang w:val="en-GB" w:eastAsia="en-GB"/>
            </w:rPr>
          </w:pPr>
          <w:r w:rsidRPr="00C263D5">
            <w:rPr>
              <w:rFonts w:asciiTheme="majorHAnsi" w:hAnsiTheme="majorHAnsi" w:cstheme="majorHAnsi"/>
              <w:sz w:val="18"/>
              <w:szCs w:val="18"/>
              <w:lang w:val="en-GB" w:eastAsia="en-GB"/>
            </w:rPr>
            <w:t>Rregullore për transparencë</w:t>
          </w:r>
          <w:r w:rsidRPr="00375F58">
            <w:rPr>
              <w:rFonts w:asciiTheme="majorHAnsi" w:hAnsiTheme="majorHAnsi" w:cstheme="majorHAnsi"/>
              <w:sz w:val="18"/>
              <w:szCs w:val="18"/>
              <w:lang w:val="en-GB" w:eastAsia="en-GB"/>
            </w:rPr>
            <w:t>------------------------------------------------------------------------------------------------------------------</w:t>
          </w:r>
          <w:r w:rsidRPr="00C263D5">
            <w:rPr>
              <w:rFonts w:asciiTheme="majorHAnsi" w:hAnsiTheme="majorHAnsi" w:cstheme="majorHAnsi"/>
              <w:sz w:val="18"/>
              <w:szCs w:val="18"/>
              <w:lang w:val="en-GB" w:eastAsia="en-GB"/>
            </w:rPr>
            <w:t>23</w:t>
          </w:r>
        </w:p>
        <w:p w14:paraId="7B150479" w14:textId="1C6FF569" w:rsidR="005B0653" w:rsidRPr="00C263D5" w:rsidRDefault="00D04369" w:rsidP="00CB4DE5">
          <w:pPr>
            <w:pStyle w:val="TOC1"/>
            <w:rPr>
              <w:rFonts w:asciiTheme="majorHAnsi" w:hAnsiTheme="majorHAnsi" w:cstheme="majorHAnsi"/>
              <w:sz w:val="22"/>
            </w:rPr>
          </w:pPr>
          <w:hyperlink w:anchor="_Toc227827172" w:history="1">
            <w:r w:rsidR="005B0653" w:rsidRPr="00C263D5">
              <w:rPr>
                <w:rStyle w:val="Hyperlink"/>
                <w:rFonts w:asciiTheme="majorHAnsi" w:hAnsiTheme="majorHAnsi" w:cstheme="majorHAnsi"/>
                <w:color w:val="auto"/>
              </w:rPr>
              <w:t>Plani i Integritetit</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_Toc227827172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24</w:t>
            </w:r>
            <w:r w:rsidR="005B0653" w:rsidRPr="00C263D5">
              <w:rPr>
                <w:rFonts w:asciiTheme="majorHAnsi" w:hAnsiTheme="majorHAnsi" w:cstheme="majorHAnsi"/>
                <w:webHidden/>
              </w:rPr>
              <w:fldChar w:fldCharType="end"/>
            </w:r>
          </w:hyperlink>
        </w:p>
        <w:p w14:paraId="70599F13" w14:textId="3905840E" w:rsidR="005B0653" w:rsidRPr="00C263D5" w:rsidRDefault="00D04369" w:rsidP="00CB4DE5">
          <w:pPr>
            <w:pStyle w:val="TOC1"/>
            <w:rPr>
              <w:rFonts w:asciiTheme="majorHAnsi" w:hAnsiTheme="majorHAnsi" w:cstheme="majorHAnsi"/>
              <w:sz w:val="22"/>
            </w:rPr>
          </w:pPr>
          <w:hyperlink w:anchor="_Toc227827173" w:history="1">
            <w:r w:rsidR="005B0653" w:rsidRPr="00C263D5">
              <w:rPr>
                <w:rStyle w:val="Hyperlink"/>
                <w:rFonts w:asciiTheme="majorHAnsi" w:hAnsiTheme="majorHAnsi" w:cstheme="majorHAnsi"/>
              </w:rPr>
              <w:t>TRANSPARENCA E KRYETARIT TË KOMUNËS</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_Toc227827173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25</w:t>
            </w:r>
            <w:r w:rsidR="005B0653" w:rsidRPr="00C263D5">
              <w:rPr>
                <w:rFonts w:asciiTheme="majorHAnsi" w:hAnsiTheme="majorHAnsi" w:cstheme="majorHAnsi"/>
                <w:webHidden/>
              </w:rPr>
              <w:fldChar w:fldCharType="end"/>
            </w:r>
          </w:hyperlink>
        </w:p>
        <w:p w14:paraId="39388554" w14:textId="584663E2" w:rsidR="005B0653" w:rsidRPr="00C263D5" w:rsidRDefault="00D04369" w:rsidP="00CB4DE5">
          <w:pPr>
            <w:pStyle w:val="TOC1"/>
            <w:rPr>
              <w:rFonts w:asciiTheme="majorHAnsi" w:hAnsiTheme="majorHAnsi" w:cstheme="majorHAnsi"/>
              <w:sz w:val="22"/>
            </w:rPr>
          </w:pPr>
          <w:hyperlink w:anchor="_Toc227827174" w:history="1">
            <w:r w:rsidR="005B0653" w:rsidRPr="00C263D5">
              <w:rPr>
                <w:rStyle w:val="Hyperlink"/>
                <w:rFonts w:asciiTheme="majorHAnsi" w:hAnsiTheme="majorHAnsi" w:cstheme="majorHAnsi"/>
              </w:rPr>
              <w:t>Publikimi i planit vjetor te kryetarit te Komunës</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_Toc227827174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26</w:t>
            </w:r>
            <w:r w:rsidR="005B0653" w:rsidRPr="00C263D5">
              <w:rPr>
                <w:rFonts w:asciiTheme="majorHAnsi" w:hAnsiTheme="majorHAnsi" w:cstheme="majorHAnsi"/>
                <w:webHidden/>
              </w:rPr>
              <w:fldChar w:fldCharType="end"/>
            </w:r>
          </w:hyperlink>
        </w:p>
        <w:p w14:paraId="485FB0DF" w14:textId="0922F6F2" w:rsidR="005B0653" w:rsidRPr="00C263D5" w:rsidRDefault="00D04369" w:rsidP="00CB4DE5">
          <w:pPr>
            <w:pStyle w:val="TOC1"/>
            <w:rPr>
              <w:rFonts w:asciiTheme="majorHAnsi" w:hAnsiTheme="majorHAnsi" w:cstheme="majorHAnsi"/>
              <w:sz w:val="22"/>
            </w:rPr>
          </w:pPr>
          <w:hyperlink w:anchor="_Toc227827175" w:history="1">
            <w:r w:rsidR="005B0653" w:rsidRPr="00C263D5">
              <w:rPr>
                <w:rStyle w:val="Hyperlink"/>
                <w:rFonts w:asciiTheme="majorHAnsi" w:hAnsiTheme="majorHAnsi" w:cstheme="majorHAnsi"/>
              </w:rPr>
              <w:t>Publikimi i Raportit të kryetarit</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_Toc227827175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27</w:t>
            </w:r>
            <w:r w:rsidR="005B0653" w:rsidRPr="00C263D5">
              <w:rPr>
                <w:rFonts w:asciiTheme="majorHAnsi" w:hAnsiTheme="majorHAnsi" w:cstheme="majorHAnsi"/>
                <w:webHidden/>
              </w:rPr>
              <w:fldChar w:fldCharType="end"/>
            </w:r>
          </w:hyperlink>
        </w:p>
        <w:p w14:paraId="1A112E2F" w14:textId="1EDD7E16" w:rsidR="005B0653" w:rsidRPr="00C263D5" w:rsidRDefault="00D04369" w:rsidP="00CB4DE5">
          <w:pPr>
            <w:pStyle w:val="TOC1"/>
            <w:rPr>
              <w:rFonts w:asciiTheme="majorHAnsi" w:hAnsiTheme="majorHAnsi" w:cstheme="majorHAnsi"/>
              <w:sz w:val="22"/>
            </w:rPr>
          </w:pPr>
          <w:hyperlink w:anchor="_Toc227827176" w:history="1">
            <w:r w:rsidR="005B0653" w:rsidRPr="00C263D5">
              <w:rPr>
                <w:rStyle w:val="Hyperlink"/>
                <w:rFonts w:asciiTheme="majorHAnsi" w:hAnsiTheme="majorHAnsi" w:cstheme="majorHAnsi"/>
              </w:rPr>
              <w:t>Publikimi i listës së pronave të paluajtshme të komunës</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_Toc227827176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29</w:t>
            </w:r>
            <w:r w:rsidR="005B0653" w:rsidRPr="00C263D5">
              <w:rPr>
                <w:rFonts w:asciiTheme="majorHAnsi" w:hAnsiTheme="majorHAnsi" w:cstheme="majorHAnsi"/>
                <w:webHidden/>
              </w:rPr>
              <w:fldChar w:fldCharType="end"/>
            </w:r>
          </w:hyperlink>
        </w:p>
        <w:p w14:paraId="5B872DC4" w14:textId="1EE2C99D" w:rsidR="005B0653" w:rsidRPr="001A6FD7" w:rsidRDefault="00D04369" w:rsidP="005B0653">
          <w:pPr>
            <w:pStyle w:val="TOC2"/>
            <w:ind w:left="0"/>
            <w:rPr>
              <w:sz w:val="16"/>
              <w:szCs w:val="16"/>
              <w:lang w:val="en-GB" w:eastAsia="en-GB"/>
            </w:rPr>
          </w:pPr>
          <w:hyperlink w:anchor="_Toc227827177" w:history="1">
            <w:r w:rsidR="005B0653" w:rsidRPr="001A6FD7">
              <w:rPr>
                <w:rStyle w:val="Hyperlink"/>
                <w:rFonts w:eastAsia="Times New Roman"/>
                <w:sz w:val="16"/>
                <w:szCs w:val="16"/>
                <w:lang w:eastAsia="en-GB"/>
              </w:rPr>
              <w:t xml:space="preserve">Listave e pronave komunale të planifikuara për dhënie në shfrytëzim </w:t>
            </w:r>
            <w:r w:rsidR="005B0653" w:rsidRPr="001A6FD7">
              <w:rPr>
                <w:webHidden/>
                <w:sz w:val="16"/>
                <w:szCs w:val="16"/>
              </w:rPr>
              <w:tab/>
            </w:r>
            <w:r w:rsidR="005B0653" w:rsidRPr="001A6FD7">
              <w:rPr>
                <w:webHidden/>
                <w:sz w:val="16"/>
                <w:szCs w:val="16"/>
              </w:rPr>
              <w:fldChar w:fldCharType="begin"/>
            </w:r>
            <w:r w:rsidR="005B0653" w:rsidRPr="001A6FD7">
              <w:rPr>
                <w:webHidden/>
                <w:sz w:val="16"/>
                <w:szCs w:val="16"/>
              </w:rPr>
              <w:instrText xml:space="preserve"> PAGEREF _Toc227827177 \h </w:instrText>
            </w:r>
            <w:r w:rsidR="005B0653" w:rsidRPr="001A6FD7">
              <w:rPr>
                <w:webHidden/>
                <w:sz w:val="16"/>
                <w:szCs w:val="16"/>
              </w:rPr>
            </w:r>
            <w:r w:rsidR="005B0653" w:rsidRPr="001A6FD7">
              <w:rPr>
                <w:webHidden/>
                <w:sz w:val="16"/>
                <w:szCs w:val="16"/>
              </w:rPr>
              <w:fldChar w:fldCharType="separate"/>
            </w:r>
            <w:r w:rsidR="005B0653" w:rsidRPr="001A6FD7">
              <w:rPr>
                <w:webHidden/>
                <w:sz w:val="16"/>
                <w:szCs w:val="16"/>
              </w:rPr>
              <w:t>30</w:t>
            </w:r>
            <w:r w:rsidR="005B0653" w:rsidRPr="001A6FD7">
              <w:rPr>
                <w:webHidden/>
                <w:sz w:val="16"/>
                <w:szCs w:val="16"/>
              </w:rPr>
              <w:fldChar w:fldCharType="end"/>
            </w:r>
          </w:hyperlink>
        </w:p>
        <w:p w14:paraId="6BF3B1CF" w14:textId="1838067A" w:rsidR="005B0653" w:rsidRPr="00C263D5" w:rsidRDefault="00D04369" w:rsidP="00CB4DE5">
          <w:pPr>
            <w:pStyle w:val="TOC1"/>
            <w:rPr>
              <w:rFonts w:asciiTheme="majorHAnsi" w:hAnsiTheme="majorHAnsi" w:cstheme="majorHAnsi"/>
              <w:sz w:val="22"/>
            </w:rPr>
          </w:pPr>
          <w:hyperlink w:anchor="_Toc227827179" w:history="1">
            <w:r w:rsidR="005B0653" w:rsidRPr="00C263D5">
              <w:rPr>
                <w:rStyle w:val="Hyperlink"/>
                <w:rFonts w:asciiTheme="majorHAnsi" w:hAnsiTheme="majorHAnsi" w:cstheme="majorHAnsi"/>
                <w:lang w:val="fr-FR"/>
              </w:rPr>
              <w:t>Raporti për qasje në dokumente publike</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_Toc227827179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30</w:t>
            </w:r>
            <w:r w:rsidR="005B0653" w:rsidRPr="00C263D5">
              <w:rPr>
                <w:rFonts w:asciiTheme="majorHAnsi" w:hAnsiTheme="majorHAnsi" w:cstheme="majorHAnsi"/>
                <w:webHidden/>
              </w:rPr>
              <w:fldChar w:fldCharType="end"/>
            </w:r>
          </w:hyperlink>
        </w:p>
        <w:p w14:paraId="7EF94AD5" w14:textId="4CB392F1" w:rsidR="005B0653" w:rsidRPr="00C263D5" w:rsidRDefault="00D04369" w:rsidP="00CB4DE5">
          <w:pPr>
            <w:pStyle w:val="TOC1"/>
            <w:rPr>
              <w:rFonts w:asciiTheme="majorHAnsi" w:hAnsiTheme="majorHAnsi" w:cstheme="majorHAnsi"/>
              <w:sz w:val="22"/>
            </w:rPr>
          </w:pPr>
          <w:hyperlink w:anchor="_Toc227827180" w:history="1">
            <w:r w:rsidR="005B0653" w:rsidRPr="00C263D5">
              <w:rPr>
                <w:rStyle w:val="Hyperlink"/>
                <w:rFonts w:asciiTheme="majorHAnsi" w:hAnsiTheme="majorHAnsi" w:cstheme="majorHAnsi"/>
              </w:rPr>
              <w:t>TRANSPARENCA FINANCIARE</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_Toc227827180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31</w:t>
            </w:r>
            <w:r w:rsidR="005B0653" w:rsidRPr="00C263D5">
              <w:rPr>
                <w:rFonts w:asciiTheme="majorHAnsi" w:hAnsiTheme="majorHAnsi" w:cstheme="majorHAnsi"/>
                <w:webHidden/>
              </w:rPr>
              <w:fldChar w:fldCharType="end"/>
            </w:r>
          </w:hyperlink>
        </w:p>
        <w:p w14:paraId="3CB8B84D" w14:textId="48236B53" w:rsidR="005B0653" w:rsidRPr="00C263D5" w:rsidRDefault="005B0653" w:rsidP="00CB4DE5">
          <w:pPr>
            <w:pStyle w:val="TOC1"/>
            <w:rPr>
              <w:rFonts w:asciiTheme="majorHAnsi" w:hAnsiTheme="majorHAnsi" w:cstheme="majorHAnsi"/>
              <w:sz w:val="22"/>
            </w:rPr>
          </w:pPr>
          <w:r w:rsidRPr="00C263D5">
            <w:rPr>
              <w:rStyle w:val="Hyperlink"/>
              <w:rFonts w:asciiTheme="majorHAnsi" w:hAnsiTheme="majorHAnsi" w:cstheme="majorHAnsi"/>
              <w:color w:val="auto"/>
              <w:u w:val="none"/>
            </w:rPr>
            <w:t>Korniza Afatmesme buxhetore</w:t>
          </w:r>
          <w:hyperlink w:anchor="_Toc227827181" w:history="1">
            <w:r w:rsidRPr="00C263D5">
              <w:rPr>
                <w:rFonts w:asciiTheme="majorHAnsi" w:hAnsiTheme="majorHAnsi" w:cstheme="majorHAnsi"/>
                <w:webHidden/>
              </w:rPr>
              <w:tab/>
            </w:r>
            <w:r w:rsidRPr="00C263D5">
              <w:rPr>
                <w:rFonts w:asciiTheme="majorHAnsi" w:hAnsiTheme="majorHAnsi" w:cstheme="majorHAnsi"/>
                <w:webHidden/>
              </w:rPr>
              <w:fldChar w:fldCharType="begin"/>
            </w:r>
            <w:r w:rsidRPr="00C263D5">
              <w:rPr>
                <w:rFonts w:asciiTheme="majorHAnsi" w:hAnsiTheme="majorHAnsi" w:cstheme="majorHAnsi"/>
                <w:webHidden/>
              </w:rPr>
              <w:instrText xml:space="preserve"> PAGEREF _Toc227827181 \h </w:instrText>
            </w:r>
            <w:r w:rsidRPr="00C263D5">
              <w:rPr>
                <w:rFonts w:asciiTheme="majorHAnsi" w:hAnsiTheme="majorHAnsi" w:cstheme="majorHAnsi"/>
                <w:webHidden/>
              </w:rPr>
            </w:r>
            <w:r w:rsidRPr="00C263D5">
              <w:rPr>
                <w:rFonts w:asciiTheme="majorHAnsi" w:hAnsiTheme="majorHAnsi" w:cstheme="majorHAnsi"/>
                <w:webHidden/>
              </w:rPr>
              <w:fldChar w:fldCharType="separate"/>
            </w:r>
            <w:r w:rsidRPr="00C263D5">
              <w:rPr>
                <w:rFonts w:asciiTheme="majorHAnsi" w:hAnsiTheme="majorHAnsi" w:cstheme="majorHAnsi"/>
                <w:webHidden/>
              </w:rPr>
              <w:t>33</w:t>
            </w:r>
            <w:r w:rsidRPr="00C263D5">
              <w:rPr>
                <w:rFonts w:asciiTheme="majorHAnsi" w:hAnsiTheme="majorHAnsi" w:cstheme="majorHAnsi"/>
                <w:webHidden/>
              </w:rPr>
              <w:fldChar w:fldCharType="end"/>
            </w:r>
          </w:hyperlink>
        </w:p>
        <w:p w14:paraId="1583439B" w14:textId="6F84DF9F" w:rsidR="005B0653" w:rsidRPr="00C263D5" w:rsidRDefault="00D04369" w:rsidP="00CB4DE5">
          <w:pPr>
            <w:pStyle w:val="TOC1"/>
            <w:rPr>
              <w:rFonts w:asciiTheme="majorHAnsi" w:hAnsiTheme="majorHAnsi" w:cstheme="majorHAnsi"/>
              <w:sz w:val="22"/>
            </w:rPr>
          </w:pPr>
          <w:hyperlink w:anchor="_Toc227827182" w:history="1">
            <w:r w:rsidR="005B0653" w:rsidRPr="00C263D5">
              <w:rPr>
                <w:rStyle w:val="Hyperlink"/>
                <w:rFonts w:asciiTheme="majorHAnsi" w:hAnsiTheme="majorHAnsi" w:cstheme="majorHAnsi"/>
              </w:rPr>
              <w:t>Raporti vjetor financiar</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_Toc227827182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34</w:t>
            </w:r>
            <w:r w:rsidR="005B0653" w:rsidRPr="00C263D5">
              <w:rPr>
                <w:rFonts w:asciiTheme="majorHAnsi" w:hAnsiTheme="majorHAnsi" w:cstheme="majorHAnsi"/>
                <w:webHidden/>
              </w:rPr>
              <w:fldChar w:fldCharType="end"/>
            </w:r>
          </w:hyperlink>
        </w:p>
        <w:p w14:paraId="67C55EC8" w14:textId="143A0C68" w:rsidR="005B0653" w:rsidRPr="00C263D5" w:rsidRDefault="00D04369" w:rsidP="00CB4DE5">
          <w:pPr>
            <w:pStyle w:val="TOC1"/>
            <w:rPr>
              <w:rFonts w:asciiTheme="majorHAnsi" w:hAnsiTheme="majorHAnsi" w:cstheme="majorHAnsi"/>
              <w:sz w:val="22"/>
            </w:rPr>
          </w:pPr>
          <w:hyperlink w:anchor="_Toc227827183" w:history="1">
            <w:r w:rsidR="005B0653" w:rsidRPr="00C263D5">
              <w:rPr>
                <w:rStyle w:val="Hyperlink"/>
                <w:rFonts w:asciiTheme="majorHAnsi" w:hAnsiTheme="majorHAnsi" w:cstheme="majorHAnsi"/>
              </w:rPr>
              <w:t>Publikimi i njoftimeve  për Takimet  /dëgjime  buxhetore</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_Toc227827183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35</w:t>
            </w:r>
            <w:r w:rsidR="005B0653" w:rsidRPr="00C263D5">
              <w:rPr>
                <w:rFonts w:asciiTheme="majorHAnsi" w:hAnsiTheme="majorHAnsi" w:cstheme="majorHAnsi"/>
                <w:webHidden/>
              </w:rPr>
              <w:fldChar w:fldCharType="end"/>
            </w:r>
          </w:hyperlink>
        </w:p>
        <w:p w14:paraId="19D217D1" w14:textId="37D94AB0" w:rsidR="005B0653" w:rsidRPr="00C263D5" w:rsidRDefault="00D04369" w:rsidP="00CB4DE5">
          <w:pPr>
            <w:pStyle w:val="TOC1"/>
            <w:rPr>
              <w:rFonts w:asciiTheme="majorHAnsi" w:hAnsiTheme="majorHAnsi" w:cstheme="majorHAnsi"/>
              <w:sz w:val="22"/>
            </w:rPr>
          </w:pPr>
          <w:hyperlink w:anchor="_Toc227827184" w:history="1">
            <w:r w:rsidR="005B0653" w:rsidRPr="00C263D5">
              <w:rPr>
                <w:rStyle w:val="Hyperlink"/>
                <w:rFonts w:asciiTheme="majorHAnsi" w:hAnsiTheme="majorHAnsi" w:cstheme="majorHAnsi"/>
              </w:rPr>
              <w:t>Buxhetimi me pjesëmarrje</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_Toc227827184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38</w:t>
            </w:r>
            <w:r w:rsidR="005B0653" w:rsidRPr="00C263D5">
              <w:rPr>
                <w:rFonts w:asciiTheme="majorHAnsi" w:hAnsiTheme="majorHAnsi" w:cstheme="majorHAnsi"/>
                <w:webHidden/>
              </w:rPr>
              <w:fldChar w:fldCharType="end"/>
            </w:r>
          </w:hyperlink>
        </w:p>
        <w:p w14:paraId="2BE87BC0" w14:textId="71664238" w:rsidR="005B0653" w:rsidRPr="00C263D5" w:rsidRDefault="005B0653" w:rsidP="00CB4DE5">
          <w:pPr>
            <w:pStyle w:val="TOC1"/>
            <w:rPr>
              <w:rFonts w:asciiTheme="majorHAnsi" w:hAnsiTheme="majorHAnsi" w:cstheme="majorHAnsi"/>
              <w:sz w:val="22"/>
            </w:rPr>
          </w:pPr>
          <w:r w:rsidRPr="00C263D5">
            <w:rPr>
              <w:rStyle w:val="Hyperlink"/>
              <w:rFonts w:asciiTheme="majorHAnsi" w:hAnsiTheme="majorHAnsi" w:cstheme="majorHAnsi"/>
              <w:color w:val="auto"/>
              <w:u w:val="none"/>
            </w:rPr>
            <w:t>Raportet Periodike</w:t>
          </w:r>
          <w:r w:rsidRPr="00C263D5">
            <w:rPr>
              <w:rStyle w:val="Hyperlink"/>
              <w:rFonts w:asciiTheme="majorHAnsi" w:hAnsiTheme="majorHAnsi" w:cstheme="majorHAnsi"/>
            </w:rPr>
            <w:t xml:space="preserve"> </w:t>
          </w:r>
          <w:hyperlink w:anchor="_Toc227827185" w:history="1">
            <w:r w:rsidRPr="00C263D5">
              <w:rPr>
                <w:rFonts w:asciiTheme="majorHAnsi" w:hAnsiTheme="majorHAnsi" w:cstheme="majorHAnsi"/>
                <w:webHidden/>
              </w:rPr>
              <w:tab/>
            </w:r>
            <w:r w:rsidRPr="00C263D5">
              <w:rPr>
                <w:rFonts w:asciiTheme="majorHAnsi" w:hAnsiTheme="majorHAnsi" w:cstheme="majorHAnsi"/>
                <w:webHidden/>
              </w:rPr>
              <w:fldChar w:fldCharType="begin"/>
            </w:r>
            <w:r w:rsidRPr="00C263D5">
              <w:rPr>
                <w:rFonts w:asciiTheme="majorHAnsi" w:hAnsiTheme="majorHAnsi" w:cstheme="majorHAnsi"/>
                <w:webHidden/>
              </w:rPr>
              <w:instrText xml:space="preserve"> PAGEREF _Toc227827185 \h </w:instrText>
            </w:r>
            <w:r w:rsidRPr="00C263D5">
              <w:rPr>
                <w:rFonts w:asciiTheme="majorHAnsi" w:hAnsiTheme="majorHAnsi" w:cstheme="majorHAnsi"/>
                <w:webHidden/>
              </w:rPr>
            </w:r>
            <w:r w:rsidRPr="00C263D5">
              <w:rPr>
                <w:rFonts w:asciiTheme="majorHAnsi" w:hAnsiTheme="majorHAnsi" w:cstheme="majorHAnsi"/>
                <w:webHidden/>
              </w:rPr>
              <w:fldChar w:fldCharType="separate"/>
            </w:r>
            <w:r w:rsidRPr="00C263D5">
              <w:rPr>
                <w:rFonts w:asciiTheme="majorHAnsi" w:hAnsiTheme="majorHAnsi" w:cstheme="majorHAnsi"/>
                <w:webHidden/>
              </w:rPr>
              <w:t>39</w:t>
            </w:r>
            <w:r w:rsidRPr="00C263D5">
              <w:rPr>
                <w:rFonts w:asciiTheme="majorHAnsi" w:hAnsiTheme="majorHAnsi" w:cstheme="majorHAnsi"/>
                <w:webHidden/>
              </w:rPr>
              <w:fldChar w:fldCharType="end"/>
            </w:r>
          </w:hyperlink>
        </w:p>
        <w:p w14:paraId="10E051E4" w14:textId="3B2D8348" w:rsidR="005B0653" w:rsidRPr="00C263D5" w:rsidRDefault="005B0653" w:rsidP="00CB4DE5">
          <w:pPr>
            <w:pStyle w:val="TOC1"/>
            <w:rPr>
              <w:rFonts w:asciiTheme="majorHAnsi" w:hAnsiTheme="majorHAnsi" w:cstheme="majorHAnsi"/>
              <w:sz w:val="22"/>
            </w:rPr>
          </w:pPr>
          <w:r w:rsidRPr="00C263D5">
            <w:rPr>
              <w:rFonts w:asciiTheme="majorHAnsi" w:hAnsiTheme="majorHAnsi" w:cstheme="majorHAnsi"/>
            </w:rPr>
            <w:t>Publikimi i auditorit të jashtëm</w:t>
          </w:r>
          <w:r w:rsidRPr="00C263D5">
            <w:rPr>
              <w:rStyle w:val="Hyperlink"/>
              <w:rFonts w:asciiTheme="majorHAnsi" w:hAnsiTheme="majorHAnsi" w:cstheme="majorHAnsi"/>
            </w:rPr>
            <w:t xml:space="preserve"> </w:t>
          </w:r>
          <w:hyperlink w:anchor="_Toc227827186" w:history="1">
            <w:r w:rsidRPr="00C263D5">
              <w:rPr>
                <w:rFonts w:asciiTheme="majorHAnsi" w:hAnsiTheme="majorHAnsi" w:cstheme="majorHAnsi"/>
                <w:webHidden/>
              </w:rPr>
              <w:tab/>
            </w:r>
            <w:r w:rsidRPr="00C263D5">
              <w:rPr>
                <w:rFonts w:asciiTheme="majorHAnsi" w:hAnsiTheme="majorHAnsi" w:cstheme="majorHAnsi"/>
                <w:webHidden/>
              </w:rPr>
              <w:fldChar w:fldCharType="begin"/>
            </w:r>
            <w:r w:rsidRPr="00C263D5">
              <w:rPr>
                <w:rFonts w:asciiTheme="majorHAnsi" w:hAnsiTheme="majorHAnsi" w:cstheme="majorHAnsi"/>
                <w:webHidden/>
              </w:rPr>
              <w:instrText xml:space="preserve"> PAGEREF _Toc227827186 \h </w:instrText>
            </w:r>
            <w:r w:rsidRPr="00C263D5">
              <w:rPr>
                <w:rFonts w:asciiTheme="majorHAnsi" w:hAnsiTheme="majorHAnsi" w:cstheme="majorHAnsi"/>
                <w:webHidden/>
              </w:rPr>
            </w:r>
            <w:r w:rsidRPr="00C263D5">
              <w:rPr>
                <w:rFonts w:asciiTheme="majorHAnsi" w:hAnsiTheme="majorHAnsi" w:cstheme="majorHAnsi"/>
                <w:webHidden/>
              </w:rPr>
              <w:fldChar w:fldCharType="separate"/>
            </w:r>
            <w:r w:rsidRPr="00C263D5">
              <w:rPr>
                <w:rFonts w:asciiTheme="majorHAnsi" w:hAnsiTheme="majorHAnsi" w:cstheme="majorHAnsi"/>
                <w:webHidden/>
              </w:rPr>
              <w:t>39</w:t>
            </w:r>
            <w:r w:rsidRPr="00C263D5">
              <w:rPr>
                <w:rFonts w:asciiTheme="majorHAnsi" w:hAnsiTheme="majorHAnsi" w:cstheme="majorHAnsi"/>
                <w:webHidden/>
              </w:rPr>
              <w:fldChar w:fldCharType="end"/>
            </w:r>
          </w:hyperlink>
        </w:p>
        <w:p w14:paraId="08B242D7" w14:textId="04F8321F" w:rsidR="005B0653" w:rsidRPr="00C263D5" w:rsidRDefault="00D04369" w:rsidP="00CB4DE5">
          <w:pPr>
            <w:pStyle w:val="TOC1"/>
            <w:rPr>
              <w:rFonts w:asciiTheme="majorHAnsi" w:hAnsiTheme="majorHAnsi" w:cstheme="majorHAnsi"/>
              <w:sz w:val="22"/>
            </w:rPr>
          </w:pPr>
          <w:hyperlink w:anchor="_Toc227827187" w:history="1">
            <w:r w:rsidR="00051CD5" w:rsidRPr="00C263D5">
              <w:rPr>
                <w:rStyle w:val="Hyperlink"/>
                <w:rFonts w:asciiTheme="majorHAnsi" w:hAnsiTheme="majorHAnsi" w:cstheme="majorHAnsi"/>
              </w:rPr>
              <w:t>TRANSPARENCA E PROKURIMIT – Publikimi i Planit</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_Toc227827187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39</w:t>
            </w:r>
            <w:r w:rsidR="005B0653" w:rsidRPr="00C263D5">
              <w:rPr>
                <w:rFonts w:asciiTheme="majorHAnsi" w:hAnsiTheme="majorHAnsi" w:cstheme="majorHAnsi"/>
                <w:webHidden/>
              </w:rPr>
              <w:fldChar w:fldCharType="end"/>
            </w:r>
          </w:hyperlink>
        </w:p>
        <w:p w14:paraId="39BAEF9F" w14:textId="097A0BF7" w:rsidR="005B0653" w:rsidRPr="00C263D5" w:rsidRDefault="00D04369" w:rsidP="00CB4DE5">
          <w:pPr>
            <w:pStyle w:val="TOC1"/>
            <w:rPr>
              <w:rFonts w:asciiTheme="majorHAnsi" w:hAnsiTheme="majorHAnsi" w:cstheme="majorHAnsi"/>
              <w:sz w:val="22"/>
            </w:rPr>
          </w:pPr>
          <w:hyperlink w:anchor="_Toc227827188" w:history="1">
            <w:r w:rsidR="005B0653" w:rsidRPr="00C263D5">
              <w:rPr>
                <w:rStyle w:val="Hyperlink"/>
                <w:rFonts w:asciiTheme="majorHAnsi" w:hAnsiTheme="majorHAnsi" w:cstheme="majorHAnsi"/>
              </w:rPr>
              <w:t>P</w:t>
            </w:r>
            <w:r w:rsidR="00051CD5" w:rsidRPr="00C263D5">
              <w:rPr>
                <w:rStyle w:val="Hyperlink"/>
                <w:rFonts w:asciiTheme="majorHAnsi" w:hAnsiTheme="majorHAnsi" w:cstheme="majorHAnsi"/>
              </w:rPr>
              <w:t xml:space="preserve">ublikimi i Raportit të Prokurimit </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_Toc227827188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40</w:t>
            </w:r>
            <w:r w:rsidR="005B0653" w:rsidRPr="00C263D5">
              <w:rPr>
                <w:rFonts w:asciiTheme="majorHAnsi" w:hAnsiTheme="majorHAnsi" w:cstheme="majorHAnsi"/>
                <w:webHidden/>
              </w:rPr>
              <w:fldChar w:fldCharType="end"/>
            </w:r>
          </w:hyperlink>
        </w:p>
        <w:p w14:paraId="53878578" w14:textId="6CDFA984" w:rsidR="005B0653" w:rsidRPr="00C263D5" w:rsidRDefault="00D04369" w:rsidP="00CB4DE5">
          <w:pPr>
            <w:pStyle w:val="TOC1"/>
            <w:rPr>
              <w:rFonts w:asciiTheme="majorHAnsi" w:hAnsiTheme="majorHAnsi" w:cstheme="majorHAnsi"/>
              <w:sz w:val="22"/>
            </w:rPr>
          </w:pPr>
          <w:hyperlink w:anchor="_Toc227827189" w:history="1">
            <w:r w:rsidR="005B0653" w:rsidRPr="00C263D5">
              <w:rPr>
                <w:rStyle w:val="Hyperlink"/>
                <w:rFonts w:asciiTheme="majorHAnsi" w:hAnsiTheme="majorHAnsi" w:cstheme="majorHAnsi"/>
              </w:rPr>
              <w:t>ZBATIMI I STANDARDEVE MINIMALE TË KONUSULTIMEVE PUBLIKE</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_Toc227827189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41</w:t>
            </w:r>
            <w:r w:rsidR="005B0653" w:rsidRPr="00C263D5">
              <w:rPr>
                <w:rFonts w:asciiTheme="majorHAnsi" w:hAnsiTheme="majorHAnsi" w:cstheme="majorHAnsi"/>
                <w:webHidden/>
              </w:rPr>
              <w:fldChar w:fldCharType="end"/>
            </w:r>
          </w:hyperlink>
        </w:p>
        <w:p w14:paraId="11183D37" w14:textId="4B23A3E1" w:rsidR="005B0653" w:rsidRPr="00C263D5" w:rsidRDefault="00D04369" w:rsidP="00CB4DE5">
          <w:pPr>
            <w:pStyle w:val="TOC1"/>
            <w:rPr>
              <w:rFonts w:asciiTheme="majorHAnsi" w:hAnsiTheme="majorHAnsi" w:cstheme="majorHAnsi"/>
              <w:sz w:val="22"/>
            </w:rPr>
          </w:pPr>
          <w:hyperlink w:anchor="_Toc227827190" w:history="1">
            <w:r w:rsidR="005B0653" w:rsidRPr="00C263D5">
              <w:rPr>
                <w:rStyle w:val="Hyperlink"/>
                <w:rFonts w:asciiTheme="majorHAnsi" w:hAnsiTheme="majorHAnsi" w:cstheme="majorHAnsi"/>
              </w:rPr>
              <w:t>P</w:t>
            </w:r>
            <w:r w:rsidR="00051CD5" w:rsidRPr="00C263D5">
              <w:rPr>
                <w:rStyle w:val="Hyperlink"/>
                <w:rFonts w:asciiTheme="majorHAnsi" w:hAnsiTheme="majorHAnsi" w:cstheme="majorHAnsi"/>
              </w:rPr>
              <w:t>lani  i konsultimeve publike</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_Toc227827190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42</w:t>
            </w:r>
            <w:r w:rsidR="005B0653" w:rsidRPr="00C263D5">
              <w:rPr>
                <w:rFonts w:asciiTheme="majorHAnsi" w:hAnsiTheme="majorHAnsi" w:cstheme="majorHAnsi"/>
                <w:webHidden/>
              </w:rPr>
              <w:fldChar w:fldCharType="end"/>
            </w:r>
          </w:hyperlink>
        </w:p>
        <w:p w14:paraId="69F11AAE" w14:textId="74F71337" w:rsidR="005B0653" w:rsidRPr="00C263D5" w:rsidRDefault="00D04369" w:rsidP="00CB4DE5">
          <w:pPr>
            <w:pStyle w:val="TOC1"/>
            <w:rPr>
              <w:rFonts w:asciiTheme="majorHAnsi" w:hAnsiTheme="majorHAnsi" w:cstheme="majorHAnsi"/>
              <w:sz w:val="22"/>
            </w:rPr>
          </w:pPr>
          <w:hyperlink w:anchor="_Toc227827191" w:history="1">
            <w:r w:rsidR="005B0653" w:rsidRPr="00C263D5">
              <w:rPr>
                <w:rStyle w:val="Hyperlink"/>
                <w:rFonts w:asciiTheme="majorHAnsi" w:hAnsiTheme="majorHAnsi" w:cstheme="majorHAnsi"/>
              </w:rPr>
              <w:t>Njoftime për konsultime publike</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_Toc227827191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43</w:t>
            </w:r>
            <w:r w:rsidR="005B0653" w:rsidRPr="00C263D5">
              <w:rPr>
                <w:rFonts w:asciiTheme="majorHAnsi" w:hAnsiTheme="majorHAnsi" w:cstheme="majorHAnsi"/>
                <w:webHidden/>
              </w:rPr>
              <w:fldChar w:fldCharType="end"/>
            </w:r>
          </w:hyperlink>
        </w:p>
        <w:p w14:paraId="61996BC9" w14:textId="16F9B26B" w:rsidR="005B0653" w:rsidRPr="00C263D5" w:rsidRDefault="00D04369" w:rsidP="00CB4DE5">
          <w:pPr>
            <w:pStyle w:val="TOC1"/>
            <w:rPr>
              <w:rFonts w:asciiTheme="majorHAnsi" w:hAnsiTheme="majorHAnsi" w:cstheme="majorHAnsi"/>
              <w:sz w:val="22"/>
            </w:rPr>
          </w:pPr>
          <w:hyperlink w:anchor="_Toc227827192" w:history="1">
            <w:r w:rsidR="005B0653" w:rsidRPr="00C263D5">
              <w:rPr>
                <w:rStyle w:val="Hyperlink"/>
                <w:rFonts w:asciiTheme="majorHAnsi" w:hAnsiTheme="majorHAnsi" w:cstheme="majorHAnsi"/>
              </w:rPr>
              <w:t>Projekt-propozimet për konsultime publike dhe memorandume shpjegues</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_Toc227827192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43</w:t>
            </w:r>
            <w:r w:rsidR="005B0653" w:rsidRPr="00C263D5">
              <w:rPr>
                <w:rFonts w:asciiTheme="majorHAnsi" w:hAnsiTheme="majorHAnsi" w:cstheme="majorHAnsi"/>
                <w:webHidden/>
              </w:rPr>
              <w:fldChar w:fldCharType="end"/>
            </w:r>
          </w:hyperlink>
        </w:p>
        <w:p w14:paraId="55C8F168" w14:textId="4ED2FEE2" w:rsidR="005B0653" w:rsidRPr="00C263D5" w:rsidRDefault="00D04369" w:rsidP="00CB4DE5">
          <w:pPr>
            <w:pStyle w:val="TOC1"/>
            <w:rPr>
              <w:rFonts w:asciiTheme="majorHAnsi" w:hAnsiTheme="majorHAnsi" w:cstheme="majorHAnsi"/>
              <w:sz w:val="22"/>
            </w:rPr>
          </w:pPr>
          <w:hyperlink w:anchor="_Toc227827193" w:history="1">
            <w:r w:rsidR="005B0653" w:rsidRPr="00C263D5">
              <w:rPr>
                <w:rStyle w:val="Hyperlink"/>
                <w:rFonts w:asciiTheme="majorHAnsi" w:hAnsiTheme="majorHAnsi" w:cstheme="majorHAnsi"/>
              </w:rPr>
              <w:t>Publikimi  i raporteve për konsultime publike</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_Toc227827193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45</w:t>
            </w:r>
            <w:r w:rsidR="005B0653" w:rsidRPr="00C263D5">
              <w:rPr>
                <w:rFonts w:asciiTheme="majorHAnsi" w:hAnsiTheme="majorHAnsi" w:cstheme="majorHAnsi"/>
                <w:webHidden/>
              </w:rPr>
              <w:fldChar w:fldCharType="end"/>
            </w:r>
          </w:hyperlink>
        </w:p>
        <w:p w14:paraId="18E2187F" w14:textId="2255D0C8" w:rsidR="005B0653" w:rsidRPr="00C263D5" w:rsidRDefault="00D04369" w:rsidP="00CB4DE5">
          <w:pPr>
            <w:pStyle w:val="TOC1"/>
            <w:rPr>
              <w:rFonts w:asciiTheme="majorHAnsi" w:hAnsiTheme="majorHAnsi" w:cstheme="majorHAnsi"/>
              <w:sz w:val="22"/>
            </w:rPr>
          </w:pPr>
          <w:hyperlink w:anchor="_Toc227827194" w:history="1">
            <w:r w:rsidR="005B0653" w:rsidRPr="00C263D5">
              <w:rPr>
                <w:rStyle w:val="Hyperlink"/>
                <w:rFonts w:asciiTheme="majorHAnsi" w:hAnsiTheme="majorHAnsi" w:cstheme="majorHAnsi"/>
              </w:rPr>
              <w:t>Rekomandime</w:t>
            </w:r>
            <w:r w:rsidR="005B0653" w:rsidRPr="00C263D5">
              <w:rPr>
                <w:rFonts w:asciiTheme="majorHAnsi" w:hAnsiTheme="majorHAnsi" w:cstheme="majorHAnsi"/>
                <w:webHidden/>
              </w:rPr>
              <w:tab/>
            </w:r>
            <w:r w:rsidR="005B0653" w:rsidRPr="00C263D5">
              <w:rPr>
                <w:rFonts w:asciiTheme="majorHAnsi" w:hAnsiTheme="majorHAnsi" w:cstheme="majorHAnsi"/>
                <w:webHidden/>
              </w:rPr>
              <w:fldChar w:fldCharType="begin"/>
            </w:r>
            <w:r w:rsidR="005B0653" w:rsidRPr="00C263D5">
              <w:rPr>
                <w:rFonts w:asciiTheme="majorHAnsi" w:hAnsiTheme="majorHAnsi" w:cstheme="majorHAnsi"/>
                <w:webHidden/>
              </w:rPr>
              <w:instrText xml:space="preserve"> PAGEREF _Toc227827194 \h </w:instrText>
            </w:r>
            <w:r w:rsidR="005B0653" w:rsidRPr="00C263D5">
              <w:rPr>
                <w:rFonts w:asciiTheme="majorHAnsi" w:hAnsiTheme="majorHAnsi" w:cstheme="majorHAnsi"/>
                <w:webHidden/>
              </w:rPr>
            </w:r>
            <w:r w:rsidR="005B0653" w:rsidRPr="00C263D5">
              <w:rPr>
                <w:rFonts w:asciiTheme="majorHAnsi" w:hAnsiTheme="majorHAnsi" w:cstheme="majorHAnsi"/>
                <w:webHidden/>
              </w:rPr>
              <w:fldChar w:fldCharType="separate"/>
            </w:r>
            <w:r w:rsidR="005B0653" w:rsidRPr="00C263D5">
              <w:rPr>
                <w:rFonts w:asciiTheme="majorHAnsi" w:hAnsiTheme="majorHAnsi" w:cstheme="majorHAnsi"/>
                <w:webHidden/>
              </w:rPr>
              <w:t>46</w:t>
            </w:r>
            <w:r w:rsidR="005B0653" w:rsidRPr="00C263D5">
              <w:rPr>
                <w:rFonts w:asciiTheme="majorHAnsi" w:hAnsiTheme="majorHAnsi" w:cstheme="majorHAnsi"/>
                <w:webHidden/>
              </w:rPr>
              <w:fldChar w:fldCharType="end"/>
            </w:r>
          </w:hyperlink>
        </w:p>
        <w:p w14:paraId="380A4616" w14:textId="3F40E7AC" w:rsidR="00A83156" w:rsidRPr="00B8016C" w:rsidRDefault="00A83156" w:rsidP="00A83156">
          <w:pPr>
            <w:spacing w:line="240" w:lineRule="auto"/>
          </w:pPr>
          <w:r w:rsidRPr="00C263D5">
            <w:rPr>
              <w:rFonts w:asciiTheme="majorHAnsi" w:hAnsiTheme="majorHAnsi" w:cstheme="majorHAnsi"/>
              <w:bCs/>
              <w:color w:val="2F5496" w:themeColor="accent5" w:themeShade="BF"/>
              <w:sz w:val="16"/>
              <w:szCs w:val="20"/>
            </w:rPr>
            <w:fldChar w:fldCharType="end"/>
          </w:r>
        </w:p>
      </w:sdtContent>
    </w:sdt>
    <w:p w14:paraId="7D2F9421" w14:textId="77777777" w:rsidR="00A83156" w:rsidRPr="00B8016C" w:rsidRDefault="00A83156" w:rsidP="00A83156">
      <w:pPr>
        <w:spacing w:line="240" w:lineRule="auto"/>
        <w:rPr>
          <w:rFonts w:ascii="Book Antiqua" w:hAnsi="Book Antiqua" w:cs="Calibri Light"/>
          <w:sz w:val="18"/>
          <w:szCs w:val="20"/>
        </w:rPr>
      </w:pPr>
    </w:p>
    <w:p w14:paraId="2552A389" w14:textId="77777777" w:rsidR="00A83156" w:rsidRPr="00B8016C" w:rsidRDefault="00A83156" w:rsidP="00A83156">
      <w:pPr>
        <w:spacing w:line="240" w:lineRule="auto"/>
        <w:rPr>
          <w:sz w:val="18"/>
          <w:szCs w:val="20"/>
        </w:rPr>
      </w:pPr>
    </w:p>
    <w:p w14:paraId="6E5887D2" w14:textId="77777777" w:rsidR="002F234C" w:rsidRDefault="002F234C" w:rsidP="0052060D">
      <w:pPr>
        <w:pStyle w:val="Contactinfo"/>
        <w:spacing w:line="276" w:lineRule="auto"/>
        <w:jc w:val="center"/>
        <w:rPr>
          <w:rFonts w:ascii="Book Antiqua" w:hAnsi="Book Antiqua" w:cs="Calibri Light"/>
          <w:color w:val="000000" w:themeColor="text1"/>
          <w:sz w:val="22"/>
          <w:szCs w:val="22"/>
          <w:lang w:val="sq-AL"/>
        </w:rPr>
      </w:pPr>
    </w:p>
    <w:p w14:paraId="555F8750" w14:textId="77777777" w:rsidR="00A83156" w:rsidRPr="00A83156" w:rsidRDefault="00A83156" w:rsidP="00A83156">
      <w:pPr>
        <w:pStyle w:val="Contactinfo"/>
        <w:jc w:val="center"/>
        <w:rPr>
          <w:rFonts w:ascii="Book Antiqua" w:hAnsi="Book Antiqua" w:cs="Calibri Light"/>
          <w:color w:val="000000" w:themeColor="text1"/>
          <w:sz w:val="18"/>
          <w:lang w:val="sq-AL"/>
        </w:rPr>
      </w:pPr>
    </w:p>
    <w:p w14:paraId="4CD6E400" w14:textId="77777777" w:rsidR="005A3D00" w:rsidRPr="005A3D00" w:rsidRDefault="005A3D00" w:rsidP="005A3D00">
      <w:pPr>
        <w:spacing w:line="276" w:lineRule="auto"/>
        <w:rPr>
          <w:rFonts w:ascii="Book Antiqua" w:hAnsi="Book Antiqua" w:cstheme="majorHAnsi"/>
          <w:b/>
          <w:color w:val="2F5496" w:themeColor="accent5" w:themeShade="BF"/>
        </w:rPr>
      </w:pPr>
    </w:p>
    <w:p w14:paraId="6AF5A8F7" w14:textId="77777777" w:rsidR="005A3D00" w:rsidRPr="005A3D00" w:rsidRDefault="005A3D00" w:rsidP="005A3D00">
      <w:pPr>
        <w:spacing w:line="276" w:lineRule="auto"/>
        <w:rPr>
          <w:rFonts w:ascii="Book Antiqua" w:hAnsi="Book Antiqua" w:cstheme="majorHAnsi"/>
          <w:b/>
          <w:color w:val="2F5496" w:themeColor="accent5" w:themeShade="BF"/>
        </w:rPr>
      </w:pPr>
    </w:p>
    <w:p w14:paraId="6D600B2E" w14:textId="77777777" w:rsidR="005A3D00" w:rsidRPr="005A3D00" w:rsidRDefault="005A3D00" w:rsidP="005A3D00">
      <w:pPr>
        <w:keepNext/>
        <w:keepLines/>
        <w:spacing w:before="320" w:after="40"/>
        <w:outlineLvl w:val="0"/>
        <w:rPr>
          <w:rFonts w:ascii="Times New Roman" w:eastAsiaTheme="majorEastAsia" w:hAnsi="Times New Roman" w:cstheme="majorBidi"/>
          <w:b/>
          <w:bCs/>
          <w:caps/>
          <w:color w:val="2F5496" w:themeColor="accent5" w:themeShade="BF"/>
          <w:spacing w:val="4"/>
          <w:sz w:val="24"/>
          <w:szCs w:val="28"/>
        </w:rPr>
      </w:pPr>
    </w:p>
    <w:p w14:paraId="1899E2DE" w14:textId="77777777" w:rsidR="005A3D00" w:rsidRPr="005A3D00" w:rsidRDefault="005A3D00" w:rsidP="005A3D00">
      <w:pPr>
        <w:spacing w:line="276" w:lineRule="auto"/>
        <w:rPr>
          <w:rFonts w:ascii="Book Antiqua" w:hAnsi="Book Antiqua" w:cstheme="majorHAnsi"/>
          <w:b/>
          <w:color w:val="2F5496" w:themeColor="accent5" w:themeShade="BF"/>
        </w:rPr>
      </w:pPr>
    </w:p>
    <w:p w14:paraId="62A11B90" w14:textId="77777777" w:rsidR="005A3D00" w:rsidRPr="005A3D00" w:rsidRDefault="005A3D00" w:rsidP="005A3D00">
      <w:pPr>
        <w:spacing w:line="276" w:lineRule="auto"/>
        <w:rPr>
          <w:rFonts w:ascii="Book Antiqua" w:hAnsi="Book Antiqua" w:cstheme="majorHAnsi"/>
          <w:b/>
          <w:color w:val="2F5496" w:themeColor="accent5" w:themeShade="BF"/>
        </w:rPr>
      </w:pPr>
    </w:p>
    <w:p w14:paraId="59AB5700" w14:textId="77777777" w:rsidR="005A3D00" w:rsidRPr="005A3D00" w:rsidRDefault="005A3D00" w:rsidP="005A3D00">
      <w:pPr>
        <w:rPr>
          <w:rFonts w:ascii="Book Antiqua" w:hAnsi="Book Antiqua"/>
          <w:color w:val="2F5496" w:themeColor="accent5" w:themeShade="BF"/>
          <w:sz w:val="24"/>
        </w:rPr>
      </w:pPr>
    </w:p>
    <w:p w14:paraId="1D35863A" w14:textId="77777777" w:rsidR="005A3D00" w:rsidRPr="005A3D00" w:rsidRDefault="005A3D00" w:rsidP="005A3D00">
      <w:pPr>
        <w:spacing w:line="276" w:lineRule="auto"/>
        <w:rPr>
          <w:rFonts w:ascii="Book Antiqua" w:hAnsi="Book Antiqua" w:cstheme="majorHAnsi"/>
          <w:b/>
          <w:color w:val="2F5496" w:themeColor="accent5" w:themeShade="BF"/>
          <w:sz w:val="18"/>
        </w:rPr>
      </w:pPr>
    </w:p>
    <w:p w14:paraId="296B0FC7" w14:textId="77777777" w:rsidR="00E8247D" w:rsidRPr="00A83156" w:rsidRDefault="00E8247D" w:rsidP="00A83156">
      <w:pPr>
        <w:keepNext/>
        <w:keepLines/>
        <w:spacing w:before="320" w:after="40"/>
        <w:outlineLvl w:val="0"/>
        <w:rPr>
          <w:rFonts w:ascii="Book Antiqua" w:eastAsiaTheme="majorEastAsia" w:hAnsi="Book Antiqua" w:cstheme="majorBidi"/>
          <w:b/>
          <w:bCs/>
          <w:caps/>
          <w:color w:val="2F5496" w:themeColor="accent5" w:themeShade="BF"/>
          <w:spacing w:val="4"/>
          <w:sz w:val="24"/>
          <w:szCs w:val="28"/>
        </w:rPr>
      </w:pPr>
    </w:p>
    <w:p w14:paraId="0B48FB52" w14:textId="54D69618" w:rsidR="00EA6113" w:rsidRDefault="00EA6113" w:rsidP="0052060D">
      <w:pPr>
        <w:pStyle w:val="Contactinfo"/>
        <w:spacing w:line="276" w:lineRule="auto"/>
        <w:jc w:val="center"/>
        <w:rPr>
          <w:rFonts w:ascii="Book Antiqua" w:hAnsi="Book Antiqua" w:cs="Calibri Light"/>
          <w:color w:val="000000" w:themeColor="text1"/>
          <w:sz w:val="22"/>
          <w:szCs w:val="22"/>
          <w:lang w:val="sq-AL"/>
        </w:rPr>
      </w:pPr>
    </w:p>
    <w:p w14:paraId="09DE2AD8" w14:textId="2740599A" w:rsidR="00EA6113" w:rsidRDefault="00EA6113" w:rsidP="0052060D">
      <w:pPr>
        <w:pStyle w:val="Contactinfo"/>
        <w:spacing w:line="276" w:lineRule="auto"/>
        <w:jc w:val="center"/>
        <w:rPr>
          <w:rFonts w:ascii="Book Antiqua" w:hAnsi="Book Antiqua" w:cs="Calibri Light"/>
          <w:color w:val="000000" w:themeColor="text1"/>
          <w:sz w:val="22"/>
          <w:szCs w:val="22"/>
          <w:lang w:val="sq-AL"/>
        </w:rPr>
      </w:pPr>
    </w:p>
    <w:p w14:paraId="2B1E60D5" w14:textId="26331587" w:rsidR="00EA6113" w:rsidRDefault="001F5C47" w:rsidP="0052060D">
      <w:pPr>
        <w:pStyle w:val="Contactinfo"/>
        <w:spacing w:line="276" w:lineRule="auto"/>
        <w:jc w:val="center"/>
        <w:rPr>
          <w:rFonts w:ascii="Book Antiqua" w:hAnsi="Book Antiqua" w:cs="Calibri Light"/>
          <w:color w:val="000000" w:themeColor="text1"/>
          <w:sz w:val="22"/>
          <w:szCs w:val="22"/>
          <w:lang w:val="sq-AL"/>
        </w:rPr>
      </w:pPr>
      <w:r w:rsidRPr="00312CBE">
        <w:rPr>
          <w:rFonts w:ascii="Book Antiqua" w:hAnsi="Book Antiqua" w:cs="Calibri Light"/>
          <w:noProof/>
          <w:color w:val="000000" w:themeColor="text1"/>
          <w:lang w:val="sq-AL" w:eastAsia="sq-AL"/>
        </w:rPr>
        <mc:AlternateContent>
          <mc:Choice Requires="wps">
            <w:drawing>
              <wp:anchor distT="0" distB="0" distL="114300" distR="114300" simplePos="0" relativeHeight="251770880" behindDoc="0" locked="0" layoutInCell="1" allowOverlap="1" wp14:anchorId="054A6333" wp14:editId="26DB6FAA">
                <wp:simplePos x="0" y="0"/>
                <wp:positionH relativeFrom="page">
                  <wp:align>right</wp:align>
                </wp:positionH>
                <wp:positionV relativeFrom="paragraph">
                  <wp:posOffset>336550</wp:posOffset>
                </wp:positionV>
                <wp:extent cx="7581900" cy="3319200"/>
                <wp:effectExtent l="0" t="0" r="0" b="0"/>
                <wp:wrapNone/>
                <wp:docPr id="152" name="Rectangle 152"/>
                <wp:cNvGraphicFramePr/>
                <a:graphic xmlns:a="http://schemas.openxmlformats.org/drawingml/2006/main">
                  <a:graphicData uri="http://schemas.microsoft.com/office/word/2010/wordprocessingShape">
                    <wps:wsp>
                      <wps:cNvSpPr/>
                      <wps:spPr>
                        <a:xfrm>
                          <a:off x="0" y="0"/>
                          <a:ext cx="7581900" cy="331920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34934" id="Rectangle 152" o:spid="_x0000_s1026" style="position:absolute;margin-left:545.8pt;margin-top:26.5pt;width:597pt;height:261.35pt;z-index:251770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" fillcolor="#92bce3 [2132]" stroked="f" strokeweight="1pt">
                <v:fill color2="#d9e8f5 [756]" rotate="t" angle="90" colors="0 #9ac3f6;.5 #c1d8f8;1 #e1ecfb" focus="100%" type="gradient"/>
                <w10:wrap anchorx="page"/>
              </v:rect>
            </w:pict>
          </mc:Fallback>
        </mc:AlternateContent>
      </w:r>
    </w:p>
    <w:p w14:paraId="4775A657" w14:textId="3CE05577" w:rsidR="00E8247D" w:rsidRDefault="00E8247D" w:rsidP="0052060D">
      <w:pPr>
        <w:pStyle w:val="Contactinfo"/>
        <w:spacing w:line="276" w:lineRule="auto"/>
        <w:jc w:val="center"/>
        <w:rPr>
          <w:rFonts w:ascii="Book Antiqua" w:hAnsi="Book Antiqua" w:cs="Calibri Light"/>
          <w:color w:val="000000" w:themeColor="text1"/>
          <w:sz w:val="22"/>
          <w:szCs w:val="22"/>
          <w:lang w:val="sq-AL"/>
        </w:rPr>
      </w:pPr>
    </w:p>
    <w:p w14:paraId="077B4514" w14:textId="053B8356" w:rsidR="00E8247D" w:rsidRDefault="001F5C47" w:rsidP="0052060D">
      <w:pPr>
        <w:pStyle w:val="Contactinfo"/>
        <w:spacing w:line="276" w:lineRule="auto"/>
        <w:jc w:val="center"/>
        <w:rPr>
          <w:rFonts w:ascii="Book Antiqua" w:hAnsi="Book Antiqua" w:cs="Calibri Light"/>
          <w:color w:val="000000" w:themeColor="text1"/>
          <w:sz w:val="22"/>
          <w:szCs w:val="22"/>
          <w:lang w:val="sq-AL"/>
        </w:rPr>
      </w:pPr>
      <w:r w:rsidRPr="00312CBE">
        <w:rPr>
          <w:rFonts w:ascii="Book Antiqua" w:hAnsi="Book Antiqua" w:cs="Calibri Light"/>
          <w:b/>
          <w:noProof/>
          <w:color w:val="000000" w:themeColor="text1"/>
          <w:lang w:val="sq-AL" w:eastAsia="sq-AL"/>
        </w:rPr>
        <mc:AlternateContent>
          <mc:Choice Requires="wps">
            <w:drawing>
              <wp:anchor distT="0" distB="0" distL="114300" distR="114300" simplePos="0" relativeHeight="251772928" behindDoc="0" locked="0" layoutInCell="1" allowOverlap="1" wp14:anchorId="63286BC1" wp14:editId="69444E63">
                <wp:simplePos x="0" y="0"/>
                <wp:positionH relativeFrom="column">
                  <wp:posOffset>-244800</wp:posOffset>
                </wp:positionH>
                <wp:positionV relativeFrom="paragraph">
                  <wp:posOffset>163080</wp:posOffset>
                </wp:positionV>
                <wp:extent cx="6296025" cy="2152800"/>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6296025" cy="2152800"/>
                        </a:xfrm>
                        <a:prstGeom prst="rect">
                          <a:avLst/>
                        </a:prstGeom>
                        <a:noFill/>
                        <a:ln w="6350">
                          <a:noFill/>
                        </a:ln>
                      </wps:spPr>
                      <wps:txbx>
                        <w:txbxContent>
                          <w:p w14:paraId="4AE21EC8" w14:textId="1F668362" w:rsidR="00141440" w:rsidRPr="00C263D5" w:rsidRDefault="00141440" w:rsidP="003F57AE">
                            <w:pPr>
                              <w:rPr>
                                <w:rStyle w:val="Emphasis"/>
                                <w:rFonts w:asciiTheme="majorHAnsi" w:hAnsiTheme="majorHAnsi" w:cstheme="majorHAnsi"/>
                                <w:sz w:val="20"/>
                                <w:szCs w:val="20"/>
                              </w:rPr>
                            </w:pPr>
                            <w:r w:rsidRPr="00C263D5">
                              <w:rPr>
                                <w:rStyle w:val="Emphasis"/>
                                <w:rFonts w:asciiTheme="majorHAnsi" w:hAnsiTheme="majorHAnsi" w:cstheme="majorHAnsi"/>
                                <w:sz w:val="20"/>
                                <w:szCs w:val="20"/>
                              </w:rPr>
                              <w:t xml:space="preserve">Të drejtat e autorit © 2026 </w:t>
                            </w:r>
                          </w:p>
                          <w:p w14:paraId="5FC3C695" w14:textId="77777777" w:rsidR="00141440" w:rsidRPr="00C263D5" w:rsidRDefault="00141440" w:rsidP="003F57AE">
                            <w:pPr>
                              <w:rPr>
                                <w:rStyle w:val="Emphasis"/>
                                <w:rFonts w:asciiTheme="majorHAnsi" w:hAnsiTheme="majorHAnsi" w:cstheme="majorHAnsi"/>
                                <w:sz w:val="20"/>
                                <w:szCs w:val="20"/>
                              </w:rPr>
                            </w:pPr>
                            <w:r w:rsidRPr="00C263D5">
                              <w:rPr>
                                <w:rStyle w:val="Emphasis"/>
                                <w:rFonts w:asciiTheme="majorHAnsi" w:hAnsiTheme="majorHAnsi" w:cstheme="majorHAnsi"/>
                                <w:sz w:val="20"/>
                                <w:szCs w:val="20"/>
                              </w:rPr>
                              <w:t>Të gjitha të drejtat janë të rezervuara. Asnjë pjesë e dokumentit nuk mund të kopjohet, shumëzohet dhe të përdoret, në cilën do formë (elektronike dhe fizike) apo të përshkruhet pa lejen me shkrim të autorit - MAPL.</w:t>
                            </w:r>
                          </w:p>
                          <w:p w14:paraId="74A6197E" w14:textId="18646921" w:rsidR="00141440" w:rsidRPr="00C263D5" w:rsidRDefault="00141440" w:rsidP="003F57AE">
                            <w:pPr>
                              <w:rPr>
                                <w:rStyle w:val="Emphasis"/>
                                <w:rFonts w:asciiTheme="majorHAnsi" w:hAnsiTheme="majorHAnsi" w:cstheme="majorHAnsi"/>
                                <w:sz w:val="20"/>
                                <w:szCs w:val="20"/>
                              </w:rPr>
                            </w:pPr>
                            <w:r w:rsidRPr="00C263D5">
                              <w:rPr>
                                <w:rStyle w:val="Emphasis"/>
                                <w:rFonts w:asciiTheme="majorHAnsi" w:hAnsiTheme="majorHAnsi" w:cstheme="majorHAnsi"/>
                                <w:sz w:val="20"/>
                                <w:szCs w:val="20"/>
                              </w:rPr>
                              <w:t xml:space="preserve">Titulli;   Raport për vlerësimin e transparencës Janar- Dhjetor 2025 </w:t>
                            </w:r>
                          </w:p>
                          <w:p w14:paraId="232CEF09" w14:textId="77777777" w:rsidR="00141440" w:rsidRPr="00C263D5" w:rsidRDefault="00141440" w:rsidP="00422CE4">
                            <w:pPr>
                              <w:spacing w:line="276" w:lineRule="auto"/>
                              <w:ind w:left="2160" w:hanging="2160"/>
                              <w:rPr>
                                <w:rStyle w:val="Emphasis"/>
                                <w:rFonts w:asciiTheme="majorHAnsi" w:hAnsiTheme="majorHAnsi" w:cstheme="majorHAnsi"/>
                                <w:sz w:val="20"/>
                                <w:szCs w:val="20"/>
                              </w:rPr>
                            </w:pPr>
                            <w:r w:rsidRPr="00C263D5">
                              <w:rPr>
                                <w:rStyle w:val="Emphasis"/>
                                <w:rFonts w:asciiTheme="majorHAnsi" w:hAnsiTheme="majorHAnsi" w:cstheme="majorHAnsi"/>
                                <w:sz w:val="20"/>
                                <w:szCs w:val="20"/>
                              </w:rPr>
                              <w:t xml:space="preserve">                                                      </w:t>
                            </w:r>
                          </w:p>
                          <w:p w14:paraId="0DDAF447" w14:textId="77777777" w:rsidR="00141440" w:rsidRPr="00C263D5" w:rsidRDefault="00141440" w:rsidP="003F57AE">
                            <w:pPr>
                              <w:spacing w:line="276" w:lineRule="auto"/>
                              <w:ind w:left="2160" w:hanging="2160"/>
                              <w:jc w:val="left"/>
                              <w:rPr>
                                <w:rStyle w:val="Emphasis"/>
                                <w:rFonts w:asciiTheme="majorHAnsi" w:hAnsiTheme="majorHAnsi" w:cstheme="majorHAnsi"/>
                                <w:sz w:val="20"/>
                                <w:szCs w:val="20"/>
                              </w:rPr>
                            </w:pPr>
                            <w:r w:rsidRPr="00C263D5">
                              <w:rPr>
                                <w:rStyle w:val="Emphasis"/>
                                <w:rFonts w:asciiTheme="majorHAnsi" w:hAnsiTheme="majorHAnsi" w:cstheme="majorHAnsi"/>
                                <w:sz w:val="20"/>
                                <w:szCs w:val="20"/>
                              </w:rPr>
                              <w:t>Ekipi realizues: Nazmije Krasniqi, Udhëheqëse e Divizionit për Transparencë në Nivel lokal /DQMNL</w:t>
                            </w:r>
                          </w:p>
                          <w:p w14:paraId="23DA10A0" w14:textId="77777777" w:rsidR="00141440" w:rsidRPr="00C263D5" w:rsidRDefault="00141440" w:rsidP="003F57AE">
                            <w:pPr>
                              <w:spacing w:line="276" w:lineRule="auto"/>
                              <w:ind w:left="2160" w:hanging="2160"/>
                              <w:jc w:val="left"/>
                              <w:rPr>
                                <w:rStyle w:val="Emphasis"/>
                                <w:rFonts w:asciiTheme="majorHAnsi" w:hAnsiTheme="majorHAnsi" w:cstheme="majorHAnsi"/>
                                <w:sz w:val="20"/>
                                <w:szCs w:val="20"/>
                              </w:rPr>
                            </w:pPr>
                            <w:r w:rsidRPr="00C263D5">
                              <w:rPr>
                                <w:rStyle w:val="Emphasis"/>
                                <w:rFonts w:asciiTheme="majorHAnsi" w:hAnsiTheme="majorHAnsi" w:cstheme="majorHAnsi"/>
                                <w:sz w:val="20"/>
                                <w:szCs w:val="20"/>
                              </w:rPr>
                              <w:t xml:space="preserve">                             Majlinda Shaqiri, Zyrtare e Lartë  për Transparencë në nivel lokal /DQMNL</w:t>
                            </w:r>
                          </w:p>
                          <w:p w14:paraId="7FBC92E0" w14:textId="77777777" w:rsidR="00141440" w:rsidRDefault="00141440" w:rsidP="003F57AE">
                            <w:pPr>
                              <w:spacing w:line="276" w:lineRule="auto"/>
                              <w:ind w:left="2160" w:hanging="2160"/>
                              <w:jc w:val="left"/>
                              <w:rPr>
                                <w:rStyle w:val="Emphasis"/>
                                <w:sz w:val="20"/>
                                <w:szCs w:val="20"/>
                              </w:rPr>
                            </w:pPr>
                          </w:p>
                          <w:p w14:paraId="005BA9E5" w14:textId="77777777" w:rsidR="00141440" w:rsidRDefault="00141440" w:rsidP="003F57AE">
                            <w:pPr>
                              <w:spacing w:line="276" w:lineRule="auto"/>
                              <w:ind w:left="2160" w:hanging="2160"/>
                              <w:jc w:val="left"/>
                              <w:rPr>
                                <w:rStyle w:val="Emphasis"/>
                                <w:sz w:val="20"/>
                                <w:szCs w:val="20"/>
                              </w:rPr>
                            </w:pPr>
                          </w:p>
                          <w:p w14:paraId="579155E3" w14:textId="77777777" w:rsidR="00141440" w:rsidRDefault="00141440" w:rsidP="003F57AE">
                            <w:pPr>
                              <w:spacing w:line="276" w:lineRule="auto"/>
                              <w:ind w:left="2160" w:hanging="2160"/>
                              <w:jc w:val="left"/>
                              <w:rPr>
                                <w:rStyle w:val="Emphasis"/>
                                <w:sz w:val="20"/>
                                <w:szCs w:val="20"/>
                              </w:rPr>
                            </w:pPr>
                          </w:p>
                          <w:p w14:paraId="7D98B8EF" w14:textId="77777777" w:rsidR="00141440" w:rsidRPr="001713E3" w:rsidRDefault="00141440" w:rsidP="003F57AE">
                            <w:pPr>
                              <w:spacing w:line="276" w:lineRule="auto"/>
                              <w:ind w:left="2160" w:hanging="2160"/>
                              <w:jc w:val="left"/>
                              <w:rPr>
                                <w:rStyle w:val="Emphasis"/>
                                <w:sz w:val="20"/>
                                <w:szCs w:val="20"/>
                              </w:rPr>
                            </w:pPr>
                          </w:p>
                          <w:p w14:paraId="66FB9E62" w14:textId="77777777" w:rsidR="00141440" w:rsidRPr="001713E3" w:rsidRDefault="00141440" w:rsidP="003F57AE">
                            <w:pPr>
                              <w:spacing w:line="276" w:lineRule="auto"/>
                              <w:ind w:left="2160" w:hanging="2160"/>
                              <w:jc w:val="left"/>
                              <w:rPr>
                                <w:rStyle w:val="Emphasis"/>
                                <w:sz w:val="20"/>
                                <w:szCs w:val="20"/>
                              </w:rPr>
                            </w:pPr>
                            <w:r>
                              <w:rPr>
                                <w:rFonts w:ascii="Book Antiqua" w:eastAsia="Antenna Light" w:hAnsi="Book Antiqua" w:cs="Antenna Light"/>
                                <w:color w:val="ED7D31" w:themeColor="accent2"/>
                              </w:rPr>
                              <w:t xml:space="preserve">  </w:t>
                            </w:r>
                            <w:r w:rsidRPr="001713E3">
                              <w:rPr>
                                <w:rStyle w:val="Emphasis"/>
                                <w:sz w:val="20"/>
                                <w:szCs w:val="20"/>
                              </w:rPr>
                              <w:t>Publikuar nga; MAPL, ish-ndërtesa “Rilindja” Kati 11,12</w:t>
                            </w:r>
                            <w:r>
                              <w:rPr>
                                <w:rStyle w:val="Emphasis"/>
                                <w:sz w:val="20"/>
                                <w:szCs w:val="20"/>
                              </w:rPr>
                              <w:t xml:space="preserve"> </w:t>
                            </w:r>
                            <w:r w:rsidRPr="001713E3">
                              <w:rPr>
                                <w:rStyle w:val="Emphasis"/>
                                <w:sz w:val="20"/>
                                <w:szCs w:val="20"/>
                              </w:rPr>
                              <w:t>dhe 13 Prishtinë, Republika e Kosovës</w:t>
                            </w:r>
                          </w:p>
                          <w:p w14:paraId="5DF815A7" w14:textId="77777777" w:rsidR="00141440" w:rsidRPr="00323FCB" w:rsidRDefault="00141440" w:rsidP="003F57AE">
                            <w:pPr>
                              <w:rPr>
                                <w:rFonts w:ascii="Gill Sans MT" w:eastAsia="Antenna Light" w:hAnsi="Gill Sans MT" w:cs="Antenna Light"/>
                                <w:i/>
                                <w:iCs/>
                                <w:color w:val="FFFFFF" w:themeColor="background1"/>
                              </w:rPr>
                            </w:pPr>
                          </w:p>
                          <w:p w14:paraId="116391C5" w14:textId="77777777" w:rsidR="00141440" w:rsidRPr="009B7EDA" w:rsidRDefault="00141440" w:rsidP="003F57AE">
                            <w:pPr>
                              <w:rPr>
                                <w:color w:val="FFFFFF" w:themeColor="background1"/>
                              </w:rPr>
                            </w:pPr>
                            <w:r w:rsidRPr="009B7EDA">
                              <w:rPr>
                                <w:rFonts w:ascii="Gill Sans MT" w:eastAsia="Antenna Light" w:hAnsi="Gill Sans MT" w:cs="Antenna Light"/>
                                <w:color w:val="FFFFFF" w:themeColor="background1"/>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86BC1" id="_x0000_t202" coordsize="21600,21600" o:spt="202" path="m,l,21600r21600,l21600,xe">
                <v:stroke joinstyle="miter"/>
                <v:path gradientshapeok="t" o:connecttype="rect"/>
              </v:shapetype>
              <v:shape id="Text Box 153" o:spid="_x0000_s1026" type="#_x0000_t202" style="position:absolute;left:0;text-align:left;margin-left:-19.3pt;margin-top:12.85pt;width:495.75pt;height:16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" filled="f" stroked="f" strokeweight=".5pt">
                <v:textbox>
                  <w:txbxContent>
                    <w:p w14:paraId="4AE21EC8" w14:textId="1F668362" w:rsidR="00141440" w:rsidRPr="00C263D5" w:rsidRDefault="00141440" w:rsidP="003F57AE">
                      <w:pPr>
                        <w:rPr>
                          <w:rStyle w:val="Emphasis"/>
                          <w:rFonts w:asciiTheme="majorHAnsi" w:hAnsiTheme="majorHAnsi" w:cstheme="majorHAnsi"/>
                          <w:sz w:val="20"/>
                          <w:szCs w:val="20"/>
                        </w:rPr>
                      </w:pPr>
                      <w:r w:rsidRPr="00C263D5">
                        <w:rPr>
                          <w:rStyle w:val="Emphasis"/>
                          <w:rFonts w:asciiTheme="majorHAnsi" w:hAnsiTheme="majorHAnsi" w:cstheme="majorHAnsi"/>
                          <w:sz w:val="20"/>
                          <w:szCs w:val="20"/>
                        </w:rPr>
                        <w:t xml:space="preserve">Të drejtat e autorit © 2026 </w:t>
                      </w:r>
                    </w:p>
                    <w:p w14:paraId="5FC3C695" w14:textId="77777777" w:rsidR="00141440" w:rsidRPr="00C263D5" w:rsidRDefault="00141440" w:rsidP="003F57AE">
                      <w:pPr>
                        <w:rPr>
                          <w:rStyle w:val="Emphasis"/>
                          <w:rFonts w:asciiTheme="majorHAnsi" w:hAnsiTheme="majorHAnsi" w:cstheme="majorHAnsi"/>
                          <w:sz w:val="20"/>
                          <w:szCs w:val="20"/>
                        </w:rPr>
                      </w:pPr>
                      <w:r w:rsidRPr="00C263D5">
                        <w:rPr>
                          <w:rStyle w:val="Emphasis"/>
                          <w:rFonts w:asciiTheme="majorHAnsi" w:hAnsiTheme="majorHAnsi" w:cstheme="majorHAnsi"/>
                          <w:sz w:val="20"/>
                          <w:szCs w:val="20"/>
                        </w:rPr>
                        <w:t>Të gjitha të drejtat janë të rezervuara. Asnjë pjesë e dokumentit nuk mund të kopjohet, shumëzohet dhe të përdoret, në cilën do formë (elektronike dhe fizike) apo të përshkruhet pa lejen me shkrim të autorit - MAPL.</w:t>
                      </w:r>
                    </w:p>
                    <w:p w14:paraId="74A6197E" w14:textId="18646921" w:rsidR="00141440" w:rsidRPr="00C263D5" w:rsidRDefault="00141440" w:rsidP="003F57AE">
                      <w:pPr>
                        <w:rPr>
                          <w:rStyle w:val="Emphasis"/>
                          <w:rFonts w:asciiTheme="majorHAnsi" w:hAnsiTheme="majorHAnsi" w:cstheme="majorHAnsi"/>
                          <w:sz w:val="20"/>
                          <w:szCs w:val="20"/>
                        </w:rPr>
                      </w:pPr>
                      <w:r w:rsidRPr="00C263D5">
                        <w:rPr>
                          <w:rStyle w:val="Emphasis"/>
                          <w:rFonts w:asciiTheme="majorHAnsi" w:hAnsiTheme="majorHAnsi" w:cstheme="majorHAnsi"/>
                          <w:sz w:val="20"/>
                          <w:szCs w:val="20"/>
                        </w:rPr>
                        <w:t xml:space="preserve">Titulli;   Raport për vlerësimin e transparencës Janar- Dhjetor 2025 </w:t>
                      </w:r>
                    </w:p>
                    <w:p w14:paraId="232CEF09" w14:textId="77777777" w:rsidR="00141440" w:rsidRPr="00C263D5" w:rsidRDefault="00141440" w:rsidP="00422CE4">
                      <w:pPr>
                        <w:spacing w:line="276" w:lineRule="auto"/>
                        <w:ind w:left="2160" w:hanging="2160"/>
                        <w:rPr>
                          <w:rStyle w:val="Emphasis"/>
                          <w:rFonts w:asciiTheme="majorHAnsi" w:hAnsiTheme="majorHAnsi" w:cstheme="majorHAnsi"/>
                          <w:sz w:val="20"/>
                          <w:szCs w:val="20"/>
                        </w:rPr>
                      </w:pPr>
                      <w:r w:rsidRPr="00C263D5">
                        <w:rPr>
                          <w:rStyle w:val="Emphasis"/>
                          <w:rFonts w:asciiTheme="majorHAnsi" w:hAnsiTheme="majorHAnsi" w:cstheme="majorHAnsi"/>
                          <w:sz w:val="20"/>
                          <w:szCs w:val="20"/>
                        </w:rPr>
                        <w:t xml:space="preserve">                                                      </w:t>
                      </w:r>
                    </w:p>
                    <w:p w14:paraId="0DDAF447" w14:textId="77777777" w:rsidR="00141440" w:rsidRPr="00C263D5" w:rsidRDefault="00141440" w:rsidP="003F57AE">
                      <w:pPr>
                        <w:spacing w:line="276" w:lineRule="auto"/>
                        <w:ind w:left="2160" w:hanging="2160"/>
                        <w:jc w:val="left"/>
                        <w:rPr>
                          <w:rStyle w:val="Emphasis"/>
                          <w:rFonts w:asciiTheme="majorHAnsi" w:hAnsiTheme="majorHAnsi" w:cstheme="majorHAnsi"/>
                          <w:sz w:val="20"/>
                          <w:szCs w:val="20"/>
                        </w:rPr>
                      </w:pPr>
                      <w:r w:rsidRPr="00C263D5">
                        <w:rPr>
                          <w:rStyle w:val="Emphasis"/>
                          <w:rFonts w:asciiTheme="majorHAnsi" w:hAnsiTheme="majorHAnsi" w:cstheme="majorHAnsi"/>
                          <w:sz w:val="20"/>
                          <w:szCs w:val="20"/>
                        </w:rPr>
                        <w:t>Ekipi realizues: Nazmije Krasniqi, Udhëheqëse e Divizionit për Transparencë në Nivel lokal /DQMNL</w:t>
                      </w:r>
                    </w:p>
                    <w:p w14:paraId="23DA10A0" w14:textId="77777777" w:rsidR="00141440" w:rsidRPr="00C263D5" w:rsidRDefault="00141440" w:rsidP="003F57AE">
                      <w:pPr>
                        <w:spacing w:line="276" w:lineRule="auto"/>
                        <w:ind w:left="2160" w:hanging="2160"/>
                        <w:jc w:val="left"/>
                        <w:rPr>
                          <w:rStyle w:val="Emphasis"/>
                          <w:rFonts w:asciiTheme="majorHAnsi" w:hAnsiTheme="majorHAnsi" w:cstheme="majorHAnsi"/>
                          <w:sz w:val="20"/>
                          <w:szCs w:val="20"/>
                        </w:rPr>
                      </w:pPr>
                      <w:r w:rsidRPr="00C263D5">
                        <w:rPr>
                          <w:rStyle w:val="Emphasis"/>
                          <w:rFonts w:asciiTheme="majorHAnsi" w:hAnsiTheme="majorHAnsi" w:cstheme="majorHAnsi"/>
                          <w:sz w:val="20"/>
                          <w:szCs w:val="20"/>
                        </w:rPr>
                        <w:t xml:space="preserve">                             Majlinda Shaqiri, Zyrtare e Lartë  për Transparencë në nivel lokal /DQMNL</w:t>
                      </w:r>
                    </w:p>
                    <w:p w14:paraId="7FBC92E0" w14:textId="77777777" w:rsidR="00141440" w:rsidRDefault="00141440" w:rsidP="003F57AE">
                      <w:pPr>
                        <w:spacing w:line="276" w:lineRule="auto"/>
                        <w:ind w:left="2160" w:hanging="2160"/>
                        <w:jc w:val="left"/>
                        <w:rPr>
                          <w:rStyle w:val="Emphasis"/>
                          <w:sz w:val="20"/>
                          <w:szCs w:val="20"/>
                        </w:rPr>
                      </w:pPr>
                    </w:p>
                    <w:p w14:paraId="005BA9E5" w14:textId="77777777" w:rsidR="00141440" w:rsidRDefault="00141440" w:rsidP="003F57AE">
                      <w:pPr>
                        <w:spacing w:line="276" w:lineRule="auto"/>
                        <w:ind w:left="2160" w:hanging="2160"/>
                        <w:jc w:val="left"/>
                        <w:rPr>
                          <w:rStyle w:val="Emphasis"/>
                          <w:sz w:val="20"/>
                          <w:szCs w:val="20"/>
                        </w:rPr>
                      </w:pPr>
                    </w:p>
                    <w:p w14:paraId="579155E3" w14:textId="77777777" w:rsidR="00141440" w:rsidRDefault="00141440" w:rsidP="003F57AE">
                      <w:pPr>
                        <w:spacing w:line="276" w:lineRule="auto"/>
                        <w:ind w:left="2160" w:hanging="2160"/>
                        <w:jc w:val="left"/>
                        <w:rPr>
                          <w:rStyle w:val="Emphasis"/>
                          <w:sz w:val="20"/>
                          <w:szCs w:val="20"/>
                        </w:rPr>
                      </w:pPr>
                    </w:p>
                    <w:p w14:paraId="7D98B8EF" w14:textId="77777777" w:rsidR="00141440" w:rsidRPr="001713E3" w:rsidRDefault="00141440" w:rsidP="003F57AE">
                      <w:pPr>
                        <w:spacing w:line="276" w:lineRule="auto"/>
                        <w:ind w:left="2160" w:hanging="2160"/>
                        <w:jc w:val="left"/>
                        <w:rPr>
                          <w:rStyle w:val="Emphasis"/>
                          <w:sz w:val="20"/>
                          <w:szCs w:val="20"/>
                        </w:rPr>
                      </w:pPr>
                    </w:p>
                    <w:p w14:paraId="66FB9E62" w14:textId="77777777" w:rsidR="00141440" w:rsidRPr="001713E3" w:rsidRDefault="00141440" w:rsidP="003F57AE">
                      <w:pPr>
                        <w:spacing w:line="276" w:lineRule="auto"/>
                        <w:ind w:left="2160" w:hanging="2160"/>
                        <w:jc w:val="left"/>
                        <w:rPr>
                          <w:rStyle w:val="Emphasis"/>
                          <w:sz w:val="20"/>
                          <w:szCs w:val="20"/>
                        </w:rPr>
                      </w:pPr>
                      <w:r>
                        <w:rPr>
                          <w:rFonts w:ascii="Book Antiqua" w:eastAsia="Antenna Light" w:hAnsi="Book Antiqua" w:cs="Antenna Light"/>
                          <w:color w:val="ED7D31" w:themeColor="accent2"/>
                        </w:rPr>
                        <w:t xml:space="preserve">  </w:t>
                      </w:r>
                      <w:r w:rsidRPr="001713E3">
                        <w:rPr>
                          <w:rStyle w:val="Emphasis"/>
                          <w:sz w:val="20"/>
                          <w:szCs w:val="20"/>
                        </w:rPr>
                        <w:t>Publikuar nga; MAPL, ish-ndërtesa “Rilindja” Kati 11,12</w:t>
                      </w:r>
                      <w:r>
                        <w:rPr>
                          <w:rStyle w:val="Emphasis"/>
                          <w:sz w:val="20"/>
                          <w:szCs w:val="20"/>
                        </w:rPr>
                        <w:t xml:space="preserve"> </w:t>
                      </w:r>
                      <w:r w:rsidRPr="001713E3">
                        <w:rPr>
                          <w:rStyle w:val="Emphasis"/>
                          <w:sz w:val="20"/>
                          <w:szCs w:val="20"/>
                        </w:rPr>
                        <w:t>dhe 13 Prishtinë, Republika e Kosovës</w:t>
                      </w:r>
                    </w:p>
                    <w:p w14:paraId="5DF815A7" w14:textId="77777777" w:rsidR="00141440" w:rsidRPr="00323FCB" w:rsidRDefault="00141440" w:rsidP="003F57AE">
                      <w:pPr>
                        <w:rPr>
                          <w:rFonts w:ascii="Gill Sans MT" w:eastAsia="Antenna Light" w:hAnsi="Gill Sans MT" w:cs="Antenna Light"/>
                          <w:i/>
                          <w:iCs/>
                          <w:color w:val="FFFFFF" w:themeColor="background1"/>
                        </w:rPr>
                      </w:pPr>
                    </w:p>
                    <w:p w14:paraId="116391C5" w14:textId="77777777" w:rsidR="00141440" w:rsidRPr="009B7EDA" w:rsidRDefault="00141440" w:rsidP="003F57AE">
                      <w:pPr>
                        <w:rPr>
                          <w:color w:val="FFFFFF" w:themeColor="background1"/>
                        </w:rPr>
                      </w:pPr>
                      <w:r w:rsidRPr="009B7EDA">
                        <w:rPr>
                          <w:rFonts w:ascii="Gill Sans MT" w:eastAsia="Antenna Light" w:hAnsi="Gill Sans MT" w:cs="Antenna Light"/>
                          <w:color w:val="FFFFFF" w:themeColor="background1"/>
                        </w:rPr>
                        <w:tab/>
                      </w:r>
                    </w:p>
                  </w:txbxContent>
                </v:textbox>
              </v:shape>
            </w:pict>
          </mc:Fallback>
        </mc:AlternateContent>
      </w:r>
    </w:p>
    <w:p w14:paraId="1F15D234" w14:textId="04F26F87" w:rsidR="00EA6113" w:rsidRDefault="00EA6113" w:rsidP="0052060D">
      <w:pPr>
        <w:pStyle w:val="Contactinfo"/>
        <w:spacing w:line="276" w:lineRule="auto"/>
        <w:jc w:val="center"/>
        <w:rPr>
          <w:rFonts w:ascii="Book Antiqua" w:hAnsi="Book Antiqua" w:cs="Calibri Light"/>
          <w:color w:val="000000" w:themeColor="text1"/>
          <w:sz w:val="22"/>
          <w:szCs w:val="22"/>
          <w:lang w:val="sq-AL"/>
        </w:rPr>
      </w:pPr>
    </w:p>
    <w:p w14:paraId="232DE8BD" w14:textId="77777777" w:rsidR="00EA6113" w:rsidRDefault="00EA6113" w:rsidP="0052060D">
      <w:pPr>
        <w:pStyle w:val="Contactinfo"/>
        <w:spacing w:line="276" w:lineRule="auto"/>
        <w:jc w:val="center"/>
        <w:rPr>
          <w:rFonts w:ascii="Book Antiqua" w:hAnsi="Book Antiqua" w:cs="Calibri Light"/>
          <w:color w:val="000000" w:themeColor="text1"/>
          <w:sz w:val="22"/>
          <w:szCs w:val="22"/>
          <w:lang w:val="sq-AL"/>
        </w:rPr>
      </w:pPr>
    </w:p>
    <w:p w14:paraId="334657F4" w14:textId="77777777" w:rsidR="00B47797" w:rsidRPr="007C3D4B" w:rsidRDefault="00B47797" w:rsidP="007C3D4B">
      <w:pPr>
        <w:spacing w:before="40" w:line="276" w:lineRule="auto"/>
        <w:rPr>
          <w:rFonts w:ascii="Book Antiqua" w:hAnsi="Book Antiqua" w:cs="Calibri Light"/>
          <w:color w:val="000000" w:themeColor="text1"/>
        </w:rPr>
        <w:sectPr w:rsidR="00B47797" w:rsidRPr="007C3D4B" w:rsidSect="006944A4">
          <w:headerReference w:type="default" r:id="rId9"/>
          <w:footerReference w:type="default" r:id="rId10"/>
          <w:pgSz w:w="11906" w:h="16838"/>
          <w:pgMar w:top="1920" w:right="1440" w:bottom="1710" w:left="1440" w:header="720" w:footer="1454" w:gutter="0"/>
          <w:cols w:space="720"/>
          <w:docGrid w:linePitch="360"/>
        </w:sectPr>
      </w:pPr>
    </w:p>
    <w:p w14:paraId="2CA8F572" w14:textId="77777777" w:rsidR="00EA6113" w:rsidRDefault="00B5476B" w:rsidP="00EA6113">
      <w:pPr>
        <w:pStyle w:val="Style2"/>
      </w:pPr>
      <w:bookmarkStart w:id="2" w:name="_Toc163220240"/>
      <w:bookmarkStart w:id="3" w:name="_Toc227827152"/>
      <w:r>
        <w:rPr>
          <w:caps w:val="0"/>
        </w:rPr>
        <w:t>HYRJE</w:t>
      </w:r>
      <w:bookmarkEnd w:id="2"/>
      <w:bookmarkEnd w:id="3"/>
      <w:r>
        <w:rPr>
          <w:caps w:val="0"/>
        </w:rPr>
        <w:t xml:space="preserve"> </w:t>
      </w:r>
    </w:p>
    <w:p w14:paraId="68DCED07" w14:textId="77777777" w:rsidR="00A83156" w:rsidRDefault="00A83156" w:rsidP="001713E3">
      <w:pPr>
        <w:spacing w:line="276" w:lineRule="auto"/>
        <w:rPr>
          <w:rFonts w:ascii="Book Antiqua" w:hAnsi="Book Antiqua"/>
          <w:i/>
          <w:sz w:val="24"/>
          <w:szCs w:val="24"/>
        </w:rPr>
      </w:pPr>
    </w:p>
    <w:p w14:paraId="7E7E24D8" w14:textId="77777777" w:rsidR="00A83156" w:rsidRDefault="00A83156" w:rsidP="001713E3">
      <w:pPr>
        <w:spacing w:line="276" w:lineRule="auto"/>
        <w:rPr>
          <w:rFonts w:ascii="Book Antiqua" w:hAnsi="Book Antiqua"/>
          <w:b/>
          <w:i/>
          <w:color w:val="2F5496" w:themeColor="accent5" w:themeShade="BF"/>
          <w:sz w:val="24"/>
          <w:szCs w:val="24"/>
        </w:rPr>
      </w:pPr>
    </w:p>
    <w:p w14:paraId="4858639C" w14:textId="77777777" w:rsidR="00A83156" w:rsidRDefault="00A83156" w:rsidP="001713E3">
      <w:pPr>
        <w:spacing w:line="276" w:lineRule="auto"/>
        <w:rPr>
          <w:rFonts w:ascii="Book Antiqua" w:hAnsi="Book Antiqua"/>
          <w:b/>
          <w:i/>
          <w:color w:val="2F5496" w:themeColor="accent5" w:themeShade="BF"/>
          <w:sz w:val="24"/>
          <w:szCs w:val="24"/>
        </w:rPr>
      </w:pPr>
    </w:p>
    <w:p w14:paraId="01F23C4E" w14:textId="77777777" w:rsidR="00A83156" w:rsidRDefault="00A83156" w:rsidP="001713E3">
      <w:pPr>
        <w:spacing w:line="276" w:lineRule="auto"/>
        <w:rPr>
          <w:rFonts w:ascii="Book Antiqua" w:hAnsi="Book Antiqua"/>
          <w:b/>
          <w:i/>
          <w:color w:val="2F5496" w:themeColor="accent5" w:themeShade="BF"/>
          <w:sz w:val="24"/>
          <w:szCs w:val="24"/>
        </w:rPr>
      </w:pPr>
    </w:p>
    <w:p w14:paraId="20C60D15" w14:textId="2E144B74" w:rsidR="00A83156" w:rsidRDefault="00A83156" w:rsidP="001713E3">
      <w:pPr>
        <w:spacing w:line="276" w:lineRule="auto"/>
        <w:rPr>
          <w:rFonts w:ascii="Book Antiqua" w:hAnsi="Book Antiqua"/>
          <w:b/>
          <w:i/>
          <w:color w:val="2F5496" w:themeColor="accent5" w:themeShade="BF"/>
          <w:sz w:val="24"/>
          <w:szCs w:val="24"/>
        </w:rPr>
      </w:pPr>
    </w:p>
    <w:p w14:paraId="763205C2" w14:textId="358AC842" w:rsidR="00CC7D4D" w:rsidRDefault="00CC7D4D" w:rsidP="001713E3">
      <w:pPr>
        <w:spacing w:line="276" w:lineRule="auto"/>
        <w:rPr>
          <w:rFonts w:ascii="Book Antiqua" w:hAnsi="Book Antiqua"/>
          <w:b/>
          <w:i/>
          <w:color w:val="2F5496" w:themeColor="accent5" w:themeShade="BF"/>
          <w:sz w:val="24"/>
          <w:szCs w:val="24"/>
        </w:rPr>
      </w:pPr>
    </w:p>
    <w:p w14:paraId="28316571" w14:textId="77777777" w:rsidR="00275069" w:rsidRPr="00CC7D4D" w:rsidRDefault="00275069" w:rsidP="001713E3">
      <w:pPr>
        <w:spacing w:line="276" w:lineRule="auto"/>
        <w:rPr>
          <w:rFonts w:ascii="Book Antiqua" w:hAnsi="Book Antiqua"/>
          <w:b/>
          <w:i/>
          <w:color w:val="2F5496" w:themeColor="accent5" w:themeShade="BF"/>
          <w:sz w:val="24"/>
          <w:szCs w:val="24"/>
        </w:rPr>
      </w:pPr>
    </w:p>
    <w:p w14:paraId="01266922" w14:textId="77777777" w:rsidR="00CC7D4D" w:rsidRPr="00C263D5" w:rsidRDefault="00CC7D4D" w:rsidP="00CC7D4D">
      <w:pPr>
        <w:spacing w:before="100" w:beforeAutospacing="1" w:after="100" w:afterAutospacing="1" w:line="276" w:lineRule="auto"/>
        <w:outlineLvl w:val="0"/>
        <w:rPr>
          <w:rFonts w:asciiTheme="majorHAnsi" w:eastAsia="Times New Roman" w:hAnsiTheme="majorHAnsi" w:cstheme="majorHAnsi"/>
          <w:b/>
          <w:bCs/>
          <w:color w:val="2F5496" w:themeColor="accent5" w:themeShade="BF"/>
          <w:kern w:val="36"/>
          <w:lang w:eastAsia="en-GB"/>
        </w:rPr>
      </w:pPr>
      <w:bookmarkStart w:id="4" w:name="_Toc227827153"/>
      <w:r w:rsidRPr="00C263D5">
        <w:rPr>
          <w:rFonts w:asciiTheme="majorHAnsi" w:eastAsia="Times New Roman" w:hAnsiTheme="majorHAnsi" w:cstheme="majorHAnsi"/>
          <w:b/>
          <w:bCs/>
          <w:color w:val="2F5496" w:themeColor="accent5" w:themeShade="BF"/>
          <w:kern w:val="36"/>
          <w:lang w:eastAsia="en-GB"/>
        </w:rPr>
        <w:t>PËRMBLEDHJE EKZEKUTIVE</w:t>
      </w:r>
    </w:p>
    <w:p w14:paraId="399BE810" w14:textId="77777777" w:rsidR="00CC7D4D" w:rsidRPr="00C263D5" w:rsidRDefault="00CC7D4D" w:rsidP="00CC7D4D">
      <w:pPr>
        <w:spacing w:before="100" w:beforeAutospacing="1" w:after="100" w:afterAutospacing="1" w:line="276" w:lineRule="auto"/>
        <w:rPr>
          <w:rFonts w:asciiTheme="majorHAnsi" w:eastAsia="Times New Roman" w:hAnsiTheme="majorHAnsi" w:cstheme="majorHAnsi"/>
          <w:lang w:eastAsia="en-GB"/>
        </w:rPr>
      </w:pPr>
      <w:r w:rsidRPr="00C263D5">
        <w:rPr>
          <w:rFonts w:asciiTheme="majorHAnsi" w:eastAsia="Times New Roman" w:hAnsiTheme="majorHAnsi" w:cstheme="majorHAnsi"/>
          <w:lang w:eastAsia="en-GB"/>
        </w:rPr>
        <w:t xml:space="preserve">Funksionimi dhe përdorimi i ueb-faqeve zyrtare të komunave rregullohet me Udhëzimin Administrativ Nr. 01/2015 për ueb-faqet e institucioneve publike. Në vitin 2018 është realizuar projekti për </w:t>
      </w:r>
      <w:proofErr w:type="spellStart"/>
      <w:r w:rsidRPr="00C263D5">
        <w:rPr>
          <w:rFonts w:asciiTheme="majorHAnsi" w:eastAsia="Times New Roman" w:hAnsiTheme="majorHAnsi" w:cstheme="majorHAnsi"/>
          <w:lang w:eastAsia="en-GB"/>
        </w:rPr>
        <w:t>ridizajnimin</w:t>
      </w:r>
      <w:proofErr w:type="spellEnd"/>
      <w:r w:rsidRPr="00C263D5">
        <w:rPr>
          <w:rFonts w:asciiTheme="majorHAnsi" w:eastAsia="Times New Roman" w:hAnsiTheme="majorHAnsi" w:cstheme="majorHAnsi"/>
          <w:lang w:eastAsia="en-GB"/>
        </w:rPr>
        <w:t xml:space="preserve"> e ueb-faqeve të </w:t>
      </w:r>
      <w:proofErr w:type="spellStart"/>
      <w:r w:rsidRPr="00C263D5">
        <w:rPr>
          <w:rFonts w:asciiTheme="majorHAnsi" w:eastAsia="Times New Roman" w:hAnsiTheme="majorHAnsi" w:cstheme="majorHAnsi"/>
          <w:lang w:eastAsia="en-GB"/>
        </w:rPr>
        <w:t>të</w:t>
      </w:r>
      <w:proofErr w:type="spellEnd"/>
      <w:r w:rsidRPr="00C263D5">
        <w:rPr>
          <w:rFonts w:asciiTheme="majorHAnsi" w:eastAsia="Times New Roman" w:hAnsiTheme="majorHAnsi" w:cstheme="majorHAnsi"/>
          <w:lang w:eastAsia="en-GB"/>
        </w:rPr>
        <w:t xml:space="preserve"> gjitha komunave, ndërsa në vitin 2019 është mundësuar integrimi i sistemit të intranetit në këto platforma, duke krijuar hapësirë për ofrimin e shërbimeve elektronike, përfshirë kërkesat për dokumente të gjendjes civile.</w:t>
      </w:r>
    </w:p>
    <w:p w14:paraId="2D2275D2" w14:textId="27781E95" w:rsidR="00CC7D4D" w:rsidRPr="00C263D5" w:rsidRDefault="00CC7D4D" w:rsidP="00CC7D4D">
      <w:pPr>
        <w:spacing w:before="100" w:beforeAutospacing="1" w:after="100" w:afterAutospacing="1" w:line="276" w:lineRule="auto"/>
        <w:rPr>
          <w:rFonts w:asciiTheme="majorHAnsi" w:eastAsia="Times New Roman" w:hAnsiTheme="majorHAnsi" w:cstheme="majorHAnsi"/>
          <w:lang w:eastAsia="en-GB"/>
        </w:rPr>
      </w:pPr>
      <w:r w:rsidRPr="00C263D5">
        <w:rPr>
          <w:rFonts w:asciiTheme="majorHAnsi" w:eastAsia="Times New Roman" w:hAnsiTheme="majorHAnsi" w:cstheme="majorHAnsi"/>
          <w:lang w:eastAsia="en-GB"/>
        </w:rPr>
        <w:t>Gjatë viteve të fundit janë evidentuar sfida në funksionimin e ueb-faqeve zyrtare komunale, veçanërisht në aspektin e përditësimit të  dhënave dhe qasjes së qëndrueshme në dokumente dhe informacione publike. Janë vërejtur raste të ngadalësimit të funksionimit, vështirësi në qasjen në dokumente, si dhe ndërprerje të përkohshme të sistemit, të cilat kanë ndikuar në qasjen e qytetarëve në informacionin publik brenda afateve të përcaktuara.</w:t>
      </w:r>
    </w:p>
    <w:p w14:paraId="1E0ECD96" w14:textId="77777777" w:rsidR="00CC7D4D" w:rsidRPr="00C263D5" w:rsidRDefault="00CC7D4D" w:rsidP="00CC7D4D">
      <w:pPr>
        <w:spacing w:before="100" w:beforeAutospacing="1" w:after="100" w:afterAutospacing="1" w:line="276" w:lineRule="auto"/>
        <w:rPr>
          <w:rFonts w:asciiTheme="majorHAnsi" w:eastAsia="Times New Roman" w:hAnsiTheme="majorHAnsi" w:cstheme="majorHAnsi"/>
          <w:lang w:eastAsia="en-GB"/>
        </w:rPr>
      </w:pPr>
      <w:r w:rsidRPr="00C263D5">
        <w:rPr>
          <w:rFonts w:asciiTheme="majorHAnsi" w:eastAsia="Times New Roman" w:hAnsiTheme="majorHAnsi" w:cstheme="majorHAnsi"/>
          <w:lang w:eastAsia="en-GB"/>
        </w:rPr>
        <w:t xml:space="preserve">Në këtë drejtim, Ministria e Punëve të Brendshme, përkatësisht Agjencia e Shoqërisë së Informacionit (ASHI), ka realizuar procesin e unifikimit dhe zhvillimit të ueb-faqeve të reja për të gjitha komunat e Republikës së Kosovës, të bazuara në teknologji bashkëkohore. Nga 1 marsi 2025 janë </w:t>
      </w:r>
      <w:proofErr w:type="spellStart"/>
      <w:r w:rsidRPr="00C263D5">
        <w:rPr>
          <w:rFonts w:asciiTheme="majorHAnsi" w:eastAsia="Times New Roman" w:hAnsiTheme="majorHAnsi" w:cstheme="majorHAnsi"/>
          <w:lang w:eastAsia="en-GB"/>
        </w:rPr>
        <w:t>lansuar</w:t>
      </w:r>
      <w:proofErr w:type="spellEnd"/>
      <w:r w:rsidRPr="00C263D5">
        <w:rPr>
          <w:rFonts w:asciiTheme="majorHAnsi" w:eastAsia="Times New Roman" w:hAnsiTheme="majorHAnsi" w:cstheme="majorHAnsi"/>
          <w:lang w:eastAsia="en-GB"/>
        </w:rPr>
        <w:t xml:space="preserve"> ueb-faqet e reja për 38 komunat, me qëllim rritjen e sigurisë, përmirësimin e </w:t>
      </w:r>
      <w:proofErr w:type="spellStart"/>
      <w:r w:rsidRPr="00C263D5">
        <w:rPr>
          <w:rFonts w:asciiTheme="majorHAnsi" w:eastAsia="Times New Roman" w:hAnsiTheme="majorHAnsi" w:cstheme="majorHAnsi"/>
          <w:lang w:eastAsia="en-GB"/>
        </w:rPr>
        <w:t>performancës</w:t>
      </w:r>
      <w:proofErr w:type="spellEnd"/>
      <w:r w:rsidRPr="00C263D5">
        <w:rPr>
          <w:rFonts w:asciiTheme="majorHAnsi" w:eastAsia="Times New Roman" w:hAnsiTheme="majorHAnsi" w:cstheme="majorHAnsi"/>
          <w:lang w:eastAsia="en-GB"/>
        </w:rPr>
        <w:t xml:space="preserve"> dhe lehtësimin e menaxhimit të përmbajtjes.</w:t>
      </w:r>
    </w:p>
    <w:p w14:paraId="38F1B43B" w14:textId="77777777" w:rsidR="00CC7D4D" w:rsidRPr="00C263D5" w:rsidRDefault="00CC7D4D" w:rsidP="00CC7D4D">
      <w:pPr>
        <w:spacing w:before="100" w:beforeAutospacing="1" w:after="100" w:afterAutospacing="1" w:line="276" w:lineRule="auto"/>
        <w:rPr>
          <w:rFonts w:asciiTheme="majorHAnsi" w:eastAsia="Times New Roman" w:hAnsiTheme="majorHAnsi" w:cstheme="majorHAnsi"/>
          <w:lang w:eastAsia="en-GB"/>
        </w:rPr>
      </w:pPr>
      <w:r w:rsidRPr="00C263D5">
        <w:rPr>
          <w:rFonts w:asciiTheme="majorHAnsi" w:eastAsia="Times New Roman" w:hAnsiTheme="majorHAnsi" w:cstheme="majorHAnsi"/>
          <w:lang w:eastAsia="en-GB"/>
        </w:rPr>
        <w:t xml:space="preserve">Megjithatë, pavarësisht këtij progresi, sfida të caktuara në funksionalitetin dhe përditësimin e vazhdueshëm të përmbajtjes mbeten të pranishme. Gjetjet e raportit tregojnë se, në disa fusha, është shënuar progres, por edhe rënie e nivelit të transparencës në përmbushjen e obligimeve ligjore, kryesisht si rezultat i </w:t>
      </w:r>
      <w:proofErr w:type="spellStart"/>
      <w:r w:rsidRPr="00C263D5">
        <w:rPr>
          <w:rFonts w:asciiTheme="majorHAnsi" w:eastAsia="Times New Roman" w:hAnsiTheme="majorHAnsi" w:cstheme="majorHAnsi"/>
          <w:lang w:eastAsia="en-GB"/>
        </w:rPr>
        <w:t>tranzicionit</w:t>
      </w:r>
      <w:proofErr w:type="spellEnd"/>
      <w:r w:rsidRPr="00C263D5">
        <w:rPr>
          <w:rFonts w:asciiTheme="majorHAnsi" w:eastAsia="Times New Roman" w:hAnsiTheme="majorHAnsi" w:cstheme="majorHAnsi"/>
          <w:lang w:eastAsia="en-GB"/>
        </w:rPr>
        <w:t xml:space="preserve"> nga ueb-faqet e vjetra në ato të reja.</w:t>
      </w:r>
    </w:p>
    <w:p w14:paraId="208DCF22" w14:textId="0A0D753F" w:rsidR="00CC7D4D" w:rsidRDefault="00CC7D4D" w:rsidP="009D6147">
      <w:pPr>
        <w:spacing w:before="100" w:beforeAutospacing="1" w:after="100" w:afterAutospacing="1" w:line="276" w:lineRule="auto"/>
        <w:rPr>
          <w:rFonts w:asciiTheme="majorHAnsi" w:eastAsia="Times New Roman" w:hAnsiTheme="majorHAnsi" w:cstheme="majorHAnsi"/>
          <w:lang w:eastAsia="en-GB"/>
        </w:rPr>
      </w:pPr>
      <w:r w:rsidRPr="00C263D5">
        <w:rPr>
          <w:rFonts w:asciiTheme="majorHAnsi" w:eastAsia="Times New Roman" w:hAnsiTheme="majorHAnsi" w:cstheme="majorHAnsi"/>
          <w:lang w:eastAsia="en-GB"/>
        </w:rPr>
        <w:t>Raporti paraqet një vlerësim gjithëpërfshirës të transparencës për të gjitha 38 komunat, duke u bazuar në indikatorë të matshëm dhe në obligimet ligjore për informim publik. Ai synon të shërbejë si instrument për identifikimin e mangësive dhe për nxitjen e ndërmarrjes së masave konkrete për përmirësimin e transparencës, rritjen e përgjegjësisë institucionale dhe avancimin e shërbimeve për qytetarët.</w:t>
      </w:r>
    </w:p>
    <w:p w14:paraId="4157B985" w14:textId="77777777" w:rsidR="00275069" w:rsidRPr="00C263D5" w:rsidRDefault="00275069" w:rsidP="009D6147">
      <w:pPr>
        <w:spacing w:before="100" w:beforeAutospacing="1" w:after="100" w:afterAutospacing="1" w:line="276" w:lineRule="auto"/>
        <w:rPr>
          <w:rFonts w:asciiTheme="majorHAnsi" w:eastAsia="Times New Roman" w:hAnsiTheme="majorHAnsi" w:cstheme="majorHAnsi"/>
          <w:lang w:eastAsia="en-GB"/>
        </w:rPr>
      </w:pPr>
    </w:p>
    <w:p w14:paraId="5D258F05" w14:textId="6822F7EB" w:rsidR="00CC7D4D" w:rsidRPr="00C263D5" w:rsidRDefault="00CC7D4D" w:rsidP="00CC7D4D">
      <w:pPr>
        <w:spacing w:before="100" w:beforeAutospacing="1" w:after="100" w:afterAutospacing="1" w:line="276" w:lineRule="auto"/>
        <w:outlineLvl w:val="0"/>
        <w:rPr>
          <w:rFonts w:asciiTheme="majorHAnsi" w:eastAsia="Times New Roman" w:hAnsiTheme="majorHAnsi" w:cstheme="majorHAnsi"/>
          <w:b/>
          <w:bCs/>
          <w:color w:val="2F5496" w:themeColor="accent5" w:themeShade="BF"/>
          <w:kern w:val="36"/>
          <w:lang w:eastAsia="en-GB"/>
        </w:rPr>
      </w:pPr>
      <w:r w:rsidRPr="00C263D5">
        <w:rPr>
          <w:rFonts w:asciiTheme="majorHAnsi" w:eastAsia="Times New Roman" w:hAnsiTheme="majorHAnsi" w:cstheme="majorHAnsi"/>
          <w:b/>
          <w:bCs/>
          <w:color w:val="2F5496" w:themeColor="accent5" w:themeShade="BF"/>
          <w:kern w:val="36"/>
          <w:lang w:eastAsia="en-GB"/>
        </w:rPr>
        <w:t>HYRJE</w:t>
      </w:r>
    </w:p>
    <w:p w14:paraId="04EC92BB" w14:textId="77777777" w:rsidR="00CC7D4D" w:rsidRPr="005069AA" w:rsidRDefault="00CC7D4D" w:rsidP="00CC7D4D">
      <w:pPr>
        <w:spacing w:before="100" w:beforeAutospacing="1" w:after="100" w:afterAutospacing="1" w:line="276" w:lineRule="auto"/>
        <w:rPr>
          <w:rFonts w:asciiTheme="majorHAnsi" w:eastAsia="Times New Roman" w:hAnsiTheme="majorHAnsi" w:cstheme="majorHAnsi"/>
          <w:lang w:eastAsia="en-GB"/>
        </w:rPr>
      </w:pPr>
      <w:r w:rsidRPr="005069AA">
        <w:rPr>
          <w:rFonts w:asciiTheme="majorHAnsi" w:eastAsia="Times New Roman" w:hAnsiTheme="majorHAnsi" w:cstheme="majorHAnsi"/>
          <w:lang w:eastAsia="en-GB"/>
        </w:rPr>
        <w:t>Transparenca përbën një nga parimet themelore të qeverisjes demokratike dhe një ndër indikatorët kryesorë të funksionimit të institucioneve publike në përputhje me standardet e shtetit të së drejtës. Ajo reflekton shkallën e hapjes institucionale, nivelin e qasjes së qytetarëve në informata publike, si dhe gatishmërinë e autoriteteve për të siguruar llogaridhënie dhe përgjegjësi në ushtrimin e kompetencave të tyre.</w:t>
      </w:r>
    </w:p>
    <w:p w14:paraId="02C5B03B" w14:textId="77777777" w:rsidR="00CC7D4D" w:rsidRPr="00C263D5" w:rsidRDefault="00CC7D4D" w:rsidP="00CC7D4D">
      <w:pPr>
        <w:spacing w:before="100" w:beforeAutospacing="1" w:after="100" w:afterAutospacing="1" w:line="276" w:lineRule="auto"/>
        <w:rPr>
          <w:rFonts w:asciiTheme="majorHAnsi" w:eastAsia="Times New Roman" w:hAnsiTheme="majorHAnsi" w:cstheme="majorHAnsi"/>
          <w:lang w:eastAsia="en-GB"/>
        </w:rPr>
      </w:pPr>
      <w:r w:rsidRPr="00C263D5">
        <w:rPr>
          <w:rFonts w:asciiTheme="majorHAnsi" w:eastAsia="Times New Roman" w:hAnsiTheme="majorHAnsi" w:cstheme="majorHAnsi"/>
          <w:lang w:eastAsia="en-GB"/>
        </w:rPr>
        <w:t>Në këtë kuptim, transparenca nuk është vetëm një detyrim ligjor, por një mekanizëm thelbësor për forcimin e besimit publik, përmirësimin e cilësisë së vendimmarrjes dhe promovimin e pjesëmarrjes aktive të qytetarëve në proceset demokratike.</w:t>
      </w:r>
    </w:p>
    <w:p w14:paraId="750685EC" w14:textId="77777777" w:rsidR="00CC7D4D" w:rsidRPr="00C263D5" w:rsidRDefault="00CC7D4D" w:rsidP="00CC7D4D">
      <w:pPr>
        <w:spacing w:before="100" w:beforeAutospacing="1" w:after="100" w:afterAutospacing="1" w:line="276" w:lineRule="auto"/>
        <w:rPr>
          <w:rFonts w:asciiTheme="majorHAnsi" w:eastAsia="Times New Roman" w:hAnsiTheme="majorHAnsi" w:cstheme="majorHAnsi"/>
          <w:lang w:eastAsia="en-GB"/>
        </w:rPr>
      </w:pPr>
      <w:r w:rsidRPr="00C263D5">
        <w:rPr>
          <w:rFonts w:asciiTheme="majorHAnsi" w:eastAsia="Times New Roman" w:hAnsiTheme="majorHAnsi" w:cstheme="majorHAnsi"/>
          <w:lang w:eastAsia="en-GB"/>
        </w:rPr>
        <w:t>Në nivelin lokal, transparenca merr një rëndësi të veçantë, duke qenë se komunat përbëjnë nivelin më të afërt të qeverisjes me qytetarët dhe janë drejtpërdrejt përgjegjëse për ofrimin e një game të gjerë shërbimesh publike. Funksionimi efektiv i administratës komunale dhe cilësia e shërbimeve janë të lidhura ngushtë me mënyrën e menaxhimit dhe shpërndarjes së informacionit, si dhe me mundësitë për përfshirjen e qytetarëve në proceset vendimmarrëse.</w:t>
      </w:r>
    </w:p>
    <w:p w14:paraId="164C9B50" w14:textId="77777777" w:rsidR="00CC7D4D" w:rsidRPr="00C263D5" w:rsidRDefault="00CC7D4D" w:rsidP="00CC7D4D">
      <w:pPr>
        <w:spacing w:before="100" w:beforeAutospacing="1" w:after="100" w:afterAutospacing="1" w:line="276" w:lineRule="auto"/>
        <w:rPr>
          <w:rFonts w:asciiTheme="majorHAnsi" w:eastAsia="Times New Roman" w:hAnsiTheme="majorHAnsi" w:cstheme="majorHAnsi"/>
          <w:lang w:eastAsia="en-GB"/>
        </w:rPr>
      </w:pPr>
      <w:r w:rsidRPr="00C263D5">
        <w:rPr>
          <w:rFonts w:asciiTheme="majorHAnsi" w:eastAsia="Times New Roman" w:hAnsiTheme="majorHAnsi" w:cstheme="majorHAnsi"/>
          <w:lang w:eastAsia="en-GB"/>
        </w:rPr>
        <w:t>Në këtë kontekst, ueb-faqet zyrtare të komunave përfaqësojnë një nga instrumentet kryesore për realizimin e transparencës dhe komunikimit institucional. Ato shërbejnë si platforma për publikimin e informatave me interes publik, duke përfshirë dokumentet zyrtare, aktivitetet institucionale, proceset vendimmarrëse dhe shërbimet për qytetarët.</w:t>
      </w:r>
    </w:p>
    <w:p w14:paraId="13EEF7C0" w14:textId="77777777" w:rsidR="00CC7D4D" w:rsidRPr="00C263D5" w:rsidRDefault="00CC7D4D" w:rsidP="00CC7D4D">
      <w:pPr>
        <w:spacing w:before="100" w:beforeAutospacing="1" w:after="100" w:afterAutospacing="1" w:line="276" w:lineRule="auto"/>
        <w:rPr>
          <w:rFonts w:asciiTheme="majorHAnsi" w:eastAsia="Times New Roman" w:hAnsiTheme="majorHAnsi" w:cstheme="majorHAnsi"/>
          <w:lang w:eastAsia="en-GB"/>
        </w:rPr>
      </w:pPr>
      <w:r w:rsidRPr="00C263D5">
        <w:rPr>
          <w:rFonts w:asciiTheme="majorHAnsi" w:eastAsia="Times New Roman" w:hAnsiTheme="majorHAnsi" w:cstheme="majorHAnsi"/>
          <w:lang w:eastAsia="en-GB"/>
        </w:rPr>
        <w:t>Për më tepër, ueb-faqet kontribuojnë në digjitalizimin e shërbimeve publike dhe në rritjen e efikasitetit administrativ. Funksionaliteti, qasshmëria dhe përditësimi i tyre ndikojnë drejtpërdrejt në nivelin e transparencës dhe në perceptimin e qytetarëve për institucionet publike.</w:t>
      </w:r>
    </w:p>
    <w:p w14:paraId="51A33041" w14:textId="77777777" w:rsidR="00CC7D4D" w:rsidRPr="00C263D5" w:rsidRDefault="00CC7D4D" w:rsidP="00CC7D4D">
      <w:pPr>
        <w:spacing w:before="100" w:beforeAutospacing="1" w:after="100" w:afterAutospacing="1" w:line="276" w:lineRule="auto"/>
        <w:rPr>
          <w:rFonts w:asciiTheme="majorHAnsi" w:eastAsia="Times New Roman" w:hAnsiTheme="majorHAnsi" w:cstheme="majorHAnsi"/>
          <w:lang w:eastAsia="en-GB"/>
        </w:rPr>
      </w:pPr>
      <w:r w:rsidRPr="00C263D5">
        <w:rPr>
          <w:rFonts w:asciiTheme="majorHAnsi" w:eastAsia="Times New Roman" w:hAnsiTheme="majorHAnsi" w:cstheme="majorHAnsi"/>
          <w:lang w:eastAsia="en-GB"/>
        </w:rPr>
        <w:t>Megjithatë, sfida të ndryshme vazhdojnë të ndikojnë në funksionimin efektiv të këtyre platformave, veçanërisht në aspektin e përditësimit të përmbajtjes dhe menaxhimit teknik.</w:t>
      </w:r>
    </w:p>
    <w:p w14:paraId="6E26A96E" w14:textId="77777777" w:rsidR="00CC7D4D" w:rsidRPr="00C263D5" w:rsidRDefault="00CC7D4D" w:rsidP="00CC7D4D">
      <w:pPr>
        <w:spacing w:before="100" w:beforeAutospacing="1" w:after="100" w:afterAutospacing="1" w:line="276" w:lineRule="auto"/>
        <w:outlineLvl w:val="0"/>
        <w:rPr>
          <w:rFonts w:asciiTheme="majorHAnsi" w:eastAsia="Times New Roman" w:hAnsiTheme="majorHAnsi" w:cstheme="majorHAnsi"/>
          <w:b/>
          <w:bCs/>
          <w:color w:val="2F5496" w:themeColor="accent5" w:themeShade="BF"/>
          <w:kern w:val="36"/>
          <w:lang w:eastAsia="en-GB"/>
        </w:rPr>
      </w:pPr>
      <w:r w:rsidRPr="00C263D5">
        <w:rPr>
          <w:rFonts w:asciiTheme="majorHAnsi" w:eastAsia="Times New Roman" w:hAnsiTheme="majorHAnsi" w:cstheme="majorHAnsi"/>
          <w:b/>
          <w:bCs/>
          <w:color w:val="2F5496" w:themeColor="accent5" w:themeShade="BF"/>
          <w:kern w:val="36"/>
          <w:lang w:eastAsia="en-GB"/>
        </w:rPr>
        <w:t>QËLLIMI I RAPORTIT</w:t>
      </w:r>
    </w:p>
    <w:p w14:paraId="5C3ED2C7" w14:textId="43AE6018" w:rsidR="00CC7D4D" w:rsidRPr="00C263D5" w:rsidRDefault="00CC7D4D" w:rsidP="00CC7D4D">
      <w:pPr>
        <w:spacing w:before="100" w:beforeAutospacing="1" w:after="100" w:afterAutospacing="1" w:line="276" w:lineRule="auto"/>
        <w:rPr>
          <w:rFonts w:asciiTheme="majorHAnsi" w:eastAsia="Times New Roman" w:hAnsiTheme="majorHAnsi" w:cstheme="majorHAnsi"/>
          <w:lang w:eastAsia="en-GB"/>
        </w:rPr>
      </w:pPr>
      <w:r w:rsidRPr="005069AA">
        <w:rPr>
          <w:rFonts w:asciiTheme="majorHAnsi" w:eastAsia="Times New Roman" w:hAnsiTheme="majorHAnsi" w:cstheme="majorHAnsi"/>
          <w:lang w:eastAsia="en-GB"/>
        </w:rPr>
        <w:t>Raporti për Vlerësimin e Transparencës për periudhën janar–dhjetor 2025 ka për qëllim të paraqesë një vlerësim gjithëpërfshirës të nivelit të transparencës në të gjitha komunat e Republikës së Kosovës, në raport me përmbushjen e obligimeve ligjore për informim publik.</w:t>
      </w:r>
      <w:r w:rsidR="009D6147" w:rsidRPr="005069AA">
        <w:rPr>
          <w:rFonts w:asciiTheme="majorHAnsi" w:hAnsiTheme="majorHAnsi" w:cstheme="majorHAnsi"/>
        </w:rPr>
        <w:t xml:space="preserve"> Në mënyrë më specifike, raporti synon të ofrojë një pasqyrë të saktë dhe objektive mbi publikimin e aktiviteteve komunale, akteve juridike dhe dokumenteve publike, të informojë institucionet dhe publikun për gjendjen e transparencës në nivel komunal, të vlerësojë funksionalitetin dhe përmbajtjen e ueb-faqeve zyrtare, si dhe të kontribuojë në rritjen e përgjegjësisë institucionale dhe përmirësimin e transparencës</w:t>
      </w:r>
      <w:r w:rsidR="009D6147" w:rsidRPr="00C263D5">
        <w:rPr>
          <w:rFonts w:asciiTheme="majorHAnsi" w:hAnsiTheme="majorHAnsi" w:cstheme="majorHAnsi"/>
        </w:rPr>
        <w:t>.</w:t>
      </w:r>
    </w:p>
    <w:p w14:paraId="7DD147EE" w14:textId="79813894" w:rsidR="00AD283B" w:rsidRPr="00C263D5" w:rsidRDefault="00CC7D4D" w:rsidP="00A1058D">
      <w:pPr>
        <w:spacing w:before="100" w:beforeAutospacing="1" w:after="100" w:afterAutospacing="1" w:line="276" w:lineRule="auto"/>
        <w:rPr>
          <w:rFonts w:asciiTheme="majorHAnsi" w:eastAsia="Times New Roman" w:hAnsiTheme="majorHAnsi" w:cstheme="majorHAnsi"/>
          <w:lang w:eastAsia="en-GB"/>
        </w:rPr>
      </w:pPr>
      <w:r w:rsidRPr="00C263D5">
        <w:rPr>
          <w:rFonts w:asciiTheme="majorHAnsi" w:eastAsia="Times New Roman" w:hAnsiTheme="majorHAnsi" w:cstheme="majorHAnsi"/>
          <w:lang w:eastAsia="en-GB"/>
        </w:rPr>
        <w:t>Në kuadër të këtij raporti janë analizuar të dhënat për 38 komunat, bazuar në indikatorë të matshëm të transparencës, duke përfshirë publikimin e akteve, transparencën financiare, prokurimin publik, konsultimet publike dhe ofrimin e shërbimeve për qytetarët.</w:t>
      </w:r>
      <w:bookmarkStart w:id="5" w:name="_Toc56692983"/>
      <w:bookmarkStart w:id="6" w:name="_Toc81401209"/>
      <w:bookmarkStart w:id="7" w:name="_Toc85812813"/>
      <w:bookmarkStart w:id="8" w:name="_Toc130455674"/>
      <w:bookmarkEnd w:id="4"/>
    </w:p>
    <w:p w14:paraId="126B5914" w14:textId="77777777" w:rsidR="00AD283B" w:rsidRPr="00C263D5" w:rsidRDefault="00AD283B" w:rsidP="00AD283B">
      <w:pPr>
        <w:pStyle w:val="Style2"/>
        <w:spacing w:line="276" w:lineRule="auto"/>
        <w:rPr>
          <w:rFonts w:asciiTheme="majorHAnsi" w:hAnsiTheme="majorHAnsi" w:cstheme="majorHAnsi"/>
        </w:rPr>
      </w:pPr>
      <w:r w:rsidRPr="00C263D5">
        <w:rPr>
          <w:rFonts w:asciiTheme="majorHAnsi" w:hAnsiTheme="majorHAnsi" w:cstheme="majorHAnsi"/>
        </w:rPr>
        <w:t xml:space="preserve">METODOLOGJIA </w:t>
      </w:r>
    </w:p>
    <w:p w14:paraId="3B450F76" w14:textId="37F0632C" w:rsidR="00AD283B" w:rsidRPr="00C263D5" w:rsidRDefault="00AD283B" w:rsidP="00AD283B">
      <w:pPr>
        <w:spacing w:before="100" w:beforeAutospacing="1" w:after="100" w:afterAutospacing="1" w:line="276" w:lineRule="auto"/>
        <w:rPr>
          <w:rFonts w:asciiTheme="majorHAnsi" w:eastAsia="Times New Roman" w:hAnsiTheme="majorHAnsi" w:cstheme="majorHAnsi"/>
          <w:lang w:eastAsia="en-GB"/>
        </w:rPr>
      </w:pPr>
      <w:r w:rsidRPr="00C263D5">
        <w:rPr>
          <w:rFonts w:asciiTheme="majorHAnsi" w:eastAsia="Times New Roman" w:hAnsiTheme="majorHAnsi" w:cstheme="majorHAnsi"/>
          <w:lang w:eastAsia="en-GB"/>
        </w:rPr>
        <w:t xml:space="preserve">Për hartimin e këtij raporti janë përdorur metoda statistikore dhe </w:t>
      </w:r>
      <w:proofErr w:type="spellStart"/>
      <w:r w:rsidRPr="00C263D5">
        <w:rPr>
          <w:rFonts w:asciiTheme="majorHAnsi" w:eastAsia="Times New Roman" w:hAnsiTheme="majorHAnsi" w:cstheme="majorHAnsi"/>
          <w:lang w:eastAsia="en-GB"/>
        </w:rPr>
        <w:t>krahasimore</w:t>
      </w:r>
      <w:proofErr w:type="spellEnd"/>
      <w:r w:rsidR="007A0C6C">
        <w:rPr>
          <w:rFonts w:asciiTheme="majorHAnsi" w:eastAsia="Times New Roman" w:hAnsiTheme="majorHAnsi" w:cstheme="majorHAnsi"/>
          <w:lang w:eastAsia="en-GB"/>
        </w:rPr>
        <w:t xml:space="preserve">,  </w:t>
      </w:r>
      <w:r w:rsidRPr="00C263D5">
        <w:rPr>
          <w:rFonts w:asciiTheme="majorHAnsi" w:eastAsia="Times New Roman" w:hAnsiTheme="majorHAnsi" w:cstheme="majorHAnsi"/>
          <w:lang w:eastAsia="en-GB"/>
        </w:rPr>
        <w:t>me qëllim sigurimin e një analize sa më ob</w:t>
      </w:r>
      <w:r w:rsidR="007A0C6C">
        <w:rPr>
          <w:rFonts w:asciiTheme="majorHAnsi" w:eastAsia="Times New Roman" w:hAnsiTheme="majorHAnsi" w:cstheme="majorHAnsi"/>
          <w:lang w:eastAsia="en-GB"/>
        </w:rPr>
        <w:t xml:space="preserve">jektive dhe të </w:t>
      </w:r>
      <w:proofErr w:type="spellStart"/>
      <w:r w:rsidR="007A0C6C">
        <w:rPr>
          <w:rFonts w:asciiTheme="majorHAnsi" w:eastAsia="Times New Roman" w:hAnsiTheme="majorHAnsi" w:cstheme="majorHAnsi"/>
          <w:lang w:eastAsia="en-GB"/>
        </w:rPr>
        <w:t>verifikueshme</w:t>
      </w:r>
      <w:proofErr w:type="spellEnd"/>
      <w:r w:rsidR="007A0C6C">
        <w:rPr>
          <w:rFonts w:asciiTheme="majorHAnsi" w:eastAsia="Times New Roman" w:hAnsiTheme="majorHAnsi" w:cstheme="majorHAnsi"/>
          <w:lang w:eastAsia="en-GB"/>
        </w:rPr>
        <w:t xml:space="preserve"> </w:t>
      </w:r>
      <w:bookmarkStart w:id="9" w:name="_Hlk230249031"/>
      <w:r w:rsidR="007A0C6C" w:rsidRPr="00275069">
        <w:rPr>
          <w:rFonts w:asciiTheme="majorHAnsi" w:eastAsia="Times New Roman" w:hAnsiTheme="majorHAnsi" w:cstheme="majorHAnsi"/>
          <w:bCs/>
          <w:lang w:eastAsia="en-GB"/>
        </w:rPr>
        <w:t>mbi nivelin e</w:t>
      </w:r>
      <w:r w:rsidRPr="00275069">
        <w:rPr>
          <w:rFonts w:asciiTheme="majorHAnsi" w:eastAsia="Times New Roman" w:hAnsiTheme="majorHAnsi" w:cstheme="majorHAnsi"/>
          <w:bCs/>
          <w:lang w:eastAsia="en-GB"/>
        </w:rPr>
        <w:t xml:space="preserve"> transparencës.</w:t>
      </w:r>
      <w:bookmarkEnd w:id="9"/>
    </w:p>
    <w:p w14:paraId="636EE85F" w14:textId="77777777" w:rsidR="00AD283B" w:rsidRPr="00C263D5" w:rsidRDefault="00AD283B" w:rsidP="00AD283B">
      <w:pPr>
        <w:spacing w:before="100" w:beforeAutospacing="1" w:after="100" w:afterAutospacing="1" w:line="276" w:lineRule="auto"/>
        <w:rPr>
          <w:rFonts w:asciiTheme="majorHAnsi" w:eastAsia="Times New Roman" w:hAnsiTheme="majorHAnsi" w:cstheme="majorHAnsi"/>
          <w:lang w:eastAsia="en-GB"/>
        </w:rPr>
      </w:pPr>
      <w:r w:rsidRPr="00C263D5">
        <w:rPr>
          <w:rFonts w:asciiTheme="majorHAnsi" w:eastAsia="Times New Roman" w:hAnsiTheme="majorHAnsi" w:cstheme="majorHAnsi"/>
          <w:lang w:eastAsia="en-GB"/>
        </w:rPr>
        <w:t>Të dhënat janë mbledhur përmes monitorimit të drejtpërdrejtë të ueb-faqeve zyrtare dhe janë përpunuar në formatin Excel. Më pas, ato u janë përcjellë komunave për verifikim. Komunat që kanë kontestuar të dhënat kanë dorëzuar komente të shoqëruara me lidhje (</w:t>
      </w:r>
      <w:proofErr w:type="spellStart"/>
      <w:r w:rsidRPr="00C263D5">
        <w:rPr>
          <w:rFonts w:asciiTheme="majorHAnsi" w:eastAsia="Times New Roman" w:hAnsiTheme="majorHAnsi" w:cstheme="majorHAnsi"/>
          <w:lang w:eastAsia="en-GB"/>
        </w:rPr>
        <w:t>linke</w:t>
      </w:r>
      <w:proofErr w:type="spellEnd"/>
      <w:r w:rsidRPr="00C263D5">
        <w:rPr>
          <w:rFonts w:asciiTheme="majorHAnsi" w:eastAsia="Times New Roman" w:hAnsiTheme="majorHAnsi" w:cstheme="majorHAnsi"/>
          <w:lang w:eastAsia="en-GB"/>
        </w:rPr>
        <w:t>), përmes të cilave mund të verifikoheshin dokumentet përkatëse.</w:t>
      </w:r>
    </w:p>
    <w:p w14:paraId="30D581CB" w14:textId="77777777" w:rsidR="00AD283B" w:rsidRPr="00C263D5" w:rsidRDefault="00AD283B" w:rsidP="00AD283B">
      <w:pPr>
        <w:spacing w:before="100" w:beforeAutospacing="1" w:after="100" w:afterAutospacing="1" w:line="276" w:lineRule="auto"/>
        <w:rPr>
          <w:rFonts w:asciiTheme="majorHAnsi" w:eastAsia="Times New Roman" w:hAnsiTheme="majorHAnsi" w:cstheme="majorHAnsi"/>
          <w:lang w:eastAsia="en-GB"/>
        </w:rPr>
      </w:pPr>
      <w:r w:rsidRPr="00C263D5">
        <w:rPr>
          <w:rFonts w:asciiTheme="majorHAnsi" w:eastAsia="Times New Roman" w:hAnsiTheme="majorHAnsi" w:cstheme="majorHAnsi"/>
          <w:lang w:eastAsia="en-GB"/>
        </w:rPr>
        <w:t>Divizioni i Transparencës ka shqyrtuar dhe verifikuar të gjitha komentet e pranuara nga 19 komuna dhe ka njoftuar secilën prej tyre lidhur me komentet që, për shkak të pamundësisë së verifikimit, nuk janë përfshirë në raport. Të dhënat përfundimtare për të gjitha komunat janë analizuar në përputhje me indikatorët e përcaktuar të transparencës.</w:t>
      </w:r>
    </w:p>
    <w:p w14:paraId="09E11733" w14:textId="77777777" w:rsidR="00AD283B" w:rsidRPr="00C263D5" w:rsidRDefault="00AD283B" w:rsidP="00AD283B">
      <w:pPr>
        <w:spacing w:before="100" w:beforeAutospacing="1" w:after="100" w:afterAutospacing="1" w:line="276" w:lineRule="auto"/>
        <w:rPr>
          <w:rFonts w:asciiTheme="majorHAnsi" w:eastAsia="Times New Roman" w:hAnsiTheme="majorHAnsi" w:cstheme="majorHAnsi"/>
          <w:lang w:eastAsia="en-GB"/>
        </w:rPr>
      </w:pPr>
      <w:r w:rsidRPr="00C263D5">
        <w:rPr>
          <w:rFonts w:asciiTheme="majorHAnsi" w:eastAsia="Times New Roman" w:hAnsiTheme="majorHAnsi" w:cstheme="majorHAnsi"/>
          <w:lang w:eastAsia="en-GB"/>
        </w:rPr>
        <w:t>Për qëllime krahasimi, të dhënat janë krahasuar me:</w:t>
      </w:r>
    </w:p>
    <w:p w14:paraId="1B43B9D3" w14:textId="77777777" w:rsidR="00AD283B" w:rsidRPr="00C263D5" w:rsidRDefault="00AD283B" w:rsidP="00AD283B">
      <w:pPr>
        <w:numPr>
          <w:ilvl w:val="0"/>
          <w:numId w:val="36"/>
        </w:numPr>
        <w:spacing w:before="100" w:beforeAutospacing="1" w:after="100" w:afterAutospacing="1" w:line="276" w:lineRule="auto"/>
        <w:rPr>
          <w:rFonts w:asciiTheme="majorHAnsi" w:eastAsia="Times New Roman" w:hAnsiTheme="majorHAnsi" w:cstheme="majorHAnsi"/>
          <w:lang w:eastAsia="en-GB"/>
        </w:rPr>
      </w:pPr>
      <w:r w:rsidRPr="00C263D5">
        <w:rPr>
          <w:rFonts w:asciiTheme="majorHAnsi" w:eastAsia="Times New Roman" w:hAnsiTheme="majorHAnsi" w:cstheme="majorHAnsi"/>
          <w:lang w:eastAsia="en-GB"/>
        </w:rPr>
        <w:t xml:space="preserve">obligimet ligjore të përcaktuara në dispozitat në fuqi në fushën e transparencës publike; </w:t>
      </w:r>
    </w:p>
    <w:p w14:paraId="103C9345" w14:textId="77777777" w:rsidR="00AD283B" w:rsidRPr="00C263D5" w:rsidRDefault="00AD283B" w:rsidP="00AD283B">
      <w:pPr>
        <w:numPr>
          <w:ilvl w:val="0"/>
          <w:numId w:val="36"/>
        </w:numPr>
        <w:spacing w:before="100" w:beforeAutospacing="1" w:after="100" w:afterAutospacing="1" w:line="276" w:lineRule="auto"/>
        <w:rPr>
          <w:rFonts w:asciiTheme="majorHAnsi" w:eastAsia="Times New Roman" w:hAnsiTheme="majorHAnsi" w:cstheme="majorHAnsi"/>
          <w:lang w:eastAsia="en-GB"/>
        </w:rPr>
      </w:pPr>
      <w:r w:rsidRPr="00C263D5">
        <w:rPr>
          <w:rFonts w:asciiTheme="majorHAnsi" w:eastAsia="Times New Roman" w:hAnsiTheme="majorHAnsi" w:cstheme="majorHAnsi"/>
          <w:lang w:eastAsia="en-GB"/>
        </w:rPr>
        <w:t xml:space="preserve">raportin zyrtar për funksionimin e komunave për periudhën janar–dhjetor 2025; </w:t>
      </w:r>
    </w:p>
    <w:p w14:paraId="7AD9D4E9" w14:textId="6D118A17" w:rsidR="00AD283B" w:rsidRPr="009D6147" w:rsidRDefault="00AD283B" w:rsidP="009D6147">
      <w:pPr>
        <w:numPr>
          <w:ilvl w:val="0"/>
          <w:numId w:val="36"/>
        </w:numPr>
        <w:spacing w:before="100" w:beforeAutospacing="1" w:after="100" w:afterAutospacing="1" w:line="276" w:lineRule="auto"/>
        <w:rPr>
          <w:rFonts w:asciiTheme="majorHAnsi" w:eastAsia="Times New Roman" w:hAnsiTheme="majorHAnsi" w:cstheme="majorHAnsi"/>
          <w:color w:val="C00000"/>
          <w:lang w:eastAsia="en-GB"/>
        </w:rPr>
      </w:pPr>
      <w:r w:rsidRPr="00C263D5">
        <w:rPr>
          <w:rFonts w:asciiTheme="majorHAnsi" w:eastAsia="Times New Roman" w:hAnsiTheme="majorHAnsi" w:cstheme="majorHAnsi"/>
          <w:lang w:eastAsia="en-GB"/>
        </w:rPr>
        <w:t>raportin për vlerësimin e transparencës për periudhën janar–dhjetor 2024</w:t>
      </w:r>
    </w:p>
    <w:p w14:paraId="603ABBC8" w14:textId="77777777" w:rsidR="00A1058D" w:rsidRPr="00A1058D" w:rsidRDefault="00A1058D" w:rsidP="00A1058D">
      <w:pPr>
        <w:spacing w:before="100" w:beforeAutospacing="1" w:after="100" w:afterAutospacing="1" w:line="276" w:lineRule="auto"/>
        <w:outlineLvl w:val="0"/>
        <w:rPr>
          <w:rFonts w:asciiTheme="majorHAnsi" w:eastAsia="Times New Roman" w:hAnsiTheme="majorHAnsi" w:cstheme="majorHAnsi"/>
          <w:b/>
          <w:bCs/>
          <w:color w:val="2F5496" w:themeColor="accent5" w:themeShade="BF"/>
          <w:kern w:val="36"/>
          <w:lang w:eastAsia="en-GB"/>
        </w:rPr>
      </w:pPr>
      <w:r w:rsidRPr="00A1058D">
        <w:rPr>
          <w:rFonts w:asciiTheme="majorHAnsi" w:eastAsia="Times New Roman" w:hAnsiTheme="majorHAnsi" w:cstheme="majorHAnsi"/>
          <w:b/>
          <w:bCs/>
          <w:color w:val="2F5496" w:themeColor="accent5" w:themeShade="BF"/>
          <w:kern w:val="36"/>
          <w:lang w:eastAsia="en-GB"/>
        </w:rPr>
        <w:t>KORNIZA LIGJORE</w:t>
      </w:r>
    </w:p>
    <w:p w14:paraId="4842DF8B" w14:textId="77777777" w:rsidR="00A1058D" w:rsidRPr="00A1058D" w:rsidRDefault="00A1058D" w:rsidP="00A1058D">
      <w:pPr>
        <w:spacing w:before="100" w:beforeAutospacing="1" w:after="100" w:afterAutospacing="1" w:line="276" w:lineRule="auto"/>
        <w:rPr>
          <w:rFonts w:asciiTheme="majorHAnsi" w:eastAsia="Times New Roman" w:hAnsiTheme="majorHAnsi" w:cstheme="majorHAnsi"/>
          <w:lang w:eastAsia="en-GB"/>
        </w:rPr>
      </w:pPr>
      <w:r w:rsidRPr="00A1058D">
        <w:rPr>
          <w:rFonts w:asciiTheme="majorHAnsi" w:eastAsia="Times New Roman" w:hAnsiTheme="majorHAnsi" w:cstheme="majorHAnsi"/>
          <w:lang w:eastAsia="en-GB"/>
        </w:rPr>
        <w:t>Vlerësimi i transparencës komunale është mbështetur në kornizën ligjore në fuqi në Republikën e Kosovës, e cila përcakton standardet për transparencë, llogaridhënie, qasje në informata publike, menaxhim të financave publike dhe funksionimin e qeverisjes lokale.</w:t>
      </w:r>
    </w:p>
    <w:p w14:paraId="4886A2F3" w14:textId="77777777" w:rsidR="00A1058D" w:rsidRPr="00A1058D" w:rsidRDefault="00A1058D" w:rsidP="00A1058D">
      <w:pPr>
        <w:spacing w:before="100" w:beforeAutospacing="1" w:after="100" w:afterAutospacing="1" w:line="276" w:lineRule="auto"/>
        <w:rPr>
          <w:rFonts w:asciiTheme="majorHAnsi" w:eastAsia="Times New Roman" w:hAnsiTheme="majorHAnsi" w:cstheme="majorHAnsi"/>
          <w:lang w:eastAsia="en-GB"/>
        </w:rPr>
      </w:pPr>
      <w:r w:rsidRPr="00A1058D">
        <w:rPr>
          <w:rFonts w:asciiTheme="majorHAnsi" w:eastAsia="Times New Roman" w:hAnsiTheme="majorHAnsi" w:cstheme="majorHAnsi"/>
          <w:lang w:eastAsia="en-GB"/>
        </w:rPr>
        <w:t>Në këtë kuadër, baza kryesore ligjore përfshin:</w:t>
      </w:r>
    </w:p>
    <w:p w14:paraId="70261ABE" w14:textId="77777777" w:rsidR="00A1058D" w:rsidRPr="00A1058D" w:rsidRDefault="00A1058D" w:rsidP="00A1058D">
      <w:pPr>
        <w:numPr>
          <w:ilvl w:val="0"/>
          <w:numId w:val="38"/>
        </w:numPr>
        <w:spacing w:before="100" w:beforeAutospacing="1" w:after="100" w:afterAutospacing="1" w:line="276" w:lineRule="auto"/>
        <w:rPr>
          <w:rFonts w:asciiTheme="majorHAnsi" w:eastAsia="Times New Roman" w:hAnsiTheme="majorHAnsi" w:cstheme="majorHAnsi"/>
          <w:lang w:eastAsia="en-GB"/>
        </w:rPr>
      </w:pPr>
      <w:r w:rsidRPr="00A1058D">
        <w:rPr>
          <w:rFonts w:asciiTheme="majorHAnsi" w:eastAsia="Times New Roman" w:hAnsiTheme="majorHAnsi" w:cstheme="majorHAnsi"/>
          <w:b/>
          <w:bCs/>
          <w:lang w:eastAsia="en-GB"/>
        </w:rPr>
        <w:t>Kushtetutën e Republikës së Kosovës</w:t>
      </w:r>
      <w:r w:rsidRPr="00A1058D">
        <w:rPr>
          <w:rFonts w:asciiTheme="majorHAnsi" w:eastAsia="Times New Roman" w:hAnsiTheme="majorHAnsi" w:cstheme="majorHAnsi"/>
          <w:lang w:eastAsia="en-GB"/>
        </w:rPr>
        <w:t xml:space="preserve">, e cila garanton të drejtën e qasjes në informata publike dhe obligon institucionet publike për transparencë dhe llogaridhënie; </w:t>
      </w:r>
    </w:p>
    <w:p w14:paraId="00DCDC65" w14:textId="77777777" w:rsidR="00A1058D" w:rsidRPr="00A1058D" w:rsidRDefault="00A1058D" w:rsidP="00A1058D">
      <w:pPr>
        <w:numPr>
          <w:ilvl w:val="0"/>
          <w:numId w:val="38"/>
        </w:numPr>
        <w:spacing w:before="100" w:beforeAutospacing="1" w:after="100" w:afterAutospacing="1" w:line="276" w:lineRule="auto"/>
        <w:rPr>
          <w:rFonts w:asciiTheme="majorHAnsi" w:eastAsia="Times New Roman" w:hAnsiTheme="majorHAnsi" w:cstheme="majorHAnsi"/>
          <w:lang w:eastAsia="en-GB"/>
        </w:rPr>
      </w:pPr>
      <w:r w:rsidRPr="00A1058D">
        <w:rPr>
          <w:rFonts w:asciiTheme="majorHAnsi" w:eastAsia="Times New Roman" w:hAnsiTheme="majorHAnsi" w:cstheme="majorHAnsi"/>
          <w:b/>
          <w:bCs/>
          <w:lang w:eastAsia="en-GB"/>
        </w:rPr>
        <w:t>Ligjin Nr. 03/L-040 për Vetëqeverisje Lokale</w:t>
      </w:r>
      <w:r w:rsidRPr="00A1058D">
        <w:rPr>
          <w:rFonts w:asciiTheme="majorHAnsi" w:eastAsia="Times New Roman" w:hAnsiTheme="majorHAnsi" w:cstheme="majorHAnsi"/>
          <w:lang w:eastAsia="en-GB"/>
        </w:rPr>
        <w:t xml:space="preserve">, i cili përcakton kompetencat dhe obligimet e komunave, përfshirë transparencën në vendimmarrje dhe informimin publik; </w:t>
      </w:r>
    </w:p>
    <w:p w14:paraId="33FFBB6D" w14:textId="77777777" w:rsidR="00A1058D" w:rsidRPr="00A1058D" w:rsidRDefault="00A1058D" w:rsidP="00A1058D">
      <w:pPr>
        <w:numPr>
          <w:ilvl w:val="0"/>
          <w:numId w:val="38"/>
        </w:numPr>
        <w:spacing w:before="100" w:beforeAutospacing="1" w:after="100" w:afterAutospacing="1" w:line="276" w:lineRule="auto"/>
        <w:rPr>
          <w:rFonts w:asciiTheme="majorHAnsi" w:eastAsia="Times New Roman" w:hAnsiTheme="majorHAnsi" w:cstheme="majorHAnsi"/>
          <w:lang w:eastAsia="en-GB"/>
        </w:rPr>
      </w:pPr>
      <w:r w:rsidRPr="00A1058D">
        <w:rPr>
          <w:rFonts w:asciiTheme="majorHAnsi" w:eastAsia="Times New Roman" w:hAnsiTheme="majorHAnsi" w:cstheme="majorHAnsi"/>
          <w:b/>
          <w:bCs/>
          <w:lang w:eastAsia="en-GB"/>
        </w:rPr>
        <w:t>Ligjin Nr. 06/L-081 për Qasje në Dokumente Publike</w:t>
      </w:r>
      <w:r w:rsidRPr="00A1058D">
        <w:rPr>
          <w:rFonts w:asciiTheme="majorHAnsi" w:eastAsia="Times New Roman" w:hAnsiTheme="majorHAnsi" w:cstheme="majorHAnsi"/>
          <w:lang w:eastAsia="en-GB"/>
        </w:rPr>
        <w:t xml:space="preserve">, i cili garanton të drejtën e qytetarëve për qasje në dokumente zyrtare dhe rregullon procedurat për realizimin e kësaj të drejte; </w:t>
      </w:r>
    </w:p>
    <w:p w14:paraId="74C608EE" w14:textId="77777777" w:rsidR="00A1058D" w:rsidRPr="00A1058D" w:rsidRDefault="00A1058D" w:rsidP="00A1058D">
      <w:pPr>
        <w:numPr>
          <w:ilvl w:val="0"/>
          <w:numId w:val="38"/>
        </w:numPr>
        <w:spacing w:before="100" w:beforeAutospacing="1" w:after="100" w:afterAutospacing="1" w:line="276" w:lineRule="auto"/>
        <w:rPr>
          <w:rFonts w:asciiTheme="majorHAnsi" w:eastAsia="Times New Roman" w:hAnsiTheme="majorHAnsi" w:cstheme="majorHAnsi"/>
          <w:lang w:eastAsia="en-GB"/>
        </w:rPr>
      </w:pPr>
      <w:r w:rsidRPr="00A1058D">
        <w:rPr>
          <w:rFonts w:asciiTheme="majorHAnsi" w:eastAsia="Times New Roman" w:hAnsiTheme="majorHAnsi" w:cstheme="majorHAnsi"/>
          <w:b/>
          <w:bCs/>
          <w:lang w:eastAsia="en-GB"/>
        </w:rPr>
        <w:t>Ligjin Nr. 03/L-048 për Menaxhimin e Financave Publike dhe Përgjegjësitë</w:t>
      </w:r>
      <w:r w:rsidRPr="00A1058D">
        <w:rPr>
          <w:rFonts w:asciiTheme="majorHAnsi" w:eastAsia="Times New Roman" w:hAnsiTheme="majorHAnsi" w:cstheme="majorHAnsi"/>
          <w:lang w:eastAsia="en-GB"/>
        </w:rPr>
        <w:t xml:space="preserve">, i cili rregullon menaxhimin, raportimin dhe transparencën e shpenzimeve publike; </w:t>
      </w:r>
    </w:p>
    <w:p w14:paraId="6C5190FA" w14:textId="77777777" w:rsidR="00A1058D" w:rsidRPr="00A1058D" w:rsidRDefault="00A1058D" w:rsidP="00A1058D">
      <w:pPr>
        <w:numPr>
          <w:ilvl w:val="0"/>
          <w:numId w:val="38"/>
        </w:numPr>
        <w:spacing w:before="100" w:beforeAutospacing="1" w:after="100" w:afterAutospacing="1" w:line="276" w:lineRule="auto"/>
        <w:rPr>
          <w:rFonts w:asciiTheme="majorHAnsi" w:eastAsia="Times New Roman" w:hAnsiTheme="majorHAnsi" w:cstheme="majorHAnsi"/>
          <w:lang w:eastAsia="en-GB"/>
        </w:rPr>
      </w:pPr>
      <w:r w:rsidRPr="00A1058D">
        <w:rPr>
          <w:rFonts w:asciiTheme="majorHAnsi" w:eastAsia="Times New Roman" w:hAnsiTheme="majorHAnsi" w:cstheme="majorHAnsi"/>
          <w:b/>
          <w:bCs/>
          <w:lang w:eastAsia="en-GB"/>
        </w:rPr>
        <w:t>Ligjin Nr. 04/L-042 për Prokurimin Publik</w:t>
      </w:r>
      <w:r w:rsidRPr="00A1058D">
        <w:rPr>
          <w:rFonts w:asciiTheme="majorHAnsi" w:eastAsia="Times New Roman" w:hAnsiTheme="majorHAnsi" w:cstheme="majorHAnsi"/>
          <w:lang w:eastAsia="en-GB"/>
        </w:rPr>
        <w:t xml:space="preserve">, i cili përcakton parimet e transparencës, barazisë dhe konkurrencës në procedurat e prokurimit publik, si dhe obligimin për publikimin e të dhënave dhe vendimeve të prokurimit; </w:t>
      </w:r>
    </w:p>
    <w:p w14:paraId="1033A875" w14:textId="77777777" w:rsidR="00A1058D" w:rsidRPr="00A1058D" w:rsidRDefault="00A1058D" w:rsidP="00A1058D">
      <w:pPr>
        <w:numPr>
          <w:ilvl w:val="0"/>
          <w:numId w:val="38"/>
        </w:numPr>
        <w:spacing w:before="100" w:beforeAutospacing="1" w:after="100" w:afterAutospacing="1" w:line="276" w:lineRule="auto"/>
        <w:rPr>
          <w:rFonts w:asciiTheme="majorHAnsi" w:eastAsia="Times New Roman" w:hAnsiTheme="majorHAnsi" w:cstheme="majorHAnsi"/>
          <w:lang w:eastAsia="en-GB"/>
        </w:rPr>
      </w:pPr>
      <w:r w:rsidRPr="00A1058D">
        <w:rPr>
          <w:rFonts w:asciiTheme="majorHAnsi" w:eastAsia="Times New Roman" w:hAnsiTheme="majorHAnsi" w:cstheme="majorHAnsi"/>
          <w:b/>
          <w:bCs/>
          <w:lang w:eastAsia="en-GB"/>
        </w:rPr>
        <w:t>Ligjin Nr. 08/L-284 për Shqyrtimin Administrativ të Akteve të Komunave</w:t>
      </w:r>
      <w:r w:rsidRPr="00A1058D">
        <w:rPr>
          <w:rFonts w:asciiTheme="majorHAnsi" w:eastAsia="Times New Roman" w:hAnsiTheme="majorHAnsi" w:cstheme="majorHAnsi"/>
          <w:lang w:eastAsia="en-GB"/>
        </w:rPr>
        <w:t xml:space="preserve">, i cili rregullon procesin e shqyrtimit dhe ligjshmërisë së akteve komunale; </w:t>
      </w:r>
    </w:p>
    <w:p w14:paraId="28D237B1" w14:textId="77777777" w:rsidR="00A1058D" w:rsidRPr="00A1058D" w:rsidRDefault="00A1058D" w:rsidP="00A1058D">
      <w:pPr>
        <w:numPr>
          <w:ilvl w:val="0"/>
          <w:numId w:val="38"/>
        </w:numPr>
        <w:spacing w:before="100" w:beforeAutospacing="1" w:after="100" w:afterAutospacing="1" w:line="276" w:lineRule="auto"/>
        <w:rPr>
          <w:rFonts w:asciiTheme="majorHAnsi" w:eastAsia="Times New Roman" w:hAnsiTheme="majorHAnsi" w:cstheme="majorHAnsi"/>
          <w:lang w:eastAsia="en-GB"/>
        </w:rPr>
      </w:pPr>
      <w:r w:rsidRPr="00A1058D">
        <w:rPr>
          <w:rFonts w:asciiTheme="majorHAnsi" w:eastAsia="Times New Roman" w:hAnsiTheme="majorHAnsi" w:cstheme="majorHAnsi"/>
          <w:b/>
          <w:bCs/>
          <w:lang w:eastAsia="en-GB"/>
        </w:rPr>
        <w:t>Ligjin Nr. 06/L-082 për Mbrojtjen e të Dhënave Personale</w:t>
      </w:r>
      <w:r w:rsidRPr="00A1058D">
        <w:rPr>
          <w:rFonts w:asciiTheme="majorHAnsi" w:eastAsia="Times New Roman" w:hAnsiTheme="majorHAnsi" w:cstheme="majorHAnsi"/>
          <w:lang w:eastAsia="en-GB"/>
        </w:rPr>
        <w:t xml:space="preserve">, i cili rregullon përpunimin dhe publikimin e të dhënave personale në përputhje me parimet e privatësisë dhe transparencës; </w:t>
      </w:r>
    </w:p>
    <w:p w14:paraId="16624640" w14:textId="27597409" w:rsidR="00A1058D" w:rsidRPr="00A1058D" w:rsidRDefault="00A1058D" w:rsidP="00A1058D">
      <w:pPr>
        <w:numPr>
          <w:ilvl w:val="0"/>
          <w:numId w:val="38"/>
        </w:numPr>
        <w:spacing w:before="100" w:beforeAutospacing="1" w:after="100" w:afterAutospacing="1" w:line="276" w:lineRule="auto"/>
        <w:rPr>
          <w:rFonts w:asciiTheme="majorHAnsi" w:eastAsia="Times New Roman" w:hAnsiTheme="majorHAnsi" w:cstheme="majorHAnsi"/>
          <w:lang w:eastAsia="en-GB"/>
        </w:rPr>
      </w:pPr>
      <w:r w:rsidRPr="00A1058D">
        <w:rPr>
          <w:rFonts w:asciiTheme="majorHAnsi" w:eastAsia="Times New Roman" w:hAnsiTheme="majorHAnsi" w:cstheme="majorHAnsi"/>
          <w:b/>
          <w:bCs/>
          <w:lang w:eastAsia="en-GB"/>
        </w:rPr>
        <w:t>Udhëzimin Administrativ Nr. 04/2023 për Administratë të Hapur në Komuna</w:t>
      </w:r>
      <w:r w:rsidRPr="00A1058D">
        <w:rPr>
          <w:rFonts w:asciiTheme="majorHAnsi" w:eastAsia="Times New Roman" w:hAnsiTheme="majorHAnsi" w:cstheme="majorHAnsi"/>
          <w:lang w:eastAsia="en-GB"/>
        </w:rPr>
        <w:t xml:space="preserve">, i cili përcakton standardet për publikim </w:t>
      </w:r>
      <w:r w:rsidR="00555A50" w:rsidRPr="00A1058D">
        <w:rPr>
          <w:rFonts w:asciiTheme="majorHAnsi" w:eastAsia="Times New Roman" w:hAnsiTheme="majorHAnsi" w:cstheme="majorHAnsi"/>
          <w:lang w:eastAsia="en-GB"/>
        </w:rPr>
        <w:t>pro aktiv</w:t>
      </w:r>
      <w:r w:rsidRPr="00A1058D">
        <w:rPr>
          <w:rFonts w:asciiTheme="majorHAnsi" w:eastAsia="Times New Roman" w:hAnsiTheme="majorHAnsi" w:cstheme="majorHAnsi"/>
          <w:lang w:eastAsia="en-GB"/>
        </w:rPr>
        <w:t xml:space="preserve"> të informatave dhe transparencë institucionale; </w:t>
      </w:r>
    </w:p>
    <w:p w14:paraId="532DD31A" w14:textId="77777777" w:rsidR="00A1058D" w:rsidRPr="00A1058D" w:rsidRDefault="00A1058D" w:rsidP="00A1058D">
      <w:pPr>
        <w:numPr>
          <w:ilvl w:val="0"/>
          <w:numId w:val="38"/>
        </w:numPr>
        <w:spacing w:before="100" w:beforeAutospacing="1" w:after="100" w:afterAutospacing="1" w:line="276" w:lineRule="auto"/>
        <w:rPr>
          <w:rFonts w:asciiTheme="majorHAnsi" w:eastAsia="Times New Roman" w:hAnsiTheme="majorHAnsi" w:cstheme="majorHAnsi"/>
          <w:lang w:eastAsia="en-GB"/>
        </w:rPr>
      </w:pPr>
      <w:r w:rsidRPr="00A1058D">
        <w:rPr>
          <w:rFonts w:asciiTheme="majorHAnsi" w:eastAsia="Times New Roman" w:hAnsiTheme="majorHAnsi" w:cstheme="majorHAnsi"/>
          <w:b/>
          <w:bCs/>
          <w:lang w:eastAsia="en-GB"/>
        </w:rPr>
        <w:t>Rregulloren Nr. 02/2021 për Procedurën e Hartimit dhe Publikimit të Akteve Komunale</w:t>
      </w:r>
      <w:r w:rsidRPr="00A1058D">
        <w:rPr>
          <w:rFonts w:asciiTheme="majorHAnsi" w:eastAsia="Times New Roman" w:hAnsiTheme="majorHAnsi" w:cstheme="majorHAnsi"/>
          <w:lang w:eastAsia="en-GB"/>
        </w:rPr>
        <w:t xml:space="preserve">, e cila rregullon mënyrën e hartimit, publikimit dhe qasjes në aktet komunale; </w:t>
      </w:r>
    </w:p>
    <w:p w14:paraId="20085BB9" w14:textId="77777777" w:rsidR="00A1058D" w:rsidRPr="00A1058D" w:rsidRDefault="00A1058D" w:rsidP="00A1058D">
      <w:pPr>
        <w:numPr>
          <w:ilvl w:val="0"/>
          <w:numId w:val="38"/>
        </w:numPr>
        <w:spacing w:before="100" w:beforeAutospacing="1" w:after="100" w:afterAutospacing="1" w:line="276" w:lineRule="auto"/>
        <w:rPr>
          <w:rFonts w:asciiTheme="majorHAnsi" w:eastAsia="Times New Roman" w:hAnsiTheme="majorHAnsi" w:cstheme="majorHAnsi"/>
          <w:lang w:eastAsia="en-GB"/>
        </w:rPr>
      </w:pPr>
      <w:r w:rsidRPr="00A1058D">
        <w:rPr>
          <w:rFonts w:asciiTheme="majorHAnsi" w:eastAsia="Times New Roman" w:hAnsiTheme="majorHAnsi" w:cstheme="majorHAnsi"/>
          <w:lang w:eastAsia="en-GB"/>
        </w:rPr>
        <w:t xml:space="preserve">si dhe akte të tjera nënligjore dhe udhëzime administrative që rregullojnë fusha specifike të funksionimit të administratës publike, përfshirë shërbimet komunale, dokumentacionin zyrtar dhe transparencën digjitale. </w:t>
      </w:r>
    </w:p>
    <w:p w14:paraId="7BB3826C" w14:textId="51751945" w:rsidR="00A1058D" w:rsidRPr="00A1058D" w:rsidRDefault="00A1058D" w:rsidP="00A1058D">
      <w:pPr>
        <w:spacing w:before="100" w:beforeAutospacing="1" w:after="100" w:afterAutospacing="1" w:line="276" w:lineRule="auto"/>
        <w:rPr>
          <w:rFonts w:asciiTheme="majorHAnsi" w:eastAsia="Times New Roman" w:hAnsiTheme="majorHAnsi" w:cstheme="majorHAnsi"/>
          <w:lang w:eastAsia="en-GB"/>
        </w:rPr>
      </w:pPr>
    </w:p>
    <w:p w14:paraId="54D29A3A" w14:textId="77777777" w:rsidR="00873758" w:rsidRPr="009D6147" w:rsidRDefault="00873758" w:rsidP="00A70BC5">
      <w:pPr>
        <w:pStyle w:val="Style2"/>
        <w:spacing w:line="276" w:lineRule="auto"/>
        <w:rPr>
          <w:rFonts w:asciiTheme="majorHAnsi" w:hAnsiTheme="majorHAnsi" w:cstheme="majorHAnsi"/>
        </w:rPr>
      </w:pPr>
    </w:p>
    <w:p w14:paraId="2E738BAC" w14:textId="4CD70908" w:rsidR="00E05816" w:rsidRPr="009D6147" w:rsidRDefault="63502233" w:rsidP="00F12D0B">
      <w:pPr>
        <w:pStyle w:val="Style2"/>
        <w:spacing w:line="276" w:lineRule="auto"/>
        <w:rPr>
          <w:rFonts w:asciiTheme="majorHAnsi" w:hAnsiTheme="majorHAnsi" w:cstheme="majorHAnsi"/>
        </w:rPr>
      </w:pPr>
      <w:bookmarkStart w:id="10" w:name="_Toc163220244"/>
      <w:bookmarkStart w:id="11" w:name="_Toc227827158"/>
      <w:r w:rsidRPr="009D6147">
        <w:rPr>
          <w:rFonts w:asciiTheme="majorHAnsi" w:hAnsiTheme="majorHAnsi" w:cstheme="majorHAnsi"/>
        </w:rPr>
        <w:t xml:space="preserve">TRANSPARENCA E PUNËS SË </w:t>
      </w:r>
      <w:bookmarkEnd w:id="5"/>
      <w:r w:rsidRPr="009D6147">
        <w:rPr>
          <w:rFonts w:asciiTheme="majorHAnsi" w:hAnsiTheme="majorHAnsi" w:cstheme="majorHAnsi"/>
        </w:rPr>
        <w:t>KUVENDEVE TË KOMUNAVE</w:t>
      </w:r>
      <w:bookmarkEnd w:id="6"/>
      <w:bookmarkEnd w:id="7"/>
      <w:bookmarkEnd w:id="8"/>
      <w:bookmarkEnd w:id="10"/>
      <w:bookmarkEnd w:id="11"/>
    </w:p>
    <w:p w14:paraId="5CFA54BC" w14:textId="77777777" w:rsidR="00B96996" w:rsidRPr="009D6147" w:rsidRDefault="00B96996" w:rsidP="00F12D0B">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eastAsia="Times New Roman" w:hAnsiTheme="majorHAnsi" w:cstheme="majorHAnsi"/>
          <w:lang w:eastAsia="en-GB"/>
        </w:rPr>
        <w:t>Kuvendi i Komunës përbën organin më të lartë përfaqësues të pushtetit lokal dhe njëkohësisht organin e autorizuar ligjërisht për mbikëqyrjen e punës së ekzekutivit komunal, në përputhje me legjislacionin në fuqi. Në këtë cilësi, ai ushtron funksione thelbësore në drejtim të sigurimit të qeverisjes demokratike në nivel lokal dhe garantimit të llogaridhënies institucionale.</w:t>
      </w:r>
    </w:p>
    <w:p w14:paraId="0A91A4BD" w14:textId="77777777" w:rsidR="00B96996" w:rsidRPr="009D6147" w:rsidRDefault="00B96996" w:rsidP="00F12D0B">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eastAsia="Times New Roman" w:hAnsiTheme="majorHAnsi" w:cstheme="majorHAnsi"/>
          <w:lang w:eastAsia="en-GB"/>
        </w:rPr>
        <w:t xml:space="preserve">Për ushtrimin efektiv të mandatit të tij, Kuvendi i Komunës mblidhet në mënyrë të rregullt për të realizuar përgjegjësitë dhe kompetencat e përcaktuara me ligj. Në kuadër të këtyre përgjegjësive, ai miraton akte normative të nevojshme për funksionimin e komunës, përfshirë aktet që kërkohen shprehimisht nga legjislacioni në fuqi, si dhe ato që, në bazë të dispozitave ligjore, i lihen në </w:t>
      </w:r>
      <w:proofErr w:type="spellStart"/>
      <w:r w:rsidRPr="009D6147">
        <w:rPr>
          <w:rFonts w:asciiTheme="majorHAnsi" w:eastAsia="Times New Roman" w:hAnsiTheme="majorHAnsi" w:cstheme="majorHAnsi"/>
          <w:lang w:eastAsia="en-GB"/>
        </w:rPr>
        <w:t>diskrecion</w:t>
      </w:r>
      <w:proofErr w:type="spellEnd"/>
      <w:r w:rsidRPr="009D6147">
        <w:rPr>
          <w:rFonts w:asciiTheme="majorHAnsi" w:eastAsia="Times New Roman" w:hAnsiTheme="majorHAnsi" w:cstheme="majorHAnsi"/>
          <w:lang w:eastAsia="en-GB"/>
        </w:rPr>
        <w:t xml:space="preserve"> komunës për t’u nxjerrë sipas nevojave dhe specifikave lokale.</w:t>
      </w:r>
    </w:p>
    <w:p w14:paraId="1069A47B" w14:textId="606AB5DB" w:rsidR="00B96996" w:rsidRPr="009D6147" w:rsidRDefault="00B96996" w:rsidP="00F12D0B">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eastAsia="Times New Roman" w:hAnsiTheme="majorHAnsi" w:cstheme="majorHAnsi"/>
          <w:lang w:eastAsia="en-GB"/>
        </w:rPr>
        <w:t>Kuvendi i Komunës trajton dhe vendos për çështje me interes publik lokal, duke siguruar debat demokratik, vendimmarrje transparente dhe përfaqësim të interesave të qytetarëve në proceset e qeverisjes komunale.</w:t>
      </w:r>
    </w:p>
    <w:p w14:paraId="186575F9" w14:textId="77777777" w:rsidR="00A1058D" w:rsidRPr="00A1058D" w:rsidRDefault="00A1058D" w:rsidP="00A1058D">
      <w:pPr>
        <w:spacing w:before="100" w:beforeAutospacing="1" w:after="100" w:afterAutospacing="1" w:line="276" w:lineRule="auto"/>
        <w:outlineLvl w:val="0"/>
        <w:rPr>
          <w:rFonts w:asciiTheme="majorHAnsi" w:eastAsia="Times New Roman" w:hAnsiTheme="majorHAnsi" w:cstheme="majorHAnsi"/>
          <w:b/>
          <w:bCs/>
          <w:color w:val="2F5496" w:themeColor="accent5" w:themeShade="BF"/>
          <w:kern w:val="36"/>
          <w:lang w:eastAsia="en-GB"/>
        </w:rPr>
      </w:pPr>
      <w:bookmarkStart w:id="12" w:name="_Toc130455675"/>
      <w:bookmarkStart w:id="13" w:name="_Toc130462780"/>
      <w:r w:rsidRPr="00A1058D">
        <w:rPr>
          <w:rFonts w:asciiTheme="majorHAnsi" w:eastAsia="Times New Roman" w:hAnsiTheme="majorHAnsi" w:cstheme="majorHAnsi"/>
          <w:b/>
          <w:bCs/>
          <w:color w:val="2F5496" w:themeColor="accent5" w:themeShade="BF"/>
          <w:kern w:val="36"/>
          <w:lang w:eastAsia="en-GB"/>
        </w:rPr>
        <w:t>NJOFTIMET PËR MBLEDHJET E KUVENDEVE TË KOMUNAVE</w:t>
      </w:r>
    </w:p>
    <w:p w14:paraId="076B83BD" w14:textId="77777777" w:rsidR="00A1058D" w:rsidRPr="00A1058D" w:rsidRDefault="00A1058D" w:rsidP="00A1058D">
      <w:pPr>
        <w:spacing w:before="100" w:beforeAutospacing="1" w:after="100" w:afterAutospacing="1" w:line="276" w:lineRule="auto"/>
        <w:rPr>
          <w:rFonts w:asciiTheme="majorHAnsi" w:eastAsia="Times New Roman" w:hAnsiTheme="majorHAnsi" w:cstheme="majorHAnsi"/>
          <w:lang w:eastAsia="en-GB"/>
        </w:rPr>
      </w:pPr>
      <w:r w:rsidRPr="00A1058D">
        <w:rPr>
          <w:rFonts w:asciiTheme="majorHAnsi" w:eastAsia="Times New Roman" w:hAnsiTheme="majorHAnsi" w:cstheme="majorHAnsi"/>
          <w:lang w:eastAsia="en-GB"/>
        </w:rPr>
        <w:t>Ligji Nr. 03/L-040 për Vetëqeverisje Lokale përcakton standardet minimale për funksionimin e Kuvendit të Komunës, me qëllim sigurimin e ushtrimit efektiv të kompetencave të tij. Në këtë kuadër, ligji parasheh mbajtjen e së paku 10 mbledhjeve në vit, prej të cilave pesë duhet të mbahen gjatë gjashtëmujorit të parë të vitit.</w:t>
      </w:r>
    </w:p>
    <w:p w14:paraId="42A99891" w14:textId="61F469F6" w:rsidR="00A1058D" w:rsidRPr="00A1058D" w:rsidRDefault="00A1058D" w:rsidP="00A1058D">
      <w:pPr>
        <w:spacing w:before="100" w:beforeAutospacing="1" w:after="100" w:afterAutospacing="1" w:line="276" w:lineRule="auto"/>
        <w:rPr>
          <w:rFonts w:asciiTheme="majorHAnsi" w:eastAsia="Times New Roman" w:hAnsiTheme="majorHAnsi" w:cstheme="majorHAnsi"/>
          <w:lang w:eastAsia="en-GB"/>
        </w:rPr>
      </w:pPr>
      <w:r w:rsidRPr="00A1058D">
        <w:rPr>
          <w:rFonts w:asciiTheme="majorHAnsi" w:eastAsia="Times New Roman" w:hAnsiTheme="majorHAnsi" w:cstheme="majorHAnsi"/>
          <w:lang w:eastAsia="en-GB"/>
        </w:rPr>
        <w:t>Para çdo mbledhje të Kuvendit, kryesuesi i Kuvendit obligohet që të njoftojë publikun, përmes publikimit të njoftimit në ueb-faqen zyrtare të komunës, rrjetet sociale apo media, së paku 7 ditë pune para mbledhjeve të rregullta, 3 ditë pune para mbledhjeve të jashtëzakonshme, si dhe në të njëjtën ditë në rastet e mbledhjeve urgjente.</w:t>
      </w:r>
    </w:p>
    <w:p w14:paraId="7F4EC146" w14:textId="77777777" w:rsidR="00A1058D" w:rsidRPr="00A1058D" w:rsidRDefault="00A1058D" w:rsidP="00A1058D">
      <w:pPr>
        <w:spacing w:before="100" w:beforeAutospacing="1" w:after="100" w:afterAutospacing="1" w:line="276" w:lineRule="auto"/>
        <w:rPr>
          <w:rFonts w:asciiTheme="majorHAnsi" w:eastAsia="Times New Roman" w:hAnsiTheme="majorHAnsi" w:cstheme="majorHAnsi"/>
          <w:lang w:eastAsia="en-GB"/>
        </w:rPr>
      </w:pPr>
      <w:r w:rsidRPr="00A1058D">
        <w:rPr>
          <w:rFonts w:asciiTheme="majorHAnsi" w:eastAsia="Times New Roman" w:hAnsiTheme="majorHAnsi" w:cstheme="majorHAnsi"/>
          <w:lang w:eastAsia="en-GB"/>
        </w:rPr>
        <w:t>Gjatë periudhës janar–dhjetor 2025, janë publikuar gjithsej 402 ftesa për mbledhjet e Kuvendit Komunal nga 33 komuna, që përbën 86.8% të komunave. Ndërsa 5 komuna, ose 13.2%, nuk kanë publikuar asnjë ftesë për mbledhjet e Kuvendit dhe nuk e kanë përmbushur këtë obligim ligjor.</w:t>
      </w:r>
    </w:p>
    <w:p w14:paraId="0B598907" w14:textId="77777777" w:rsidR="00A1058D" w:rsidRPr="00A1058D" w:rsidRDefault="00A1058D" w:rsidP="00A1058D">
      <w:pPr>
        <w:spacing w:before="100" w:beforeAutospacing="1" w:after="100" w:afterAutospacing="1" w:line="276" w:lineRule="auto"/>
        <w:rPr>
          <w:rFonts w:asciiTheme="majorHAnsi" w:eastAsia="Times New Roman" w:hAnsiTheme="majorHAnsi" w:cstheme="majorHAnsi"/>
          <w:lang w:eastAsia="en-GB"/>
        </w:rPr>
      </w:pPr>
      <w:r w:rsidRPr="00A1058D">
        <w:rPr>
          <w:rFonts w:asciiTheme="majorHAnsi" w:eastAsia="Times New Roman" w:hAnsiTheme="majorHAnsi" w:cstheme="majorHAnsi"/>
          <w:lang w:eastAsia="en-GB"/>
        </w:rPr>
        <w:t>Sipas të dhënave nga Raporti i Funksionimit të Komunave për vitin 2025, kuvendet e komunave të Republikës së Kosovës kanë mbajtur gjithsej 430 mbledhje. Në krahasim me këtë, janë publikuar 402 ftesa, që nënkupton se mungon publikimi i 28 ftesave për mbledhje të Kuvendit.</w:t>
      </w:r>
    </w:p>
    <w:p w14:paraId="04EA88EB" w14:textId="77777777" w:rsidR="00A1058D" w:rsidRPr="00A1058D" w:rsidRDefault="00A1058D" w:rsidP="00A1058D">
      <w:pPr>
        <w:spacing w:before="100" w:beforeAutospacing="1" w:after="100" w:afterAutospacing="1" w:line="276" w:lineRule="auto"/>
        <w:rPr>
          <w:rFonts w:asciiTheme="majorHAnsi" w:eastAsia="Times New Roman" w:hAnsiTheme="majorHAnsi" w:cstheme="majorHAnsi"/>
          <w:lang w:eastAsia="en-GB"/>
        </w:rPr>
      </w:pPr>
      <w:r w:rsidRPr="00A1058D">
        <w:rPr>
          <w:rFonts w:asciiTheme="majorHAnsi" w:eastAsia="Times New Roman" w:hAnsiTheme="majorHAnsi" w:cstheme="majorHAnsi"/>
          <w:lang w:eastAsia="en-GB"/>
        </w:rPr>
        <w:t xml:space="preserve">Komunat që nuk kanë publikuar asnjë ftesë për mbledhje të Kuvendit Komunal janë: </w:t>
      </w:r>
      <w:proofErr w:type="spellStart"/>
      <w:r w:rsidRPr="00A1058D">
        <w:rPr>
          <w:rFonts w:asciiTheme="majorHAnsi" w:eastAsia="Times New Roman" w:hAnsiTheme="majorHAnsi" w:cstheme="majorHAnsi"/>
          <w:lang w:eastAsia="en-GB"/>
        </w:rPr>
        <w:t>Ranillug</w:t>
      </w:r>
      <w:proofErr w:type="spellEnd"/>
      <w:r w:rsidRPr="00A1058D">
        <w:rPr>
          <w:rFonts w:asciiTheme="majorHAnsi" w:eastAsia="Times New Roman" w:hAnsiTheme="majorHAnsi" w:cstheme="majorHAnsi"/>
          <w:lang w:eastAsia="en-GB"/>
        </w:rPr>
        <w:t xml:space="preserve">, Shtërpcë, Zubin Potok, </w:t>
      </w:r>
      <w:proofErr w:type="spellStart"/>
      <w:r w:rsidRPr="00A1058D">
        <w:rPr>
          <w:rFonts w:asciiTheme="majorHAnsi" w:eastAsia="Times New Roman" w:hAnsiTheme="majorHAnsi" w:cstheme="majorHAnsi"/>
          <w:lang w:eastAsia="en-GB"/>
        </w:rPr>
        <w:t>Zveçan</w:t>
      </w:r>
      <w:proofErr w:type="spellEnd"/>
      <w:r w:rsidRPr="00A1058D">
        <w:rPr>
          <w:rFonts w:asciiTheme="majorHAnsi" w:eastAsia="Times New Roman" w:hAnsiTheme="majorHAnsi" w:cstheme="majorHAnsi"/>
          <w:lang w:eastAsia="en-GB"/>
        </w:rPr>
        <w:t xml:space="preserve"> dhe Leposaviq.</w:t>
      </w:r>
    </w:p>
    <w:p w14:paraId="61C96C18" w14:textId="7891FDC5" w:rsidR="007D2BDB" w:rsidRPr="009D6147" w:rsidRDefault="00A1058D" w:rsidP="00A1058D">
      <w:pPr>
        <w:spacing w:before="100" w:beforeAutospacing="1" w:after="100" w:afterAutospacing="1" w:line="276" w:lineRule="auto"/>
        <w:rPr>
          <w:rFonts w:asciiTheme="majorHAnsi" w:eastAsia="Times New Roman" w:hAnsiTheme="majorHAnsi" w:cstheme="majorHAnsi"/>
          <w:sz w:val="24"/>
          <w:szCs w:val="24"/>
          <w:lang w:eastAsia="en-GB"/>
        </w:rPr>
      </w:pPr>
      <w:r w:rsidRPr="00A1058D">
        <w:rPr>
          <w:rFonts w:asciiTheme="majorHAnsi" w:eastAsia="Times New Roman" w:hAnsiTheme="majorHAnsi" w:cstheme="majorHAnsi"/>
          <w:lang w:eastAsia="en-GB"/>
        </w:rPr>
        <w:t>Në vijim paraqitet figura me të dhëna krahasuese lidhur me publikimin e njoftimeve për mbledhjet e Kuvendit Komunal</w:t>
      </w:r>
      <w:r w:rsidRPr="00A1058D">
        <w:rPr>
          <w:rFonts w:asciiTheme="majorHAnsi" w:eastAsia="Times New Roman" w:hAnsiTheme="majorHAnsi" w:cstheme="majorHAnsi"/>
          <w:sz w:val="24"/>
          <w:szCs w:val="24"/>
          <w:lang w:eastAsia="en-GB"/>
        </w:rPr>
        <w:t>.</w:t>
      </w:r>
    </w:p>
    <w:bookmarkEnd w:id="12"/>
    <w:bookmarkEnd w:id="13"/>
    <w:p w14:paraId="31476141" w14:textId="3CD46589" w:rsidR="004D0F33" w:rsidRPr="009D6147" w:rsidRDefault="00480C1B" w:rsidP="00A70BC5">
      <w:pPr>
        <w:spacing w:line="276" w:lineRule="auto"/>
        <w:rPr>
          <w:rFonts w:asciiTheme="majorHAnsi" w:hAnsiTheme="majorHAnsi" w:cstheme="majorHAnsi"/>
        </w:rPr>
      </w:pPr>
      <w:r w:rsidRPr="009D6147">
        <w:rPr>
          <w:rFonts w:asciiTheme="majorHAnsi" w:hAnsiTheme="majorHAnsi" w:cstheme="majorHAnsi"/>
          <w:noProof/>
          <w:lang w:eastAsia="sq-AL"/>
        </w:rPr>
        <w:drawing>
          <wp:inline distT="0" distB="0" distL="0" distR="0" wp14:anchorId="5F81E0E0" wp14:editId="33095224">
            <wp:extent cx="5947200" cy="1903730"/>
            <wp:effectExtent l="0" t="0" r="15875" b="1270"/>
            <wp:docPr id="51" name="Chart 51">
              <a:extLst xmlns:a="http://schemas.openxmlformats.org/drawingml/2006/main">
                <a:ext uri="{FF2B5EF4-FFF2-40B4-BE49-F238E27FC236}">
                  <a16:creationId xmlns:a16="http://schemas.microsoft.com/office/drawing/2014/main" id="{C128208A-2FE8-4BCA-8972-EDB011A4D8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A6ABA9B" w14:textId="77777777" w:rsidR="0054277E" w:rsidRPr="009D6147" w:rsidRDefault="00E908F5" w:rsidP="009F4BE1">
      <w:pPr>
        <w:spacing w:line="276" w:lineRule="auto"/>
        <w:jc w:val="center"/>
        <w:rPr>
          <w:rFonts w:asciiTheme="majorHAnsi" w:eastAsia="Times New Roman" w:hAnsiTheme="majorHAnsi" w:cstheme="majorHAnsi"/>
          <w:bCs/>
          <w:kern w:val="20"/>
        </w:rPr>
      </w:pPr>
      <w:r w:rsidRPr="009D6147">
        <w:rPr>
          <w:rFonts w:asciiTheme="majorHAnsi" w:hAnsiTheme="majorHAnsi" w:cstheme="majorHAnsi"/>
          <w:bCs/>
          <w:i/>
          <w:sz w:val="14"/>
          <w:szCs w:val="16"/>
        </w:rPr>
        <w:t xml:space="preserve">Fig.1. </w:t>
      </w:r>
      <w:r w:rsidR="007706D3" w:rsidRPr="009D6147">
        <w:rPr>
          <w:rFonts w:asciiTheme="majorHAnsi" w:hAnsiTheme="majorHAnsi" w:cstheme="majorHAnsi"/>
          <w:bCs/>
          <w:i/>
          <w:sz w:val="14"/>
          <w:szCs w:val="16"/>
        </w:rPr>
        <w:t xml:space="preserve"> P</w:t>
      </w:r>
      <w:r w:rsidR="00F02292" w:rsidRPr="009D6147">
        <w:rPr>
          <w:rFonts w:asciiTheme="majorHAnsi" w:hAnsiTheme="majorHAnsi" w:cstheme="majorHAnsi"/>
          <w:bCs/>
          <w:i/>
          <w:sz w:val="14"/>
          <w:szCs w:val="16"/>
        </w:rPr>
        <w:t xml:space="preserve">ublikimi  i ftesave </w:t>
      </w:r>
      <w:r w:rsidRPr="009D6147">
        <w:rPr>
          <w:rFonts w:asciiTheme="majorHAnsi" w:hAnsiTheme="majorHAnsi" w:cstheme="majorHAnsi"/>
          <w:bCs/>
          <w:i/>
          <w:sz w:val="14"/>
          <w:szCs w:val="16"/>
        </w:rPr>
        <w:t xml:space="preserve"> për mbledhjet e Kuvendeve </w:t>
      </w:r>
      <w:r w:rsidR="00F13401" w:rsidRPr="009D6147">
        <w:rPr>
          <w:rFonts w:asciiTheme="majorHAnsi" w:hAnsiTheme="majorHAnsi" w:cstheme="majorHAnsi"/>
          <w:bCs/>
          <w:i/>
          <w:sz w:val="14"/>
          <w:szCs w:val="16"/>
        </w:rPr>
        <w:t>Komunale</w:t>
      </w:r>
    </w:p>
    <w:p w14:paraId="0B85846F" w14:textId="77777777" w:rsidR="001F364F" w:rsidRPr="009D6147" w:rsidRDefault="001F364F" w:rsidP="00A70BC5">
      <w:pPr>
        <w:spacing w:line="276" w:lineRule="auto"/>
        <w:rPr>
          <w:rFonts w:asciiTheme="majorHAnsi" w:hAnsiTheme="majorHAnsi" w:cstheme="majorHAnsi"/>
          <w:b/>
          <w:color w:val="2F5496" w:themeColor="accent5" w:themeShade="BF"/>
          <w:sz w:val="24"/>
          <w:szCs w:val="24"/>
        </w:rPr>
      </w:pPr>
      <w:bookmarkStart w:id="14" w:name="_Toc130455676"/>
    </w:p>
    <w:p w14:paraId="1C364BAD" w14:textId="03F24328" w:rsidR="005F412B" w:rsidRPr="00275069" w:rsidRDefault="0035531E" w:rsidP="00A70BC5">
      <w:pPr>
        <w:pStyle w:val="Style2"/>
        <w:spacing w:line="276" w:lineRule="auto"/>
        <w:rPr>
          <w:rFonts w:asciiTheme="majorHAnsi" w:hAnsiTheme="majorHAnsi" w:cstheme="majorHAnsi"/>
        </w:rPr>
      </w:pPr>
      <w:bookmarkStart w:id="15" w:name="_Toc227827160"/>
      <w:r w:rsidRPr="00275069">
        <w:rPr>
          <w:rFonts w:asciiTheme="majorHAnsi" w:hAnsiTheme="majorHAnsi" w:cstheme="majorHAnsi"/>
        </w:rPr>
        <w:t>KomitetI</w:t>
      </w:r>
      <w:r w:rsidR="009B4A05" w:rsidRPr="00275069">
        <w:rPr>
          <w:rFonts w:asciiTheme="majorHAnsi" w:hAnsiTheme="majorHAnsi" w:cstheme="majorHAnsi"/>
        </w:rPr>
        <w:t xml:space="preserve"> </w:t>
      </w:r>
      <w:bookmarkEnd w:id="14"/>
      <w:r w:rsidR="00BA4734" w:rsidRPr="00275069">
        <w:rPr>
          <w:rFonts w:asciiTheme="majorHAnsi" w:hAnsiTheme="majorHAnsi" w:cstheme="majorHAnsi"/>
        </w:rPr>
        <w:t>për PolitikË</w:t>
      </w:r>
      <w:r w:rsidR="00A83156" w:rsidRPr="00275069">
        <w:rPr>
          <w:rFonts w:asciiTheme="majorHAnsi" w:hAnsiTheme="majorHAnsi" w:cstheme="majorHAnsi"/>
        </w:rPr>
        <w:t xml:space="preserve"> dhe Financa</w:t>
      </w:r>
      <w:bookmarkEnd w:id="15"/>
    </w:p>
    <w:p w14:paraId="3ECBDA7A" w14:textId="77777777" w:rsidR="00A1058D" w:rsidRPr="00A1058D" w:rsidRDefault="00A1058D" w:rsidP="009D6147">
      <w:pPr>
        <w:spacing w:before="100" w:beforeAutospacing="1" w:after="100" w:afterAutospacing="1" w:line="276" w:lineRule="auto"/>
        <w:rPr>
          <w:rFonts w:asciiTheme="majorHAnsi" w:eastAsia="Times New Roman" w:hAnsiTheme="majorHAnsi" w:cstheme="majorHAnsi"/>
          <w:lang w:eastAsia="en-GB"/>
        </w:rPr>
      </w:pPr>
      <w:r w:rsidRPr="00A1058D">
        <w:rPr>
          <w:rFonts w:asciiTheme="majorHAnsi" w:eastAsia="Times New Roman" w:hAnsiTheme="majorHAnsi" w:cstheme="majorHAnsi"/>
          <w:lang w:eastAsia="en-GB"/>
        </w:rPr>
        <w:t>Bazuar në Ligjin Nr. 03/L-040 për Vetëqeverisje Lokale, neni 51, paragrafi 51.1, kuvendet e komunave themelojnë komitetet e obligueshme, përfshirë Komitetin për Politikë dhe Financa dhe Komitetin për Komunitete, si komitete të përhershme.</w:t>
      </w:r>
    </w:p>
    <w:p w14:paraId="2D89531D" w14:textId="77777777" w:rsidR="00A1058D" w:rsidRPr="00A1058D" w:rsidRDefault="00A1058D" w:rsidP="009D6147">
      <w:pPr>
        <w:spacing w:before="100" w:beforeAutospacing="1" w:after="100" w:afterAutospacing="1" w:line="276" w:lineRule="auto"/>
        <w:rPr>
          <w:rFonts w:asciiTheme="majorHAnsi" w:eastAsia="Times New Roman" w:hAnsiTheme="majorHAnsi" w:cstheme="majorHAnsi"/>
          <w:lang w:eastAsia="en-GB"/>
        </w:rPr>
      </w:pPr>
      <w:r w:rsidRPr="00A1058D">
        <w:rPr>
          <w:rFonts w:asciiTheme="majorHAnsi" w:eastAsia="Times New Roman" w:hAnsiTheme="majorHAnsi" w:cstheme="majorHAnsi"/>
          <w:lang w:eastAsia="en-GB"/>
        </w:rPr>
        <w:t xml:space="preserve">Komiteti për Politikë dhe Financa është përgjegjës për shqyrtimin e të gjitha politikave, dokumenteve fiskale dhe financiare, planeve dhe iniciativave të komunës. Në këtë kuadër, ai shqyrton dokumentet e planifikimit strategjik, Kornizën Afatmesme Buxhetore, Planin Vjetor të Prokurimit, rregulloren vjetore për tatime, tarifa dhe pagesa, Planin Vjetor të Punës së </w:t>
      </w:r>
      <w:proofErr w:type="spellStart"/>
      <w:r w:rsidRPr="00A1058D">
        <w:rPr>
          <w:rFonts w:asciiTheme="majorHAnsi" w:eastAsia="Times New Roman" w:hAnsiTheme="majorHAnsi" w:cstheme="majorHAnsi"/>
          <w:lang w:eastAsia="en-GB"/>
        </w:rPr>
        <w:t>Auditimit</w:t>
      </w:r>
      <w:proofErr w:type="spellEnd"/>
      <w:r w:rsidRPr="00A1058D">
        <w:rPr>
          <w:rFonts w:asciiTheme="majorHAnsi" w:eastAsia="Times New Roman" w:hAnsiTheme="majorHAnsi" w:cstheme="majorHAnsi"/>
          <w:lang w:eastAsia="en-GB"/>
        </w:rPr>
        <w:t xml:space="preserve"> të Brendshëm, buxhetin vjetor, si dhe çdo ndryshim të buxhetit gjatë vitit fiskal. Gjithashtu, komiteti shqyrton raportet e kryetarit të komunës dhe i paraqet rekomandime Kuvendit të Komunës.</w:t>
      </w:r>
    </w:p>
    <w:p w14:paraId="08463C61" w14:textId="77777777" w:rsidR="00A1058D" w:rsidRPr="00A1058D" w:rsidRDefault="00A1058D" w:rsidP="009D6147">
      <w:pPr>
        <w:spacing w:before="100" w:beforeAutospacing="1" w:after="100" w:afterAutospacing="1" w:line="276" w:lineRule="auto"/>
        <w:rPr>
          <w:rFonts w:asciiTheme="majorHAnsi" w:eastAsia="Times New Roman" w:hAnsiTheme="majorHAnsi" w:cstheme="majorHAnsi"/>
          <w:lang w:eastAsia="en-GB"/>
        </w:rPr>
      </w:pPr>
      <w:r w:rsidRPr="00A1058D">
        <w:rPr>
          <w:rFonts w:asciiTheme="majorHAnsi" w:eastAsia="Times New Roman" w:hAnsiTheme="majorHAnsi" w:cstheme="majorHAnsi"/>
          <w:lang w:eastAsia="en-GB"/>
        </w:rPr>
        <w:t>Gjatë periudhës janar–dhjetor 2025, janë publikuar gjithsej 258 ftesa për mbledhjet e Komitetit për Politikë dhe Financa nga 28 komuna, që përbën 73.7% të numrit të përgjithshëm të komunave. Ndërkohë, 10 komuna, ose 26.3%, nuk kanë publikuar asnjë ftesë për mbledhjet e këtij komiteti, duke mos përmbushur këtë obligim të transparencës.</w:t>
      </w:r>
    </w:p>
    <w:p w14:paraId="09871B99" w14:textId="77777777" w:rsidR="00A1058D" w:rsidRPr="00A1058D" w:rsidRDefault="00A1058D" w:rsidP="009D6147">
      <w:pPr>
        <w:spacing w:before="100" w:beforeAutospacing="1" w:after="100" w:afterAutospacing="1" w:line="276" w:lineRule="auto"/>
        <w:rPr>
          <w:rFonts w:asciiTheme="majorHAnsi" w:eastAsia="Times New Roman" w:hAnsiTheme="majorHAnsi" w:cstheme="majorHAnsi"/>
          <w:lang w:eastAsia="en-GB"/>
        </w:rPr>
      </w:pPr>
      <w:r w:rsidRPr="00A1058D">
        <w:rPr>
          <w:rFonts w:asciiTheme="majorHAnsi" w:eastAsia="Times New Roman" w:hAnsiTheme="majorHAnsi" w:cstheme="majorHAnsi"/>
          <w:lang w:eastAsia="en-GB"/>
        </w:rPr>
        <w:t>Sipas të dhënave nga Raporti i Funksionimit të Komunave për vitin 2025, janë mbajtur gjithsej 338 mbledhje të Komitetit për Politikë dhe Financa, ndërsa janë publikuar vetëm 258 ftesa. Kjo nënkupton se mungon publikimi i 80 ftesave për mbledhjet e këtij komiteti.</w:t>
      </w:r>
    </w:p>
    <w:p w14:paraId="1F3A8591" w14:textId="77777777" w:rsidR="00A1058D" w:rsidRPr="00A1058D" w:rsidRDefault="00A1058D" w:rsidP="009D6147">
      <w:pPr>
        <w:spacing w:before="100" w:beforeAutospacing="1" w:after="100" w:afterAutospacing="1" w:line="276" w:lineRule="auto"/>
        <w:rPr>
          <w:rFonts w:asciiTheme="majorHAnsi" w:eastAsia="Times New Roman" w:hAnsiTheme="majorHAnsi" w:cstheme="majorHAnsi"/>
          <w:lang w:eastAsia="en-GB"/>
        </w:rPr>
      </w:pPr>
      <w:r w:rsidRPr="00A1058D">
        <w:rPr>
          <w:rFonts w:asciiTheme="majorHAnsi" w:eastAsia="Times New Roman" w:hAnsiTheme="majorHAnsi" w:cstheme="majorHAnsi"/>
          <w:lang w:eastAsia="en-GB"/>
        </w:rPr>
        <w:t xml:space="preserve">Komunat që nuk kanë publikuar asnjë ftesë për mbledhje të Komitetit për Politikë dhe Financa janë: Fushë Kosovë, Junik, </w:t>
      </w:r>
      <w:proofErr w:type="spellStart"/>
      <w:r w:rsidRPr="00A1058D">
        <w:rPr>
          <w:rFonts w:asciiTheme="majorHAnsi" w:eastAsia="Times New Roman" w:hAnsiTheme="majorHAnsi" w:cstheme="majorHAnsi"/>
          <w:lang w:eastAsia="en-GB"/>
        </w:rPr>
        <w:t>Kllokot</w:t>
      </w:r>
      <w:proofErr w:type="spellEnd"/>
      <w:r w:rsidRPr="00A1058D">
        <w:rPr>
          <w:rFonts w:asciiTheme="majorHAnsi" w:eastAsia="Times New Roman" w:hAnsiTheme="majorHAnsi" w:cstheme="majorHAnsi"/>
          <w:lang w:eastAsia="en-GB"/>
        </w:rPr>
        <w:t xml:space="preserve">, </w:t>
      </w:r>
      <w:proofErr w:type="spellStart"/>
      <w:r w:rsidRPr="00A1058D">
        <w:rPr>
          <w:rFonts w:asciiTheme="majorHAnsi" w:eastAsia="Times New Roman" w:hAnsiTheme="majorHAnsi" w:cstheme="majorHAnsi"/>
          <w:lang w:eastAsia="en-GB"/>
        </w:rPr>
        <w:t>Partesh</w:t>
      </w:r>
      <w:proofErr w:type="spellEnd"/>
      <w:r w:rsidRPr="00A1058D">
        <w:rPr>
          <w:rFonts w:asciiTheme="majorHAnsi" w:eastAsia="Times New Roman" w:hAnsiTheme="majorHAnsi" w:cstheme="majorHAnsi"/>
          <w:lang w:eastAsia="en-GB"/>
        </w:rPr>
        <w:t xml:space="preserve">, </w:t>
      </w:r>
      <w:proofErr w:type="spellStart"/>
      <w:r w:rsidRPr="00A1058D">
        <w:rPr>
          <w:rFonts w:asciiTheme="majorHAnsi" w:eastAsia="Times New Roman" w:hAnsiTheme="majorHAnsi" w:cstheme="majorHAnsi"/>
          <w:lang w:eastAsia="en-GB"/>
        </w:rPr>
        <w:t>Ranillug</w:t>
      </w:r>
      <w:proofErr w:type="spellEnd"/>
      <w:r w:rsidRPr="00A1058D">
        <w:rPr>
          <w:rFonts w:asciiTheme="majorHAnsi" w:eastAsia="Times New Roman" w:hAnsiTheme="majorHAnsi" w:cstheme="majorHAnsi"/>
          <w:lang w:eastAsia="en-GB"/>
        </w:rPr>
        <w:t xml:space="preserve">, Shtërpcë, Zubin Potok, </w:t>
      </w:r>
      <w:proofErr w:type="spellStart"/>
      <w:r w:rsidRPr="00A1058D">
        <w:rPr>
          <w:rFonts w:asciiTheme="majorHAnsi" w:eastAsia="Times New Roman" w:hAnsiTheme="majorHAnsi" w:cstheme="majorHAnsi"/>
          <w:lang w:eastAsia="en-GB"/>
        </w:rPr>
        <w:t>Zveçan</w:t>
      </w:r>
      <w:proofErr w:type="spellEnd"/>
      <w:r w:rsidRPr="00A1058D">
        <w:rPr>
          <w:rFonts w:asciiTheme="majorHAnsi" w:eastAsia="Times New Roman" w:hAnsiTheme="majorHAnsi" w:cstheme="majorHAnsi"/>
          <w:lang w:eastAsia="en-GB"/>
        </w:rPr>
        <w:t>, Leposaviq dhe Mitrovicë e Veriut.</w:t>
      </w:r>
    </w:p>
    <w:p w14:paraId="2322BC02" w14:textId="35823B8D" w:rsidR="00A1058D" w:rsidRPr="00A1058D" w:rsidRDefault="00A1058D" w:rsidP="009D6147">
      <w:pPr>
        <w:spacing w:before="100" w:beforeAutospacing="1" w:after="100" w:afterAutospacing="1" w:line="276" w:lineRule="auto"/>
        <w:rPr>
          <w:rFonts w:asciiTheme="majorHAnsi" w:eastAsia="Times New Roman" w:hAnsiTheme="majorHAnsi" w:cstheme="majorHAnsi"/>
          <w:lang w:eastAsia="en-GB"/>
        </w:rPr>
      </w:pPr>
      <w:r w:rsidRPr="00A1058D">
        <w:rPr>
          <w:rFonts w:asciiTheme="majorHAnsi" w:eastAsia="Times New Roman" w:hAnsiTheme="majorHAnsi" w:cstheme="majorHAnsi"/>
          <w:lang w:eastAsia="en-GB"/>
        </w:rPr>
        <w:t>Krahasuar me të dhënat e Raportit për Vlerësimin e Transparencës për vitin 2024, në të cilin janë publikuar 325 ftesa nga 29 komuna, ndërsa 9 komuna nuk kanë publikuar asnjë ftesë, vërehet një rënie në numrin e ftesave të publikuara për mbledhjet e Komitetit për Politikë dhe Financa, gjatë vitit 2025.</w:t>
      </w:r>
    </w:p>
    <w:p w14:paraId="4A9D04E9" w14:textId="11C45ED0" w:rsidR="00A1058D" w:rsidRPr="009D6147" w:rsidRDefault="00A1058D" w:rsidP="009D6147">
      <w:pPr>
        <w:spacing w:before="100" w:beforeAutospacing="1" w:after="100" w:afterAutospacing="1" w:line="276" w:lineRule="auto"/>
        <w:rPr>
          <w:rFonts w:asciiTheme="majorHAnsi" w:eastAsia="Times New Roman" w:hAnsiTheme="majorHAnsi" w:cstheme="majorHAnsi"/>
          <w:lang w:eastAsia="en-GB"/>
        </w:rPr>
      </w:pPr>
      <w:r w:rsidRPr="00A1058D">
        <w:rPr>
          <w:rFonts w:asciiTheme="majorHAnsi" w:eastAsia="Times New Roman" w:hAnsiTheme="majorHAnsi" w:cstheme="majorHAnsi"/>
          <w:lang w:eastAsia="en-GB"/>
        </w:rPr>
        <w:t>Në vijim paraqitet figura me të dhëna krahasuese lidhur me publikimin e njoftimeve për mbledhjet e Komitetit për Politikë dhe Financa.</w:t>
      </w:r>
    </w:p>
    <w:p w14:paraId="419E9134" w14:textId="3FE06F3B" w:rsidR="00873758" w:rsidRPr="009D6147" w:rsidRDefault="00480C1B" w:rsidP="00A70BC5">
      <w:pPr>
        <w:spacing w:line="276" w:lineRule="auto"/>
        <w:rPr>
          <w:rFonts w:asciiTheme="majorHAnsi" w:hAnsiTheme="majorHAnsi" w:cstheme="majorHAnsi"/>
        </w:rPr>
      </w:pPr>
      <w:bookmarkStart w:id="16" w:name="_Toc130455677"/>
      <w:r w:rsidRPr="009D6147">
        <w:rPr>
          <w:rFonts w:asciiTheme="majorHAnsi" w:hAnsiTheme="majorHAnsi" w:cstheme="majorHAnsi"/>
          <w:noProof/>
          <w:sz w:val="20"/>
          <w:szCs w:val="20"/>
          <w:lang w:eastAsia="sq-AL"/>
        </w:rPr>
        <w:drawing>
          <wp:inline distT="0" distB="0" distL="0" distR="0" wp14:anchorId="3E7FF42D" wp14:editId="4094F076">
            <wp:extent cx="5846230" cy="1685925"/>
            <wp:effectExtent l="0" t="0" r="2540" b="9525"/>
            <wp:docPr id="52" name="Chart 52">
              <a:extLst xmlns:a="http://schemas.openxmlformats.org/drawingml/2006/main">
                <a:ext uri="{FF2B5EF4-FFF2-40B4-BE49-F238E27FC236}">
                  <a16:creationId xmlns:a16="http://schemas.microsoft.com/office/drawing/2014/main" id="{6207FEE5-41CE-4391-AB1C-BD6B38D091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B35412B" w14:textId="63DFE118" w:rsidR="006E5A07" w:rsidRPr="009D6147" w:rsidRDefault="006E5A07" w:rsidP="005D1C05">
      <w:pPr>
        <w:spacing w:line="276" w:lineRule="auto"/>
        <w:jc w:val="center"/>
        <w:rPr>
          <w:rFonts w:asciiTheme="majorHAnsi" w:hAnsiTheme="majorHAnsi" w:cstheme="majorHAnsi"/>
          <w:i/>
          <w:sz w:val="14"/>
          <w:szCs w:val="14"/>
        </w:rPr>
      </w:pPr>
      <w:r w:rsidRPr="009D6147">
        <w:rPr>
          <w:rFonts w:asciiTheme="majorHAnsi" w:hAnsiTheme="majorHAnsi" w:cstheme="majorHAnsi"/>
          <w:i/>
          <w:sz w:val="14"/>
          <w:szCs w:val="14"/>
        </w:rPr>
        <w:t xml:space="preserve">Fig.2. Njoftimet për </w:t>
      </w:r>
      <w:r w:rsidRPr="009D6147">
        <w:rPr>
          <w:rFonts w:asciiTheme="majorHAnsi" w:hAnsiTheme="majorHAnsi" w:cstheme="majorHAnsi"/>
          <w:bCs/>
          <w:i/>
          <w:sz w:val="14"/>
          <w:szCs w:val="14"/>
        </w:rPr>
        <w:t>mbledhjet e Komitetit për Politik dhe financa</w:t>
      </w:r>
    </w:p>
    <w:p w14:paraId="0DF4F02D" w14:textId="744F5A5A" w:rsidR="00497257" w:rsidRPr="009D6147" w:rsidRDefault="00497257" w:rsidP="005D1C05">
      <w:pPr>
        <w:pStyle w:val="Style2"/>
        <w:spacing w:line="276" w:lineRule="auto"/>
        <w:rPr>
          <w:rFonts w:asciiTheme="majorHAnsi" w:eastAsia="Times New Roman" w:hAnsiTheme="majorHAnsi" w:cstheme="majorHAnsi"/>
          <w:sz w:val="22"/>
          <w:szCs w:val="22"/>
          <w:lang w:eastAsia="en-GB"/>
        </w:rPr>
      </w:pPr>
      <w:bookmarkStart w:id="17" w:name="_Toc227827161"/>
      <w:r w:rsidRPr="009D6147">
        <w:rPr>
          <w:rFonts w:asciiTheme="majorHAnsi" w:eastAsia="Times New Roman" w:hAnsiTheme="majorHAnsi" w:cstheme="majorHAnsi"/>
          <w:sz w:val="22"/>
          <w:szCs w:val="22"/>
          <w:lang w:eastAsia="en-GB"/>
        </w:rPr>
        <w:t>Komiteti për Komunitete</w:t>
      </w:r>
      <w:bookmarkEnd w:id="17"/>
    </w:p>
    <w:p w14:paraId="334D7CFD" w14:textId="77777777" w:rsidR="00272431" w:rsidRPr="00272431" w:rsidRDefault="00272431" w:rsidP="00272431">
      <w:pPr>
        <w:spacing w:before="100" w:beforeAutospacing="1" w:after="100" w:afterAutospacing="1" w:line="276" w:lineRule="auto"/>
        <w:rPr>
          <w:rFonts w:asciiTheme="majorHAnsi" w:eastAsia="Times New Roman" w:hAnsiTheme="majorHAnsi" w:cstheme="majorHAnsi"/>
          <w:lang w:eastAsia="en-GB"/>
        </w:rPr>
      </w:pPr>
      <w:r w:rsidRPr="00272431">
        <w:rPr>
          <w:rFonts w:asciiTheme="majorHAnsi" w:eastAsia="Times New Roman" w:hAnsiTheme="majorHAnsi" w:cstheme="majorHAnsi"/>
          <w:lang w:eastAsia="en-GB"/>
        </w:rPr>
        <w:t xml:space="preserve">Komiteti për Komunitete, në përputhje me Ligjin Nr. 03/L-040 për Vetëqeverisje Lokale, është organ i obligueshëm i Kuvendit Komunal, përgjegjës për shqyrtimin e përputhshmërisë së veprimeve të autoriteteve komunale me legjislacionin në fuqi. Ky komitet ka mandat të analizojë politikat, praktikat dhe aktivitetet komunale, me qëllim garantimin e respektimit të plotë të </w:t>
      </w:r>
      <w:proofErr w:type="spellStart"/>
      <w:r w:rsidRPr="00272431">
        <w:rPr>
          <w:rFonts w:asciiTheme="majorHAnsi" w:eastAsia="Times New Roman" w:hAnsiTheme="majorHAnsi" w:cstheme="majorHAnsi"/>
          <w:lang w:eastAsia="en-GB"/>
        </w:rPr>
        <w:t>të</w:t>
      </w:r>
      <w:proofErr w:type="spellEnd"/>
      <w:r w:rsidRPr="00272431">
        <w:rPr>
          <w:rFonts w:asciiTheme="majorHAnsi" w:eastAsia="Times New Roman" w:hAnsiTheme="majorHAnsi" w:cstheme="majorHAnsi"/>
          <w:lang w:eastAsia="en-GB"/>
        </w:rPr>
        <w:t xml:space="preserve"> drejtave dhe interesave të komuniteteve që jetojnë në komunë.</w:t>
      </w:r>
    </w:p>
    <w:p w14:paraId="3EC0BF31" w14:textId="77777777" w:rsidR="00272431" w:rsidRPr="00272431" w:rsidRDefault="00272431" w:rsidP="00272431">
      <w:pPr>
        <w:spacing w:before="100" w:beforeAutospacing="1" w:after="100" w:afterAutospacing="1" w:line="276" w:lineRule="auto"/>
        <w:rPr>
          <w:rFonts w:asciiTheme="majorHAnsi" w:eastAsia="Times New Roman" w:hAnsiTheme="majorHAnsi" w:cstheme="majorHAnsi"/>
          <w:lang w:eastAsia="en-GB"/>
        </w:rPr>
      </w:pPr>
      <w:r w:rsidRPr="00272431">
        <w:rPr>
          <w:rFonts w:asciiTheme="majorHAnsi" w:eastAsia="Times New Roman" w:hAnsiTheme="majorHAnsi" w:cstheme="majorHAnsi"/>
          <w:lang w:eastAsia="en-GB"/>
        </w:rPr>
        <w:t xml:space="preserve">Komiteti për Komunitete i rekomandon Kuvendit Komunal masat e nevojshme për avancimin, mbrojtjen dhe zhvillimin e identitetit etnik, kulturor, fetar dhe gjuhësor të komuniteteve, si dhe për sigurimin e mbrojtjes adekuate të </w:t>
      </w:r>
      <w:proofErr w:type="spellStart"/>
      <w:r w:rsidRPr="00272431">
        <w:rPr>
          <w:rFonts w:asciiTheme="majorHAnsi" w:eastAsia="Times New Roman" w:hAnsiTheme="majorHAnsi" w:cstheme="majorHAnsi"/>
          <w:lang w:eastAsia="en-GB"/>
        </w:rPr>
        <w:t>të</w:t>
      </w:r>
      <w:proofErr w:type="spellEnd"/>
      <w:r w:rsidRPr="00272431">
        <w:rPr>
          <w:rFonts w:asciiTheme="majorHAnsi" w:eastAsia="Times New Roman" w:hAnsiTheme="majorHAnsi" w:cstheme="majorHAnsi"/>
          <w:lang w:eastAsia="en-GB"/>
        </w:rPr>
        <w:t xml:space="preserve"> drejtave të tyre brenda komunës.</w:t>
      </w:r>
    </w:p>
    <w:p w14:paraId="03738702" w14:textId="77777777" w:rsidR="00272431" w:rsidRPr="00272431" w:rsidRDefault="00272431" w:rsidP="00272431">
      <w:pPr>
        <w:spacing w:before="100" w:beforeAutospacing="1" w:after="100" w:afterAutospacing="1" w:line="276" w:lineRule="auto"/>
        <w:rPr>
          <w:rFonts w:asciiTheme="majorHAnsi" w:eastAsia="Times New Roman" w:hAnsiTheme="majorHAnsi" w:cstheme="majorHAnsi"/>
          <w:lang w:eastAsia="en-GB"/>
        </w:rPr>
      </w:pPr>
      <w:r w:rsidRPr="00272431">
        <w:rPr>
          <w:rFonts w:asciiTheme="majorHAnsi" w:eastAsia="Times New Roman" w:hAnsiTheme="majorHAnsi" w:cstheme="majorHAnsi"/>
          <w:lang w:eastAsia="en-GB"/>
        </w:rPr>
        <w:t>Gjatë periudhës janar–dhjetor 2025, janë publikuar gjithsej 124 ftesa për mbledhjet e Komitetit për Komunitete nga 20 komuna, që përbën 53% të numrit të përgjithshëm të komunave. Ndërkohë, 18 komuna, ose 47%, nuk kanë publikuar asnjë ftesë për mbledhjet e këtij komiteti, duke mos përmbushur obligimin e tyre ligjor për transparencë.</w:t>
      </w:r>
    </w:p>
    <w:p w14:paraId="020F00CB" w14:textId="77777777" w:rsidR="00272431" w:rsidRPr="00272431" w:rsidRDefault="00272431" w:rsidP="00272431">
      <w:pPr>
        <w:spacing w:before="100" w:beforeAutospacing="1" w:after="100" w:afterAutospacing="1" w:line="276" w:lineRule="auto"/>
        <w:rPr>
          <w:rFonts w:asciiTheme="majorHAnsi" w:eastAsia="Times New Roman" w:hAnsiTheme="majorHAnsi" w:cstheme="majorHAnsi"/>
          <w:lang w:eastAsia="en-GB"/>
        </w:rPr>
      </w:pPr>
      <w:r w:rsidRPr="00272431">
        <w:rPr>
          <w:rFonts w:asciiTheme="majorHAnsi" w:eastAsia="Times New Roman" w:hAnsiTheme="majorHAnsi" w:cstheme="majorHAnsi"/>
          <w:lang w:eastAsia="en-GB"/>
        </w:rPr>
        <w:t>Sipas të dhënave nga Raporti i Funksionimit të Komunave për vitin 2025, janë mbajtur gjithsej 321 mbledhje të Komitetit për Komunitete, ndërsa janë publikuar vetëm 124 ftesa. Kjo nënkupton se mungon publikimi i 197 ftesave për mbledhjet e zhvilluara të këtij komiteti gjatë periudhës raportuese.</w:t>
      </w:r>
    </w:p>
    <w:p w14:paraId="149E0D8B" w14:textId="77777777" w:rsidR="00272431" w:rsidRPr="00272431" w:rsidRDefault="00272431" w:rsidP="00272431">
      <w:pPr>
        <w:spacing w:before="100" w:beforeAutospacing="1" w:after="100" w:afterAutospacing="1" w:line="276" w:lineRule="auto"/>
        <w:rPr>
          <w:rFonts w:asciiTheme="majorHAnsi" w:eastAsia="Times New Roman" w:hAnsiTheme="majorHAnsi" w:cstheme="majorHAnsi"/>
          <w:lang w:eastAsia="en-GB"/>
        </w:rPr>
      </w:pPr>
      <w:r w:rsidRPr="00272431">
        <w:rPr>
          <w:rFonts w:asciiTheme="majorHAnsi" w:eastAsia="Times New Roman" w:hAnsiTheme="majorHAnsi" w:cstheme="majorHAnsi"/>
          <w:lang w:eastAsia="en-GB"/>
        </w:rPr>
        <w:t xml:space="preserve">Komunat që nuk kanë përmbushur obligimin ligjor për publikimin e ftesave për Komitetin për Komunitete janë: Deçan, Fushë Kosovë, Gjakovë, Gllogoc, Istog, Junik, </w:t>
      </w:r>
      <w:proofErr w:type="spellStart"/>
      <w:r w:rsidRPr="00272431">
        <w:rPr>
          <w:rFonts w:asciiTheme="majorHAnsi" w:eastAsia="Times New Roman" w:hAnsiTheme="majorHAnsi" w:cstheme="majorHAnsi"/>
          <w:lang w:eastAsia="en-GB"/>
        </w:rPr>
        <w:t>Kllokot</w:t>
      </w:r>
      <w:proofErr w:type="spellEnd"/>
      <w:r w:rsidRPr="00272431">
        <w:rPr>
          <w:rFonts w:asciiTheme="majorHAnsi" w:eastAsia="Times New Roman" w:hAnsiTheme="majorHAnsi" w:cstheme="majorHAnsi"/>
          <w:lang w:eastAsia="en-GB"/>
        </w:rPr>
        <w:t xml:space="preserve">, Obiliq, </w:t>
      </w:r>
      <w:proofErr w:type="spellStart"/>
      <w:r w:rsidRPr="00272431">
        <w:rPr>
          <w:rFonts w:asciiTheme="majorHAnsi" w:eastAsia="Times New Roman" w:hAnsiTheme="majorHAnsi" w:cstheme="majorHAnsi"/>
          <w:lang w:eastAsia="en-GB"/>
        </w:rPr>
        <w:t>Partesh</w:t>
      </w:r>
      <w:proofErr w:type="spellEnd"/>
      <w:r w:rsidRPr="00272431">
        <w:rPr>
          <w:rFonts w:asciiTheme="majorHAnsi" w:eastAsia="Times New Roman" w:hAnsiTheme="majorHAnsi" w:cstheme="majorHAnsi"/>
          <w:lang w:eastAsia="en-GB"/>
        </w:rPr>
        <w:t xml:space="preserve">, </w:t>
      </w:r>
      <w:proofErr w:type="spellStart"/>
      <w:r w:rsidRPr="00272431">
        <w:rPr>
          <w:rFonts w:asciiTheme="majorHAnsi" w:eastAsia="Times New Roman" w:hAnsiTheme="majorHAnsi" w:cstheme="majorHAnsi"/>
          <w:lang w:eastAsia="en-GB"/>
        </w:rPr>
        <w:t>Ranillug</w:t>
      </w:r>
      <w:proofErr w:type="spellEnd"/>
      <w:r w:rsidRPr="00272431">
        <w:rPr>
          <w:rFonts w:asciiTheme="majorHAnsi" w:eastAsia="Times New Roman" w:hAnsiTheme="majorHAnsi" w:cstheme="majorHAnsi"/>
          <w:lang w:eastAsia="en-GB"/>
        </w:rPr>
        <w:t xml:space="preserve">, Shtërpcë, Skenderaj, Suharekë, Viti, Zubin Potok, </w:t>
      </w:r>
      <w:proofErr w:type="spellStart"/>
      <w:r w:rsidRPr="00272431">
        <w:rPr>
          <w:rFonts w:asciiTheme="majorHAnsi" w:eastAsia="Times New Roman" w:hAnsiTheme="majorHAnsi" w:cstheme="majorHAnsi"/>
          <w:lang w:eastAsia="en-GB"/>
        </w:rPr>
        <w:t>Zveçan</w:t>
      </w:r>
      <w:proofErr w:type="spellEnd"/>
      <w:r w:rsidRPr="00272431">
        <w:rPr>
          <w:rFonts w:asciiTheme="majorHAnsi" w:eastAsia="Times New Roman" w:hAnsiTheme="majorHAnsi" w:cstheme="majorHAnsi"/>
          <w:lang w:eastAsia="en-GB"/>
        </w:rPr>
        <w:t>, Leposaviq dhe Mitrovicë e Veriut.</w:t>
      </w:r>
    </w:p>
    <w:p w14:paraId="0E7A3DE8" w14:textId="6033517C" w:rsidR="00272431" w:rsidRPr="00272431" w:rsidRDefault="00272431" w:rsidP="00272431">
      <w:pPr>
        <w:spacing w:before="100" w:beforeAutospacing="1" w:after="100" w:afterAutospacing="1" w:line="276" w:lineRule="auto"/>
        <w:rPr>
          <w:rFonts w:asciiTheme="majorHAnsi" w:eastAsia="Times New Roman" w:hAnsiTheme="majorHAnsi" w:cstheme="majorHAnsi"/>
          <w:lang w:eastAsia="en-GB"/>
        </w:rPr>
      </w:pPr>
      <w:r w:rsidRPr="00272431">
        <w:rPr>
          <w:rFonts w:asciiTheme="majorHAnsi" w:eastAsia="Times New Roman" w:hAnsiTheme="majorHAnsi" w:cstheme="majorHAnsi"/>
          <w:lang w:eastAsia="en-GB"/>
        </w:rPr>
        <w:t>Krahasuar me të dhënat e vitit 2024, kur janë publikuar 173 ftesa nga 20 komuna, ndërsa 18 komuna nuk kanë publikuar asnjë ftesë, konstatohet një rënie në publikimin e ftesave gjatë vitit 2025, përkatësisht me 49 ftesa më pak. Ndërkohë, numri i komunave mbetet i njëjtë me vitin paraprak.</w:t>
      </w:r>
    </w:p>
    <w:p w14:paraId="02A59E70" w14:textId="77777777" w:rsidR="00272431" w:rsidRPr="00272431" w:rsidRDefault="00272431" w:rsidP="00272431">
      <w:pPr>
        <w:spacing w:before="100" w:beforeAutospacing="1" w:after="100" w:afterAutospacing="1" w:line="276" w:lineRule="auto"/>
        <w:rPr>
          <w:rFonts w:asciiTheme="majorHAnsi" w:eastAsia="Times New Roman" w:hAnsiTheme="majorHAnsi" w:cstheme="majorHAnsi"/>
          <w:lang w:eastAsia="en-GB"/>
        </w:rPr>
      </w:pPr>
      <w:r w:rsidRPr="00272431">
        <w:rPr>
          <w:rFonts w:asciiTheme="majorHAnsi" w:eastAsia="Times New Roman" w:hAnsiTheme="majorHAnsi" w:cstheme="majorHAnsi"/>
          <w:lang w:eastAsia="en-GB"/>
        </w:rPr>
        <w:t>Në vijim paraqitet figura me të dhëna krahasuese lidhur me publikimin e njoftimeve për mbledhjet e Komitetit për Komunitete për periudhën janar–dhjetor 2025.</w:t>
      </w:r>
    </w:p>
    <w:p w14:paraId="234A211D" w14:textId="77777777" w:rsidR="00272431" w:rsidRPr="009D6147" w:rsidRDefault="00272431" w:rsidP="005D1C05">
      <w:pPr>
        <w:pStyle w:val="Style2"/>
        <w:spacing w:line="276" w:lineRule="auto"/>
        <w:rPr>
          <w:rFonts w:asciiTheme="majorHAnsi" w:eastAsia="Times New Roman" w:hAnsiTheme="majorHAnsi" w:cstheme="majorHAnsi"/>
          <w:sz w:val="22"/>
          <w:szCs w:val="22"/>
          <w:lang w:eastAsia="en-GB"/>
        </w:rPr>
      </w:pPr>
    </w:p>
    <w:bookmarkEnd w:id="16"/>
    <w:p w14:paraId="464DE8E4" w14:textId="787F39EE" w:rsidR="00322A5F" w:rsidRPr="009D6147" w:rsidRDefault="00480C1B" w:rsidP="00A70BC5">
      <w:pPr>
        <w:spacing w:line="276" w:lineRule="auto"/>
        <w:rPr>
          <w:rFonts w:asciiTheme="majorHAnsi" w:hAnsiTheme="majorHAnsi" w:cstheme="majorHAnsi"/>
          <w:bCs/>
        </w:rPr>
      </w:pPr>
      <w:r w:rsidRPr="009D6147">
        <w:rPr>
          <w:rFonts w:asciiTheme="majorHAnsi" w:hAnsiTheme="majorHAnsi" w:cstheme="majorHAnsi"/>
          <w:noProof/>
          <w:lang w:eastAsia="sq-AL"/>
        </w:rPr>
        <w:drawing>
          <wp:inline distT="0" distB="0" distL="0" distR="0" wp14:anchorId="192ED388" wp14:editId="1B951F66">
            <wp:extent cx="5817235" cy="1706400"/>
            <wp:effectExtent l="0" t="0" r="12065" b="8255"/>
            <wp:docPr id="53" name="Chart 53">
              <a:extLst xmlns:a="http://schemas.openxmlformats.org/drawingml/2006/main">
                <a:ext uri="{FF2B5EF4-FFF2-40B4-BE49-F238E27FC236}">
                  <a16:creationId xmlns:a16="http://schemas.microsoft.com/office/drawing/2014/main" id="{2EE04C3E-90EC-4A62-A15C-9DA0A66310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5EC5163" w14:textId="77777777" w:rsidR="006E5A07" w:rsidRPr="009D6147" w:rsidRDefault="007316F6" w:rsidP="005D1C05">
      <w:pPr>
        <w:spacing w:line="276" w:lineRule="auto"/>
        <w:jc w:val="center"/>
        <w:rPr>
          <w:rFonts w:asciiTheme="majorHAnsi" w:hAnsiTheme="majorHAnsi" w:cstheme="majorHAnsi"/>
          <w:bCs/>
          <w:i/>
          <w:sz w:val="14"/>
          <w:szCs w:val="14"/>
        </w:rPr>
      </w:pPr>
      <w:r w:rsidRPr="009D6147">
        <w:rPr>
          <w:rFonts w:asciiTheme="majorHAnsi" w:hAnsiTheme="majorHAnsi" w:cstheme="majorHAnsi"/>
          <w:i/>
          <w:sz w:val="14"/>
          <w:szCs w:val="14"/>
        </w:rPr>
        <w:t>Fig.</w:t>
      </w:r>
      <w:r w:rsidR="006E5A07" w:rsidRPr="009D6147">
        <w:rPr>
          <w:rFonts w:asciiTheme="majorHAnsi" w:hAnsiTheme="majorHAnsi" w:cstheme="majorHAnsi"/>
          <w:i/>
          <w:sz w:val="14"/>
          <w:szCs w:val="14"/>
        </w:rPr>
        <w:t>3</w:t>
      </w:r>
      <w:r w:rsidR="0086716D" w:rsidRPr="009D6147">
        <w:rPr>
          <w:rFonts w:asciiTheme="majorHAnsi" w:hAnsiTheme="majorHAnsi" w:cstheme="majorHAnsi"/>
          <w:i/>
          <w:sz w:val="14"/>
          <w:szCs w:val="14"/>
        </w:rPr>
        <w:t>.</w:t>
      </w:r>
      <w:r w:rsidR="0005516F" w:rsidRPr="009D6147">
        <w:rPr>
          <w:rFonts w:asciiTheme="majorHAnsi" w:hAnsiTheme="majorHAnsi" w:cstheme="majorHAnsi"/>
          <w:i/>
          <w:sz w:val="14"/>
          <w:szCs w:val="14"/>
        </w:rPr>
        <w:t xml:space="preserve"> </w:t>
      </w:r>
      <w:r w:rsidRPr="009D6147">
        <w:rPr>
          <w:rFonts w:asciiTheme="majorHAnsi" w:hAnsiTheme="majorHAnsi" w:cstheme="majorHAnsi"/>
          <w:i/>
          <w:sz w:val="14"/>
          <w:szCs w:val="14"/>
        </w:rPr>
        <w:t xml:space="preserve">Njoftimet </w:t>
      </w:r>
      <w:r w:rsidR="0005516F" w:rsidRPr="009D6147">
        <w:rPr>
          <w:rFonts w:asciiTheme="majorHAnsi" w:hAnsiTheme="majorHAnsi" w:cstheme="majorHAnsi"/>
          <w:i/>
          <w:sz w:val="14"/>
          <w:szCs w:val="14"/>
        </w:rPr>
        <w:t xml:space="preserve">për </w:t>
      </w:r>
      <w:r w:rsidRPr="009D6147">
        <w:rPr>
          <w:rFonts w:asciiTheme="majorHAnsi" w:hAnsiTheme="majorHAnsi" w:cstheme="majorHAnsi"/>
          <w:bCs/>
          <w:i/>
          <w:sz w:val="14"/>
          <w:szCs w:val="14"/>
        </w:rPr>
        <w:t>mbledhjet e Komitetit për Komunitete</w:t>
      </w:r>
    </w:p>
    <w:p w14:paraId="48AFC1AA" w14:textId="77777777" w:rsidR="00272431" w:rsidRPr="009D6147" w:rsidRDefault="00272431" w:rsidP="00A70BC5">
      <w:pPr>
        <w:spacing w:line="276" w:lineRule="auto"/>
        <w:rPr>
          <w:rFonts w:asciiTheme="majorHAnsi" w:hAnsiTheme="majorHAnsi" w:cstheme="majorHAnsi"/>
          <w:sz w:val="20"/>
        </w:rPr>
      </w:pPr>
      <w:bookmarkStart w:id="18" w:name="_Toc130455678"/>
    </w:p>
    <w:p w14:paraId="75D9E90A" w14:textId="77777777" w:rsidR="00272431" w:rsidRPr="009D6147" w:rsidRDefault="00FA5DBE" w:rsidP="005D1C05">
      <w:pPr>
        <w:spacing w:line="276" w:lineRule="auto"/>
        <w:rPr>
          <w:rFonts w:asciiTheme="majorHAnsi" w:hAnsiTheme="majorHAnsi" w:cstheme="majorHAnsi"/>
          <w:b/>
          <w:color w:val="2F5496" w:themeColor="accent5" w:themeShade="BF"/>
          <w:szCs w:val="24"/>
        </w:rPr>
      </w:pPr>
      <w:r w:rsidRPr="009D6147">
        <w:rPr>
          <w:rFonts w:asciiTheme="majorHAnsi" w:hAnsiTheme="majorHAnsi" w:cstheme="majorHAnsi"/>
          <w:b/>
          <w:color w:val="2F5496" w:themeColor="accent5" w:themeShade="BF"/>
          <w:szCs w:val="24"/>
        </w:rPr>
        <w:t>PUBLIKIMI I AKTEVE TË KUVENDEVE  TË KOMUNAVE</w:t>
      </w:r>
      <w:bookmarkEnd w:id="18"/>
    </w:p>
    <w:p w14:paraId="4012A914" w14:textId="77777777" w:rsidR="00272431" w:rsidRPr="00272431" w:rsidRDefault="00272431" w:rsidP="00272431">
      <w:pPr>
        <w:spacing w:before="100" w:beforeAutospacing="1" w:after="100" w:afterAutospacing="1" w:line="276" w:lineRule="auto"/>
        <w:rPr>
          <w:rFonts w:asciiTheme="majorHAnsi" w:eastAsia="Times New Roman" w:hAnsiTheme="majorHAnsi" w:cstheme="majorHAnsi"/>
          <w:lang w:eastAsia="en-GB"/>
        </w:rPr>
      </w:pPr>
      <w:r w:rsidRPr="00272431">
        <w:rPr>
          <w:rFonts w:asciiTheme="majorHAnsi" w:eastAsia="Times New Roman" w:hAnsiTheme="majorHAnsi" w:cstheme="majorHAnsi"/>
          <w:lang w:eastAsia="en-GB"/>
        </w:rPr>
        <w:t>Bazuar në Ligjin Nr. 03/L-040 për Vetëqeverisje Lokale, Kuvendi i Komunës ka kompetencë për miratimin e vendimeve dhe rregulloreve për zbatimin e ligjeve që prekin kompetencat në nivel lokal. Në këtë kuadër, Kuvendi miraton Statutin dhe Rregulloren e Punës, si dhe nxjerr vendime, rregullore dhe akte të tjera të përgjithshme që rregullojnë funksionimin e administratës komunale.</w:t>
      </w:r>
    </w:p>
    <w:p w14:paraId="26ED35A4" w14:textId="77777777" w:rsidR="00272431" w:rsidRPr="00272431" w:rsidRDefault="00272431" w:rsidP="00272431">
      <w:pPr>
        <w:spacing w:before="100" w:beforeAutospacing="1" w:after="100" w:afterAutospacing="1" w:line="276" w:lineRule="auto"/>
        <w:rPr>
          <w:rFonts w:asciiTheme="majorHAnsi" w:eastAsia="Times New Roman" w:hAnsiTheme="majorHAnsi" w:cstheme="majorHAnsi"/>
          <w:lang w:eastAsia="en-GB"/>
        </w:rPr>
      </w:pPr>
      <w:r w:rsidRPr="00272431">
        <w:rPr>
          <w:rFonts w:asciiTheme="majorHAnsi" w:eastAsia="Times New Roman" w:hAnsiTheme="majorHAnsi" w:cstheme="majorHAnsi"/>
          <w:lang w:eastAsia="en-GB"/>
        </w:rPr>
        <w:t>Publikimi i akteve përbën një element thelbësor të procesit të miratimit dhe hyrjes së tyre në fuqi, pas konfirmimit të ligjshmërisë nga autoriteti mbikëqyrës. Ky proces siguron transparencë institucionale dhe mundëson informimin e plotë të publikut mbi aktet në fuqi në nivel lokal. Në këtë drejtim, zbatimi i Rregullores (MAPL) Nr. 02/2021 për Procedurën e Hartimit dhe Publikimit të Akteve Komunale, si dhe i Udhëzimit Administrativ Nr. 04/2023 për Administratë të Hapur në Komuna, përcakton parimet, rregullat dhe procedurat për publikimin e akteve normative komunale.</w:t>
      </w:r>
    </w:p>
    <w:p w14:paraId="752F9217" w14:textId="77777777" w:rsidR="00272431" w:rsidRPr="00272431" w:rsidRDefault="00272431" w:rsidP="00272431">
      <w:pPr>
        <w:spacing w:before="100" w:beforeAutospacing="1" w:after="100" w:afterAutospacing="1" w:line="276" w:lineRule="auto"/>
        <w:rPr>
          <w:rFonts w:asciiTheme="majorHAnsi" w:eastAsia="Times New Roman" w:hAnsiTheme="majorHAnsi" w:cstheme="majorHAnsi"/>
          <w:lang w:eastAsia="en-GB"/>
        </w:rPr>
      </w:pPr>
      <w:r w:rsidRPr="00272431">
        <w:rPr>
          <w:rFonts w:asciiTheme="majorHAnsi" w:eastAsia="Times New Roman" w:hAnsiTheme="majorHAnsi" w:cstheme="majorHAnsi"/>
          <w:lang w:eastAsia="en-GB"/>
        </w:rPr>
        <w:t>Sipas të dhënave nga Raporti për Funksionimin e Komunave, gjatë periudhës janar–dhjetor 2025 janë miratuar gjithsej 1,478 akte, prej të cilave 54 rregullore dhe 1,424 vendime.</w:t>
      </w:r>
    </w:p>
    <w:p w14:paraId="3D04816E" w14:textId="77777777" w:rsidR="00272431" w:rsidRPr="00272431" w:rsidRDefault="00272431" w:rsidP="00272431">
      <w:pPr>
        <w:spacing w:before="100" w:beforeAutospacing="1" w:after="100" w:afterAutospacing="1" w:line="276" w:lineRule="auto"/>
        <w:rPr>
          <w:rFonts w:asciiTheme="majorHAnsi" w:eastAsia="Times New Roman" w:hAnsiTheme="majorHAnsi" w:cstheme="majorHAnsi"/>
          <w:lang w:eastAsia="en-GB"/>
        </w:rPr>
      </w:pPr>
      <w:r w:rsidRPr="00272431">
        <w:rPr>
          <w:rFonts w:asciiTheme="majorHAnsi" w:eastAsia="Times New Roman" w:hAnsiTheme="majorHAnsi" w:cstheme="majorHAnsi"/>
          <w:lang w:eastAsia="en-GB"/>
        </w:rPr>
        <w:t>Ndërsa të dhënat e Raportit për Vlerësimin e Transparencës tregojnë se janë publikuar gjithsej 1,203 akte nga 34 komuna (90%), prej të cilave 54 rregullore dhe 1,149 vendime, ndërsa 4 komuna (10%) nuk kanë publikuar asnjë akt.</w:t>
      </w:r>
    </w:p>
    <w:p w14:paraId="70E62336" w14:textId="77777777" w:rsidR="00272431" w:rsidRPr="00272431" w:rsidRDefault="00272431" w:rsidP="00272431">
      <w:pPr>
        <w:spacing w:before="100" w:beforeAutospacing="1" w:after="100" w:afterAutospacing="1" w:line="276" w:lineRule="auto"/>
        <w:rPr>
          <w:rFonts w:asciiTheme="majorHAnsi" w:eastAsia="Times New Roman" w:hAnsiTheme="majorHAnsi" w:cstheme="majorHAnsi"/>
          <w:lang w:eastAsia="en-GB"/>
        </w:rPr>
      </w:pPr>
      <w:r w:rsidRPr="00272431">
        <w:rPr>
          <w:rFonts w:asciiTheme="majorHAnsi" w:eastAsia="Times New Roman" w:hAnsiTheme="majorHAnsi" w:cstheme="majorHAnsi"/>
          <w:lang w:eastAsia="en-GB"/>
        </w:rPr>
        <w:t>Nga krahasimi i këtyre të dhënave rezulton se mungon publikimi i 275 akteve, çka paraqet një hendek në përmbushjen e obligimeve ligjore për transparencë dhe publikim të akteve komunale.</w:t>
      </w:r>
    </w:p>
    <w:p w14:paraId="55CC8699" w14:textId="3B1B6CBB" w:rsidR="00272431" w:rsidRPr="009D6147" w:rsidRDefault="00272431" w:rsidP="00272431">
      <w:pPr>
        <w:spacing w:before="100" w:beforeAutospacing="1" w:after="100" w:afterAutospacing="1" w:line="276" w:lineRule="auto"/>
        <w:rPr>
          <w:rFonts w:asciiTheme="majorHAnsi" w:eastAsia="Times New Roman" w:hAnsiTheme="majorHAnsi" w:cstheme="majorHAnsi"/>
          <w:lang w:eastAsia="en-GB"/>
        </w:rPr>
      </w:pPr>
      <w:r w:rsidRPr="00272431">
        <w:rPr>
          <w:rFonts w:asciiTheme="majorHAnsi" w:eastAsia="Times New Roman" w:hAnsiTheme="majorHAnsi" w:cstheme="majorHAnsi"/>
          <w:lang w:eastAsia="en-GB"/>
        </w:rPr>
        <w:t>Në vijim paraqitet figura me numrin e akteve të publikuara nga të gjitha komunat për periudhën raportuese.</w:t>
      </w:r>
    </w:p>
    <w:p w14:paraId="280CECDC" w14:textId="236C95F8" w:rsidR="00104F6B" w:rsidRPr="009D6147" w:rsidRDefault="00A549DB" w:rsidP="00A549DB">
      <w:pPr>
        <w:spacing w:line="276" w:lineRule="auto"/>
        <w:rPr>
          <w:rFonts w:asciiTheme="majorHAnsi" w:hAnsiTheme="majorHAnsi" w:cstheme="majorHAnsi"/>
          <w:b/>
          <w:color w:val="2F5496" w:themeColor="accent5" w:themeShade="BF"/>
          <w:szCs w:val="24"/>
        </w:rPr>
      </w:pPr>
      <w:r w:rsidRPr="009D6147">
        <w:rPr>
          <w:rFonts w:asciiTheme="majorHAnsi" w:hAnsiTheme="majorHAnsi" w:cstheme="majorHAnsi"/>
          <w:noProof/>
          <w:lang w:eastAsia="sq-AL"/>
        </w:rPr>
        <w:drawing>
          <wp:inline distT="0" distB="0" distL="0" distR="0" wp14:anchorId="1A1A839C" wp14:editId="45EFB2C8">
            <wp:extent cx="5889600" cy="2109470"/>
            <wp:effectExtent l="0" t="0" r="16510" b="5080"/>
            <wp:docPr id="131" name="Chart 131">
              <a:extLst xmlns:a="http://schemas.openxmlformats.org/drawingml/2006/main">
                <a:ext uri="{FF2B5EF4-FFF2-40B4-BE49-F238E27FC236}">
                  <a16:creationId xmlns:a16="http://schemas.microsoft.com/office/drawing/2014/main" id="{3785813B-C9D4-4F79-98A7-9E6645DB6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Start w:id="19" w:name="_Toc130455542"/>
      <w:bookmarkStart w:id="20" w:name="_Toc130455679"/>
    </w:p>
    <w:p w14:paraId="2F7FF55D" w14:textId="277EEF70" w:rsidR="00C90220" w:rsidRPr="007325E6" w:rsidRDefault="00867D09" w:rsidP="00A549DB">
      <w:pPr>
        <w:spacing w:after="240" w:line="276" w:lineRule="auto"/>
        <w:jc w:val="center"/>
        <w:rPr>
          <w:rFonts w:asciiTheme="majorHAnsi" w:eastAsia="Times New Roman" w:hAnsiTheme="majorHAnsi" w:cstheme="majorHAnsi"/>
          <w:color w:val="000000"/>
          <w:sz w:val="12"/>
          <w:szCs w:val="14"/>
          <w:lang w:eastAsia="sq-AL"/>
        </w:rPr>
      </w:pPr>
      <w:r w:rsidRPr="007325E6">
        <w:rPr>
          <w:rFonts w:asciiTheme="majorHAnsi" w:eastAsia="Times New Roman" w:hAnsiTheme="majorHAnsi" w:cstheme="majorHAnsi"/>
          <w:i/>
          <w:color w:val="000000"/>
          <w:sz w:val="14"/>
          <w:szCs w:val="14"/>
          <w:lang w:eastAsia="sq-AL"/>
        </w:rPr>
        <w:t>Fig. 4</w:t>
      </w:r>
      <w:r w:rsidR="00C10222" w:rsidRPr="007325E6">
        <w:rPr>
          <w:rFonts w:asciiTheme="majorHAnsi" w:eastAsia="Times New Roman" w:hAnsiTheme="majorHAnsi" w:cstheme="majorHAnsi"/>
          <w:i/>
          <w:color w:val="000000"/>
          <w:sz w:val="14"/>
          <w:szCs w:val="14"/>
          <w:lang w:eastAsia="sq-AL"/>
        </w:rPr>
        <w:t xml:space="preserve"> Publikimi i akteve nga komunat</w:t>
      </w:r>
    </w:p>
    <w:p w14:paraId="2E5D1C20" w14:textId="408D9683" w:rsidR="00BB3D64" w:rsidRPr="009D6147" w:rsidRDefault="00BB3D64" w:rsidP="00BB3D64">
      <w:pPr>
        <w:pStyle w:val="Style2"/>
        <w:rPr>
          <w:rFonts w:asciiTheme="majorHAnsi" w:eastAsia="Times New Roman" w:hAnsiTheme="majorHAnsi" w:cstheme="majorHAnsi"/>
          <w:lang w:eastAsia="en-GB"/>
        </w:rPr>
      </w:pPr>
      <w:bookmarkStart w:id="21" w:name="_Toc227827162"/>
      <w:r w:rsidRPr="009D6147">
        <w:rPr>
          <w:rFonts w:asciiTheme="majorHAnsi" w:eastAsia="Times New Roman" w:hAnsiTheme="majorHAnsi" w:cstheme="majorHAnsi"/>
          <w:lang w:eastAsia="en-GB"/>
        </w:rPr>
        <w:t>Vendimet e Kuvendit Komunal</w:t>
      </w:r>
      <w:bookmarkEnd w:id="21"/>
    </w:p>
    <w:p w14:paraId="0147DE25" w14:textId="5E5F3304" w:rsidR="00B97268" w:rsidRPr="00B97268" w:rsidRDefault="00B97268" w:rsidP="00B97268">
      <w:pPr>
        <w:spacing w:before="100" w:beforeAutospacing="1" w:after="100" w:afterAutospacing="1" w:line="240" w:lineRule="auto"/>
        <w:rPr>
          <w:rFonts w:asciiTheme="majorHAnsi" w:eastAsia="Times New Roman" w:hAnsiTheme="majorHAnsi" w:cstheme="majorHAnsi"/>
          <w:lang w:eastAsia="en-GB"/>
        </w:rPr>
      </w:pPr>
      <w:r w:rsidRPr="00B97268">
        <w:rPr>
          <w:rFonts w:asciiTheme="majorHAnsi" w:eastAsia="Times New Roman" w:hAnsiTheme="majorHAnsi" w:cstheme="majorHAnsi"/>
          <w:lang w:eastAsia="en-GB"/>
        </w:rPr>
        <w:t>Bazuar në të dhënat nga monitorimi i ueb-faqeve zyrtare të komunave për periudhën janar–dhjetor 2025, janë publikuar gjithsej 1,14</w:t>
      </w:r>
      <w:r w:rsidR="00DE4B4D">
        <w:rPr>
          <w:rFonts w:asciiTheme="majorHAnsi" w:eastAsia="Times New Roman" w:hAnsiTheme="majorHAnsi" w:cstheme="majorHAnsi"/>
          <w:lang w:eastAsia="en-GB"/>
        </w:rPr>
        <w:t>7</w:t>
      </w:r>
      <w:r w:rsidRPr="00B97268">
        <w:rPr>
          <w:rFonts w:asciiTheme="majorHAnsi" w:eastAsia="Times New Roman" w:hAnsiTheme="majorHAnsi" w:cstheme="majorHAnsi"/>
          <w:lang w:eastAsia="en-GB"/>
        </w:rPr>
        <w:t xml:space="preserve"> vendime të Kuvendit Komunal nga 33 komuna, që përbën 87% të numrit të përgjithshëm të komunave. Ndërkohë, 5 komuna (13%) nuk kanë publikuar asnjë vendim gjatë periudhës raportuese.</w:t>
      </w:r>
    </w:p>
    <w:p w14:paraId="3D21E7C4" w14:textId="3F19E62B" w:rsidR="00B97268" w:rsidRPr="00B97268" w:rsidRDefault="00B97268" w:rsidP="00B97268">
      <w:pPr>
        <w:spacing w:before="100" w:beforeAutospacing="1" w:after="100" w:afterAutospacing="1" w:line="240" w:lineRule="auto"/>
        <w:rPr>
          <w:rFonts w:asciiTheme="majorHAnsi" w:eastAsia="Times New Roman" w:hAnsiTheme="majorHAnsi" w:cstheme="majorHAnsi"/>
          <w:lang w:eastAsia="en-GB"/>
        </w:rPr>
      </w:pPr>
      <w:r w:rsidRPr="00B97268">
        <w:rPr>
          <w:rFonts w:asciiTheme="majorHAnsi" w:eastAsia="Times New Roman" w:hAnsiTheme="majorHAnsi" w:cstheme="majorHAnsi"/>
          <w:lang w:eastAsia="en-GB"/>
        </w:rPr>
        <w:t>Në krahasim me të dhënat e Raportit të Funksionimit të Komunave për vitin 2025, sipas të cilit janë miratuar gjithsej 1,42</w:t>
      </w:r>
      <w:r w:rsidR="00DE4B4D">
        <w:rPr>
          <w:rFonts w:asciiTheme="majorHAnsi" w:eastAsia="Times New Roman" w:hAnsiTheme="majorHAnsi" w:cstheme="majorHAnsi"/>
          <w:lang w:eastAsia="en-GB"/>
        </w:rPr>
        <w:t>7</w:t>
      </w:r>
      <w:r w:rsidRPr="00B97268">
        <w:rPr>
          <w:rFonts w:asciiTheme="majorHAnsi" w:eastAsia="Times New Roman" w:hAnsiTheme="majorHAnsi" w:cstheme="majorHAnsi"/>
          <w:lang w:eastAsia="en-GB"/>
        </w:rPr>
        <w:t xml:space="preserve"> vendime të Kuvendit Komunal, nga monitorimi i ueb-faqeve zyrtare rezulton se janë publikuar vetëm 1,14</w:t>
      </w:r>
      <w:r w:rsidR="00896548">
        <w:rPr>
          <w:rFonts w:asciiTheme="majorHAnsi" w:eastAsia="Times New Roman" w:hAnsiTheme="majorHAnsi" w:cstheme="majorHAnsi"/>
          <w:lang w:eastAsia="en-GB"/>
        </w:rPr>
        <w:t>7</w:t>
      </w:r>
      <w:r w:rsidRPr="00B97268">
        <w:rPr>
          <w:rFonts w:asciiTheme="majorHAnsi" w:eastAsia="Times New Roman" w:hAnsiTheme="majorHAnsi" w:cstheme="majorHAnsi"/>
          <w:lang w:eastAsia="en-GB"/>
        </w:rPr>
        <w:t xml:space="preserve"> vendime.</w:t>
      </w:r>
    </w:p>
    <w:p w14:paraId="58C51821" w14:textId="77777777" w:rsidR="00B97268" w:rsidRPr="00B97268" w:rsidRDefault="00B97268" w:rsidP="00B97268">
      <w:pPr>
        <w:spacing w:before="100" w:beforeAutospacing="1" w:after="100" w:afterAutospacing="1" w:line="240" w:lineRule="auto"/>
        <w:rPr>
          <w:rFonts w:asciiTheme="majorHAnsi" w:eastAsia="Times New Roman" w:hAnsiTheme="majorHAnsi" w:cstheme="majorHAnsi"/>
          <w:lang w:eastAsia="en-GB"/>
        </w:rPr>
      </w:pPr>
      <w:r w:rsidRPr="00B97268">
        <w:rPr>
          <w:rFonts w:asciiTheme="majorHAnsi" w:eastAsia="Times New Roman" w:hAnsiTheme="majorHAnsi" w:cstheme="majorHAnsi"/>
          <w:lang w:eastAsia="en-GB"/>
        </w:rPr>
        <w:t>Nga kjo analizë konstatohet se mungon publikimi i 279 vendimeve të Kuvendit Komunal, çka reflekton një hendek në përmbushjen e obligimeve ligjore për transparencë dhe publikim të akteve vendimmarrëse në nivel lokal.</w:t>
      </w:r>
    </w:p>
    <w:p w14:paraId="1C3B8BB3" w14:textId="77777777" w:rsidR="00B97268" w:rsidRPr="00B97268" w:rsidRDefault="00B97268" w:rsidP="00B97268">
      <w:pPr>
        <w:spacing w:before="100" w:beforeAutospacing="1" w:after="100" w:afterAutospacing="1" w:line="240" w:lineRule="auto"/>
        <w:rPr>
          <w:rFonts w:asciiTheme="majorHAnsi" w:eastAsia="Times New Roman" w:hAnsiTheme="majorHAnsi" w:cstheme="majorHAnsi"/>
          <w:lang w:eastAsia="en-GB"/>
        </w:rPr>
      </w:pPr>
      <w:r w:rsidRPr="00B97268">
        <w:rPr>
          <w:rFonts w:asciiTheme="majorHAnsi" w:eastAsia="Times New Roman" w:hAnsiTheme="majorHAnsi" w:cstheme="majorHAnsi"/>
          <w:lang w:eastAsia="en-GB"/>
        </w:rPr>
        <w:t>Në vijim paraqitet figura me të dhënat për numrin e vendimeve të publikuara nga komunat gjatë periudhës janar–dhjetor 2025.</w:t>
      </w:r>
    </w:p>
    <w:p w14:paraId="12D40353" w14:textId="77777777" w:rsidR="00B97268" w:rsidRPr="009D6147" w:rsidRDefault="00B97268" w:rsidP="00BB3D64">
      <w:pPr>
        <w:pStyle w:val="Style2"/>
        <w:rPr>
          <w:rFonts w:asciiTheme="majorHAnsi" w:eastAsia="Times New Roman" w:hAnsiTheme="majorHAnsi" w:cstheme="majorHAnsi"/>
          <w:lang w:eastAsia="en-GB"/>
        </w:rPr>
      </w:pPr>
    </w:p>
    <w:bookmarkEnd w:id="19"/>
    <w:bookmarkEnd w:id="20"/>
    <w:p w14:paraId="2E5354EE" w14:textId="261AAAAD" w:rsidR="00867D09" w:rsidRPr="009D6147" w:rsidRDefault="00221BEB" w:rsidP="00A70BC5">
      <w:pPr>
        <w:spacing w:after="240" w:line="276" w:lineRule="auto"/>
        <w:rPr>
          <w:rFonts w:asciiTheme="majorHAnsi" w:hAnsiTheme="majorHAnsi" w:cstheme="majorHAnsi"/>
          <w:bCs/>
        </w:rPr>
      </w:pPr>
      <w:r w:rsidRPr="009D6147">
        <w:rPr>
          <w:rFonts w:asciiTheme="majorHAnsi" w:hAnsiTheme="majorHAnsi" w:cstheme="majorHAnsi"/>
          <w:noProof/>
          <w:sz w:val="18"/>
          <w:szCs w:val="18"/>
          <w:lang w:eastAsia="sq-AL"/>
        </w:rPr>
        <w:drawing>
          <wp:inline distT="0" distB="0" distL="0" distR="0" wp14:anchorId="5C27DA4B" wp14:editId="54842BBC">
            <wp:extent cx="6020435" cy="1968907"/>
            <wp:effectExtent l="0" t="0" r="18415" b="12700"/>
            <wp:docPr id="48" name="Chart 48">
              <a:extLst xmlns:a="http://schemas.openxmlformats.org/drawingml/2006/main">
                <a:ext uri="{FF2B5EF4-FFF2-40B4-BE49-F238E27FC236}">
                  <a16:creationId xmlns:a16="http://schemas.microsoft.com/office/drawing/2014/main" id="{593CE8DC-9D9A-460F-A50E-93CDF5526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32D16F" w14:textId="4A0A9336" w:rsidR="00337EE8" w:rsidRPr="007325E6" w:rsidRDefault="00F268DF" w:rsidP="0062583A">
      <w:pPr>
        <w:spacing w:after="240" w:line="276" w:lineRule="auto"/>
        <w:jc w:val="center"/>
        <w:rPr>
          <w:rFonts w:asciiTheme="majorHAnsi" w:hAnsiTheme="majorHAnsi" w:cstheme="majorHAnsi"/>
          <w:bCs/>
          <w:sz w:val="20"/>
          <w:szCs w:val="20"/>
        </w:rPr>
      </w:pPr>
      <w:proofErr w:type="spellStart"/>
      <w:r w:rsidRPr="007325E6">
        <w:rPr>
          <w:rFonts w:asciiTheme="majorHAnsi" w:hAnsiTheme="majorHAnsi" w:cstheme="majorHAnsi"/>
          <w:i/>
          <w:sz w:val="14"/>
          <w:szCs w:val="14"/>
        </w:rPr>
        <w:t>Fig</w:t>
      </w:r>
      <w:proofErr w:type="spellEnd"/>
      <w:r w:rsidRPr="007325E6">
        <w:rPr>
          <w:rFonts w:asciiTheme="majorHAnsi" w:hAnsiTheme="majorHAnsi" w:cstheme="majorHAnsi"/>
          <w:i/>
          <w:sz w:val="14"/>
          <w:szCs w:val="14"/>
        </w:rPr>
        <w:t xml:space="preserve"> </w:t>
      </w:r>
      <w:r w:rsidR="00867D09" w:rsidRPr="007325E6">
        <w:rPr>
          <w:rFonts w:asciiTheme="majorHAnsi" w:hAnsiTheme="majorHAnsi" w:cstheme="majorHAnsi"/>
          <w:i/>
          <w:sz w:val="14"/>
          <w:szCs w:val="14"/>
        </w:rPr>
        <w:t>5</w:t>
      </w:r>
      <w:r w:rsidR="0086716D" w:rsidRPr="007325E6">
        <w:rPr>
          <w:rFonts w:asciiTheme="majorHAnsi" w:hAnsiTheme="majorHAnsi" w:cstheme="majorHAnsi"/>
          <w:i/>
          <w:sz w:val="14"/>
          <w:szCs w:val="14"/>
        </w:rPr>
        <w:t xml:space="preserve"> </w:t>
      </w:r>
      <w:r w:rsidR="00CA5899" w:rsidRPr="007325E6">
        <w:rPr>
          <w:rFonts w:asciiTheme="majorHAnsi" w:hAnsiTheme="majorHAnsi" w:cstheme="majorHAnsi"/>
          <w:i/>
          <w:sz w:val="14"/>
          <w:szCs w:val="14"/>
        </w:rPr>
        <w:t>Numri</w:t>
      </w:r>
      <w:r w:rsidRPr="007325E6">
        <w:rPr>
          <w:rFonts w:asciiTheme="majorHAnsi" w:hAnsiTheme="majorHAnsi" w:cstheme="majorHAnsi"/>
          <w:i/>
          <w:sz w:val="14"/>
          <w:szCs w:val="14"/>
        </w:rPr>
        <w:t xml:space="preserve"> i</w:t>
      </w:r>
      <w:r w:rsidR="00972A16" w:rsidRPr="007325E6">
        <w:rPr>
          <w:rFonts w:asciiTheme="majorHAnsi" w:hAnsiTheme="majorHAnsi" w:cstheme="majorHAnsi"/>
          <w:i/>
          <w:sz w:val="14"/>
          <w:szCs w:val="14"/>
        </w:rPr>
        <w:t xml:space="preserve"> vendimeve të publikuara</w:t>
      </w:r>
      <w:r w:rsidR="009E5A8E" w:rsidRPr="007325E6">
        <w:rPr>
          <w:rFonts w:asciiTheme="majorHAnsi" w:hAnsiTheme="majorHAnsi" w:cstheme="majorHAnsi"/>
          <w:i/>
          <w:sz w:val="14"/>
          <w:szCs w:val="14"/>
        </w:rPr>
        <w:t xml:space="preserve"> të kuvend</w:t>
      </w:r>
      <w:r w:rsidR="006F6816" w:rsidRPr="007325E6">
        <w:rPr>
          <w:rFonts w:asciiTheme="majorHAnsi" w:hAnsiTheme="majorHAnsi" w:cstheme="majorHAnsi"/>
          <w:i/>
          <w:sz w:val="14"/>
          <w:szCs w:val="14"/>
        </w:rPr>
        <w:t>it komuna</w:t>
      </w:r>
    </w:p>
    <w:p w14:paraId="27F01FEB" w14:textId="0007081D" w:rsidR="00961E5B" w:rsidRPr="009D6147" w:rsidRDefault="007D2BDB" w:rsidP="00BB3D64">
      <w:pPr>
        <w:pStyle w:val="Style2"/>
        <w:rPr>
          <w:rFonts w:asciiTheme="majorHAnsi" w:eastAsia="Times New Roman" w:hAnsiTheme="majorHAnsi" w:cstheme="majorHAnsi"/>
          <w:lang w:eastAsia="sq-AL"/>
        </w:rPr>
      </w:pPr>
      <w:r w:rsidRPr="009D6147">
        <w:rPr>
          <w:rFonts w:asciiTheme="majorHAnsi" w:eastAsia="Times New Roman" w:hAnsiTheme="majorHAnsi" w:cstheme="majorHAnsi"/>
          <w:sz w:val="28"/>
          <w:lang w:eastAsia="sq-AL"/>
        </w:rPr>
        <w:t xml:space="preserve"> </w:t>
      </w:r>
      <w:bookmarkStart w:id="22" w:name="_Toc227827163"/>
      <w:r w:rsidRPr="009D6147">
        <w:rPr>
          <w:rFonts w:asciiTheme="majorHAnsi" w:eastAsia="Times New Roman" w:hAnsiTheme="majorHAnsi" w:cstheme="majorHAnsi"/>
          <w:lang w:eastAsia="sq-AL"/>
        </w:rPr>
        <w:t>Rregulloret e P</w:t>
      </w:r>
      <w:r w:rsidR="00FC57B8" w:rsidRPr="009D6147">
        <w:rPr>
          <w:rFonts w:asciiTheme="majorHAnsi" w:eastAsia="Times New Roman" w:hAnsiTheme="majorHAnsi" w:cstheme="majorHAnsi"/>
          <w:lang w:eastAsia="sq-AL"/>
        </w:rPr>
        <w:t>ublikuar</w:t>
      </w:r>
      <w:bookmarkEnd w:id="22"/>
      <w:r w:rsidR="0035531E">
        <w:rPr>
          <w:rFonts w:asciiTheme="majorHAnsi" w:eastAsia="Times New Roman" w:hAnsiTheme="majorHAnsi" w:cstheme="majorHAnsi"/>
          <w:lang w:eastAsia="sq-AL"/>
        </w:rPr>
        <w:t>A</w:t>
      </w:r>
    </w:p>
    <w:p w14:paraId="64A7D28C" w14:textId="77777777" w:rsidR="0062583A" w:rsidRPr="0062583A" w:rsidRDefault="0062583A" w:rsidP="0062583A">
      <w:pPr>
        <w:spacing w:before="100" w:beforeAutospacing="1" w:after="100" w:afterAutospacing="1" w:line="276" w:lineRule="auto"/>
        <w:rPr>
          <w:rFonts w:asciiTheme="majorHAnsi" w:eastAsia="Times New Roman" w:hAnsiTheme="majorHAnsi" w:cstheme="majorHAnsi"/>
          <w:lang w:eastAsia="en-GB"/>
        </w:rPr>
      </w:pPr>
      <w:r w:rsidRPr="0062583A">
        <w:rPr>
          <w:rFonts w:asciiTheme="majorHAnsi" w:eastAsia="Times New Roman" w:hAnsiTheme="majorHAnsi" w:cstheme="majorHAnsi"/>
          <w:lang w:eastAsia="en-GB"/>
        </w:rPr>
        <w:t>Gjatë periudhës janar–dhjetor 2025, në ueb-faqet zyrtare të komunave janë publikuar gjithsej 54 rregullore nga 28 komuna. Po ashtu, sipas të dhënave nga Raporti i Funksionimit të Komunave për vitin 2025, kuvendet komunale kanë miratuar gjithsej 54 rregullore. Nga kjo rezulton se të gjitha rregulloret e miratuara nga kuvendet komunale janë publikuar në ueb-faqet zyrtare të komunave.</w:t>
      </w:r>
    </w:p>
    <w:p w14:paraId="1545437E" w14:textId="77777777" w:rsidR="0062583A" w:rsidRPr="0062583A" w:rsidRDefault="0062583A" w:rsidP="0062583A">
      <w:pPr>
        <w:spacing w:before="100" w:beforeAutospacing="1" w:after="100" w:afterAutospacing="1" w:line="276" w:lineRule="auto"/>
        <w:rPr>
          <w:rFonts w:asciiTheme="majorHAnsi" w:eastAsia="Times New Roman" w:hAnsiTheme="majorHAnsi" w:cstheme="majorHAnsi"/>
          <w:lang w:eastAsia="en-GB"/>
        </w:rPr>
      </w:pPr>
      <w:r w:rsidRPr="0062583A">
        <w:rPr>
          <w:rFonts w:asciiTheme="majorHAnsi" w:eastAsia="Times New Roman" w:hAnsiTheme="majorHAnsi" w:cstheme="majorHAnsi"/>
          <w:lang w:eastAsia="en-GB"/>
        </w:rPr>
        <w:t>Publikimi i plotë i rregulloreve nga 28 komuna paraqet një avancim të dukshëm në përmbushjen e obligimeve ligjore në fushën e transparencës. Ky tregues vlerësohet si i përmbushur plotësisht dhe përbën një indikator pozitiv, i cili duhet të ruhet dhe të avancohet edhe në indikatorët e tjerë të transparencës.</w:t>
      </w:r>
    </w:p>
    <w:p w14:paraId="18D06959" w14:textId="4C3FE394" w:rsidR="0062583A" w:rsidRPr="009D6147" w:rsidRDefault="0062583A" w:rsidP="0062583A">
      <w:pPr>
        <w:spacing w:before="100" w:beforeAutospacing="1" w:after="100" w:afterAutospacing="1" w:line="276" w:lineRule="auto"/>
        <w:rPr>
          <w:rFonts w:asciiTheme="majorHAnsi" w:eastAsia="Times New Roman" w:hAnsiTheme="majorHAnsi" w:cstheme="majorHAnsi"/>
          <w:lang w:eastAsia="en-GB"/>
        </w:rPr>
      </w:pPr>
      <w:r w:rsidRPr="0062583A">
        <w:rPr>
          <w:rFonts w:asciiTheme="majorHAnsi" w:eastAsia="Times New Roman" w:hAnsiTheme="majorHAnsi" w:cstheme="majorHAnsi"/>
          <w:lang w:eastAsia="en-GB"/>
        </w:rPr>
        <w:t>Në vijim paraqitet figura që pasqyron numrin e rregulloreve të publikuara nga komunat për periudhën janar–dhjetor 2025.</w:t>
      </w:r>
    </w:p>
    <w:p w14:paraId="3899E829" w14:textId="5C4B856A" w:rsidR="0073351F" w:rsidRPr="009D6147" w:rsidRDefault="00021261" w:rsidP="00BB3D64">
      <w:pPr>
        <w:spacing w:after="240" w:line="276" w:lineRule="auto"/>
        <w:rPr>
          <w:rFonts w:asciiTheme="majorHAnsi" w:hAnsiTheme="majorHAnsi" w:cstheme="majorHAnsi"/>
        </w:rPr>
      </w:pPr>
      <w:r w:rsidRPr="009D6147">
        <w:rPr>
          <w:rFonts w:asciiTheme="majorHAnsi" w:hAnsiTheme="majorHAnsi" w:cstheme="majorHAnsi"/>
          <w:noProof/>
          <w:lang w:eastAsia="sq-AL"/>
        </w:rPr>
        <w:drawing>
          <wp:inline distT="0" distB="0" distL="0" distR="0" wp14:anchorId="644B0B32" wp14:editId="45DF8E60">
            <wp:extent cx="6014085" cy="1598400"/>
            <wp:effectExtent l="0" t="0" r="5715" b="1905"/>
            <wp:docPr id="6" name="Chart 6">
              <a:extLst xmlns:a="http://schemas.openxmlformats.org/drawingml/2006/main">
                <a:ext uri="{FF2B5EF4-FFF2-40B4-BE49-F238E27FC236}">
                  <a16:creationId xmlns:a16="http://schemas.microsoft.com/office/drawing/2014/main" id="{5CEDADA3-136C-42B3-BCAE-00C3E64840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199EB78" w14:textId="379FF399" w:rsidR="00FF109E" w:rsidRPr="007325E6" w:rsidRDefault="001B1A05" w:rsidP="0062583A">
      <w:pPr>
        <w:spacing w:after="240" w:line="276" w:lineRule="auto"/>
        <w:jc w:val="center"/>
        <w:rPr>
          <w:rFonts w:asciiTheme="majorHAnsi" w:hAnsiTheme="majorHAnsi" w:cstheme="majorHAnsi"/>
          <w:sz w:val="14"/>
          <w:szCs w:val="14"/>
        </w:rPr>
      </w:pPr>
      <w:r w:rsidRPr="007325E6">
        <w:rPr>
          <w:rFonts w:asciiTheme="majorHAnsi" w:hAnsiTheme="majorHAnsi" w:cstheme="majorHAnsi"/>
          <w:i/>
          <w:sz w:val="14"/>
          <w:szCs w:val="14"/>
        </w:rPr>
        <w:t>Fig.</w:t>
      </w:r>
      <w:r w:rsidR="0073351F" w:rsidRPr="007325E6">
        <w:rPr>
          <w:rFonts w:asciiTheme="majorHAnsi" w:hAnsiTheme="majorHAnsi" w:cstheme="majorHAnsi"/>
          <w:i/>
          <w:sz w:val="14"/>
          <w:szCs w:val="14"/>
        </w:rPr>
        <w:t xml:space="preserve"> 6</w:t>
      </w:r>
      <w:r w:rsidR="00E62C4F" w:rsidRPr="007325E6">
        <w:rPr>
          <w:rFonts w:asciiTheme="majorHAnsi" w:hAnsiTheme="majorHAnsi" w:cstheme="majorHAnsi"/>
          <w:i/>
          <w:sz w:val="14"/>
          <w:szCs w:val="14"/>
        </w:rPr>
        <w:t xml:space="preserve"> </w:t>
      </w:r>
      <w:r w:rsidR="00972A16" w:rsidRPr="007325E6">
        <w:rPr>
          <w:rFonts w:asciiTheme="majorHAnsi" w:hAnsiTheme="majorHAnsi" w:cstheme="majorHAnsi"/>
          <w:i/>
          <w:sz w:val="14"/>
          <w:szCs w:val="14"/>
        </w:rPr>
        <w:t xml:space="preserve"> Numri i rregulloreve të publikuara</w:t>
      </w:r>
      <w:r w:rsidR="00C90220" w:rsidRPr="007325E6">
        <w:rPr>
          <w:rFonts w:asciiTheme="majorHAnsi" w:hAnsiTheme="majorHAnsi" w:cstheme="majorHAnsi"/>
          <w:i/>
          <w:sz w:val="14"/>
          <w:szCs w:val="14"/>
        </w:rPr>
        <w:t xml:space="preserve"> nga komunat</w:t>
      </w:r>
      <w:bookmarkStart w:id="23" w:name="_Toc130455680"/>
    </w:p>
    <w:bookmarkEnd w:id="23"/>
    <w:p w14:paraId="5AF476CB" w14:textId="77777777" w:rsidR="0062583A" w:rsidRPr="00325C4E" w:rsidRDefault="0062583A" w:rsidP="0062583A">
      <w:pPr>
        <w:spacing w:before="100" w:beforeAutospacing="1" w:after="100" w:afterAutospacing="1" w:line="276" w:lineRule="auto"/>
        <w:outlineLvl w:val="1"/>
        <w:rPr>
          <w:rFonts w:asciiTheme="majorHAnsi" w:eastAsia="Times New Roman" w:hAnsiTheme="majorHAnsi" w:cstheme="majorHAnsi"/>
          <w:b/>
          <w:bCs/>
          <w:color w:val="2F5496" w:themeColor="accent5" w:themeShade="BF"/>
          <w:lang w:eastAsia="en-GB"/>
        </w:rPr>
      </w:pPr>
      <w:r w:rsidRPr="00325C4E">
        <w:rPr>
          <w:rFonts w:asciiTheme="majorHAnsi" w:eastAsia="Times New Roman" w:hAnsiTheme="majorHAnsi" w:cstheme="majorHAnsi"/>
          <w:b/>
          <w:bCs/>
          <w:color w:val="2F5496" w:themeColor="accent5" w:themeShade="BF"/>
          <w:lang w:eastAsia="en-GB"/>
        </w:rPr>
        <w:t>Procesverbalet e mbledhjeve të Kuvendit të Komunës</w:t>
      </w:r>
    </w:p>
    <w:p w14:paraId="6F7E321E" w14:textId="77777777" w:rsidR="0062583A" w:rsidRPr="0062583A" w:rsidRDefault="0062583A" w:rsidP="0062583A">
      <w:pPr>
        <w:spacing w:before="100" w:beforeAutospacing="1" w:after="100" w:afterAutospacing="1" w:line="276" w:lineRule="auto"/>
        <w:rPr>
          <w:rFonts w:asciiTheme="majorHAnsi" w:eastAsia="Times New Roman" w:hAnsiTheme="majorHAnsi" w:cstheme="majorHAnsi"/>
          <w:lang w:eastAsia="en-GB"/>
        </w:rPr>
      </w:pPr>
      <w:r w:rsidRPr="0062583A">
        <w:rPr>
          <w:rFonts w:asciiTheme="majorHAnsi" w:eastAsia="Times New Roman" w:hAnsiTheme="majorHAnsi" w:cstheme="majorHAnsi"/>
          <w:lang w:eastAsia="en-GB"/>
        </w:rPr>
        <w:t xml:space="preserve">Bazuar në nenin 12 të Udhëzimit Administrativ Nr. 04/2023 për Administratë të Hapur në Komuna, komunat obligohen të publikojnë në ueb-faqet e tyre zyrtare procesverbalet e mbledhjeve të Kuvendit Komunal dhe të komiteteve </w:t>
      </w:r>
      <w:proofErr w:type="spellStart"/>
      <w:r w:rsidRPr="0062583A">
        <w:rPr>
          <w:rFonts w:asciiTheme="majorHAnsi" w:eastAsia="Times New Roman" w:hAnsiTheme="majorHAnsi" w:cstheme="majorHAnsi"/>
          <w:lang w:eastAsia="en-GB"/>
        </w:rPr>
        <w:t>obligative</w:t>
      </w:r>
      <w:proofErr w:type="spellEnd"/>
      <w:r w:rsidRPr="0062583A">
        <w:rPr>
          <w:rFonts w:asciiTheme="majorHAnsi" w:eastAsia="Times New Roman" w:hAnsiTheme="majorHAnsi" w:cstheme="majorHAnsi"/>
          <w:lang w:eastAsia="en-GB"/>
        </w:rPr>
        <w:t>.</w:t>
      </w:r>
    </w:p>
    <w:p w14:paraId="5755AA13" w14:textId="77777777" w:rsidR="0062583A" w:rsidRPr="0062583A" w:rsidRDefault="0062583A" w:rsidP="0062583A">
      <w:pPr>
        <w:spacing w:before="100" w:beforeAutospacing="1" w:after="100" w:afterAutospacing="1" w:line="276" w:lineRule="auto"/>
        <w:rPr>
          <w:rFonts w:asciiTheme="majorHAnsi" w:eastAsia="Times New Roman" w:hAnsiTheme="majorHAnsi" w:cstheme="majorHAnsi"/>
          <w:lang w:eastAsia="en-GB"/>
        </w:rPr>
      </w:pPr>
      <w:r w:rsidRPr="0062583A">
        <w:rPr>
          <w:rFonts w:asciiTheme="majorHAnsi" w:eastAsia="Times New Roman" w:hAnsiTheme="majorHAnsi" w:cstheme="majorHAnsi"/>
          <w:lang w:eastAsia="en-GB"/>
        </w:rPr>
        <w:t>Gjatë periudhës janar–dhjetor 2025, janë publikuar gjithsej 299 procesverbale nga mbledhjet e Kuvendit Komunal në 31 komuna (78.9%), ndërsa 7 komuna (21.1%) nuk kanë publikuar asnjë procesverbal të Kuvendit Komunal.</w:t>
      </w:r>
    </w:p>
    <w:p w14:paraId="0C6A7A70" w14:textId="77777777" w:rsidR="0062583A" w:rsidRPr="007325E6" w:rsidRDefault="0062583A" w:rsidP="0062583A">
      <w:pPr>
        <w:spacing w:before="100" w:beforeAutospacing="1" w:after="100" w:afterAutospacing="1" w:line="276" w:lineRule="auto"/>
        <w:rPr>
          <w:rFonts w:asciiTheme="majorHAnsi" w:eastAsia="Times New Roman" w:hAnsiTheme="majorHAnsi" w:cstheme="majorHAnsi"/>
          <w:lang w:eastAsia="en-GB"/>
        </w:rPr>
      </w:pPr>
      <w:r w:rsidRPr="0062583A">
        <w:rPr>
          <w:rFonts w:asciiTheme="majorHAnsi" w:eastAsia="Times New Roman" w:hAnsiTheme="majorHAnsi" w:cstheme="majorHAnsi"/>
          <w:lang w:eastAsia="en-GB"/>
        </w:rPr>
        <w:t xml:space="preserve">Komunat që nuk kanë publikuar asnjë procesverbal të Kuvendit Komunal janë: </w:t>
      </w:r>
      <w:proofErr w:type="spellStart"/>
      <w:r w:rsidRPr="0062583A">
        <w:rPr>
          <w:rFonts w:asciiTheme="majorHAnsi" w:eastAsia="Times New Roman" w:hAnsiTheme="majorHAnsi" w:cstheme="majorHAnsi"/>
          <w:lang w:eastAsia="en-GB"/>
        </w:rPr>
        <w:t>Kllokot</w:t>
      </w:r>
      <w:proofErr w:type="spellEnd"/>
      <w:r w:rsidRPr="0062583A">
        <w:rPr>
          <w:rFonts w:asciiTheme="majorHAnsi" w:eastAsia="Times New Roman" w:hAnsiTheme="majorHAnsi" w:cstheme="majorHAnsi"/>
          <w:lang w:eastAsia="en-GB"/>
        </w:rPr>
        <w:t xml:space="preserve">, Novobërdë, </w:t>
      </w:r>
      <w:proofErr w:type="spellStart"/>
      <w:r w:rsidRPr="007325E6">
        <w:rPr>
          <w:rFonts w:asciiTheme="majorHAnsi" w:eastAsia="Times New Roman" w:hAnsiTheme="majorHAnsi" w:cstheme="majorHAnsi"/>
          <w:lang w:eastAsia="en-GB"/>
        </w:rPr>
        <w:t>Ranillug</w:t>
      </w:r>
      <w:proofErr w:type="spellEnd"/>
      <w:r w:rsidRPr="007325E6">
        <w:rPr>
          <w:rFonts w:asciiTheme="majorHAnsi" w:eastAsia="Times New Roman" w:hAnsiTheme="majorHAnsi" w:cstheme="majorHAnsi"/>
          <w:lang w:eastAsia="en-GB"/>
        </w:rPr>
        <w:t xml:space="preserve">, Shtërpcë, Zubin Potok, </w:t>
      </w:r>
      <w:proofErr w:type="spellStart"/>
      <w:r w:rsidRPr="007325E6">
        <w:rPr>
          <w:rFonts w:asciiTheme="majorHAnsi" w:eastAsia="Times New Roman" w:hAnsiTheme="majorHAnsi" w:cstheme="majorHAnsi"/>
          <w:lang w:eastAsia="en-GB"/>
        </w:rPr>
        <w:t>Zveçan</w:t>
      </w:r>
      <w:proofErr w:type="spellEnd"/>
      <w:r w:rsidRPr="007325E6">
        <w:rPr>
          <w:rFonts w:asciiTheme="majorHAnsi" w:eastAsia="Times New Roman" w:hAnsiTheme="majorHAnsi" w:cstheme="majorHAnsi"/>
          <w:lang w:eastAsia="en-GB"/>
        </w:rPr>
        <w:t xml:space="preserve"> dhe Leposaviq.</w:t>
      </w:r>
    </w:p>
    <w:p w14:paraId="6BE7E4DD" w14:textId="77777777" w:rsidR="0062583A" w:rsidRPr="007325E6" w:rsidRDefault="0062583A" w:rsidP="0062583A">
      <w:pPr>
        <w:spacing w:before="100" w:beforeAutospacing="1" w:after="100" w:afterAutospacing="1" w:line="276" w:lineRule="auto"/>
        <w:rPr>
          <w:rFonts w:asciiTheme="majorHAnsi" w:eastAsia="Times New Roman" w:hAnsiTheme="majorHAnsi" w:cstheme="majorHAnsi"/>
          <w:lang w:eastAsia="en-GB"/>
        </w:rPr>
      </w:pPr>
      <w:r w:rsidRPr="007325E6">
        <w:rPr>
          <w:rFonts w:asciiTheme="majorHAnsi" w:eastAsia="Times New Roman" w:hAnsiTheme="majorHAnsi" w:cstheme="majorHAnsi"/>
          <w:lang w:eastAsia="en-GB"/>
        </w:rPr>
        <w:t>Krahasuar me të dhënat e Raportit për Vlerësimin e Transparencës për vitin 2024, kur janë publikuar 328 procesverbale, konstatohet një rënie prej 29 procesverbalesh gjatë vitit 2025. Megjithatë, vërehet një rritje në numrin e komunave që kanë publikuar procesverbale, për dy komuna më shumë krahasuar me vitin paraprak.</w:t>
      </w:r>
    </w:p>
    <w:p w14:paraId="586FBE2F" w14:textId="77777777" w:rsidR="0062583A" w:rsidRPr="00325C4E" w:rsidRDefault="0062583A" w:rsidP="0062583A">
      <w:pPr>
        <w:spacing w:before="100" w:beforeAutospacing="1" w:after="100" w:afterAutospacing="1" w:line="276" w:lineRule="auto"/>
        <w:outlineLvl w:val="1"/>
        <w:rPr>
          <w:rFonts w:asciiTheme="majorHAnsi" w:eastAsia="Times New Roman" w:hAnsiTheme="majorHAnsi" w:cstheme="majorHAnsi"/>
          <w:b/>
          <w:bCs/>
          <w:color w:val="2F5496" w:themeColor="accent5" w:themeShade="BF"/>
          <w:lang w:val="fr-FR" w:eastAsia="en-GB"/>
        </w:rPr>
      </w:pPr>
      <w:proofErr w:type="spellStart"/>
      <w:r w:rsidRPr="00325C4E">
        <w:rPr>
          <w:rFonts w:asciiTheme="majorHAnsi" w:eastAsia="Times New Roman" w:hAnsiTheme="majorHAnsi" w:cstheme="majorHAnsi"/>
          <w:b/>
          <w:bCs/>
          <w:color w:val="2F5496" w:themeColor="accent5" w:themeShade="BF"/>
          <w:lang w:val="fr-FR" w:eastAsia="en-GB"/>
        </w:rPr>
        <w:t>Procesverbalet</w:t>
      </w:r>
      <w:proofErr w:type="spellEnd"/>
      <w:r w:rsidRPr="00325C4E">
        <w:rPr>
          <w:rFonts w:asciiTheme="majorHAnsi" w:eastAsia="Times New Roman" w:hAnsiTheme="majorHAnsi" w:cstheme="majorHAnsi"/>
          <w:b/>
          <w:bCs/>
          <w:color w:val="2F5496" w:themeColor="accent5" w:themeShade="BF"/>
          <w:lang w:val="fr-FR" w:eastAsia="en-GB"/>
        </w:rPr>
        <w:t xml:space="preserve"> </w:t>
      </w:r>
      <w:proofErr w:type="spellStart"/>
      <w:r w:rsidRPr="00325C4E">
        <w:rPr>
          <w:rFonts w:asciiTheme="majorHAnsi" w:eastAsia="Times New Roman" w:hAnsiTheme="majorHAnsi" w:cstheme="majorHAnsi"/>
          <w:b/>
          <w:bCs/>
          <w:color w:val="2F5496" w:themeColor="accent5" w:themeShade="BF"/>
          <w:lang w:val="fr-FR" w:eastAsia="en-GB"/>
        </w:rPr>
        <w:t>nga</w:t>
      </w:r>
      <w:proofErr w:type="spellEnd"/>
      <w:r w:rsidRPr="00325C4E">
        <w:rPr>
          <w:rFonts w:asciiTheme="majorHAnsi" w:eastAsia="Times New Roman" w:hAnsiTheme="majorHAnsi" w:cstheme="majorHAnsi"/>
          <w:b/>
          <w:bCs/>
          <w:color w:val="2F5496" w:themeColor="accent5" w:themeShade="BF"/>
          <w:lang w:val="fr-FR" w:eastAsia="en-GB"/>
        </w:rPr>
        <w:t xml:space="preserve"> </w:t>
      </w:r>
      <w:proofErr w:type="spellStart"/>
      <w:r w:rsidRPr="00325C4E">
        <w:rPr>
          <w:rFonts w:asciiTheme="majorHAnsi" w:eastAsia="Times New Roman" w:hAnsiTheme="majorHAnsi" w:cstheme="majorHAnsi"/>
          <w:b/>
          <w:bCs/>
          <w:color w:val="2F5496" w:themeColor="accent5" w:themeShade="BF"/>
          <w:lang w:val="fr-FR" w:eastAsia="en-GB"/>
        </w:rPr>
        <w:t>mbledhjet</w:t>
      </w:r>
      <w:proofErr w:type="spellEnd"/>
      <w:r w:rsidRPr="00325C4E">
        <w:rPr>
          <w:rFonts w:asciiTheme="majorHAnsi" w:eastAsia="Times New Roman" w:hAnsiTheme="majorHAnsi" w:cstheme="majorHAnsi"/>
          <w:b/>
          <w:bCs/>
          <w:color w:val="2F5496" w:themeColor="accent5" w:themeShade="BF"/>
          <w:lang w:val="fr-FR" w:eastAsia="en-GB"/>
        </w:rPr>
        <w:t xml:space="preserve"> e </w:t>
      </w:r>
      <w:proofErr w:type="spellStart"/>
      <w:r w:rsidRPr="00325C4E">
        <w:rPr>
          <w:rFonts w:asciiTheme="majorHAnsi" w:eastAsia="Times New Roman" w:hAnsiTheme="majorHAnsi" w:cstheme="majorHAnsi"/>
          <w:b/>
          <w:bCs/>
          <w:color w:val="2F5496" w:themeColor="accent5" w:themeShade="BF"/>
          <w:lang w:val="fr-FR" w:eastAsia="en-GB"/>
        </w:rPr>
        <w:t>Komitetit</w:t>
      </w:r>
      <w:proofErr w:type="spellEnd"/>
      <w:r w:rsidRPr="00325C4E">
        <w:rPr>
          <w:rFonts w:asciiTheme="majorHAnsi" w:eastAsia="Times New Roman" w:hAnsiTheme="majorHAnsi" w:cstheme="majorHAnsi"/>
          <w:b/>
          <w:bCs/>
          <w:color w:val="2F5496" w:themeColor="accent5" w:themeShade="BF"/>
          <w:lang w:val="fr-FR" w:eastAsia="en-GB"/>
        </w:rPr>
        <w:t xml:space="preserve"> </w:t>
      </w:r>
      <w:proofErr w:type="spellStart"/>
      <w:r w:rsidRPr="00325C4E">
        <w:rPr>
          <w:rFonts w:asciiTheme="majorHAnsi" w:eastAsia="Times New Roman" w:hAnsiTheme="majorHAnsi" w:cstheme="majorHAnsi"/>
          <w:b/>
          <w:bCs/>
          <w:color w:val="2F5496" w:themeColor="accent5" w:themeShade="BF"/>
          <w:lang w:val="fr-FR" w:eastAsia="en-GB"/>
        </w:rPr>
        <w:t>për</w:t>
      </w:r>
      <w:proofErr w:type="spellEnd"/>
      <w:r w:rsidRPr="00325C4E">
        <w:rPr>
          <w:rFonts w:asciiTheme="majorHAnsi" w:eastAsia="Times New Roman" w:hAnsiTheme="majorHAnsi" w:cstheme="majorHAnsi"/>
          <w:b/>
          <w:bCs/>
          <w:color w:val="2F5496" w:themeColor="accent5" w:themeShade="BF"/>
          <w:lang w:val="fr-FR" w:eastAsia="en-GB"/>
        </w:rPr>
        <w:t xml:space="preserve"> </w:t>
      </w:r>
      <w:proofErr w:type="spellStart"/>
      <w:r w:rsidRPr="00325C4E">
        <w:rPr>
          <w:rFonts w:asciiTheme="majorHAnsi" w:eastAsia="Times New Roman" w:hAnsiTheme="majorHAnsi" w:cstheme="majorHAnsi"/>
          <w:b/>
          <w:bCs/>
          <w:color w:val="2F5496" w:themeColor="accent5" w:themeShade="BF"/>
          <w:lang w:val="fr-FR" w:eastAsia="en-GB"/>
        </w:rPr>
        <w:t>Politikë</w:t>
      </w:r>
      <w:proofErr w:type="spellEnd"/>
      <w:r w:rsidRPr="00325C4E">
        <w:rPr>
          <w:rFonts w:asciiTheme="majorHAnsi" w:eastAsia="Times New Roman" w:hAnsiTheme="majorHAnsi" w:cstheme="majorHAnsi"/>
          <w:b/>
          <w:bCs/>
          <w:color w:val="2F5496" w:themeColor="accent5" w:themeShade="BF"/>
          <w:lang w:val="fr-FR" w:eastAsia="en-GB"/>
        </w:rPr>
        <w:t xml:space="preserve"> </w:t>
      </w:r>
      <w:proofErr w:type="spellStart"/>
      <w:r w:rsidRPr="00325C4E">
        <w:rPr>
          <w:rFonts w:asciiTheme="majorHAnsi" w:eastAsia="Times New Roman" w:hAnsiTheme="majorHAnsi" w:cstheme="majorHAnsi"/>
          <w:b/>
          <w:bCs/>
          <w:color w:val="2F5496" w:themeColor="accent5" w:themeShade="BF"/>
          <w:lang w:val="fr-FR" w:eastAsia="en-GB"/>
        </w:rPr>
        <w:t>dhe</w:t>
      </w:r>
      <w:proofErr w:type="spellEnd"/>
      <w:r w:rsidRPr="00325C4E">
        <w:rPr>
          <w:rFonts w:asciiTheme="majorHAnsi" w:eastAsia="Times New Roman" w:hAnsiTheme="majorHAnsi" w:cstheme="majorHAnsi"/>
          <w:b/>
          <w:bCs/>
          <w:color w:val="2F5496" w:themeColor="accent5" w:themeShade="BF"/>
          <w:lang w:val="fr-FR" w:eastAsia="en-GB"/>
        </w:rPr>
        <w:t xml:space="preserve"> </w:t>
      </w:r>
      <w:proofErr w:type="spellStart"/>
      <w:r w:rsidRPr="00325C4E">
        <w:rPr>
          <w:rFonts w:asciiTheme="majorHAnsi" w:eastAsia="Times New Roman" w:hAnsiTheme="majorHAnsi" w:cstheme="majorHAnsi"/>
          <w:b/>
          <w:bCs/>
          <w:color w:val="2F5496" w:themeColor="accent5" w:themeShade="BF"/>
          <w:lang w:val="fr-FR" w:eastAsia="en-GB"/>
        </w:rPr>
        <w:t>Financa</w:t>
      </w:r>
      <w:proofErr w:type="spellEnd"/>
    </w:p>
    <w:p w14:paraId="51DFE644" w14:textId="77777777" w:rsidR="0062583A" w:rsidRPr="0062583A" w:rsidRDefault="0062583A" w:rsidP="0062583A">
      <w:pPr>
        <w:spacing w:before="100" w:beforeAutospacing="1" w:after="100" w:afterAutospacing="1" w:line="276" w:lineRule="auto"/>
        <w:rPr>
          <w:rFonts w:asciiTheme="majorHAnsi" w:eastAsia="Times New Roman" w:hAnsiTheme="majorHAnsi" w:cstheme="majorHAnsi"/>
          <w:lang w:val="fr-FR" w:eastAsia="en-GB"/>
        </w:rPr>
      </w:pPr>
      <w:proofErr w:type="spellStart"/>
      <w:r w:rsidRPr="0062583A">
        <w:rPr>
          <w:rFonts w:asciiTheme="majorHAnsi" w:eastAsia="Times New Roman" w:hAnsiTheme="majorHAnsi" w:cstheme="majorHAnsi"/>
          <w:lang w:val="fr-FR" w:eastAsia="en-GB"/>
        </w:rPr>
        <w:t>Referuar</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të</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dhënave</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nga</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monitorimi</w:t>
      </w:r>
      <w:proofErr w:type="spellEnd"/>
      <w:r w:rsidRPr="0062583A">
        <w:rPr>
          <w:rFonts w:asciiTheme="majorHAnsi" w:eastAsia="Times New Roman" w:hAnsiTheme="majorHAnsi" w:cstheme="majorHAnsi"/>
          <w:lang w:val="fr-FR" w:eastAsia="en-GB"/>
        </w:rPr>
        <w:t xml:space="preserve"> i </w:t>
      </w:r>
      <w:proofErr w:type="spellStart"/>
      <w:r w:rsidRPr="0062583A">
        <w:rPr>
          <w:rFonts w:asciiTheme="majorHAnsi" w:eastAsia="Times New Roman" w:hAnsiTheme="majorHAnsi" w:cstheme="majorHAnsi"/>
          <w:lang w:val="fr-FR" w:eastAsia="en-GB"/>
        </w:rPr>
        <w:t>ueb-faqeve</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zyrtare</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të</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komunave</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për</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periudhën</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janar</w:t>
      </w:r>
      <w:proofErr w:type="spellEnd"/>
      <w:r w:rsidRPr="0062583A">
        <w:rPr>
          <w:rFonts w:asciiTheme="majorHAnsi" w:eastAsia="Times New Roman" w:hAnsiTheme="majorHAnsi" w:cstheme="majorHAnsi"/>
          <w:lang w:val="fr-FR" w:eastAsia="en-GB"/>
        </w:rPr>
        <w:t>–</w:t>
      </w:r>
      <w:proofErr w:type="spellStart"/>
      <w:r w:rsidRPr="0062583A">
        <w:rPr>
          <w:rFonts w:asciiTheme="majorHAnsi" w:eastAsia="Times New Roman" w:hAnsiTheme="majorHAnsi" w:cstheme="majorHAnsi"/>
          <w:lang w:val="fr-FR" w:eastAsia="en-GB"/>
        </w:rPr>
        <w:t>dhjetor</w:t>
      </w:r>
      <w:proofErr w:type="spellEnd"/>
      <w:r w:rsidRPr="0062583A">
        <w:rPr>
          <w:rFonts w:asciiTheme="majorHAnsi" w:eastAsia="Times New Roman" w:hAnsiTheme="majorHAnsi" w:cstheme="majorHAnsi"/>
          <w:lang w:val="fr-FR" w:eastAsia="en-GB"/>
        </w:rPr>
        <w:t xml:space="preserve"> 2025, </w:t>
      </w:r>
      <w:proofErr w:type="spellStart"/>
      <w:r w:rsidRPr="0062583A">
        <w:rPr>
          <w:rFonts w:asciiTheme="majorHAnsi" w:eastAsia="Times New Roman" w:hAnsiTheme="majorHAnsi" w:cstheme="majorHAnsi"/>
          <w:lang w:val="fr-FR" w:eastAsia="en-GB"/>
        </w:rPr>
        <w:t>janë</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publikuar</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gjithsej</w:t>
      </w:r>
      <w:proofErr w:type="spellEnd"/>
      <w:r w:rsidRPr="0062583A">
        <w:rPr>
          <w:rFonts w:asciiTheme="majorHAnsi" w:eastAsia="Times New Roman" w:hAnsiTheme="majorHAnsi" w:cstheme="majorHAnsi"/>
          <w:lang w:val="fr-FR" w:eastAsia="en-GB"/>
        </w:rPr>
        <w:t xml:space="preserve"> 236 </w:t>
      </w:r>
      <w:proofErr w:type="spellStart"/>
      <w:r w:rsidRPr="0062583A">
        <w:rPr>
          <w:rFonts w:asciiTheme="majorHAnsi" w:eastAsia="Times New Roman" w:hAnsiTheme="majorHAnsi" w:cstheme="majorHAnsi"/>
          <w:lang w:val="fr-FR" w:eastAsia="en-GB"/>
        </w:rPr>
        <w:t>procesverbale</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të</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Komitetit</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për</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Politikë</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dhe</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Financa</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nga</w:t>
      </w:r>
      <w:proofErr w:type="spellEnd"/>
      <w:r w:rsidRPr="0062583A">
        <w:rPr>
          <w:rFonts w:asciiTheme="majorHAnsi" w:eastAsia="Times New Roman" w:hAnsiTheme="majorHAnsi" w:cstheme="majorHAnsi"/>
          <w:lang w:val="fr-FR" w:eastAsia="en-GB"/>
        </w:rPr>
        <w:t xml:space="preserve"> 27 </w:t>
      </w:r>
      <w:proofErr w:type="spellStart"/>
      <w:r w:rsidRPr="0062583A">
        <w:rPr>
          <w:rFonts w:asciiTheme="majorHAnsi" w:eastAsia="Times New Roman" w:hAnsiTheme="majorHAnsi" w:cstheme="majorHAnsi"/>
          <w:lang w:val="fr-FR" w:eastAsia="en-GB"/>
        </w:rPr>
        <w:t>komuna</w:t>
      </w:r>
      <w:proofErr w:type="spellEnd"/>
      <w:r w:rsidRPr="0062583A">
        <w:rPr>
          <w:rFonts w:asciiTheme="majorHAnsi" w:eastAsia="Times New Roman" w:hAnsiTheme="majorHAnsi" w:cstheme="majorHAnsi"/>
          <w:lang w:val="fr-FR" w:eastAsia="en-GB"/>
        </w:rPr>
        <w:t xml:space="preserve"> (71%), </w:t>
      </w:r>
      <w:proofErr w:type="spellStart"/>
      <w:r w:rsidRPr="0062583A">
        <w:rPr>
          <w:rFonts w:asciiTheme="majorHAnsi" w:eastAsia="Times New Roman" w:hAnsiTheme="majorHAnsi" w:cstheme="majorHAnsi"/>
          <w:lang w:val="fr-FR" w:eastAsia="en-GB"/>
        </w:rPr>
        <w:t>ndërsa</w:t>
      </w:r>
      <w:proofErr w:type="spellEnd"/>
      <w:r w:rsidRPr="0062583A">
        <w:rPr>
          <w:rFonts w:asciiTheme="majorHAnsi" w:eastAsia="Times New Roman" w:hAnsiTheme="majorHAnsi" w:cstheme="majorHAnsi"/>
          <w:lang w:val="fr-FR" w:eastAsia="en-GB"/>
        </w:rPr>
        <w:t xml:space="preserve"> 11 </w:t>
      </w:r>
      <w:proofErr w:type="spellStart"/>
      <w:r w:rsidRPr="0062583A">
        <w:rPr>
          <w:rFonts w:asciiTheme="majorHAnsi" w:eastAsia="Times New Roman" w:hAnsiTheme="majorHAnsi" w:cstheme="majorHAnsi"/>
          <w:lang w:val="fr-FR" w:eastAsia="en-GB"/>
        </w:rPr>
        <w:t>komuna</w:t>
      </w:r>
      <w:proofErr w:type="spellEnd"/>
      <w:r w:rsidRPr="0062583A">
        <w:rPr>
          <w:rFonts w:asciiTheme="majorHAnsi" w:eastAsia="Times New Roman" w:hAnsiTheme="majorHAnsi" w:cstheme="majorHAnsi"/>
          <w:lang w:val="fr-FR" w:eastAsia="en-GB"/>
        </w:rPr>
        <w:t xml:space="preserve"> (29%) </w:t>
      </w:r>
      <w:proofErr w:type="spellStart"/>
      <w:r w:rsidRPr="0062583A">
        <w:rPr>
          <w:rFonts w:asciiTheme="majorHAnsi" w:eastAsia="Times New Roman" w:hAnsiTheme="majorHAnsi" w:cstheme="majorHAnsi"/>
          <w:lang w:val="fr-FR" w:eastAsia="en-GB"/>
        </w:rPr>
        <w:t>nuk</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kanë</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publikuar</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asnjë</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procesverbal</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të</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këtij</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komiteti</w:t>
      </w:r>
      <w:proofErr w:type="spellEnd"/>
      <w:r w:rsidRPr="0062583A">
        <w:rPr>
          <w:rFonts w:asciiTheme="majorHAnsi" w:eastAsia="Times New Roman" w:hAnsiTheme="majorHAnsi" w:cstheme="majorHAnsi"/>
          <w:lang w:val="fr-FR" w:eastAsia="en-GB"/>
        </w:rPr>
        <w:t>.</w:t>
      </w:r>
    </w:p>
    <w:p w14:paraId="1591ACB3" w14:textId="77777777" w:rsidR="0062583A" w:rsidRPr="0062583A" w:rsidRDefault="0062583A" w:rsidP="0062583A">
      <w:pPr>
        <w:spacing w:before="100" w:beforeAutospacing="1" w:after="100" w:afterAutospacing="1" w:line="276" w:lineRule="auto"/>
        <w:rPr>
          <w:rFonts w:asciiTheme="majorHAnsi" w:eastAsia="Times New Roman" w:hAnsiTheme="majorHAnsi" w:cstheme="majorHAnsi"/>
          <w:lang w:val="fr-FR" w:eastAsia="en-GB"/>
        </w:rPr>
      </w:pPr>
      <w:proofErr w:type="spellStart"/>
      <w:r w:rsidRPr="0062583A">
        <w:rPr>
          <w:rFonts w:asciiTheme="majorHAnsi" w:eastAsia="Times New Roman" w:hAnsiTheme="majorHAnsi" w:cstheme="majorHAnsi"/>
          <w:lang w:val="fr-FR" w:eastAsia="en-GB"/>
        </w:rPr>
        <w:t>Komunat</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që</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nuk</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kanë</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publikuar</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asnjë</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procesverbal</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të</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Komitetit</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për</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Politikë</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dhe</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Financa</w:t>
      </w:r>
      <w:proofErr w:type="spellEnd"/>
      <w:r w:rsidRPr="0062583A">
        <w:rPr>
          <w:rFonts w:asciiTheme="majorHAnsi" w:eastAsia="Times New Roman" w:hAnsiTheme="majorHAnsi" w:cstheme="majorHAnsi"/>
          <w:lang w:val="fr-FR" w:eastAsia="en-GB"/>
        </w:rPr>
        <w:t xml:space="preserve"> </w:t>
      </w:r>
      <w:proofErr w:type="spellStart"/>
      <w:proofErr w:type="gramStart"/>
      <w:r w:rsidRPr="0062583A">
        <w:rPr>
          <w:rFonts w:asciiTheme="majorHAnsi" w:eastAsia="Times New Roman" w:hAnsiTheme="majorHAnsi" w:cstheme="majorHAnsi"/>
          <w:lang w:val="fr-FR" w:eastAsia="en-GB"/>
        </w:rPr>
        <w:t>janë</w:t>
      </w:r>
      <w:proofErr w:type="spellEnd"/>
      <w:r w:rsidRPr="0062583A">
        <w:rPr>
          <w:rFonts w:asciiTheme="majorHAnsi" w:eastAsia="Times New Roman" w:hAnsiTheme="majorHAnsi" w:cstheme="majorHAnsi"/>
          <w:lang w:val="fr-FR" w:eastAsia="en-GB"/>
        </w:rPr>
        <w:t>:</w:t>
      </w:r>
      <w:proofErr w:type="gram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Fushë</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Kosovë</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Gjakovë</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Graçanicë</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Junik</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Kllokot</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Ranillug</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Shtërpcë</w:t>
      </w:r>
      <w:proofErr w:type="spellEnd"/>
      <w:r w:rsidRPr="0062583A">
        <w:rPr>
          <w:rFonts w:asciiTheme="majorHAnsi" w:eastAsia="Times New Roman" w:hAnsiTheme="majorHAnsi" w:cstheme="majorHAnsi"/>
          <w:lang w:val="fr-FR" w:eastAsia="en-GB"/>
        </w:rPr>
        <w:t xml:space="preserve">, Viti, </w:t>
      </w:r>
      <w:proofErr w:type="spellStart"/>
      <w:r w:rsidRPr="0062583A">
        <w:rPr>
          <w:rFonts w:asciiTheme="majorHAnsi" w:eastAsia="Times New Roman" w:hAnsiTheme="majorHAnsi" w:cstheme="majorHAnsi"/>
          <w:lang w:val="fr-FR" w:eastAsia="en-GB"/>
        </w:rPr>
        <w:t>Zubin</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Potok</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Zveçan</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dhe</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Leposaviq</w:t>
      </w:r>
      <w:proofErr w:type="spellEnd"/>
      <w:r w:rsidRPr="0062583A">
        <w:rPr>
          <w:rFonts w:asciiTheme="majorHAnsi" w:eastAsia="Times New Roman" w:hAnsiTheme="majorHAnsi" w:cstheme="majorHAnsi"/>
          <w:lang w:val="fr-FR" w:eastAsia="en-GB"/>
        </w:rPr>
        <w:t>.</w:t>
      </w:r>
    </w:p>
    <w:p w14:paraId="639F458F" w14:textId="07F54B36" w:rsidR="0062583A" w:rsidRPr="007325E6" w:rsidRDefault="0062583A" w:rsidP="007325E6">
      <w:pPr>
        <w:spacing w:before="100" w:beforeAutospacing="1" w:after="100" w:afterAutospacing="1" w:line="276" w:lineRule="auto"/>
        <w:rPr>
          <w:rFonts w:asciiTheme="majorHAnsi" w:eastAsia="Times New Roman" w:hAnsiTheme="majorHAnsi" w:cstheme="majorHAnsi"/>
          <w:lang w:val="fr-FR" w:eastAsia="en-GB"/>
        </w:rPr>
      </w:pPr>
      <w:proofErr w:type="spellStart"/>
      <w:r w:rsidRPr="0062583A">
        <w:rPr>
          <w:rFonts w:asciiTheme="majorHAnsi" w:eastAsia="Times New Roman" w:hAnsiTheme="majorHAnsi" w:cstheme="majorHAnsi"/>
          <w:lang w:val="fr-FR" w:eastAsia="en-GB"/>
        </w:rPr>
        <w:t>Krahasuar</w:t>
      </w:r>
      <w:proofErr w:type="spellEnd"/>
      <w:r w:rsidRPr="0062583A">
        <w:rPr>
          <w:rFonts w:asciiTheme="majorHAnsi" w:eastAsia="Times New Roman" w:hAnsiTheme="majorHAnsi" w:cstheme="majorHAnsi"/>
          <w:lang w:val="fr-FR" w:eastAsia="en-GB"/>
        </w:rPr>
        <w:t xml:space="preserve"> me </w:t>
      </w:r>
      <w:proofErr w:type="spellStart"/>
      <w:r w:rsidRPr="0062583A">
        <w:rPr>
          <w:rFonts w:asciiTheme="majorHAnsi" w:eastAsia="Times New Roman" w:hAnsiTheme="majorHAnsi" w:cstheme="majorHAnsi"/>
          <w:lang w:val="fr-FR" w:eastAsia="en-GB"/>
        </w:rPr>
        <w:t>të</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dhënat</w:t>
      </w:r>
      <w:proofErr w:type="spellEnd"/>
      <w:r w:rsidRPr="0062583A">
        <w:rPr>
          <w:rFonts w:asciiTheme="majorHAnsi" w:eastAsia="Times New Roman" w:hAnsiTheme="majorHAnsi" w:cstheme="majorHAnsi"/>
          <w:lang w:val="fr-FR" w:eastAsia="en-GB"/>
        </w:rPr>
        <w:t xml:space="preserve"> e </w:t>
      </w:r>
      <w:proofErr w:type="spellStart"/>
      <w:r w:rsidRPr="0062583A">
        <w:rPr>
          <w:rFonts w:asciiTheme="majorHAnsi" w:eastAsia="Times New Roman" w:hAnsiTheme="majorHAnsi" w:cstheme="majorHAnsi"/>
          <w:lang w:val="fr-FR" w:eastAsia="en-GB"/>
        </w:rPr>
        <w:t>Raportit</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për</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Vlerësimin</w:t>
      </w:r>
      <w:proofErr w:type="spellEnd"/>
      <w:r w:rsidRPr="0062583A">
        <w:rPr>
          <w:rFonts w:asciiTheme="majorHAnsi" w:eastAsia="Times New Roman" w:hAnsiTheme="majorHAnsi" w:cstheme="majorHAnsi"/>
          <w:lang w:val="fr-FR" w:eastAsia="en-GB"/>
        </w:rPr>
        <w:t xml:space="preserve"> e </w:t>
      </w:r>
      <w:proofErr w:type="spellStart"/>
      <w:r w:rsidRPr="0062583A">
        <w:rPr>
          <w:rFonts w:asciiTheme="majorHAnsi" w:eastAsia="Times New Roman" w:hAnsiTheme="majorHAnsi" w:cstheme="majorHAnsi"/>
          <w:lang w:val="fr-FR" w:eastAsia="en-GB"/>
        </w:rPr>
        <w:t>Transparencës</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për</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vitin</w:t>
      </w:r>
      <w:proofErr w:type="spellEnd"/>
      <w:r w:rsidRPr="0062583A">
        <w:rPr>
          <w:rFonts w:asciiTheme="majorHAnsi" w:eastAsia="Times New Roman" w:hAnsiTheme="majorHAnsi" w:cstheme="majorHAnsi"/>
          <w:lang w:val="fr-FR" w:eastAsia="en-GB"/>
        </w:rPr>
        <w:t xml:space="preserve"> 2024, </w:t>
      </w:r>
      <w:proofErr w:type="spellStart"/>
      <w:r w:rsidRPr="0062583A">
        <w:rPr>
          <w:rFonts w:asciiTheme="majorHAnsi" w:eastAsia="Times New Roman" w:hAnsiTheme="majorHAnsi" w:cstheme="majorHAnsi"/>
          <w:lang w:val="fr-FR" w:eastAsia="en-GB"/>
        </w:rPr>
        <w:t>kur</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janë</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publikuar</w:t>
      </w:r>
      <w:proofErr w:type="spellEnd"/>
      <w:r w:rsidRPr="0062583A">
        <w:rPr>
          <w:rFonts w:asciiTheme="majorHAnsi" w:eastAsia="Times New Roman" w:hAnsiTheme="majorHAnsi" w:cstheme="majorHAnsi"/>
          <w:lang w:val="fr-FR" w:eastAsia="en-GB"/>
        </w:rPr>
        <w:t xml:space="preserve"> 322 </w:t>
      </w:r>
      <w:proofErr w:type="spellStart"/>
      <w:r w:rsidRPr="0062583A">
        <w:rPr>
          <w:rFonts w:asciiTheme="majorHAnsi" w:eastAsia="Times New Roman" w:hAnsiTheme="majorHAnsi" w:cstheme="majorHAnsi"/>
          <w:lang w:val="fr-FR" w:eastAsia="en-GB"/>
        </w:rPr>
        <w:t>procesverbale</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nga</w:t>
      </w:r>
      <w:proofErr w:type="spellEnd"/>
      <w:r w:rsidRPr="0062583A">
        <w:rPr>
          <w:rFonts w:asciiTheme="majorHAnsi" w:eastAsia="Times New Roman" w:hAnsiTheme="majorHAnsi" w:cstheme="majorHAnsi"/>
          <w:lang w:val="fr-FR" w:eastAsia="en-GB"/>
        </w:rPr>
        <w:t xml:space="preserve"> 26 </w:t>
      </w:r>
      <w:proofErr w:type="spellStart"/>
      <w:r w:rsidRPr="0062583A">
        <w:rPr>
          <w:rFonts w:asciiTheme="majorHAnsi" w:eastAsia="Times New Roman" w:hAnsiTheme="majorHAnsi" w:cstheme="majorHAnsi"/>
          <w:lang w:val="fr-FR" w:eastAsia="en-GB"/>
        </w:rPr>
        <w:t>komuna</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konstatohet</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një</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rënie</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prej</w:t>
      </w:r>
      <w:proofErr w:type="spellEnd"/>
      <w:r w:rsidRPr="0062583A">
        <w:rPr>
          <w:rFonts w:asciiTheme="majorHAnsi" w:eastAsia="Times New Roman" w:hAnsiTheme="majorHAnsi" w:cstheme="majorHAnsi"/>
          <w:lang w:val="fr-FR" w:eastAsia="en-GB"/>
        </w:rPr>
        <w:t xml:space="preserve"> 86 </w:t>
      </w:r>
      <w:proofErr w:type="spellStart"/>
      <w:r w:rsidRPr="0062583A">
        <w:rPr>
          <w:rFonts w:asciiTheme="majorHAnsi" w:eastAsia="Times New Roman" w:hAnsiTheme="majorHAnsi" w:cstheme="majorHAnsi"/>
          <w:lang w:val="fr-FR" w:eastAsia="en-GB"/>
        </w:rPr>
        <w:t>procesverbalesh</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gjatë</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vitit</w:t>
      </w:r>
      <w:proofErr w:type="spellEnd"/>
      <w:r w:rsidRPr="0062583A">
        <w:rPr>
          <w:rFonts w:asciiTheme="majorHAnsi" w:eastAsia="Times New Roman" w:hAnsiTheme="majorHAnsi" w:cstheme="majorHAnsi"/>
          <w:lang w:val="fr-FR" w:eastAsia="en-GB"/>
        </w:rPr>
        <w:t xml:space="preserve"> 2025. </w:t>
      </w:r>
      <w:proofErr w:type="spellStart"/>
      <w:r w:rsidRPr="0062583A">
        <w:rPr>
          <w:rFonts w:asciiTheme="majorHAnsi" w:eastAsia="Times New Roman" w:hAnsiTheme="majorHAnsi" w:cstheme="majorHAnsi"/>
          <w:lang w:val="fr-FR" w:eastAsia="en-GB"/>
        </w:rPr>
        <w:t>Ndërkohë</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numri</w:t>
      </w:r>
      <w:proofErr w:type="spellEnd"/>
      <w:r w:rsidRPr="0062583A">
        <w:rPr>
          <w:rFonts w:asciiTheme="majorHAnsi" w:eastAsia="Times New Roman" w:hAnsiTheme="majorHAnsi" w:cstheme="majorHAnsi"/>
          <w:lang w:val="fr-FR" w:eastAsia="en-GB"/>
        </w:rPr>
        <w:t xml:space="preserve"> i </w:t>
      </w:r>
      <w:proofErr w:type="spellStart"/>
      <w:r w:rsidRPr="0062583A">
        <w:rPr>
          <w:rFonts w:asciiTheme="majorHAnsi" w:eastAsia="Times New Roman" w:hAnsiTheme="majorHAnsi" w:cstheme="majorHAnsi"/>
          <w:lang w:val="fr-FR" w:eastAsia="en-GB"/>
        </w:rPr>
        <w:t>komunave</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që</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kanë</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publikuar</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procesverbale</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është</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rritur</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për</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një</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komunë</w:t>
      </w:r>
      <w:proofErr w:type="spellEnd"/>
      <w:r w:rsidRPr="0062583A">
        <w:rPr>
          <w:rFonts w:asciiTheme="majorHAnsi" w:eastAsia="Times New Roman" w:hAnsiTheme="majorHAnsi" w:cstheme="majorHAnsi"/>
          <w:lang w:val="fr-FR" w:eastAsia="en-GB"/>
        </w:rPr>
        <w:t xml:space="preserve"> </w:t>
      </w:r>
      <w:proofErr w:type="spellStart"/>
      <w:r w:rsidR="007325E6">
        <w:rPr>
          <w:rFonts w:asciiTheme="majorHAnsi" w:eastAsia="Times New Roman" w:hAnsiTheme="majorHAnsi" w:cstheme="majorHAnsi"/>
          <w:lang w:val="fr-FR" w:eastAsia="en-GB"/>
        </w:rPr>
        <w:t>më</w:t>
      </w:r>
      <w:proofErr w:type="spellEnd"/>
      <w:r w:rsidR="007325E6">
        <w:rPr>
          <w:rFonts w:asciiTheme="majorHAnsi" w:eastAsia="Times New Roman" w:hAnsiTheme="majorHAnsi" w:cstheme="majorHAnsi"/>
          <w:lang w:val="fr-FR" w:eastAsia="en-GB"/>
        </w:rPr>
        <w:t xml:space="preserve"> </w:t>
      </w:r>
      <w:proofErr w:type="spellStart"/>
      <w:r w:rsidR="007325E6">
        <w:rPr>
          <w:rFonts w:asciiTheme="majorHAnsi" w:eastAsia="Times New Roman" w:hAnsiTheme="majorHAnsi" w:cstheme="majorHAnsi"/>
          <w:lang w:val="fr-FR" w:eastAsia="en-GB"/>
        </w:rPr>
        <w:t>shumë</w:t>
      </w:r>
      <w:proofErr w:type="spellEnd"/>
      <w:r w:rsidR="007325E6">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krahasuar</w:t>
      </w:r>
      <w:proofErr w:type="spellEnd"/>
      <w:r w:rsidRPr="0062583A">
        <w:rPr>
          <w:rFonts w:asciiTheme="majorHAnsi" w:eastAsia="Times New Roman" w:hAnsiTheme="majorHAnsi" w:cstheme="majorHAnsi"/>
          <w:lang w:val="fr-FR" w:eastAsia="en-GB"/>
        </w:rPr>
        <w:t xml:space="preserve"> me </w:t>
      </w:r>
      <w:proofErr w:type="spellStart"/>
      <w:r w:rsidRPr="0062583A">
        <w:rPr>
          <w:rFonts w:asciiTheme="majorHAnsi" w:eastAsia="Times New Roman" w:hAnsiTheme="majorHAnsi" w:cstheme="majorHAnsi"/>
          <w:lang w:val="fr-FR" w:eastAsia="en-GB"/>
        </w:rPr>
        <w:t>vitin</w:t>
      </w:r>
      <w:proofErr w:type="spellEnd"/>
      <w:r w:rsidRPr="0062583A">
        <w:rPr>
          <w:rFonts w:asciiTheme="majorHAnsi" w:eastAsia="Times New Roman" w:hAnsiTheme="majorHAnsi" w:cstheme="majorHAnsi"/>
          <w:lang w:val="fr-FR" w:eastAsia="en-GB"/>
        </w:rPr>
        <w:t xml:space="preserve"> </w:t>
      </w:r>
      <w:proofErr w:type="spellStart"/>
      <w:r w:rsidRPr="0062583A">
        <w:rPr>
          <w:rFonts w:asciiTheme="majorHAnsi" w:eastAsia="Times New Roman" w:hAnsiTheme="majorHAnsi" w:cstheme="majorHAnsi"/>
          <w:lang w:val="fr-FR" w:eastAsia="en-GB"/>
        </w:rPr>
        <w:t>paraprak</w:t>
      </w:r>
      <w:proofErr w:type="spellEnd"/>
      <w:r w:rsidRPr="0062583A">
        <w:rPr>
          <w:rFonts w:asciiTheme="majorHAnsi" w:eastAsia="Times New Roman" w:hAnsiTheme="majorHAnsi" w:cstheme="majorHAnsi"/>
          <w:lang w:val="fr-FR" w:eastAsia="en-GB"/>
        </w:rPr>
        <w:t>.</w:t>
      </w:r>
      <w:bookmarkStart w:id="24" w:name="_Toc227827166"/>
    </w:p>
    <w:p w14:paraId="49BE7A65" w14:textId="14CEFBD1" w:rsidR="00B175B2" w:rsidRPr="007325E6" w:rsidRDefault="00137FF6" w:rsidP="00B175B2">
      <w:pPr>
        <w:pStyle w:val="Style3"/>
        <w:rPr>
          <w:rFonts w:eastAsia="Times New Roman" w:cstheme="majorHAnsi"/>
          <w:sz w:val="22"/>
          <w:szCs w:val="22"/>
        </w:rPr>
      </w:pPr>
      <w:r w:rsidRPr="007325E6">
        <w:rPr>
          <w:rFonts w:eastAsia="Times New Roman" w:cstheme="majorHAnsi"/>
          <w:sz w:val="22"/>
          <w:szCs w:val="22"/>
        </w:rPr>
        <w:t>Procesverbale</w:t>
      </w:r>
      <w:r w:rsidR="00552391" w:rsidRPr="007325E6">
        <w:rPr>
          <w:rFonts w:eastAsia="Times New Roman" w:cstheme="majorHAnsi"/>
          <w:sz w:val="22"/>
          <w:szCs w:val="22"/>
        </w:rPr>
        <w:t>t</w:t>
      </w:r>
      <w:r w:rsidRPr="007325E6">
        <w:rPr>
          <w:rFonts w:eastAsia="Times New Roman" w:cstheme="majorHAnsi"/>
          <w:sz w:val="22"/>
          <w:szCs w:val="22"/>
        </w:rPr>
        <w:t xml:space="preserve"> nga </w:t>
      </w:r>
      <w:r w:rsidR="00025A7B" w:rsidRPr="007325E6">
        <w:rPr>
          <w:rFonts w:eastAsia="Times New Roman" w:cstheme="majorHAnsi"/>
          <w:sz w:val="22"/>
          <w:szCs w:val="22"/>
        </w:rPr>
        <w:t xml:space="preserve"> mbledhjet e </w:t>
      </w:r>
      <w:r w:rsidR="00F07802" w:rsidRPr="007325E6">
        <w:rPr>
          <w:rFonts w:eastAsia="Times New Roman" w:cstheme="majorHAnsi"/>
          <w:sz w:val="22"/>
          <w:szCs w:val="22"/>
        </w:rPr>
        <w:t>Komitetit për Komunitete</w:t>
      </w:r>
      <w:bookmarkEnd w:id="24"/>
    </w:p>
    <w:p w14:paraId="4E76210C" w14:textId="381A7CD9" w:rsidR="00294F9E" w:rsidRPr="007325E6" w:rsidRDefault="00D83453" w:rsidP="00D83453">
      <w:pPr>
        <w:spacing w:before="100" w:beforeAutospacing="1" w:after="100" w:afterAutospacing="1" w:line="276" w:lineRule="auto"/>
        <w:rPr>
          <w:rFonts w:asciiTheme="majorHAnsi" w:eastAsia="Times New Roman" w:hAnsiTheme="majorHAnsi" w:cstheme="majorHAnsi"/>
          <w:bCs/>
          <w:kern w:val="20"/>
        </w:rPr>
      </w:pPr>
      <w:r w:rsidRPr="00275069">
        <w:rPr>
          <w:rFonts w:asciiTheme="majorHAnsi" w:hAnsiTheme="majorHAnsi" w:cstheme="majorHAnsi"/>
        </w:rPr>
        <w:t>Po ashtu, sa i përket publikimit të procesverbaleve të Komitetit për Komunitete</w:t>
      </w:r>
      <w:r w:rsidRPr="00275069">
        <w:rPr>
          <w:rFonts w:asciiTheme="majorHAnsi" w:eastAsia="Times New Roman" w:hAnsiTheme="majorHAnsi" w:cstheme="majorHAnsi"/>
          <w:bCs/>
          <w:kern w:val="20"/>
        </w:rPr>
        <w:t xml:space="preserve"> </w:t>
      </w:r>
      <w:r w:rsidR="00A65B77" w:rsidRPr="00275069">
        <w:rPr>
          <w:rFonts w:asciiTheme="majorHAnsi" w:eastAsia="Times New Roman" w:hAnsiTheme="majorHAnsi" w:cstheme="majorHAnsi"/>
          <w:bCs/>
          <w:kern w:val="20"/>
        </w:rPr>
        <w:t xml:space="preserve">janë </w:t>
      </w:r>
      <w:r w:rsidR="00A65B77" w:rsidRPr="007325E6">
        <w:rPr>
          <w:rFonts w:asciiTheme="majorHAnsi" w:eastAsia="Times New Roman" w:hAnsiTheme="majorHAnsi" w:cstheme="majorHAnsi"/>
          <w:bCs/>
          <w:kern w:val="20"/>
        </w:rPr>
        <w:t xml:space="preserve">publikuar </w:t>
      </w:r>
      <w:r w:rsidR="00D14BA0" w:rsidRPr="007325E6">
        <w:rPr>
          <w:rFonts w:asciiTheme="majorHAnsi" w:eastAsia="Times New Roman" w:hAnsiTheme="majorHAnsi" w:cstheme="majorHAnsi"/>
          <w:bCs/>
          <w:lang w:eastAsia="sq-AL"/>
        </w:rPr>
        <w:t xml:space="preserve">101 procesverbale nga 18 komuna (48%) </w:t>
      </w:r>
      <w:r w:rsidR="00A65B77" w:rsidRPr="007325E6">
        <w:rPr>
          <w:rFonts w:asciiTheme="majorHAnsi" w:eastAsia="Times New Roman" w:hAnsiTheme="majorHAnsi" w:cstheme="majorHAnsi"/>
          <w:bCs/>
          <w:kern w:val="20"/>
        </w:rPr>
        <w:t xml:space="preserve">ndërsa </w:t>
      </w:r>
      <w:r w:rsidR="00D14BA0" w:rsidRPr="007325E6">
        <w:rPr>
          <w:rFonts w:asciiTheme="majorHAnsi" w:eastAsia="Times New Roman" w:hAnsiTheme="majorHAnsi" w:cstheme="majorHAnsi"/>
          <w:bCs/>
          <w:lang w:eastAsia="sq-AL"/>
        </w:rPr>
        <w:t xml:space="preserve">20 komuna (52%) nuk kanë publikuar asnjë </w:t>
      </w:r>
      <w:r w:rsidR="007C5173" w:rsidRPr="007325E6">
        <w:rPr>
          <w:rFonts w:asciiTheme="majorHAnsi" w:eastAsia="Times New Roman" w:hAnsiTheme="majorHAnsi" w:cstheme="majorHAnsi"/>
          <w:bCs/>
          <w:kern w:val="20"/>
        </w:rPr>
        <w:t>procesverbal</w:t>
      </w:r>
      <w:r w:rsidR="00F81419" w:rsidRPr="007325E6">
        <w:rPr>
          <w:rFonts w:asciiTheme="majorHAnsi" w:eastAsia="Times New Roman" w:hAnsiTheme="majorHAnsi" w:cstheme="majorHAnsi"/>
          <w:bCs/>
          <w:kern w:val="20"/>
        </w:rPr>
        <w:t xml:space="preserve"> për mbledhjet e Komitetit për Komunitete.</w:t>
      </w:r>
    </w:p>
    <w:p w14:paraId="4E509AD6" w14:textId="77777777" w:rsidR="00021261" w:rsidRPr="007325E6" w:rsidRDefault="00021261" w:rsidP="00D83453">
      <w:pPr>
        <w:spacing w:line="276" w:lineRule="auto"/>
        <w:rPr>
          <w:rFonts w:asciiTheme="majorHAnsi" w:hAnsiTheme="majorHAnsi" w:cstheme="majorHAnsi"/>
          <w:bCs/>
          <w:color w:val="1F497D"/>
        </w:rPr>
      </w:pPr>
      <w:r w:rsidRPr="007325E6">
        <w:rPr>
          <w:rFonts w:asciiTheme="majorHAnsi" w:hAnsiTheme="majorHAnsi" w:cstheme="majorHAnsi"/>
          <w:bCs/>
        </w:rPr>
        <w:t>Komunat, të cilat nuk kanë publikuar asnjë procesverbal të</w:t>
      </w:r>
      <w:r w:rsidRPr="007325E6">
        <w:rPr>
          <w:rFonts w:asciiTheme="majorHAnsi" w:eastAsia="Times New Roman" w:hAnsiTheme="majorHAnsi" w:cstheme="majorHAnsi"/>
          <w:bCs/>
          <w:kern w:val="20"/>
        </w:rPr>
        <w:t xml:space="preserve"> Komitetit për Komunitete, </w:t>
      </w:r>
      <w:r w:rsidRPr="007325E6">
        <w:rPr>
          <w:rFonts w:asciiTheme="majorHAnsi" w:hAnsiTheme="majorHAnsi" w:cstheme="majorHAnsi"/>
          <w:bCs/>
        </w:rPr>
        <w:t xml:space="preserve">janë si vijon; Deçan, Fushë Kosovë, Gjakovë, Gllogoc, </w:t>
      </w:r>
      <w:proofErr w:type="spellStart"/>
      <w:r w:rsidRPr="007325E6">
        <w:rPr>
          <w:rFonts w:asciiTheme="majorHAnsi" w:hAnsiTheme="majorHAnsi" w:cstheme="majorHAnsi"/>
          <w:bCs/>
        </w:rPr>
        <w:t>Graçanicë</w:t>
      </w:r>
      <w:proofErr w:type="spellEnd"/>
      <w:r w:rsidRPr="007325E6">
        <w:rPr>
          <w:rFonts w:asciiTheme="majorHAnsi" w:hAnsiTheme="majorHAnsi" w:cstheme="majorHAnsi"/>
          <w:bCs/>
        </w:rPr>
        <w:t xml:space="preserve">, Istog, Junik, Klinë, </w:t>
      </w:r>
      <w:proofErr w:type="spellStart"/>
      <w:r w:rsidRPr="007325E6">
        <w:rPr>
          <w:rFonts w:asciiTheme="majorHAnsi" w:hAnsiTheme="majorHAnsi" w:cstheme="majorHAnsi"/>
          <w:bCs/>
        </w:rPr>
        <w:t>Kllokot</w:t>
      </w:r>
      <w:proofErr w:type="spellEnd"/>
      <w:r w:rsidRPr="007325E6">
        <w:rPr>
          <w:rFonts w:asciiTheme="majorHAnsi" w:hAnsiTheme="majorHAnsi" w:cstheme="majorHAnsi"/>
          <w:bCs/>
        </w:rPr>
        <w:t xml:space="preserve">, Obiliq, Pejë, Prizren, </w:t>
      </w:r>
      <w:proofErr w:type="spellStart"/>
      <w:r w:rsidRPr="007325E6">
        <w:rPr>
          <w:rFonts w:asciiTheme="majorHAnsi" w:hAnsiTheme="majorHAnsi" w:cstheme="majorHAnsi"/>
          <w:bCs/>
        </w:rPr>
        <w:t>Ranillug</w:t>
      </w:r>
      <w:proofErr w:type="spellEnd"/>
      <w:r w:rsidRPr="007325E6">
        <w:rPr>
          <w:rFonts w:asciiTheme="majorHAnsi" w:hAnsiTheme="majorHAnsi" w:cstheme="majorHAnsi"/>
          <w:bCs/>
        </w:rPr>
        <w:t xml:space="preserve">, Shtërpce, Skenderaj, Suharekë, Viti, Zubin Potok, </w:t>
      </w:r>
      <w:proofErr w:type="spellStart"/>
      <w:r w:rsidRPr="007325E6">
        <w:rPr>
          <w:rFonts w:asciiTheme="majorHAnsi" w:hAnsiTheme="majorHAnsi" w:cstheme="majorHAnsi"/>
          <w:bCs/>
        </w:rPr>
        <w:t>Zveqan</w:t>
      </w:r>
      <w:proofErr w:type="spellEnd"/>
      <w:r w:rsidRPr="007325E6">
        <w:rPr>
          <w:rFonts w:asciiTheme="majorHAnsi" w:hAnsiTheme="majorHAnsi" w:cstheme="majorHAnsi"/>
          <w:bCs/>
        </w:rPr>
        <w:t>, Leposaviq.</w:t>
      </w:r>
    </w:p>
    <w:p w14:paraId="4A899A82" w14:textId="6694300D" w:rsidR="007325E6" w:rsidRPr="007325E6" w:rsidRDefault="00021261" w:rsidP="00A70BC5">
      <w:pPr>
        <w:spacing w:line="276" w:lineRule="auto"/>
        <w:rPr>
          <w:rFonts w:asciiTheme="majorHAnsi" w:hAnsiTheme="majorHAnsi" w:cstheme="majorHAnsi"/>
          <w:bCs/>
          <w:iCs/>
        </w:rPr>
      </w:pPr>
      <w:r w:rsidRPr="007325E6">
        <w:rPr>
          <w:rFonts w:asciiTheme="majorHAnsi" w:hAnsiTheme="majorHAnsi" w:cstheme="majorHAnsi"/>
          <w:bCs/>
          <w:iCs/>
        </w:rPr>
        <w:t>Krahasuar  me të dhënat e Raportit për vlerësimin e transparencës për vitin</w:t>
      </w:r>
      <w:r w:rsidR="00910E6E">
        <w:rPr>
          <w:rFonts w:asciiTheme="majorHAnsi" w:hAnsiTheme="majorHAnsi" w:cstheme="majorHAnsi"/>
          <w:bCs/>
          <w:iCs/>
        </w:rPr>
        <w:t xml:space="preserve"> </w:t>
      </w:r>
      <w:r w:rsidRPr="007325E6">
        <w:rPr>
          <w:rFonts w:asciiTheme="majorHAnsi" w:hAnsiTheme="majorHAnsi" w:cstheme="majorHAnsi"/>
          <w:bCs/>
          <w:iCs/>
        </w:rPr>
        <w:t>2024 që ishin të publikuara 146 procesverbale,  vërehet se  ka një rënie prej 45 procesverbale</w:t>
      </w:r>
      <w:r w:rsidR="00AD06D8">
        <w:rPr>
          <w:rFonts w:asciiTheme="majorHAnsi" w:hAnsiTheme="majorHAnsi" w:cstheme="majorHAnsi"/>
          <w:bCs/>
          <w:iCs/>
        </w:rPr>
        <w:t>sh</w:t>
      </w:r>
      <w:r w:rsidRPr="007325E6">
        <w:rPr>
          <w:rFonts w:asciiTheme="majorHAnsi" w:hAnsiTheme="majorHAnsi" w:cstheme="majorHAnsi"/>
          <w:bCs/>
          <w:iCs/>
        </w:rPr>
        <w:t xml:space="preserve"> më pak gjatë vitit 2025,</w:t>
      </w:r>
      <w:r w:rsidR="007325E6" w:rsidRPr="007325E6">
        <w:t xml:space="preserve"> </w:t>
      </w:r>
      <w:r w:rsidR="007325E6">
        <w:rPr>
          <w:rFonts w:asciiTheme="majorHAnsi" w:hAnsiTheme="majorHAnsi" w:cstheme="majorHAnsi"/>
        </w:rPr>
        <w:t>n</w:t>
      </w:r>
      <w:r w:rsidR="007325E6" w:rsidRPr="007325E6">
        <w:rPr>
          <w:rFonts w:asciiTheme="majorHAnsi" w:hAnsiTheme="majorHAnsi" w:cstheme="majorHAnsi"/>
        </w:rPr>
        <w:t>dërsa, numri i komunave që kanë publikuar procesverbale g</w:t>
      </w:r>
      <w:r w:rsidR="00910E6E">
        <w:rPr>
          <w:rFonts w:asciiTheme="majorHAnsi" w:hAnsiTheme="majorHAnsi" w:cstheme="majorHAnsi"/>
        </w:rPr>
        <w:t xml:space="preserve">jatë vitit 2025 është rritur </w:t>
      </w:r>
      <w:r w:rsidR="00910E6E" w:rsidRPr="00EC6021">
        <w:rPr>
          <w:rFonts w:asciiTheme="majorHAnsi" w:hAnsiTheme="majorHAnsi" w:cstheme="majorHAnsi"/>
        </w:rPr>
        <w:t>për</w:t>
      </w:r>
      <w:r w:rsidR="007325E6" w:rsidRPr="007325E6">
        <w:rPr>
          <w:rFonts w:asciiTheme="majorHAnsi" w:hAnsiTheme="majorHAnsi" w:cstheme="majorHAnsi"/>
        </w:rPr>
        <w:t xml:space="preserve"> një komunë më shumë krahasuar me vitin paraprak.</w:t>
      </w:r>
      <w:r w:rsidRPr="007325E6">
        <w:rPr>
          <w:rFonts w:asciiTheme="majorHAnsi" w:hAnsiTheme="majorHAnsi" w:cstheme="majorHAnsi"/>
          <w:bCs/>
          <w:iCs/>
        </w:rPr>
        <w:t xml:space="preserve"> </w:t>
      </w:r>
    </w:p>
    <w:p w14:paraId="5012A598" w14:textId="29696EBD" w:rsidR="00D83453" w:rsidRPr="009D6147" w:rsidRDefault="00F81419" w:rsidP="00A70BC5">
      <w:pPr>
        <w:spacing w:line="276" w:lineRule="auto"/>
        <w:rPr>
          <w:rFonts w:asciiTheme="majorHAnsi" w:hAnsiTheme="majorHAnsi" w:cstheme="majorHAnsi"/>
          <w:noProof/>
        </w:rPr>
      </w:pPr>
      <w:bookmarkStart w:id="25" w:name="_Toc130455681"/>
      <w:r w:rsidRPr="007325E6">
        <w:rPr>
          <w:rFonts w:asciiTheme="majorHAnsi" w:eastAsia="Times New Roman" w:hAnsiTheme="majorHAnsi" w:cstheme="majorHAnsi"/>
          <w:kern w:val="20"/>
        </w:rPr>
        <w:t>Në vijim</w:t>
      </w:r>
      <w:r w:rsidR="00CA5899" w:rsidRPr="007325E6">
        <w:rPr>
          <w:rFonts w:asciiTheme="majorHAnsi" w:eastAsia="Times New Roman" w:hAnsiTheme="majorHAnsi" w:cstheme="majorHAnsi"/>
          <w:kern w:val="20"/>
        </w:rPr>
        <w:t>,</w:t>
      </w:r>
      <w:r w:rsidRPr="007325E6">
        <w:rPr>
          <w:rFonts w:asciiTheme="majorHAnsi" w:eastAsia="Times New Roman" w:hAnsiTheme="majorHAnsi" w:cstheme="majorHAnsi"/>
          <w:kern w:val="20"/>
        </w:rPr>
        <w:t xml:space="preserve"> është </w:t>
      </w:r>
      <w:r w:rsidR="001E6F33" w:rsidRPr="007325E6">
        <w:rPr>
          <w:rFonts w:asciiTheme="majorHAnsi" w:eastAsia="Times New Roman" w:hAnsiTheme="majorHAnsi" w:cstheme="majorHAnsi"/>
          <w:kern w:val="20"/>
        </w:rPr>
        <w:t xml:space="preserve">paraqitur figura me </w:t>
      </w:r>
      <w:r w:rsidR="00AD06D8">
        <w:rPr>
          <w:rFonts w:asciiTheme="majorHAnsi" w:eastAsia="Times New Roman" w:hAnsiTheme="majorHAnsi" w:cstheme="majorHAnsi"/>
          <w:kern w:val="20"/>
        </w:rPr>
        <w:t xml:space="preserve"> numrin </w:t>
      </w:r>
      <w:r w:rsidR="00AD06D8" w:rsidRPr="00275069">
        <w:rPr>
          <w:rFonts w:asciiTheme="majorHAnsi" w:eastAsia="Times New Roman" w:hAnsiTheme="majorHAnsi" w:cstheme="majorHAnsi"/>
          <w:kern w:val="20"/>
        </w:rPr>
        <w:t>e</w:t>
      </w:r>
      <w:r w:rsidR="00AD06D8">
        <w:rPr>
          <w:rFonts w:asciiTheme="majorHAnsi" w:eastAsia="Times New Roman" w:hAnsiTheme="majorHAnsi" w:cstheme="majorHAnsi"/>
          <w:kern w:val="20"/>
        </w:rPr>
        <w:t xml:space="preserve"> </w:t>
      </w:r>
      <w:r w:rsidRPr="007325E6">
        <w:rPr>
          <w:rFonts w:asciiTheme="majorHAnsi" w:eastAsia="Times New Roman" w:hAnsiTheme="majorHAnsi" w:cstheme="majorHAnsi"/>
          <w:kern w:val="20"/>
        </w:rPr>
        <w:t>përgjit</w:t>
      </w:r>
      <w:r w:rsidR="00552391" w:rsidRPr="007325E6">
        <w:rPr>
          <w:rFonts w:asciiTheme="majorHAnsi" w:eastAsia="Times New Roman" w:hAnsiTheme="majorHAnsi" w:cstheme="majorHAnsi"/>
          <w:kern w:val="20"/>
        </w:rPr>
        <w:t>hshëm të procesverbaleve</w:t>
      </w:r>
      <w:r w:rsidR="00651BF0" w:rsidRPr="007325E6">
        <w:rPr>
          <w:rFonts w:asciiTheme="majorHAnsi" w:eastAsia="Times New Roman" w:hAnsiTheme="majorHAnsi" w:cstheme="majorHAnsi"/>
          <w:kern w:val="20"/>
        </w:rPr>
        <w:t xml:space="preserve"> nga mbledhjet e </w:t>
      </w:r>
      <w:r w:rsidR="00D40F52" w:rsidRPr="007325E6">
        <w:rPr>
          <w:rFonts w:asciiTheme="majorHAnsi" w:eastAsia="Times New Roman" w:hAnsiTheme="majorHAnsi" w:cstheme="majorHAnsi"/>
          <w:kern w:val="20"/>
        </w:rPr>
        <w:t xml:space="preserve"> Kuvendeve Komunal</w:t>
      </w:r>
      <w:r w:rsidR="00CA5899" w:rsidRPr="007325E6">
        <w:rPr>
          <w:rFonts w:asciiTheme="majorHAnsi" w:eastAsia="Times New Roman" w:hAnsiTheme="majorHAnsi" w:cstheme="majorHAnsi"/>
          <w:kern w:val="20"/>
        </w:rPr>
        <w:t>e</w:t>
      </w:r>
      <w:r w:rsidR="00AD06D8">
        <w:rPr>
          <w:rFonts w:asciiTheme="majorHAnsi" w:eastAsia="Times New Roman" w:hAnsiTheme="majorHAnsi" w:cstheme="majorHAnsi"/>
          <w:kern w:val="20"/>
        </w:rPr>
        <w:t xml:space="preserve">, </w:t>
      </w:r>
      <w:r w:rsidR="00AD06D8" w:rsidRPr="00275069">
        <w:rPr>
          <w:rFonts w:asciiTheme="majorHAnsi" w:eastAsia="Times New Roman" w:hAnsiTheme="majorHAnsi" w:cstheme="majorHAnsi"/>
          <w:kern w:val="20"/>
        </w:rPr>
        <w:t>Komitetit</w:t>
      </w:r>
      <w:r w:rsidRPr="00275069">
        <w:rPr>
          <w:rFonts w:asciiTheme="majorHAnsi" w:eastAsia="Times New Roman" w:hAnsiTheme="majorHAnsi" w:cstheme="majorHAnsi"/>
          <w:kern w:val="20"/>
        </w:rPr>
        <w:t xml:space="preserve"> për</w:t>
      </w:r>
      <w:r w:rsidR="00CA5899" w:rsidRPr="00275069">
        <w:rPr>
          <w:rFonts w:asciiTheme="majorHAnsi" w:eastAsia="Times New Roman" w:hAnsiTheme="majorHAnsi" w:cstheme="majorHAnsi"/>
          <w:kern w:val="20"/>
        </w:rPr>
        <w:t xml:space="preserve"> Politik</w:t>
      </w:r>
      <w:r w:rsidR="00500112" w:rsidRPr="00275069">
        <w:rPr>
          <w:rFonts w:asciiTheme="majorHAnsi" w:eastAsia="Times New Roman" w:hAnsiTheme="majorHAnsi" w:cstheme="majorHAnsi"/>
          <w:kern w:val="20"/>
        </w:rPr>
        <w:t>ë</w:t>
      </w:r>
      <w:r w:rsidR="00CA5899" w:rsidRPr="00275069">
        <w:rPr>
          <w:rFonts w:asciiTheme="majorHAnsi" w:eastAsia="Times New Roman" w:hAnsiTheme="majorHAnsi" w:cstheme="majorHAnsi"/>
          <w:kern w:val="20"/>
        </w:rPr>
        <w:t xml:space="preserve"> dhe</w:t>
      </w:r>
      <w:r w:rsidR="00651BF0" w:rsidRPr="00275069">
        <w:rPr>
          <w:rFonts w:asciiTheme="majorHAnsi" w:eastAsia="Times New Roman" w:hAnsiTheme="majorHAnsi" w:cstheme="majorHAnsi"/>
          <w:kern w:val="20"/>
        </w:rPr>
        <w:t xml:space="preserve"> Financa</w:t>
      </w:r>
      <w:r w:rsidR="00552391" w:rsidRPr="007325E6">
        <w:rPr>
          <w:rFonts w:asciiTheme="majorHAnsi" w:eastAsia="Times New Roman" w:hAnsiTheme="majorHAnsi" w:cstheme="majorHAnsi"/>
          <w:kern w:val="20"/>
        </w:rPr>
        <w:t>,</w:t>
      </w:r>
      <w:r w:rsidR="00651BF0" w:rsidRPr="007325E6">
        <w:rPr>
          <w:rFonts w:asciiTheme="majorHAnsi" w:eastAsia="Times New Roman" w:hAnsiTheme="majorHAnsi" w:cstheme="majorHAnsi"/>
          <w:kern w:val="20"/>
        </w:rPr>
        <w:t xml:space="preserve"> si dhe </w:t>
      </w:r>
      <w:r w:rsidRPr="007325E6">
        <w:rPr>
          <w:rFonts w:asciiTheme="majorHAnsi" w:eastAsia="Times New Roman" w:hAnsiTheme="majorHAnsi" w:cstheme="majorHAnsi"/>
          <w:kern w:val="20"/>
        </w:rPr>
        <w:t xml:space="preserve"> nga</w:t>
      </w:r>
      <w:r w:rsidR="00AD06D8">
        <w:rPr>
          <w:rFonts w:asciiTheme="majorHAnsi" w:eastAsia="Times New Roman" w:hAnsiTheme="majorHAnsi" w:cstheme="majorHAnsi"/>
          <w:kern w:val="20"/>
        </w:rPr>
        <w:t xml:space="preserve"> </w:t>
      </w:r>
      <w:r w:rsidR="00AD06D8" w:rsidRPr="00275069">
        <w:rPr>
          <w:rFonts w:asciiTheme="majorHAnsi" w:eastAsia="Times New Roman" w:hAnsiTheme="majorHAnsi" w:cstheme="majorHAnsi"/>
          <w:kern w:val="20"/>
        </w:rPr>
        <w:t>Komiteti</w:t>
      </w:r>
      <w:r w:rsidRPr="00275069">
        <w:rPr>
          <w:rFonts w:asciiTheme="majorHAnsi" w:eastAsia="Times New Roman" w:hAnsiTheme="majorHAnsi" w:cstheme="majorHAnsi"/>
          <w:kern w:val="20"/>
        </w:rPr>
        <w:t xml:space="preserve"> </w:t>
      </w:r>
      <w:r w:rsidR="002B127D" w:rsidRPr="00275069">
        <w:rPr>
          <w:rFonts w:asciiTheme="majorHAnsi" w:eastAsia="Times New Roman" w:hAnsiTheme="majorHAnsi" w:cstheme="majorHAnsi"/>
          <w:kern w:val="20"/>
        </w:rPr>
        <w:t xml:space="preserve">për </w:t>
      </w:r>
      <w:r w:rsidR="00CA5899" w:rsidRPr="00275069">
        <w:rPr>
          <w:rFonts w:asciiTheme="majorHAnsi" w:eastAsia="Times New Roman" w:hAnsiTheme="majorHAnsi" w:cstheme="majorHAnsi"/>
          <w:kern w:val="20"/>
        </w:rPr>
        <w:t>Ko</w:t>
      </w:r>
      <w:r w:rsidR="002B127D" w:rsidRPr="00275069">
        <w:rPr>
          <w:rFonts w:asciiTheme="majorHAnsi" w:eastAsia="Times New Roman" w:hAnsiTheme="majorHAnsi" w:cstheme="majorHAnsi"/>
          <w:kern w:val="20"/>
        </w:rPr>
        <w:t>munitete</w:t>
      </w:r>
      <w:r w:rsidR="002B127D" w:rsidRPr="009D6147">
        <w:rPr>
          <w:rFonts w:asciiTheme="majorHAnsi" w:eastAsia="Times New Roman" w:hAnsiTheme="majorHAnsi" w:cstheme="majorHAnsi"/>
          <w:kern w:val="20"/>
        </w:rPr>
        <w:t>.</w:t>
      </w:r>
      <w:bookmarkEnd w:id="25"/>
      <w:r w:rsidR="008F7075" w:rsidRPr="009D6147">
        <w:rPr>
          <w:rFonts w:asciiTheme="majorHAnsi" w:hAnsiTheme="majorHAnsi" w:cstheme="majorHAnsi"/>
          <w:noProof/>
        </w:rPr>
        <w:t xml:space="preserve"> </w:t>
      </w:r>
    </w:p>
    <w:p w14:paraId="4C893D85" w14:textId="655A30E5" w:rsidR="00480C1B" w:rsidRPr="009D6147" w:rsidRDefault="008F7075" w:rsidP="00A70BC5">
      <w:pPr>
        <w:spacing w:line="276" w:lineRule="auto"/>
        <w:rPr>
          <w:rFonts w:asciiTheme="majorHAnsi" w:eastAsia="Times New Roman" w:hAnsiTheme="majorHAnsi" w:cstheme="majorHAnsi"/>
          <w:kern w:val="20"/>
        </w:rPr>
      </w:pPr>
      <w:r w:rsidRPr="009D6147">
        <w:rPr>
          <w:rFonts w:asciiTheme="majorHAnsi" w:hAnsiTheme="majorHAnsi" w:cstheme="majorHAnsi"/>
          <w:noProof/>
          <w:lang w:eastAsia="sq-AL"/>
        </w:rPr>
        <w:drawing>
          <wp:inline distT="0" distB="0" distL="0" distR="0" wp14:anchorId="6E04D73D" wp14:editId="56B3015C">
            <wp:extent cx="5731510" cy="1903445"/>
            <wp:effectExtent l="0" t="0" r="2540" b="1905"/>
            <wp:docPr id="56" name="Chart 56">
              <a:extLst xmlns:a="http://schemas.openxmlformats.org/drawingml/2006/main">
                <a:ext uri="{FF2B5EF4-FFF2-40B4-BE49-F238E27FC236}">
                  <a16:creationId xmlns:a16="http://schemas.microsoft.com/office/drawing/2014/main" id="{9209DDA5-36A0-4F4B-8EA7-6B44A6D84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56672FC" w14:textId="5E09D83E" w:rsidR="000E40FB" w:rsidRPr="00325C4E" w:rsidRDefault="00137FF6" w:rsidP="00D83453">
      <w:pPr>
        <w:spacing w:line="276" w:lineRule="auto"/>
        <w:jc w:val="center"/>
        <w:rPr>
          <w:rFonts w:asciiTheme="majorHAnsi" w:eastAsia="Times New Roman" w:hAnsiTheme="majorHAnsi" w:cstheme="majorHAnsi"/>
          <w:kern w:val="20"/>
          <w:sz w:val="14"/>
          <w:szCs w:val="14"/>
        </w:rPr>
      </w:pPr>
      <w:r w:rsidRPr="00325C4E">
        <w:rPr>
          <w:rFonts w:asciiTheme="majorHAnsi" w:hAnsiTheme="majorHAnsi" w:cstheme="majorHAnsi"/>
          <w:i/>
          <w:sz w:val="14"/>
          <w:szCs w:val="14"/>
        </w:rPr>
        <w:t>Fig</w:t>
      </w:r>
      <w:r w:rsidR="00BA4279" w:rsidRPr="00325C4E">
        <w:rPr>
          <w:rFonts w:asciiTheme="majorHAnsi" w:hAnsiTheme="majorHAnsi" w:cstheme="majorHAnsi"/>
          <w:i/>
          <w:sz w:val="14"/>
          <w:szCs w:val="14"/>
        </w:rPr>
        <w:t>.</w:t>
      </w:r>
      <w:r w:rsidR="0073351F" w:rsidRPr="00325C4E">
        <w:rPr>
          <w:rFonts w:asciiTheme="majorHAnsi" w:hAnsiTheme="majorHAnsi" w:cstheme="majorHAnsi"/>
          <w:i/>
          <w:sz w:val="14"/>
          <w:szCs w:val="14"/>
        </w:rPr>
        <w:t>7</w:t>
      </w:r>
      <w:r w:rsidR="00BA4279" w:rsidRPr="00325C4E">
        <w:rPr>
          <w:rFonts w:asciiTheme="majorHAnsi" w:hAnsiTheme="majorHAnsi" w:cstheme="majorHAnsi"/>
          <w:i/>
          <w:sz w:val="14"/>
          <w:szCs w:val="14"/>
        </w:rPr>
        <w:t xml:space="preserve"> Proces</w:t>
      </w:r>
      <w:r w:rsidR="00972A16" w:rsidRPr="00325C4E">
        <w:rPr>
          <w:rFonts w:asciiTheme="majorHAnsi" w:hAnsiTheme="majorHAnsi" w:cstheme="majorHAnsi"/>
          <w:i/>
          <w:sz w:val="14"/>
          <w:szCs w:val="14"/>
        </w:rPr>
        <w:t>verbalet e  kuvendit komuna</w:t>
      </w:r>
      <w:r w:rsidR="00CA5899" w:rsidRPr="00325C4E">
        <w:rPr>
          <w:rFonts w:asciiTheme="majorHAnsi" w:hAnsiTheme="majorHAnsi" w:cstheme="majorHAnsi"/>
          <w:i/>
          <w:sz w:val="14"/>
          <w:szCs w:val="14"/>
        </w:rPr>
        <w:t>l,</w:t>
      </w:r>
      <w:r w:rsidR="00972A16" w:rsidRPr="00325C4E">
        <w:rPr>
          <w:rFonts w:asciiTheme="majorHAnsi" w:hAnsiTheme="majorHAnsi" w:cstheme="majorHAnsi"/>
          <w:i/>
          <w:sz w:val="14"/>
          <w:szCs w:val="14"/>
        </w:rPr>
        <w:t xml:space="preserve"> komitetit për politik</w:t>
      </w:r>
      <w:r w:rsidR="00500112" w:rsidRPr="00325C4E">
        <w:rPr>
          <w:rFonts w:asciiTheme="majorHAnsi" w:hAnsiTheme="majorHAnsi" w:cstheme="majorHAnsi"/>
          <w:i/>
          <w:sz w:val="14"/>
          <w:szCs w:val="14"/>
        </w:rPr>
        <w:t>ë</w:t>
      </w:r>
      <w:r w:rsidR="00CA5899" w:rsidRPr="00325C4E">
        <w:rPr>
          <w:rFonts w:asciiTheme="majorHAnsi" w:hAnsiTheme="majorHAnsi" w:cstheme="majorHAnsi"/>
          <w:i/>
          <w:sz w:val="14"/>
          <w:szCs w:val="14"/>
        </w:rPr>
        <w:t xml:space="preserve"> </w:t>
      </w:r>
      <w:r w:rsidR="00972A16" w:rsidRPr="00325C4E">
        <w:rPr>
          <w:rFonts w:asciiTheme="majorHAnsi" w:hAnsiTheme="majorHAnsi" w:cstheme="majorHAnsi"/>
          <w:i/>
          <w:sz w:val="14"/>
          <w:szCs w:val="14"/>
        </w:rPr>
        <w:t>dhe financa dhe komiteti për komunitete</w:t>
      </w:r>
      <w:bookmarkStart w:id="26" w:name="_Toc130455682"/>
    </w:p>
    <w:p w14:paraId="7ED5A78E" w14:textId="2AB35088" w:rsidR="000E40FB" w:rsidRPr="009D6147" w:rsidRDefault="000E40FB" w:rsidP="00D83453">
      <w:pPr>
        <w:pStyle w:val="Style2"/>
        <w:rPr>
          <w:rFonts w:asciiTheme="majorHAnsi" w:eastAsia="Times New Roman" w:hAnsiTheme="majorHAnsi" w:cstheme="majorHAnsi"/>
        </w:rPr>
      </w:pPr>
    </w:p>
    <w:p w14:paraId="6F53F3F4" w14:textId="747EF899" w:rsidR="00D83453" w:rsidRPr="009D6147" w:rsidRDefault="00D83453" w:rsidP="00D83453">
      <w:pPr>
        <w:pStyle w:val="Style2"/>
        <w:rPr>
          <w:rFonts w:asciiTheme="majorHAnsi" w:eastAsia="Times New Roman" w:hAnsiTheme="majorHAnsi" w:cstheme="majorHAnsi"/>
          <w:sz w:val="22"/>
          <w:szCs w:val="22"/>
          <w:lang w:val="en-GB" w:eastAsia="en-GB"/>
        </w:rPr>
      </w:pPr>
      <w:bookmarkStart w:id="27" w:name="_Toc227827167"/>
      <w:r w:rsidRPr="009D6147">
        <w:rPr>
          <w:rFonts w:asciiTheme="majorHAnsi" w:eastAsia="Times New Roman" w:hAnsiTheme="majorHAnsi" w:cstheme="majorHAnsi"/>
          <w:sz w:val="22"/>
          <w:szCs w:val="22"/>
          <w:lang w:val="en-GB" w:eastAsia="en-GB"/>
        </w:rPr>
        <w:t>Transmetimi online i mbledhjeve të Kuvendeve Komunale</w:t>
      </w:r>
      <w:bookmarkEnd w:id="27"/>
    </w:p>
    <w:p w14:paraId="4D09C42F" w14:textId="77777777" w:rsidR="0062583A" w:rsidRPr="00325C4E" w:rsidRDefault="0062583A" w:rsidP="0062583A">
      <w:pPr>
        <w:spacing w:before="100" w:beforeAutospacing="1" w:after="100" w:afterAutospacing="1" w:line="276" w:lineRule="auto"/>
        <w:rPr>
          <w:rFonts w:asciiTheme="majorHAnsi" w:eastAsia="Times New Roman" w:hAnsiTheme="majorHAnsi" w:cstheme="majorHAnsi"/>
          <w:lang w:val="en-GB" w:eastAsia="en-GB"/>
        </w:rPr>
      </w:pPr>
      <w:proofErr w:type="spellStart"/>
      <w:r w:rsidRPr="00325C4E">
        <w:rPr>
          <w:rFonts w:asciiTheme="majorHAnsi" w:eastAsia="Times New Roman" w:hAnsiTheme="majorHAnsi" w:cstheme="majorHAnsi"/>
          <w:lang w:val="en-GB" w:eastAsia="en-GB"/>
        </w:rPr>
        <w:t>Bazuar</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në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nenin</w:t>
      </w:r>
      <w:proofErr w:type="spellEnd"/>
      <w:r w:rsidRPr="00325C4E">
        <w:rPr>
          <w:rFonts w:asciiTheme="majorHAnsi" w:eastAsia="Times New Roman" w:hAnsiTheme="majorHAnsi" w:cstheme="majorHAnsi"/>
          <w:lang w:val="en-GB" w:eastAsia="en-GB"/>
        </w:rPr>
        <w:t xml:space="preserve"> 6 </w:t>
      </w:r>
      <w:proofErr w:type="spellStart"/>
      <w:r w:rsidRPr="00325C4E">
        <w:rPr>
          <w:rFonts w:asciiTheme="majorHAnsi" w:eastAsia="Times New Roman" w:hAnsiTheme="majorHAnsi" w:cstheme="majorHAnsi"/>
          <w:lang w:val="en-GB" w:eastAsia="en-GB"/>
        </w:rPr>
        <w:t>të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Udhëzimit</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Administrativ</w:t>
      </w:r>
      <w:proofErr w:type="spellEnd"/>
      <w:r w:rsidRPr="00325C4E">
        <w:rPr>
          <w:rFonts w:asciiTheme="majorHAnsi" w:eastAsia="Times New Roman" w:hAnsiTheme="majorHAnsi" w:cstheme="majorHAnsi"/>
          <w:lang w:val="en-GB" w:eastAsia="en-GB"/>
        </w:rPr>
        <w:t xml:space="preserve"> Nr. 04/2023 </w:t>
      </w:r>
      <w:proofErr w:type="spellStart"/>
      <w:r w:rsidRPr="00325C4E">
        <w:rPr>
          <w:rFonts w:asciiTheme="majorHAnsi" w:eastAsia="Times New Roman" w:hAnsiTheme="majorHAnsi" w:cstheme="majorHAnsi"/>
          <w:lang w:val="en-GB" w:eastAsia="en-GB"/>
        </w:rPr>
        <w:t>për</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Administratë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të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Hapur</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në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Komuna</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komunat</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obligohen</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që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përmes</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ueb-faqeve</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zyrtare</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të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transmetojnë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mbledhjet</w:t>
      </w:r>
      <w:proofErr w:type="spellEnd"/>
      <w:r w:rsidRPr="00325C4E">
        <w:rPr>
          <w:rFonts w:asciiTheme="majorHAnsi" w:eastAsia="Times New Roman" w:hAnsiTheme="majorHAnsi" w:cstheme="majorHAnsi"/>
          <w:lang w:val="en-GB" w:eastAsia="en-GB"/>
        </w:rPr>
        <w:t xml:space="preserve"> e </w:t>
      </w:r>
      <w:proofErr w:type="spellStart"/>
      <w:r w:rsidRPr="00325C4E">
        <w:rPr>
          <w:rFonts w:asciiTheme="majorHAnsi" w:eastAsia="Times New Roman" w:hAnsiTheme="majorHAnsi" w:cstheme="majorHAnsi"/>
          <w:lang w:val="en-GB" w:eastAsia="en-GB"/>
        </w:rPr>
        <w:t>Kuvendit</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Komunal</w:t>
      </w:r>
      <w:proofErr w:type="spellEnd"/>
      <w:r w:rsidRPr="00325C4E">
        <w:rPr>
          <w:rFonts w:asciiTheme="majorHAnsi" w:eastAsia="Times New Roman" w:hAnsiTheme="majorHAnsi" w:cstheme="majorHAnsi"/>
          <w:lang w:val="en-GB" w:eastAsia="en-GB"/>
        </w:rPr>
        <w:t xml:space="preserve">, duke </w:t>
      </w:r>
      <w:proofErr w:type="spellStart"/>
      <w:r w:rsidRPr="00325C4E">
        <w:rPr>
          <w:rFonts w:asciiTheme="majorHAnsi" w:eastAsia="Times New Roman" w:hAnsiTheme="majorHAnsi" w:cstheme="majorHAnsi"/>
          <w:lang w:val="en-GB" w:eastAsia="en-GB"/>
        </w:rPr>
        <w:t>përdorur</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pajisjet</w:t>
      </w:r>
      <w:proofErr w:type="spellEnd"/>
      <w:r w:rsidRPr="00325C4E">
        <w:rPr>
          <w:rFonts w:asciiTheme="majorHAnsi" w:eastAsia="Times New Roman" w:hAnsiTheme="majorHAnsi" w:cstheme="majorHAnsi"/>
          <w:lang w:val="en-GB" w:eastAsia="en-GB"/>
        </w:rPr>
        <w:t xml:space="preserve"> e </w:t>
      </w:r>
      <w:proofErr w:type="spellStart"/>
      <w:r w:rsidRPr="00325C4E">
        <w:rPr>
          <w:rFonts w:asciiTheme="majorHAnsi" w:eastAsia="Times New Roman" w:hAnsiTheme="majorHAnsi" w:cstheme="majorHAnsi"/>
          <w:lang w:val="en-GB" w:eastAsia="en-GB"/>
        </w:rPr>
        <w:t>nevojshme</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për</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transmetim</w:t>
      </w:r>
      <w:proofErr w:type="spellEnd"/>
      <w:r w:rsidRPr="00325C4E">
        <w:rPr>
          <w:rFonts w:asciiTheme="majorHAnsi" w:eastAsia="Times New Roman" w:hAnsiTheme="majorHAnsi" w:cstheme="majorHAnsi"/>
          <w:lang w:val="en-GB" w:eastAsia="en-GB"/>
        </w:rPr>
        <w:t xml:space="preserve">. Po </w:t>
      </w:r>
      <w:proofErr w:type="spellStart"/>
      <w:r w:rsidRPr="00325C4E">
        <w:rPr>
          <w:rFonts w:asciiTheme="majorHAnsi" w:eastAsia="Times New Roman" w:hAnsiTheme="majorHAnsi" w:cstheme="majorHAnsi"/>
          <w:lang w:val="en-GB" w:eastAsia="en-GB"/>
        </w:rPr>
        <w:t>ashtu</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organet</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komunale</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janë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të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obliguara</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të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sigurojnë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qasje</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aktive</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në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sistemin</w:t>
      </w:r>
      <w:proofErr w:type="spellEnd"/>
      <w:r w:rsidRPr="00325C4E">
        <w:rPr>
          <w:rFonts w:asciiTheme="majorHAnsi" w:eastAsia="Times New Roman" w:hAnsiTheme="majorHAnsi" w:cstheme="majorHAnsi"/>
          <w:lang w:val="en-GB" w:eastAsia="en-GB"/>
        </w:rPr>
        <w:t xml:space="preserve"> e </w:t>
      </w:r>
      <w:proofErr w:type="spellStart"/>
      <w:r w:rsidRPr="00325C4E">
        <w:rPr>
          <w:rFonts w:asciiTheme="majorHAnsi" w:eastAsia="Times New Roman" w:hAnsiTheme="majorHAnsi" w:cstheme="majorHAnsi"/>
          <w:lang w:val="en-GB" w:eastAsia="en-GB"/>
        </w:rPr>
        <w:t>teleprezencës</w:t>
      </w:r>
      <w:proofErr w:type="spellEnd"/>
      <w:r w:rsidRPr="00325C4E">
        <w:rPr>
          <w:rFonts w:asciiTheme="majorHAnsi" w:eastAsia="Times New Roman" w:hAnsiTheme="majorHAnsi" w:cstheme="majorHAnsi"/>
          <w:lang w:val="en-GB" w:eastAsia="en-GB"/>
        </w:rPr>
        <w:t xml:space="preserve">, me </w:t>
      </w:r>
      <w:proofErr w:type="spellStart"/>
      <w:r w:rsidRPr="00325C4E">
        <w:rPr>
          <w:rFonts w:asciiTheme="majorHAnsi" w:eastAsia="Times New Roman" w:hAnsiTheme="majorHAnsi" w:cstheme="majorHAnsi"/>
          <w:lang w:val="en-GB" w:eastAsia="en-GB"/>
        </w:rPr>
        <w:t>qëllim</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të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krijimit</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të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kushteve</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për</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monitorim</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dhe</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vlerësim</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të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proceseve</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nga</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mekanizmat</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monitorues</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të</w:t>
      </w:r>
      <w:proofErr w:type="spellEnd"/>
      <w:r w:rsidRPr="00325C4E">
        <w:rPr>
          <w:rFonts w:asciiTheme="majorHAnsi" w:eastAsia="Times New Roman" w:hAnsiTheme="majorHAnsi" w:cstheme="majorHAnsi"/>
          <w:lang w:val="en-GB" w:eastAsia="en-GB"/>
        </w:rPr>
        <w:t xml:space="preserve"> MAPL-</w:t>
      </w:r>
      <w:proofErr w:type="spellStart"/>
      <w:r w:rsidRPr="00325C4E">
        <w:rPr>
          <w:rFonts w:asciiTheme="majorHAnsi" w:eastAsia="Times New Roman" w:hAnsiTheme="majorHAnsi" w:cstheme="majorHAnsi"/>
          <w:lang w:val="en-GB" w:eastAsia="en-GB"/>
        </w:rPr>
        <w:t>së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palët</w:t>
      </w:r>
      <w:proofErr w:type="spellEnd"/>
      <w:r w:rsidRPr="00325C4E">
        <w:rPr>
          <w:rFonts w:asciiTheme="majorHAnsi" w:eastAsia="Times New Roman" w:hAnsiTheme="majorHAnsi" w:cstheme="majorHAnsi"/>
          <w:lang w:val="en-GB" w:eastAsia="en-GB"/>
        </w:rPr>
        <w:t xml:space="preserve"> e </w:t>
      </w:r>
      <w:proofErr w:type="spellStart"/>
      <w:r w:rsidRPr="00325C4E">
        <w:rPr>
          <w:rFonts w:asciiTheme="majorHAnsi" w:eastAsia="Times New Roman" w:hAnsiTheme="majorHAnsi" w:cstheme="majorHAnsi"/>
          <w:lang w:val="en-GB" w:eastAsia="en-GB"/>
        </w:rPr>
        <w:t>interesuara</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dhe</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institucionet</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tjera</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përmes</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stafit</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të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autorizuar</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të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komunës</w:t>
      </w:r>
      <w:proofErr w:type="spellEnd"/>
      <w:r w:rsidRPr="00325C4E">
        <w:rPr>
          <w:rFonts w:asciiTheme="majorHAnsi" w:eastAsia="Times New Roman" w:hAnsiTheme="majorHAnsi" w:cstheme="majorHAnsi"/>
          <w:lang w:val="en-GB" w:eastAsia="en-GB"/>
        </w:rPr>
        <w:t>.</w:t>
      </w:r>
    </w:p>
    <w:p w14:paraId="0AB81D90" w14:textId="77777777" w:rsidR="0062583A" w:rsidRPr="00325C4E" w:rsidRDefault="0062583A" w:rsidP="0062583A">
      <w:pPr>
        <w:spacing w:before="100" w:beforeAutospacing="1" w:after="100" w:afterAutospacing="1" w:line="276" w:lineRule="auto"/>
        <w:rPr>
          <w:rFonts w:asciiTheme="majorHAnsi" w:eastAsia="Times New Roman" w:hAnsiTheme="majorHAnsi" w:cstheme="majorHAnsi"/>
          <w:lang w:val="en-GB" w:eastAsia="en-GB"/>
        </w:rPr>
      </w:pPr>
      <w:proofErr w:type="spellStart"/>
      <w:r w:rsidRPr="00325C4E">
        <w:rPr>
          <w:rFonts w:asciiTheme="majorHAnsi" w:eastAsia="Times New Roman" w:hAnsiTheme="majorHAnsi" w:cstheme="majorHAnsi"/>
          <w:lang w:val="en-GB" w:eastAsia="en-GB"/>
        </w:rPr>
        <w:t>Sipas</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të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dhënave</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nga</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monitorimi</w:t>
      </w:r>
      <w:proofErr w:type="spellEnd"/>
      <w:r w:rsidRPr="00325C4E">
        <w:rPr>
          <w:rFonts w:asciiTheme="majorHAnsi" w:eastAsia="Times New Roman" w:hAnsiTheme="majorHAnsi" w:cstheme="majorHAnsi"/>
          <w:lang w:val="en-GB" w:eastAsia="en-GB"/>
        </w:rPr>
        <w:t xml:space="preserve"> i </w:t>
      </w:r>
      <w:proofErr w:type="spellStart"/>
      <w:r w:rsidRPr="00325C4E">
        <w:rPr>
          <w:rFonts w:asciiTheme="majorHAnsi" w:eastAsia="Times New Roman" w:hAnsiTheme="majorHAnsi" w:cstheme="majorHAnsi"/>
          <w:lang w:val="en-GB" w:eastAsia="en-GB"/>
        </w:rPr>
        <w:t>ueb-faqeve</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zyrtare</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të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komunave</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për</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periudhën</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janar</w:t>
      </w:r>
      <w:proofErr w:type="spellEnd"/>
      <w:r w:rsidRPr="00325C4E">
        <w:rPr>
          <w:rFonts w:asciiTheme="majorHAnsi" w:eastAsia="Times New Roman" w:hAnsiTheme="majorHAnsi" w:cstheme="majorHAnsi"/>
          <w:lang w:val="en-GB" w:eastAsia="en-GB"/>
        </w:rPr>
        <w:t>–</w:t>
      </w:r>
      <w:proofErr w:type="spellStart"/>
      <w:r w:rsidRPr="00325C4E">
        <w:rPr>
          <w:rFonts w:asciiTheme="majorHAnsi" w:eastAsia="Times New Roman" w:hAnsiTheme="majorHAnsi" w:cstheme="majorHAnsi"/>
          <w:lang w:val="en-GB" w:eastAsia="en-GB"/>
        </w:rPr>
        <w:t>dhjetor</w:t>
      </w:r>
      <w:proofErr w:type="spellEnd"/>
      <w:r w:rsidRPr="00325C4E">
        <w:rPr>
          <w:rFonts w:asciiTheme="majorHAnsi" w:eastAsia="Times New Roman" w:hAnsiTheme="majorHAnsi" w:cstheme="majorHAnsi"/>
          <w:lang w:val="en-GB" w:eastAsia="en-GB"/>
        </w:rPr>
        <w:t xml:space="preserve"> 2025, </w:t>
      </w:r>
      <w:proofErr w:type="spellStart"/>
      <w:r w:rsidRPr="00325C4E">
        <w:rPr>
          <w:rFonts w:asciiTheme="majorHAnsi" w:eastAsia="Times New Roman" w:hAnsiTheme="majorHAnsi" w:cstheme="majorHAnsi"/>
          <w:lang w:val="en-GB" w:eastAsia="en-GB"/>
        </w:rPr>
        <w:t>janë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transmetuar</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gjithsej</w:t>
      </w:r>
      <w:proofErr w:type="spellEnd"/>
      <w:r w:rsidRPr="00325C4E">
        <w:rPr>
          <w:rFonts w:asciiTheme="majorHAnsi" w:eastAsia="Times New Roman" w:hAnsiTheme="majorHAnsi" w:cstheme="majorHAnsi"/>
          <w:lang w:val="en-GB" w:eastAsia="en-GB"/>
        </w:rPr>
        <w:t xml:space="preserve"> 167 </w:t>
      </w:r>
      <w:proofErr w:type="spellStart"/>
      <w:r w:rsidRPr="00325C4E">
        <w:rPr>
          <w:rFonts w:asciiTheme="majorHAnsi" w:eastAsia="Times New Roman" w:hAnsiTheme="majorHAnsi" w:cstheme="majorHAnsi"/>
          <w:lang w:val="en-GB" w:eastAsia="en-GB"/>
        </w:rPr>
        <w:t>mbledhje</w:t>
      </w:r>
      <w:proofErr w:type="spellEnd"/>
      <w:r w:rsidRPr="00325C4E">
        <w:rPr>
          <w:rFonts w:asciiTheme="majorHAnsi" w:eastAsia="Times New Roman" w:hAnsiTheme="majorHAnsi" w:cstheme="majorHAnsi"/>
          <w:lang w:val="en-GB" w:eastAsia="en-GB"/>
        </w:rPr>
        <w:t xml:space="preserve"> online </w:t>
      </w:r>
      <w:proofErr w:type="spellStart"/>
      <w:r w:rsidRPr="00325C4E">
        <w:rPr>
          <w:rFonts w:asciiTheme="majorHAnsi" w:eastAsia="Times New Roman" w:hAnsiTheme="majorHAnsi" w:cstheme="majorHAnsi"/>
          <w:lang w:val="en-GB" w:eastAsia="en-GB"/>
        </w:rPr>
        <w:t>të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Kuvendit</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Komunal</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nga</w:t>
      </w:r>
      <w:proofErr w:type="spellEnd"/>
      <w:r w:rsidRPr="00325C4E">
        <w:rPr>
          <w:rFonts w:asciiTheme="majorHAnsi" w:eastAsia="Times New Roman" w:hAnsiTheme="majorHAnsi" w:cstheme="majorHAnsi"/>
          <w:lang w:val="en-GB" w:eastAsia="en-GB"/>
        </w:rPr>
        <w:t xml:space="preserve"> 22 </w:t>
      </w:r>
      <w:proofErr w:type="spellStart"/>
      <w:r w:rsidRPr="00325C4E">
        <w:rPr>
          <w:rFonts w:asciiTheme="majorHAnsi" w:eastAsia="Times New Roman" w:hAnsiTheme="majorHAnsi" w:cstheme="majorHAnsi"/>
          <w:lang w:val="en-GB" w:eastAsia="en-GB"/>
        </w:rPr>
        <w:t>komuna</w:t>
      </w:r>
      <w:proofErr w:type="spellEnd"/>
      <w:r w:rsidRPr="00325C4E">
        <w:rPr>
          <w:rFonts w:asciiTheme="majorHAnsi" w:eastAsia="Times New Roman" w:hAnsiTheme="majorHAnsi" w:cstheme="majorHAnsi"/>
          <w:lang w:val="en-GB" w:eastAsia="en-GB"/>
        </w:rPr>
        <w:t xml:space="preserve"> (58%), </w:t>
      </w:r>
      <w:proofErr w:type="spellStart"/>
      <w:r w:rsidRPr="00325C4E">
        <w:rPr>
          <w:rFonts w:asciiTheme="majorHAnsi" w:eastAsia="Times New Roman" w:hAnsiTheme="majorHAnsi" w:cstheme="majorHAnsi"/>
          <w:lang w:val="en-GB" w:eastAsia="en-GB"/>
        </w:rPr>
        <w:t>ndërsa</w:t>
      </w:r>
      <w:proofErr w:type="spellEnd"/>
      <w:r w:rsidRPr="00325C4E">
        <w:rPr>
          <w:rFonts w:asciiTheme="majorHAnsi" w:eastAsia="Times New Roman" w:hAnsiTheme="majorHAnsi" w:cstheme="majorHAnsi"/>
          <w:lang w:val="en-GB" w:eastAsia="en-GB"/>
        </w:rPr>
        <w:t xml:space="preserve"> 16 </w:t>
      </w:r>
      <w:proofErr w:type="spellStart"/>
      <w:r w:rsidRPr="00325C4E">
        <w:rPr>
          <w:rFonts w:asciiTheme="majorHAnsi" w:eastAsia="Times New Roman" w:hAnsiTheme="majorHAnsi" w:cstheme="majorHAnsi"/>
          <w:lang w:val="en-GB" w:eastAsia="en-GB"/>
        </w:rPr>
        <w:t>komuna</w:t>
      </w:r>
      <w:proofErr w:type="spellEnd"/>
      <w:r w:rsidRPr="00325C4E">
        <w:rPr>
          <w:rFonts w:asciiTheme="majorHAnsi" w:eastAsia="Times New Roman" w:hAnsiTheme="majorHAnsi" w:cstheme="majorHAnsi"/>
          <w:lang w:val="en-GB" w:eastAsia="en-GB"/>
        </w:rPr>
        <w:t xml:space="preserve"> (42%) </w:t>
      </w:r>
      <w:proofErr w:type="spellStart"/>
      <w:r w:rsidRPr="00325C4E">
        <w:rPr>
          <w:rFonts w:asciiTheme="majorHAnsi" w:eastAsia="Times New Roman" w:hAnsiTheme="majorHAnsi" w:cstheme="majorHAnsi"/>
          <w:lang w:val="en-GB" w:eastAsia="en-GB"/>
        </w:rPr>
        <w:t>nuk</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kanë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transmetuar</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asnjë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mbledhje</w:t>
      </w:r>
      <w:proofErr w:type="spellEnd"/>
      <w:r w:rsidRPr="00325C4E">
        <w:rPr>
          <w:rFonts w:asciiTheme="majorHAnsi" w:eastAsia="Times New Roman" w:hAnsiTheme="majorHAnsi" w:cstheme="majorHAnsi"/>
          <w:lang w:val="en-GB" w:eastAsia="en-GB"/>
        </w:rPr>
        <w:t xml:space="preserve"> online.</w:t>
      </w:r>
    </w:p>
    <w:p w14:paraId="0B2B8610" w14:textId="77777777" w:rsidR="00C218C3" w:rsidRDefault="00C218C3" w:rsidP="0062583A">
      <w:pPr>
        <w:spacing w:before="100" w:beforeAutospacing="1" w:after="100" w:afterAutospacing="1" w:line="276" w:lineRule="auto"/>
        <w:rPr>
          <w:rFonts w:asciiTheme="majorHAnsi" w:eastAsia="Times New Roman" w:hAnsiTheme="majorHAnsi" w:cstheme="majorHAnsi"/>
          <w:lang w:val="en-GB" w:eastAsia="en-GB"/>
        </w:rPr>
      </w:pPr>
      <w:proofErr w:type="spellStart"/>
      <w:r w:rsidRPr="00275069">
        <w:rPr>
          <w:rFonts w:asciiTheme="majorHAnsi" w:eastAsia="Times New Roman" w:hAnsiTheme="majorHAnsi" w:cstheme="majorHAnsi"/>
          <w:lang w:val="en-GB" w:eastAsia="en-GB"/>
        </w:rPr>
        <w:t>Krahasuar</w:t>
      </w:r>
      <w:proofErr w:type="spellEnd"/>
      <w:r w:rsidRPr="00275069">
        <w:rPr>
          <w:rFonts w:asciiTheme="majorHAnsi" w:eastAsia="Times New Roman" w:hAnsiTheme="majorHAnsi" w:cstheme="majorHAnsi"/>
          <w:lang w:val="en-GB" w:eastAsia="en-GB"/>
        </w:rPr>
        <w:t xml:space="preserve"> </w:t>
      </w:r>
      <w:proofErr w:type="gramStart"/>
      <w:r w:rsidRPr="00275069">
        <w:rPr>
          <w:rFonts w:asciiTheme="majorHAnsi" w:eastAsia="Times New Roman" w:hAnsiTheme="majorHAnsi" w:cstheme="majorHAnsi"/>
          <w:lang w:val="en-GB" w:eastAsia="en-GB"/>
        </w:rPr>
        <w:t xml:space="preserve">me </w:t>
      </w:r>
      <w:r w:rsidR="0062583A" w:rsidRPr="00275069">
        <w:rPr>
          <w:rFonts w:asciiTheme="majorHAnsi" w:eastAsia="Times New Roman" w:hAnsiTheme="majorHAnsi" w:cstheme="majorHAnsi"/>
          <w:lang w:val="en-GB" w:eastAsia="en-GB"/>
        </w:rPr>
        <w:t xml:space="preserve"> </w:t>
      </w:r>
      <w:proofErr w:type="spellStart"/>
      <w:r w:rsidR="0062583A" w:rsidRPr="00275069">
        <w:rPr>
          <w:rFonts w:asciiTheme="majorHAnsi" w:eastAsia="Times New Roman" w:hAnsiTheme="majorHAnsi" w:cstheme="majorHAnsi"/>
          <w:lang w:val="en-GB" w:eastAsia="en-GB"/>
        </w:rPr>
        <w:t>të</w:t>
      </w:r>
      <w:proofErr w:type="spellEnd"/>
      <w:proofErr w:type="gramEnd"/>
      <w:r w:rsidR="0062583A" w:rsidRPr="00275069">
        <w:rPr>
          <w:rFonts w:asciiTheme="majorHAnsi" w:eastAsia="Times New Roman" w:hAnsiTheme="majorHAnsi" w:cstheme="majorHAnsi"/>
          <w:lang w:val="en-GB" w:eastAsia="en-GB"/>
        </w:rPr>
        <w:t xml:space="preserve"> </w:t>
      </w:r>
      <w:proofErr w:type="spellStart"/>
      <w:r w:rsidR="0062583A" w:rsidRPr="00275069">
        <w:rPr>
          <w:rFonts w:asciiTheme="majorHAnsi" w:eastAsia="Times New Roman" w:hAnsiTheme="majorHAnsi" w:cstheme="majorHAnsi"/>
          <w:lang w:val="en-GB" w:eastAsia="en-GB"/>
        </w:rPr>
        <w:t>dhënat</w:t>
      </w:r>
      <w:proofErr w:type="spellEnd"/>
      <w:r w:rsidR="0062583A" w:rsidRPr="00275069">
        <w:rPr>
          <w:rFonts w:asciiTheme="majorHAnsi" w:eastAsia="Times New Roman" w:hAnsiTheme="majorHAnsi" w:cstheme="majorHAnsi"/>
          <w:lang w:val="en-GB" w:eastAsia="en-GB"/>
        </w:rPr>
        <w:t xml:space="preserve"> e </w:t>
      </w:r>
      <w:proofErr w:type="spellStart"/>
      <w:r w:rsidR="0062583A" w:rsidRPr="00275069">
        <w:rPr>
          <w:rFonts w:asciiTheme="majorHAnsi" w:eastAsia="Times New Roman" w:hAnsiTheme="majorHAnsi" w:cstheme="majorHAnsi"/>
          <w:lang w:val="en-GB" w:eastAsia="en-GB"/>
        </w:rPr>
        <w:t>Raportit</w:t>
      </w:r>
      <w:proofErr w:type="spellEnd"/>
      <w:r w:rsidR="0062583A" w:rsidRPr="00275069">
        <w:rPr>
          <w:rFonts w:asciiTheme="majorHAnsi" w:eastAsia="Times New Roman" w:hAnsiTheme="majorHAnsi" w:cstheme="majorHAnsi"/>
          <w:lang w:val="en-GB" w:eastAsia="en-GB"/>
        </w:rPr>
        <w:t xml:space="preserve"> </w:t>
      </w:r>
      <w:proofErr w:type="spellStart"/>
      <w:r w:rsidR="0062583A" w:rsidRPr="00275069">
        <w:rPr>
          <w:rFonts w:asciiTheme="majorHAnsi" w:eastAsia="Times New Roman" w:hAnsiTheme="majorHAnsi" w:cstheme="majorHAnsi"/>
          <w:lang w:val="en-GB" w:eastAsia="en-GB"/>
        </w:rPr>
        <w:t>për</w:t>
      </w:r>
      <w:proofErr w:type="spellEnd"/>
      <w:r w:rsidR="0062583A" w:rsidRPr="00275069">
        <w:rPr>
          <w:rFonts w:asciiTheme="majorHAnsi" w:eastAsia="Times New Roman" w:hAnsiTheme="majorHAnsi" w:cstheme="majorHAnsi"/>
          <w:lang w:val="en-GB" w:eastAsia="en-GB"/>
        </w:rPr>
        <w:t xml:space="preserve"> </w:t>
      </w:r>
      <w:proofErr w:type="spellStart"/>
      <w:r w:rsidR="0062583A" w:rsidRPr="00275069">
        <w:rPr>
          <w:rFonts w:asciiTheme="majorHAnsi" w:eastAsia="Times New Roman" w:hAnsiTheme="majorHAnsi" w:cstheme="majorHAnsi"/>
          <w:lang w:val="en-GB" w:eastAsia="en-GB"/>
        </w:rPr>
        <w:t>Vlerësimin</w:t>
      </w:r>
      <w:proofErr w:type="spellEnd"/>
      <w:r w:rsidR="0062583A" w:rsidRPr="00275069">
        <w:rPr>
          <w:rFonts w:asciiTheme="majorHAnsi" w:eastAsia="Times New Roman" w:hAnsiTheme="majorHAnsi" w:cstheme="majorHAnsi"/>
          <w:lang w:val="en-GB" w:eastAsia="en-GB"/>
        </w:rPr>
        <w:t xml:space="preserve"> e </w:t>
      </w:r>
      <w:proofErr w:type="spellStart"/>
      <w:r w:rsidR="0062583A" w:rsidRPr="00275069">
        <w:rPr>
          <w:rFonts w:asciiTheme="majorHAnsi" w:eastAsia="Times New Roman" w:hAnsiTheme="majorHAnsi" w:cstheme="majorHAnsi"/>
          <w:lang w:val="en-GB" w:eastAsia="en-GB"/>
        </w:rPr>
        <w:t>Transparencës</w:t>
      </w:r>
      <w:proofErr w:type="spellEnd"/>
      <w:r w:rsidR="0062583A" w:rsidRPr="00275069">
        <w:rPr>
          <w:rFonts w:asciiTheme="majorHAnsi" w:eastAsia="Times New Roman" w:hAnsiTheme="majorHAnsi" w:cstheme="majorHAnsi"/>
          <w:lang w:val="en-GB" w:eastAsia="en-GB"/>
        </w:rPr>
        <w:t xml:space="preserve"> </w:t>
      </w:r>
      <w:proofErr w:type="spellStart"/>
      <w:r w:rsidR="0062583A" w:rsidRPr="00275069">
        <w:rPr>
          <w:rFonts w:asciiTheme="majorHAnsi" w:eastAsia="Times New Roman" w:hAnsiTheme="majorHAnsi" w:cstheme="majorHAnsi"/>
          <w:lang w:val="en-GB" w:eastAsia="en-GB"/>
        </w:rPr>
        <w:t>së</w:t>
      </w:r>
      <w:proofErr w:type="spellEnd"/>
      <w:r w:rsidR="0062583A" w:rsidRPr="00275069">
        <w:rPr>
          <w:rFonts w:asciiTheme="majorHAnsi" w:eastAsia="Times New Roman" w:hAnsiTheme="majorHAnsi" w:cstheme="majorHAnsi"/>
          <w:lang w:val="en-GB" w:eastAsia="en-GB"/>
        </w:rPr>
        <w:t xml:space="preserve"> </w:t>
      </w:r>
      <w:proofErr w:type="spellStart"/>
      <w:r w:rsidR="0062583A" w:rsidRPr="00275069">
        <w:rPr>
          <w:rFonts w:asciiTheme="majorHAnsi" w:eastAsia="Times New Roman" w:hAnsiTheme="majorHAnsi" w:cstheme="majorHAnsi"/>
          <w:lang w:val="en-GB" w:eastAsia="en-GB"/>
        </w:rPr>
        <w:t>Komunave</w:t>
      </w:r>
      <w:proofErr w:type="spellEnd"/>
      <w:r w:rsidR="0062583A" w:rsidRPr="00275069">
        <w:rPr>
          <w:rFonts w:asciiTheme="majorHAnsi" w:eastAsia="Times New Roman" w:hAnsiTheme="majorHAnsi" w:cstheme="majorHAnsi"/>
          <w:lang w:val="en-GB" w:eastAsia="en-GB"/>
        </w:rPr>
        <w:t xml:space="preserve"> </w:t>
      </w:r>
      <w:proofErr w:type="spellStart"/>
      <w:r w:rsidR="0062583A" w:rsidRPr="00275069">
        <w:rPr>
          <w:rFonts w:asciiTheme="majorHAnsi" w:eastAsia="Times New Roman" w:hAnsiTheme="majorHAnsi" w:cstheme="majorHAnsi"/>
          <w:lang w:val="en-GB" w:eastAsia="en-GB"/>
        </w:rPr>
        <w:t>për</w:t>
      </w:r>
      <w:proofErr w:type="spellEnd"/>
      <w:r w:rsidR="0062583A" w:rsidRPr="00275069">
        <w:rPr>
          <w:rFonts w:asciiTheme="majorHAnsi" w:eastAsia="Times New Roman" w:hAnsiTheme="majorHAnsi" w:cstheme="majorHAnsi"/>
          <w:lang w:val="en-GB" w:eastAsia="en-GB"/>
        </w:rPr>
        <w:t xml:space="preserve"> </w:t>
      </w:r>
      <w:proofErr w:type="spellStart"/>
      <w:r w:rsidR="0062583A" w:rsidRPr="00275069">
        <w:rPr>
          <w:rFonts w:asciiTheme="majorHAnsi" w:eastAsia="Times New Roman" w:hAnsiTheme="majorHAnsi" w:cstheme="majorHAnsi"/>
          <w:lang w:val="en-GB" w:eastAsia="en-GB"/>
        </w:rPr>
        <w:t>p</w:t>
      </w:r>
      <w:r w:rsidRPr="00275069">
        <w:rPr>
          <w:rFonts w:asciiTheme="majorHAnsi" w:eastAsia="Times New Roman" w:hAnsiTheme="majorHAnsi" w:cstheme="majorHAnsi"/>
          <w:lang w:val="en-GB" w:eastAsia="en-GB"/>
        </w:rPr>
        <w:t>eriudhën</w:t>
      </w:r>
      <w:proofErr w:type="spellEnd"/>
      <w:r w:rsidRPr="00275069">
        <w:rPr>
          <w:rFonts w:asciiTheme="majorHAnsi" w:eastAsia="Times New Roman" w:hAnsiTheme="majorHAnsi" w:cstheme="majorHAnsi"/>
          <w:lang w:val="en-GB" w:eastAsia="en-GB"/>
        </w:rPr>
        <w:t xml:space="preserve"> </w:t>
      </w:r>
      <w:proofErr w:type="spellStart"/>
      <w:r w:rsidRPr="00275069">
        <w:rPr>
          <w:rFonts w:asciiTheme="majorHAnsi" w:eastAsia="Times New Roman" w:hAnsiTheme="majorHAnsi" w:cstheme="majorHAnsi"/>
          <w:lang w:val="en-GB" w:eastAsia="en-GB"/>
        </w:rPr>
        <w:t>janar</w:t>
      </w:r>
      <w:proofErr w:type="spellEnd"/>
      <w:r w:rsidRPr="00275069">
        <w:rPr>
          <w:rFonts w:asciiTheme="majorHAnsi" w:eastAsia="Times New Roman" w:hAnsiTheme="majorHAnsi" w:cstheme="majorHAnsi"/>
          <w:lang w:val="en-GB" w:eastAsia="en-GB"/>
        </w:rPr>
        <w:t>–</w:t>
      </w:r>
      <w:proofErr w:type="spellStart"/>
      <w:r w:rsidRPr="00275069">
        <w:rPr>
          <w:rFonts w:asciiTheme="majorHAnsi" w:eastAsia="Times New Roman" w:hAnsiTheme="majorHAnsi" w:cstheme="majorHAnsi"/>
          <w:lang w:val="en-GB" w:eastAsia="en-GB"/>
        </w:rPr>
        <w:t>dhjetor</w:t>
      </w:r>
      <w:proofErr w:type="spellEnd"/>
      <w:r w:rsidRPr="00275069">
        <w:rPr>
          <w:rFonts w:asciiTheme="majorHAnsi" w:eastAsia="Times New Roman" w:hAnsiTheme="majorHAnsi" w:cstheme="majorHAnsi"/>
          <w:lang w:val="en-GB" w:eastAsia="en-GB"/>
        </w:rPr>
        <w:t xml:space="preserve"> 2024, </w:t>
      </w:r>
      <w:proofErr w:type="spellStart"/>
      <w:r w:rsidRPr="00275069">
        <w:rPr>
          <w:rFonts w:asciiTheme="majorHAnsi" w:eastAsia="Times New Roman" w:hAnsiTheme="majorHAnsi" w:cstheme="majorHAnsi"/>
          <w:lang w:val="en-GB" w:eastAsia="en-GB"/>
        </w:rPr>
        <w:t>ku</w:t>
      </w:r>
      <w:proofErr w:type="spellEnd"/>
      <w:r w:rsidRPr="00275069">
        <w:rPr>
          <w:rFonts w:asciiTheme="majorHAnsi" w:eastAsia="Times New Roman" w:hAnsiTheme="majorHAnsi" w:cstheme="majorHAnsi"/>
          <w:lang w:val="en-GB" w:eastAsia="en-GB"/>
        </w:rPr>
        <w:t xml:space="preserve"> </w:t>
      </w:r>
      <w:proofErr w:type="spellStart"/>
      <w:r w:rsidRPr="00275069">
        <w:rPr>
          <w:rFonts w:asciiTheme="majorHAnsi" w:eastAsia="Times New Roman" w:hAnsiTheme="majorHAnsi" w:cstheme="majorHAnsi"/>
          <w:lang w:val="en-GB" w:eastAsia="en-GB"/>
        </w:rPr>
        <w:t>ishin</w:t>
      </w:r>
      <w:proofErr w:type="spellEnd"/>
      <w:r w:rsidRPr="00275069">
        <w:rPr>
          <w:rFonts w:asciiTheme="majorHAnsi" w:eastAsia="Times New Roman" w:hAnsiTheme="majorHAnsi" w:cstheme="majorHAnsi"/>
          <w:lang w:val="en-GB" w:eastAsia="en-GB"/>
        </w:rPr>
        <w:t xml:space="preserve"> </w:t>
      </w:r>
      <w:proofErr w:type="spellStart"/>
      <w:r w:rsidR="0062583A" w:rsidRPr="00325C4E">
        <w:rPr>
          <w:rFonts w:asciiTheme="majorHAnsi" w:eastAsia="Times New Roman" w:hAnsiTheme="majorHAnsi" w:cstheme="majorHAnsi"/>
          <w:lang w:val="en-GB" w:eastAsia="en-GB"/>
        </w:rPr>
        <w:t>transmetuar</w:t>
      </w:r>
      <w:proofErr w:type="spellEnd"/>
      <w:r w:rsidR="0062583A" w:rsidRPr="00325C4E">
        <w:rPr>
          <w:rFonts w:asciiTheme="majorHAnsi" w:eastAsia="Times New Roman" w:hAnsiTheme="majorHAnsi" w:cstheme="majorHAnsi"/>
          <w:lang w:val="en-GB" w:eastAsia="en-GB"/>
        </w:rPr>
        <w:t xml:space="preserve"> 255 </w:t>
      </w:r>
      <w:proofErr w:type="spellStart"/>
      <w:r w:rsidR="0062583A" w:rsidRPr="00325C4E">
        <w:rPr>
          <w:rFonts w:asciiTheme="majorHAnsi" w:eastAsia="Times New Roman" w:hAnsiTheme="majorHAnsi" w:cstheme="majorHAnsi"/>
          <w:lang w:val="en-GB" w:eastAsia="en-GB"/>
        </w:rPr>
        <w:t>mbledhje</w:t>
      </w:r>
      <w:proofErr w:type="spellEnd"/>
      <w:r w:rsidR="0062583A" w:rsidRPr="00325C4E">
        <w:rPr>
          <w:rFonts w:asciiTheme="majorHAnsi" w:eastAsia="Times New Roman" w:hAnsiTheme="majorHAnsi" w:cstheme="majorHAnsi"/>
          <w:lang w:val="en-GB" w:eastAsia="en-GB"/>
        </w:rPr>
        <w:t xml:space="preserve"> online </w:t>
      </w:r>
      <w:proofErr w:type="spellStart"/>
      <w:r w:rsidR="0062583A" w:rsidRPr="00325C4E">
        <w:rPr>
          <w:rFonts w:asciiTheme="majorHAnsi" w:eastAsia="Times New Roman" w:hAnsiTheme="majorHAnsi" w:cstheme="majorHAnsi"/>
          <w:lang w:val="en-GB" w:eastAsia="en-GB"/>
        </w:rPr>
        <w:t>nga</w:t>
      </w:r>
      <w:proofErr w:type="spellEnd"/>
      <w:r w:rsidR="0062583A" w:rsidRPr="00325C4E">
        <w:rPr>
          <w:rFonts w:asciiTheme="majorHAnsi" w:eastAsia="Times New Roman" w:hAnsiTheme="majorHAnsi" w:cstheme="majorHAnsi"/>
          <w:lang w:val="en-GB" w:eastAsia="en-GB"/>
        </w:rPr>
        <w:t xml:space="preserve"> 24 </w:t>
      </w:r>
      <w:proofErr w:type="spellStart"/>
      <w:r w:rsidR="0062583A" w:rsidRPr="00325C4E">
        <w:rPr>
          <w:rFonts w:asciiTheme="majorHAnsi" w:eastAsia="Times New Roman" w:hAnsiTheme="majorHAnsi" w:cstheme="majorHAnsi"/>
          <w:lang w:val="en-GB" w:eastAsia="en-GB"/>
        </w:rPr>
        <w:t>k</w:t>
      </w:r>
      <w:r>
        <w:rPr>
          <w:rFonts w:asciiTheme="majorHAnsi" w:eastAsia="Times New Roman" w:hAnsiTheme="majorHAnsi" w:cstheme="majorHAnsi"/>
          <w:lang w:val="en-GB" w:eastAsia="en-GB"/>
        </w:rPr>
        <w:t>omuna</w:t>
      </w:r>
      <w:proofErr w:type="spellEnd"/>
      <w:r>
        <w:rPr>
          <w:rFonts w:asciiTheme="majorHAnsi" w:eastAsia="Times New Roman" w:hAnsiTheme="majorHAnsi" w:cstheme="majorHAnsi"/>
          <w:lang w:val="en-GB" w:eastAsia="en-GB"/>
        </w:rPr>
        <w:t xml:space="preserve">, </w:t>
      </w:r>
      <w:proofErr w:type="spellStart"/>
      <w:r>
        <w:rPr>
          <w:rFonts w:asciiTheme="majorHAnsi" w:eastAsia="Times New Roman" w:hAnsiTheme="majorHAnsi" w:cstheme="majorHAnsi"/>
          <w:lang w:val="en-GB" w:eastAsia="en-GB"/>
        </w:rPr>
        <w:t>ndërsa</w:t>
      </w:r>
      <w:proofErr w:type="spellEnd"/>
      <w:r>
        <w:rPr>
          <w:rFonts w:asciiTheme="majorHAnsi" w:eastAsia="Times New Roman" w:hAnsiTheme="majorHAnsi" w:cstheme="majorHAnsi"/>
          <w:lang w:val="en-GB" w:eastAsia="en-GB"/>
        </w:rPr>
        <w:t xml:space="preserve"> 14 </w:t>
      </w:r>
      <w:proofErr w:type="spellStart"/>
      <w:r>
        <w:rPr>
          <w:rFonts w:asciiTheme="majorHAnsi" w:eastAsia="Times New Roman" w:hAnsiTheme="majorHAnsi" w:cstheme="majorHAnsi"/>
          <w:lang w:val="en-GB" w:eastAsia="en-GB"/>
        </w:rPr>
        <w:t>komuna</w:t>
      </w:r>
      <w:proofErr w:type="spellEnd"/>
      <w:r>
        <w:rPr>
          <w:rFonts w:asciiTheme="majorHAnsi" w:eastAsia="Times New Roman" w:hAnsiTheme="majorHAnsi" w:cstheme="majorHAnsi"/>
          <w:lang w:val="en-GB" w:eastAsia="en-GB"/>
        </w:rPr>
        <w:t xml:space="preserve"> </w:t>
      </w:r>
      <w:proofErr w:type="spellStart"/>
      <w:r>
        <w:rPr>
          <w:rFonts w:asciiTheme="majorHAnsi" w:eastAsia="Times New Roman" w:hAnsiTheme="majorHAnsi" w:cstheme="majorHAnsi"/>
          <w:lang w:val="en-GB" w:eastAsia="en-GB"/>
        </w:rPr>
        <w:t>nuk</w:t>
      </w:r>
      <w:proofErr w:type="spellEnd"/>
      <w:r>
        <w:rPr>
          <w:rFonts w:asciiTheme="majorHAnsi" w:eastAsia="Times New Roman" w:hAnsiTheme="majorHAnsi" w:cstheme="majorHAnsi"/>
          <w:lang w:val="en-GB" w:eastAsia="en-GB"/>
        </w:rPr>
        <w:t xml:space="preserve"> </w:t>
      </w:r>
      <w:proofErr w:type="spellStart"/>
      <w:r>
        <w:rPr>
          <w:rFonts w:asciiTheme="majorHAnsi" w:eastAsia="Times New Roman" w:hAnsiTheme="majorHAnsi" w:cstheme="majorHAnsi"/>
          <w:lang w:val="en-GB" w:eastAsia="en-GB"/>
        </w:rPr>
        <w:t>kishin</w:t>
      </w:r>
      <w:proofErr w:type="spellEnd"/>
      <w:r w:rsidR="0062583A" w:rsidRPr="00325C4E">
        <w:rPr>
          <w:rFonts w:asciiTheme="majorHAnsi" w:eastAsia="Times New Roman" w:hAnsiTheme="majorHAnsi" w:cstheme="majorHAnsi"/>
          <w:lang w:val="en-GB" w:eastAsia="en-GB"/>
        </w:rPr>
        <w:t xml:space="preserve"> </w:t>
      </w:r>
      <w:proofErr w:type="spellStart"/>
      <w:r w:rsidR="0062583A" w:rsidRPr="00325C4E">
        <w:rPr>
          <w:rFonts w:asciiTheme="majorHAnsi" w:eastAsia="Times New Roman" w:hAnsiTheme="majorHAnsi" w:cstheme="majorHAnsi"/>
          <w:lang w:val="en-GB" w:eastAsia="en-GB"/>
        </w:rPr>
        <w:t>transme</w:t>
      </w:r>
      <w:r>
        <w:rPr>
          <w:rFonts w:asciiTheme="majorHAnsi" w:eastAsia="Times New Roman" w:hAnsiTheme="majorHAnsi" w:cstheme="majorHAnsi"/>
          <w:lang w:val="en-GB" w:eastAsia="en-GB"/>
        </w:rPr>
        <w:t>tuar</w:t>
      </w:r>
      <w:proofErr w:type="spellEnd"/>
      <w:r>
        <w:rPr>
          <w:rFonts w:asciiTheme="majorHAnsi" w:eastAsia="Times New Roman" w:hAnsiTheme="majorHAnsi" w:cstheme="majorHAnsi"/>
          <w:lang w:val="en-GB" w:eastAsia="en-GB"/>
        </w:rPr>
        <w:t xml:space="preserve"> </w:t>
      </w:r>
      <w:proofErr w:type="spellStart"/>
      <w:r>
        <w:rPr>
          <w:rFonts w:asciiTheme="majorHAnsi" w:eastAsia="Times New Roman" w:hAnsiTheme="majorHAnsi" w:cstheme="majorHAnsi"/>
          <w:lang w:val="en-GB" w:eastAsia="en-GB"/>
        </w:rPr>
        <w:t>asnjë</w:t>
      </w:r>
      <w:proofErr w:type="spellEnd"/>
      <w:r>
        <w:rPr>
          <w:rFonts w:asciiTheme="majorHAnsi" w:eastAsia="Times New Roman" w:hAnsiTheme="majorHAnsi" w:cstheme="majorHAnsi"/>
          <w:lang w:val="en-GB" w:eastAsia="en-GB"/>
        </w:rPr>
        <w:t xml:space="preserve"> </w:t>
      </w:r>
      <w:proofErr w:type="spellStart"/>
      <w:r>
        <w:rPr>
          <w:rFonts w:asciiTheme="majorHAnsi" w:eastAsia="Times New Roman" w:hAnsiTheme="majorHAnsi" w:cstheme="majorHAnsi"/>
          <w:lang w:val="en-GB" w:eastAsia="en-GB"/>
        </w:rPr>
        <w:t>mbledhje</w:t>
      </w:r>
      <w:proofErr w:type="spellEnd"/>
      <w:r>
        <w:rPr>
          <w:rFonts w:asciiTheme="majorHAnsi" w:eastAsia="Times New Roman" w:hAnsiTheme="majorHAnsi" w:cstheme="majorHAnsi"/>
          <w:lang w:val="en-GB" w:eastAsia="en-GB"/>
        </w:rPr>
        <w:t xml:space="preserve">, </w:t>
      </w:r>
      <w:proofErr w:type="spellStart"/>
      <w:r>
        <w:rPr>
          <w:rFonts w:asciiTheme="majorHAnsi" w:eastAsia="Times New Roman" w:hAnsiTheme="majorHAnsi" w:cstheme="majorHAnsi"/>
          <w:lang w:val="en-GB" w:eastAsia="en-GB"/>
        </w:rPr>
        <w:t>konstatojmë</w:t>
      </w:r>
      <w:proofErr w:type="spellEnd"/>
      <w:r>
        <w:rPr>
          <w:rFonts w:asciiTheme="majorHAnsi" w:eastAsia="Times New Roman" w:hAnsiTheme="majorHAnsi" w:cstheme="majorHAnsi"/>
          <w:lang w:val="en-GB" w:eastAsia="en-GB"/>
        </w:rPr>
        <w:t xml:space="preserve"> </w:t>
      </w:r>
      <w:proofErr w:type="spellStart"/>
      <w:r w:rsidR="0062583A" w:rsidRPr="00325C4E">
        <w:rPr>
          <w:rFonts w:asciiTheme="majorHAnsi" w:eastAsia="Times New Roman" w:hAnsiTheme="majorHAnsi" w:cstheme="majorHAnsi"/>
          <w:lang w:val="en-GB" w:eastAsia="en-GB"/>
        </w:rPr>
        <w:t>rënie</w:t>
      </w:r>
      <w:proofErr w:type="spellEnd"/>
      <w:r w:rsidR="0062583A" w:rsidRPr="00325C4E">
        <w:rPr>
          <w:rFonts w:asciiTheme="majorHAnsi" w:eastAsia="Times New Roman" w:hAnsiTheme="majorHAnsi" w:cstheme="majorHAnsi"/>
          <w:lang w:val="en-GB" w:eastAsia="en-GB"/>
        </w:rPr>
        <w:t xml:space="preserve"> </w:t>
      </w:r>
      <w:proofErr w:type="spellStart"/>
      <w:r w:rsidR="0062583A" w:rsidRPr="00325C4E">
        <w:rPr>
          <w:rFonts w:asciiTheme="majorHAnsi" w:eastAsia="Times New Roman" w:hAnsiTheme="majorHAnsi" w:cstheme="majorHAnsi"/>
          <w:lang w:val="en-GB" w:eastAsia="en-GB"/>
        </w:rPr>
        <w:t>në</w:t>
      </w:r>
      <w:proofErr w:type="spellEnd"/>
      <w:r w:rsidR="0062583A" w:rsidRPr="00325C4E">
        <w:rPr>
          <w:rFonts w:asciiTheme="majorHAnsi" w:eastAsia="Times New Roman" w:hAnsiTheme="majorHAnsi" w:cstheme="majorHAnsi"/>
          <w:lang w:val="en-GB" w:eastAsia="en-GB"/>
        </w:rPr>
        <w:t xml:space="preserve"> </w:t>
      </w:r>
      <w:proofErr w:type="spellStart"/>
      <w:r w:rsidR="0062583A" w:rsidRPr="00325C4E">
        <w:rPr>
          <w:rFonts w:asciiTheme="majorHAnsi" w:eastAsia="Times New Roman" w:hAnsiTheme="majorHAnsi" w:cstheme="majorHAnsi"/>
          <w:lang w:val="en-GB" w:eastAsia="en-GB"/>
        </w:rPr>
        <w:t>vitin</w:t>
      </w:r>
      <w:proofErr w:type="spellEnd"/>
      <w:r w:rsidR="0062583A" w:rsidRPr="00325C4E">
        <w:rPr>
          <w:rFonts w:asciiTheme="majorHAnsi" w:eastAsia="Times New Roman" w:hAnsiTheme="majorHAnsi" w:cstheme="majorHAnsi"/>
          <w:lang w:val="en-GB" w:eastAsia="en-GB"/>
        </w:rPr>
        <w:t xml:space="preserve"> 2025. </w:t>
      </w:r>
    </w:p>
    <w:p w14:paraId="5452D2A9" w14:textId="1FC2C591" w:rsidR="0062583A" w:rsidRPr="00325C4E" w:rsidRDefault="0062583A" w:rsidP="0062583A">
      <w:pPr>
        <w:spacing w:before="100" w:beforeAutospacing="1" w:after="100" w:afterAutospacing="1" w:line="276" w:lineRule="auto"/>
        <w:rPr>
          <w:rFonts w:asciiTheme="majorHAnsi" w:eastAsia="Times New Roman" w:hAnsiTheme="majorHAnsi" w:cstheme="majorHAnsi"/>
          <w:lang w:val="en-GB" w:eastAsia="en-GB"/>
        </w:rPr>
      </w:pPr>
      <w:proofErr w:type="spellStart"/>
      <w:r w:rsidRPr="00325C4E">
        <w:rPr>
          <w:rFonts w:asciiTheme="majorHAnsi" w:eastAsia="Times New Roman" w:hAnsiTheme="majorHAnsi" w:cstheme="majorHAnsi"/>
          <w:lang w:val="en-GB" w:eastAsia="en-GB"/>
        </w:rPr>
        <w:t>Në</w:t>
      </w:r>
      <w:proofErr w:type="spellEnd"/>
      <w:r w:rsidRPr="00325C4E">
        <w:rPr>
          <w:rFonts w:asciiTheme="majorHAnsi" w:eastAsia="Times New Roman" w:hAnsiTheme="majorHAnsi" w:cstheme="majorHAnsi"/>
          <w:lang w:val="en-GB" w:eastAsia="en-GB"/>
        </w:rPr>
        <w:t xml:space="preserve"> total, </w:t>
      </w:r>
      <w:proofErr w:type="spellStart"/>
      <w:r w:rsidRPr="00325C4E">
        <w:rPr>
          <w:rFonts w:asciiTheme="majorHAnsi" w:eastAsia="Times New Roman" w:hAnsiTheme="majorHAnsi" w:cstheme="majorHAnsi"/>
          <w:lang w:val="en-GB" w:eastAsia="en-GB"/>
        </w:rPr>
        <w:t>janë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transmetuar</w:t>
      </w:r>
      <w:proofErr w:type="spellEnd"/>
      <w:r w:rsidRPr="00325C4E">
        <w:rPr>
          <w:rFonts w:asciiTheme="majorHAnsi" w:eastAsia="Times New Roman" w:hAnsiTheme="majorHAnsi" w:cstheme="majorHAnsi"/>
          <w:lang w:val="en-GB" w:eastAsia="en-GB"/>
        </w:rPr>
        <w:t xml:space="preserve"> 88 </w:t>
      </w:r>
      <w:proofErr w:type="spellStart"/>
      <w:r w:rsidRPr="00325C4E">
        <w:rPr>
          <w:rFonts w:asciiTheme="majorHAnsi" w:eastAsia="Times New Roman" w:hAnsiTheme="majorHAnsi" w:cstheme="majorHAnsi"/>
          <w:lang w:val="en-GB" w:eastAsia="en-GB"/>
        </w:rPr>
        <w:t>mbledhje</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më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pak</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gjatë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vitit</w:t>
      </w:r>
      <w:proofErr w:type="spellEnd"/>
      <w:r w:rsidRPr="00325C4E">
        <w:rPr>
          <w:rFonts w:asciiTheme="majorHAnsi" w:eastAsia="Times New Roman" w:hAnsiTheme="majorHAnsi" w:cstheme="majorHAnsi"/>
          <w:lang w:val="en-GB" w:eastAsia="en-GB"/>
        </w:rPr>
        <w:t xml:space="preserve"> 2025. Po </w:t>
      </w:r>
      <w:proofErr w:type="spellStart"/>
      <w:r w:rsidRPr="00325C4E">
        <w:rPr>
          <w:rFonts w:asciiTheme="majorHAnsi" w:eastAsia="Times New Roman" w:hAnsiTheme="majorHAnsi" w:cstheme="majorHAnsi"/>
          <w:lang w:val="en-GB" w:eastAsia="en-GB"/>
        </w:rPr>
        <w:t>ashtu</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numri</w:t>
      </w:r>
      <w:proofErr w:type="spellEnd"/>
      <w:r w:rsidRPr="00325C4E">
        <w:rPr>
          <w:rFonts w:asciiTheme="majorHAnsi" w:eastAsia="Times New Roman" w:hAnsiTheme="majorHAnsi" w:cstheme="majorHAnsi"/>
          <w:lang w:val="en-GB" w:eastAsia="en-GB"/>
        </w:rPr>
        <w:t xml:space="preserve"> i </w:t>
      </w:r>
      <w:proofErr w:type="spellStart"/>
      <w:r w:rsidRPr="00325C4E">
        <w:rPr>
          <w:rFonts w:asciiTheme="majorHAnsi" w:eastAsia="Times New Roman" w:hAnsiTheme="majorHAnsi" w:cstheme="majorHAnsi"/>
          <w:lang w:val="en-GB" w:eastAsia="en-GB"/>
        </w:rPr>
        <w:t>komunave</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që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kanë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realizuar</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transmetim</w:t>
      </w:r>
      <w:proofErr w:type="spellEnd"/>
      <w:r w:rsidRPr="00325C4E">
        <w:rPr>
          <w:rFonts w:asciiTheme="majorHAnsi" w:eastAsia="Times New Roman" w:hAnsiTheme="majorHAnsi" w:cstheme="majorHAnsi"/>
          <w:lang w:val="en-GB" w:eastAsia="en-GB"/>
        </w:rPr>
        <w:t xml:space="preserve"> online </w:t>
      </w:r>
      <w:proofErr w:type="spellStart"/>
      <w:r w:rsidRPr="00325C4E">
        <w:rPr>
          <w:rFonts w:asciiTheme="majorHAnsi" w:eastAsia="Times New Roman" w:hAnsiTheme="majorHAnsi" w:cstheme="majorHAnsi"/>
          <w:lang w:val="en-GB" w:eastAsia="en-GB"/>
        </w:rPr>
        <w:t>është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zvogëluar</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për</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dy</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komuna</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krahasuar</w:t>
      </w:r>
      <w:proofErr w:type="spellEnd"/>
      <w:r w:rsidRPr="00325C4E">
        <w:rPr>
          <w:rFonts w:asciiTheme="majorHAnsi" w:eastAsia="Times New Roman" w:hAnsiTheme="majorHAnsi" w:cstheme="majorHAnsi"/>
          <w:lang w:val="en-GB" w:eastAsia="en-GB"/>
        </w:rPr>
        <w:t xml:space="preserve"> me </w:t>
      </w:r>
      <w:proofErr w:type="spellStart"/>
      <w:r w:rsidRPr="00325C4E">
        <w:rPr>
          <w:rFonts w:asciiTheme="majorHAnsi" w:eastAsia="Times New Roman" w:hAnsiTheme="majorHAnsi" w:cstheme="majorHAnsi"/>
          <w:lang w:val="en-GB" w:eastAsia="en-GB"/>
        </w:rPr>
        <w:t>vitin</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paraprak</w:t>
      </w:r>
      <w:proofErr w:type="spellEnd"/>
      <w:r w:rsidRPr="00325C4E">
        <w:rPr>
          <w:rFonts w:asciiTheme="majorHAnsi" w:eastAsia="Times New Roman" w:hAnsiTheme="majorHAnsi" w:cstheme="majorHAnsi"/>
          <w:lang w:val="en-GB" w:eastAsia="en-GB"/>
        </w:rPr>
        <w:t>.</w:t>
      </w:r>
    </w:p>
    <w:p w14:paraId="02C2C557" w14:textId="78FE6B15" w:rsidR="00D83453" w:rsidRPr="00325C4E" w:rsidRDefault="0062583A" w:rsidP="00D83453">
      <w:pPr>
        <w:spacing w:before="100" w:beforeAutospacing="1" w:after="100" w:afterAutospacing="1" w:line="276" w:lineRule="auto"/>
        <w:rPr>
          <w:rFonts w:asciiTheme="majorHAnsi" w:eastAsia="Times New Roman" w:hAnsiTheme="majorHAnsi" w:cstheme="majorHAnsi"/>
          <w:lang w:val="en-GB" w:eastAsia="en-GB"/>
        </w:rPr>
      </w:pPr>
      <w:proofErr w:type="spellStart"/>
      <w:r w:rsidRPr="00325C4E">
        <w:rPr>
          <w:rFonts w:asciiTheme="majorHAnsi" w:eastAsia="Times New Roman" w:hAnsiTheme="majorHAnsi" w:cstheme="majorHAnsi"/>
          <w:lang w:val="en-GB" w:eastAsia="en-GB"/>
        </w:rPr>
        <w:t>Në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vijim</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paraqitet</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figura</w:t>
      </w:r>
      <w:proofErr w:type="spellEnd"/>
      <w:r w:rsidRPr="00325C4E">
        <w:rPr>
          <w:rFonts w:asciiTheme="majorHAnsi" w:eastAsia="Times New Roman" w:hAnsiTheme="majorHAnsi" w:cstheme="majorHAnsi"/>
          <w:lang w:val="en-GB" w:eastAsia="en-GB"/>
        </w:rPr>
        <w:t xml:space="preserve"> me </w:t>
      </w:r>
      <w:proofErr w:type="spellStart"/>
      <w:r w:rsidRPr="00325C4E">
        <w:rPr>
          <w:rFonts w:asciiTheme="majorHAnsi" w:eastAsia="Times New Roman" w:hAnsiTheme="majorHAnsi" w:cstheme="majorHAnsi"/>
          <w:lang w:val="en-GB" w:eastAsia="en-GB"/>
        </w:rPr>
        <w:t>të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dhënat</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për</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komunat</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që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kanë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transmetuar</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mbledhjet</w:t>
      </w:r>
      <w:proofErr w:type="spellEnd"/>
      <w:r w:rsidRPr="00325C4E">
        <w:rPr>
          <w:rFonts w:asciiTheme="majorHAnsi" w:eastAsia="Times New Roman" w:hAnsiTheme="majorHAnsi" w:cstheme="majorHAnsi"/>
          <w:lang w:val="en-GB" w:eastAsia="en-GB"/>
        </w:rPr>
        <w:t xml:space="preserve"> online </w:t>
      </w:r>
      <w:proofErr w:type="spellStart"/>
      <w:r w:rsidRPr="00325C4E">
        <w:rPr>
          <w:rFonts w:asciiTheme="majorHAnsi" w:eastAsia="Times New Roman" w:hAnsiTheme="majorHAnsi" w:cstheme="majorHAnsi"/>
          <w:lang w:val="en-GB" w:eastAsia="en-GB"/>
        </w:rPr>
        <w:t>të</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Kuvendit</w:t>
      </w:r>
      <w:proofErr w:type="spellEnd"/>
      <w:r w:rsidRPr="00325C4E">
        <w:rPr>
          <w:rFonts w:asciiTheme="majorHAnsi" w:eastAsia="Times New Roman" w:hAnsiTheme="majorHAnsi" w:cstheme="majorHAnsi"/>
          <w:lang w:val="en-GB" w:eastAsia="en-GB"/>
        </w:rPr>
        <w:t xml:space="preserve"> </w:t>
      </w:r>
      <w:proofErr w:type="spellStart"/>
      <w:r w:rsidRPr="00325C4E">
        <w:rPr>
          <w:rFonts w:asciiTheme="majorHAnsi" w:eastAsia="Times New Roman" w:hAnsiTheme="majorHAnsi" w:cstheme="majorHAnsi"/>
          <w:lang w:val="en-GB" w:eastAsia="en-GB"/>
        </w:rPr>
        <w:t>Komunal</w:t>
      </w:r>
      <w:proofErr w:type="spellEnd"/>
      <w:r w:rsidRPr="00325C4E">
        <w:rPr>
          <w:rFonts w:asciiTheme="majorHAnsi" w:eastAsia="Times New Roman" w:hAnsiTheme="majorHAnsi" w:cstheme="majorHAnsi"/>
          <w:lang w:val="en-GB" w:eastAsia="en-GB"/>
        </w:rPr>
        <w:t>.</w:t>
      </w:r>
    </w:p>
    <w:bookmarkEnd w:id="26"/>
    <w:p w14:paraId="7C86B9F8" w14:textId="318D050A" w:rsidR="00CE7872" w:rsidRPr="009D6147" w:rsidRDefault="00CE7872" w:rsidP="00A70BC5">
      <w:pPr>
        <w:spacing w:after="240" w:line="276" w:lineRule="auto"/>
        <w:rPr>
          <w:rFonts w:asciiTheme="majorHAnsi" w:hAnsiTheme="majorHAnsi" w:cstheme="majorHAnsi"/>
        </w:rPr>
      </w:pPr>
      <w:r w:rsidRPr="009D6147">
        <w:rPr>
          <w:rFonts w:asciiTheme="majorHAnsi" w:hAnsiTheme="majorHAnsi" w:cstheme="majorHAnsi"/>
          <w:noProof/>
          <w:lang w:eastAsia="sq-AL"/>
        </w:rPr>
        <mc:AlternateContent>
          <mc:Choice Requires="cx1">
            <w:drawing>
              <wp:inline distT="0" distB="0" distL="0" distR="0" wp14:anchorId="13726845" wp14:editId="45785B9B">
                <wp:extent cx="6026400" cy="2051685"/>
                <wp:effectExtent l="0" t="0" r="12700" b="5715"/>
                <wp:docPr id="57" name="Chart 57">
                  <a:extLst xmlns:a="http://schemas.openxmlformats.org/drawingml/2006/main">
                    <a:ext uri="{FF2B5EF4-FFF2-40B4-BE49-F238E27FC236}">
                      <a16:creationId xmlns:a16="http://schemas.microsoft.com/office/drawing/2014/main" id="{47C0AEFB-F6DC-4E56-A928-EF99E2AA440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8"/>
                  </a:graphicData>
                </a:graphic>
              </wp:inline>
            </w:drawing>
          </mc:Choice>
          <mc:Fallback>
            <w:drawing>
              <wp:inline distT="0" distB="0" distL="0" distR="0" wp14:anchorId="13726845" wp14:editId="45785B9B">
                <wp:extent cx="6026400" cy="2051685"/>
                <wp:effectExtent l="0" t="0" r="12700" b="5715"/>
                <wp:docPr id="57" name="Chart 5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7C0AEFB-F6DC-4E56-A928-EF99E2AA440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7" name="Chart 5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7C0AEFB-F6DC-4E56-A928-EF99E2AA440E}"/>
                            </a:ext>
                          </a:extLst>
                        </pic:cNvPr>
                        <pic:cNvPicPr>
                          <a:picLocks noGrp="1" noRot="1" noChangeAspect="1" noMove="1" noResize="1" noEditPoints="1" noAdjustHandles="1" noChangeArrowheads="1" noChangeShapeType="1"/>
                        </pic:cNvPicPr>
                      </pic:nvPicPr>
                      <pic:blipFill>
                        <a:blip r:embed="rId19"/>
                        <a:stretch>
                          <a:fillRect/>
                        </a:stretch>
                      </pic:blipFill>
                      <pic:spPr>
                        <a:xfrm>
                          <a:off x="0" y="0"/>
                          <a:ext cx="6026150" cy="2051685"/>
                        </a:xfrm>
                        <a:prstGeom prst="rect">
                          <a:avLst/>
                        </a:prstGeom>
                      </pic:spPr>
                    </pic:pic>
                  </a:graphicData>
                </a:graphic>
              </wp:inline>
            </w:drawing>
          </mc:Fallback>
        </mc:AlternateContent>
      </w:r>
    </w:p>
    <w:p w14:paraId="067C28EF" w14:textId="355F313C" w:rsidR="000E40FB" w:rsidRPr="00325C4E" w:rsidRDefault="00FA5DBE" w:rsidP="00325C4E">
      <w:pPr>
        <w:spacing w:after="240" w:line="276" w:lineRule="auto"/>
        <w:jc w:val="center"/>
        <w:rPr>
          <w:rFonts w:asciiTheme="majorHAnsi" w:hAnsiTheme="majorHAnsi" w:cstheme="majorHAnsi"/>
          <w:i/>
          <w:sz w:val="14"/>
          <w:szCs w:val="14"/>
        </w:rPr>
      </w:pPr>
      <w:r w:rsidRPr="00325C4E">
        <w:rPr>
          <w:rFonts w:asciiTheme="majorHAnsi" w:hAnsiTheme="majorHAnsi" w:cstheme="majorHAnsi"/>
          <w:i/>
          <w:sz w:val="14"/>
          <w:szCs w:val="14"/>
        </w:rPr>
        <w:t>Fig</w:t>
      </w:r>
      <w:r w:rsidR="00025A7B" w:rsidRPr="00325C4E">
        <w:rPr>
          <w:rFonts w:asciiTheme="majorHAnsi" w:hAnsiTheme="majorHAnsi" w:cstheme="majorHAnsi"/>
          <w:i/>
          <w:sz w:val="14"/>
          <w:szCs w:val="14"/>
        </w:rPr>
        <w:t>.</w:t>
      </w:r>
      <w:r w:rsidRPr="00325C4E">
        <w:rPr>
          <w:rFonts w:asciiTheme="majorHAnsi" w:hAnsiTheme="majorHAnsi" w:cstheme="majorHAnsi"/>
          <w:i/>
          <w:sz w:val="14"/>
          <w:szCs w:val="14"/>
        </w:rPr>
        <w:t xml:space="preserve"> </w:t>
      </w:r>
      <w:r w:rsidR="0073351F" w:rsidRPr="00325C4E">
        <w:rPr>
          <w:rFonts w:asciiTheme="majorHAnsi" w:hAnsiTheme="majorHAnsi" w:cstheme="majorHAnsi"/>
          <w:i/>
          <w:sz w:val="14"/>
          <w:szCs w:val="14"/>
        </w:rPr>
        <w:t>8</w:t>
      </w:r>
      <w:r w:rsidR="00276220" w:rsidRPr="00325C4E">
        <w:rPr>
          <w:rFonts w:asciiTheme="majorHAnsi" w:hAnsiTheme="majorHAnsi" w:cstheme="majorHAnsi"/>
          <w:i/>
          <w:sz w:val="14"/>
          <w:szCs w:val="14"/>
        </w:rPr>
        <w:t xml:space="preserve"> </w:t>
      </w:r>
      <w:r w:rsidRPr="00325C4E">
        <w:rPr>
          <w:rFonts w:asciiTheme="majorHAnsi" w:hAnsiTheme="majorHAnsi" w:cstheme="majorHAnsi"/>
          <w:i/>
          <w:sz w:val="14"/>
          <w:szCs w:val="14"/>
        </w:rPr>
        <w:t xml:space="preserve">Mbledhjet e kuvendit komunal të transmetuar </w:t>
      </w:r>
      <w:proofErr w:type="spellStart"/>
      <w:r w:rsidRPr="00325C4E">
        <w:rPr>
          <w:rFonts w:asciiTheme="majorHAnsi" w:hAnsiTheme="majorHAnsi" w:cstheme="majorHAnsi"/>
          <w:i/>
          <w:sz w:val="14"/>
          <w:szCs w:val="14"/>
        </w:rPr>
        <w:t>online</w:t>
      </w:r>
      <w:bookmarkStart w:id="28" w:name="_Toc56692984"/>
      <w:bookmarkStart w:id="29" w:name="_Toc81401210"/>
      <w:bookmarkStart w:id="30" w:name="_Toc85812815"/>
      <w:bookmarkStart w:id="31" w:name="_Toc130455683"/>
      <w:proofErr w:type="spellEnd"/>
    </w:p>
    <w:p w14:paraId="402F0FA3" w14:textId="5675802A" w:rsidR="00984234" w:rsidRPr="009D6147" w:rsidRDefault="00137FF6" w:rsidP="00EA21F2">
      <w:pPr>
        <w:pStyle w:val="Style2"/>
        <w:rPr>
          <w:rFonts w:asciiTheme="majorHAnsi" w:hAnsiTheme="majorHAnsi" w:cstheme="majorHAnsi"/>
        </w:rPr>
      </w:pPr>
      <w:bookmarkStart w:id="32" w:name="_Toc227827168"/>
      <w:r w:rsidRPr="009D6147">
        <w:rPr>
          <w:rFonts w:asciiTheme="majorHAnsi" w:hAnsiTheme="majorHAnsi" w:cstheme="majorHAnsi"/>
        </w:rPr>
        <w:t xml:space="preserve">Publikimi i planit të punës të </w:t>
      </w:r>
      <w:r w:rsidR="00025A7B" w:rsidRPr="009D6147">
        <w:rPr>
          <w:rFonts w:asciiTheme="majorHAnsi" w:hAnsiTheme="majorHAnsi" w:cstheme="majorHAnsi"/>
        </w:rPr>
        <w:t xml:space="preserve"> kuvend</w:t>
      </w:r>
      <w:bookmarkEnd w:id="28"/>
      <w:bookmarkEnd w:id="29"/>
      <w:bookmarkEnd w:id="30"/>
      <w:bookmarkEnd w:id="31"/>
      <w:r w:rsidRPr="009D6147">
        <w:rPr>
          <w:rFonts w:asciiTheme="majorHAnsi" w:hAnsiTheme="majorHAnsi" w:cstheme="majorHAnsi"/>
        </w:rPr>
        <w:t xml:space="preserve">it </w:t>
      </w:r>
      <w:r w:rsidR="00025A7B" w:rsidRPr="009D6147">
        <w:rPr>
          <w:rFonts w:asciiTheme="majorHAnsi" w:hAnsiTheme="majorHAnsi" w:cstheme="majorHAnsi"/>
        </w:rPr>
        <w:t xml:space="preserve"> komunal</w:t>
      </w:r>
      <w:bookmarkEnd w:id="32"/>
    </w:p>
    <w:p w14:paraId="2028CD50" w14:textId="77777777" w:rsidR="0062583A" w:rsidRPr="0062583A" w:rsidRDefault="0062583A" w:rsidP="0062583A">
      <w:pPr>
        <w:spacing w:before="100" w:beforeAutospacing="1" w:after="100" w:afterAutospacing="1" w:line="276" w:lineRule="auto"/>
        <w:rPr>
          <w:rFonts w:asciiTheme="majorHAnsi" w:eastAsia="Times New Roman" w:hAnsiTheme="majorHAnsi" w:cstheme="majorHAnsi"/>
          <w:lang w:eastAsia="en-GB"/>
        </w:rPr>
      </w:pPr>
      <w:r w:rsidRPr="0062583A">
        <w:rPr>
          <w:rFonts w:asciiTheme="majorHAnsi" w:eastAsia="Times New Roman" w:hAnsiTheme="majorHAnsi" w:cstheme="majorHAnsi"/>
          <w:lang w:eastAsia="en-GB"/>
        </w:rPr>
        <w:t>Komunat kanë obligim ligjor të sigurojnë qasje të drejtpërdrejtë në dokumentet publike përmes ueb-faqeve zyrtare, përfshirë Planin e Punës së Kuvendit Komunal, strategjitë dhe dokumentet e tjera të politikave të miratuara.</w:t>
      </w:r>
    </w:p>
    <w:p w14:paraId="58593F0B" w14:textId="77777777" w:rsidR="0062583A" w:rsidRPr="0062583A" w:rsidRDefault="0062583A" w:rsidP="0062583A">
      <w:pPr>
        <w:spacing w:before="100" w:beforeAutospacing="1" w:after="100" w:afterAutospacing="1" w:line="276" w:lineRule="auto"/>
        <w:rPr>
          <w:rFonts w:asciiTheme="majorHAnsi" w:eastAsia="Times New Roman" w:hAnsiTheme="majorHAnsi" w:cstheme="majorHAnsi"/>
          <w:lang w:eastAsia="en-GB"/>
        </w:rPr>
      </w:pPr>
      <w:r w:rsidRPr="0062583A">
        <w:rPr>
          <w:rFonts w:asciiTheme="majorHAnsi" w:eastAsia="Times New Roman" w:hAnsiTheme="majorHAnsi" w:cstheme="majorHAnsi"/>
          <w:lang w:eastAsia="en-GB"/>
        </w:rPr>
        <w:t>Gjatë periudhës janar–dhjetor 2025, Planin e Punës së Kuvendit Komunal e kanë publikuar 17 komuna (45%), ndërsa 21 komuna (55%) nuk e kanë publikuar këtë dokument.</w:t>
      </w:r>
    </w:p>
    <w:p w14:paraId="72D45FAF" w14:textId="77777777" w:rsidR="0062583A" w:rsidRPr="0062583A" w:rsidRDefault="0062583A" w:rsidP="0062583A">
      <w:pPr>
        <w:spacing w:before="100" w:beforeAutospacing="1" w:after="100" w:afterAutospacing="1" w:line="276" w:lineRule="auto"/>
        <w:rPr>
          <w:rFonts w:asciiTheme="majorHAnsi" w:eastAsia="Times New Roman" w:hAnsiTheme="majorHAnsi" w:cstheme="majorHAnsi"/>
          <w:lang w:eastAsia="en-GB"/>
        </w:rPr>
      </w:pPr>
      <w:r w:rsidRPr="0062583A">
        <w:rPr>
          <w:rFonts w:asciiTheme="majorHAnsi" w:eastAsia="Times New Roman" w:hAnsiTheme="majorHAnsi" w:cstheme="majorHAnsi"/>
          <w:lang w:eastAsia="en-GB"/>
        </w:rPr>
        <w:t>Në krahasim me të dhënat e vitit 2024, konstatohet një rënie në publikimin e Planit të Punës së Kuvendit Komunal, përkatësisht me 10 komuna më pak në vitin 2025.</w:t>
      </w:r>
    </w:p>
    <w:p w14:paraId="3E547172" w14:textId="0A6BFB18" w:rsidR="00984234" w:rsidRPr="009D6147" w:rsidRDefault="0062583A" w:rsidP="00984234">
      <w:pPr>
        <w:spacing w:before="100" w:beforeAutospacing="1" w:after="100" w:afterAutospacing="1" w:line="276" w:lineRule="auto"/>
        <w:rPr>
          <w:rFonts w:asciiTheme="majorHAnsi" w:eastAsia="Times New Roman" w:hAnsiTheme="majorHAnsi" w:cstheme="majorHAnsi"/>
          <w:lang w:eastAsia="en-GB"/>
        </w:rPr>
      </w:pPr>
      <w:r w:rsidRPr="0062583A">
        <w:rPr>
          <w:rFonts w:asciiTheme="majorHAnsi" w:eastAsia="Times New Roman" w:hAnsiTheme="majorHAnsi" w:cstheme="majorHAnsi"/>
          <w:lang w:eastAsia="en-GB"/>
        </w:rPr>
        <w:t>Në vijim paraqitet figura me të dhënat për komunat që kanë publikuar Planin e Punës së Kuvendit Komunal.</w:t>
      </w:r>
    </w:p>
    <w:p w14:paraId="60027417" w14:textId="77777777" w:rsidR="00325C4E" w:rsidRDefault="00984234" w:rsidP="00325C4E">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hAnsiTheme="majorHAnsi" w:cstheme="majorHAnsi"/>
          <w:noProof/>
          <w:lang w:eastAsia="sq-AL"/>
        </w:rPr>
        <w:drawing>
          <wp:inline distT="0" distB="0" distL="0" distR="0" wp14:anchorId="10DBC188" wp14:editId="1FF0A22A">
            <wp:extent cx="5925185" cy="1706400"/>
            <wp:effectExtent l="0" t="0" r="18415" b="8255"/>
            <wp:docPr id="43" name="Chart 43">
              <a:extLst xmlns:a="http://schemas.openxmlformats.org/drawingml/2006/main">
                <a:ext uri="{FF2B5EF4-FFF2-40B4-BE49-F238E27FC236}">
                  <a16:creationId xmlns:a16="http://schemas.microsoft.com/office/drawing/2014/main" id="{18A10BEA-6573-46D9-9D89-0EEAD08A86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8EB388" w14:textId="60DB8176" w:rsidR="00984234" w:rsidRPr="00325C4E" w:rsidRDefault="00984234" w:rsidP="00325C4E">
      <w:pPr>
        <w:spacing w:before="100" w:beforeAutospacing="1" w:after="100" w:afterAutospacing="1" w:line="276" w:lineRule="auto"/>
        <w:jc w:val="center"/>
        <w:rPr>
          <w:rFonts w:asciiTheme="majorHAnsi" w:eastAsia="Times New Roman" w:hAnsiTheme="majorHAnsi" w:cstheme="majorHAnsi"/>
          <w:lang w:eastAsia="en-GB"/>
        </w:rPr>
      </w:pPr>
      <w:proofErr w:type="spellStart"/>
      <w:r w:rsidRPr="00325C4E">
        <w:rPr>
          <w:rFonts w:asciiTheme="majorHAnsi" w:hAnsiTheme="majorHAnsi" w:cstheme="majorHAnsi"/>
          <w:i/>
          <w:sz w:val="14"/>
          <w:szCs w:val="14"/>
        </w:rPr>
        <w:t>Fig</w:t>
      </w:r>
      <w:proofErr w:type="spellEnd"/>
      <w:r w:rsidRPr="00325C4E">
        <w:rPr>
          <w:rFonts w:asciiTheme="majorHAnsi" w:hAnsiTheme="majorHAnsi" w:cstheme="majorHAnsi"/>
          <w:i/>
          <w:sz w:val="14"/>
          <w:szCs w:val="14"/>
        </w:rPr>
        <w:t xml:space="preserve"> 9. Publikimi i planit të punë së  kuvendit të komunës</w:t>
      </w:r>
    </w:p>
    <w:p w14:paraId="43022763" w14:textId="2805F957" w:rsidR="0062583A" w:rsidRDefault="0062583A" w:rsidP="0062583A">
      <w:pPr>
        <w:spacing w:before="100" w:beforeAutospacing="1" w:after="100" w:afterAutospacing="1" w:line="276" w:lineRule="auto"/>
        <w:rPr>
          <w:rFonts w:asciiTheme="majorHAnsi" w:eastAsia="Times New Roman" w:hAnsiTheme="majorHAnsi" w:cstheme="majorHAnsi"/>
          <w:lang w:eastAsia="en-GB"/>
        </w:rPr>
      </w:pPr>
      <w:r w:rsidRPr="0062583A">
        <w:rPr>
          <w:rFonts w:asciiTheme="majorHAnsi" w:eastAsia="Times New Roman" w:hAnsiTheme="majorHAnsi" w:cstheme="majorHAnsi"/>
          <w:lang w:eastAsia="en-GB"/>
        </w:rPr>
        <w:t xml:space="preserve">Sa i përket raportimit të Kuvendit Komunal, gjatë vitit 2025 raportin e Kuvendit e kanë publikuar </w:t>
      </w:r>
      <w:r w:rsidR="006A6A8F">
        <w:rPr>
          <w:rFonts w:asciiTheme="majorHAnsi" w:eastAsia="Times New Roman" w:hAnsiTheme="majorHAnsi" w:cstheme="majorHAnsi"/>
          <w:lang w:eastAsia="en-GB"/>
        </w:rPr>
        <w:t>21</w:t>
      </w:r>
      <w:r w:rsidRPr="0062583A">
        <w:rPr>
          <w:rFonts w:asciiTheme="majorHAnsi" w:eastAsia="Times New Roman" w:hAnsiTheme="majorHAnsi" w:cstheme="majorHAnsi"/>
          <w:lang w:eastAsia="en-GB"/>
        </w:rPr>
        <w:t xml:space="preserve">komuna, ndërsa </w:t>
      </w:r>
      <w:r w:rsidR="006A6A8F">
        <w:rPr>
          <w:rFonts w:asciiTheme="majorHAnsi" w:eastAsia="Times New Roman" w:hAnsiTheme="majorHAnsi" w:cstheme="majorHAnsi"/>
          <w:lang w:eastAsia="en-GB"/>
        </w:rPr>
        <w:t>17</w:t>
      </w:r>
      <w:r w:rsidRPr="0062583A">
        <w:rPr>
          <w:rFonts w:asciiTheme="majorHAnsi" w:eastAsia="Times New Roman" w:hAnsiTheme="majorHAnsi" w:cstheme="majorHAnsi"/>
          <w:lang w:eastAsia="en-GB"/>
        </w:rPr>
        <w:t xml:space="preserve"> komuna të tjera nuk e kanë publikuar këtë dokument.</w:t>
      </w:r>
    </w:p>
    <w:p w14:paraId="78251DDE" w14:textId="5445C566" w:rsidR="00984234" w:rsidRPr="00325C4E" w:rsidRDefault="0062583A" w:rsidP="00984234">
      <w:pPr>
        <w:spacing w:before="100" w:beforeAutospacing="1" w:after="100" w:afterAutospacing="1" w:line="276" w:lineRule="auto"/>
        <w:rPr>
          <w:rFonts w:asciiTheme="majorHAnsi" w:eastAsia="Times New Roman" w:hAnsiTheme="majorHAnsi" w:cstheme="majorHAnsi"/>
          <w:lang w:eastAsia="en-GB"/>
        </w:rPr>
      </w:pPr>
      <w:r w:rsidRPr="0062583A">
        <w:rPr>
          <w:rFonts w:asciiTheme="majorHAnsi" w:eastAsia="Times New Roman" w:hAnsiTheme="majorHAnsi" w:cstheme="majorHAnsi"/>
          <w:lang w:eastAsia="en-GB"/>
        </w:rPr>
        <w:t>Në vijim paraqitet figura me të dhënat për komunat që kanë publikuar Raportin e Kuvendit Komunal</w:t>
      </w:r>
      <w:r w:rsidRPr="0062583A">
        <w:rPr>
          <w:rFonts w:asciiTheme="majorHAnsi" w:eastAsia="Times New Roman" w:hAnsiTheme="majorHAnsi" w:cstheme="majorHAnsi"/>
          <w:sz w:val="24"/>
          <w:szCs w:val="24"/>
          <w:lang w:eastAsia="en-GB"/>
        </w:rPr>
        <w:t>.</w:t>
      </w:r>
    </w:p>
    <w:p w14:paraId="11BC5CBD" w14:textId="7D7E70AA" w:rsidR="00984234" w:rsidRPr="009D6147" w:rsidRDefault="00AC73AF" w:rsidP="00984234">
      <w:pPr>
        <w:spacing w:before="100" w:beforeAutospacing="1" w:after="100" w:afterAutospacing="1" w:line="276" w:lineRule="auto"/>
        <w:rPr>
          <w:rFonts w:asciiTheme="majorHAnsi" w:eastAsia="Times New Roman" w:hAnsiTheme="majorHAnsi" w:cstheme="majorHAnsi"/>
          <w:lang w:eastAsia="en-GB"/>
        </w:rPr>
      </w:pPr>
      <w:r>
        <w:rPr>
          <w:noProof/>
        </w:rPr>
        <w:drawing>
          <wp:inline distT="0" distB="0" distL="0" distR="0" wp14:anchorId="76B523AA" wp14:editId="6666F234">
            <wp:extent cx="5882185" cy="2012950"/>
            <wp:effectExtent l="0" t="0" r="4445" b="6350"/>
            <wp:docPr id="3" name="Chart 3">
              <a:extLst xmlns:a="http://schemas.openxmlformats.org/drawingml/2006/main">
                <a:ext uri="{FF2B5EF4-FFF2-40B4-BE49-F238E27FC236}">
                  <a16:creationId xmlns:a16="http://schemas.microsoft.com/office/drawing/2014/main" id="{344BB0A8-0463-42E1-924E-211AFA9E8B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9442348" w14:textId="37C4AE18" w:rsidR="00984234" w:rsidRPr="00325C4E" w:rsidRDefault="00984234" w:rsidP="004461DD">
      <w:pPr>
        <w:spacing w:after="240" w:line="276" w:lineRule="auto"/>
        <w:jc w:val="center"/>
        <w:rPr>
          <w:rFonts w:asciiTheme="majorHAnsi" w:hAnsiTheme="majorHAnsi" w:cstheme="majorHAnsi"/>
          <w:i/>
          <w:sz w:val="14"/>
          <w:szCs w:val="14"/>
        </w:rPr>
      </w:pPr>
      <w:proofErr w:type="spellStart"/>
      <w:r w:rsidRPr="00325C4E">
        <w:rPr>
          <w:rFonts w:asciiTheme="majorHAnsi" w:hAnsiTheme="majorHAnsi" w:cstheme="majorHAnsi"/>
          <w:i/>
          <w:sz w:val="14"/>
          <w:szCs w:val="14"/>
        </w:rPr>
        <w:t>Fig</w:t>
      </w:r>
      <w:proofErr w:type="spellEnd"/>
      <w:r w:rsidRPr="00325C4E">
        <w:rPr>
          <w:rFonts w:asciiTheme="majorHAnsi" w:hAnsiTheme="majorHAnsi" w:cstheme="majorHAnsi"/>
          <w:i/>
          <w:sz w:val="14"/>
          <w:szCs w:val="14"/>
        </w:rPr>
        <w:t xml:space="preserve"> 10 . Publikimi i raportit të   kuvendit të komunës</w:t>
      </w:r>
    </w:p>
    <w:p w14:paraId="09CEBDBE" w14:textId="1E02CDA1" w:rsidR="002C1755" w:rsidRPr="009D6147" w:rsidRDefault="002C1755" w:rsidP="00A70BC5">
      <w:pPr>
        <w:spacing w:after="0" w:line="276" w:lineRule="auto"/>
        <w:rPr>
          <w:rFonts w:asciiTheme="majorHAnsi" w:hAnsiTheme="majorHAnsi" w:cstheme="majorHAnsi"/>
          <w:b/>
          <w:color w:val="2F5496" w:themeColor="accent5" w:themeShade="BF"/>
          <w:sz w:val="24"/>
        </w:rPr>
      </w:pPr>
    </w:p>
    <w:p w14:paraId="7D22B95E" w14:textId="78244B90" w:rsidR="006257DA" w:rsidRPr="009D6147" w:rsidRDefault="006257DA" w:rsidP="004F395D">
      <w:pPr>
        <w:pStyle w:val="Style3"/>
        <w:rPr>
          <w:rFonts w:eastAsia="Times New Roman" w:cstheme="majorHAnsi"/>
          <w:sz w:val="22"/>
          <w:szCs w:val="22"/>
          <w:lang w:eastAsia="en-GB"/>
        </w:rPr>
      </w:pPr>
      <w:bookmarkStart w:id="33" w:name="_Toc227827169"/>
      <w:r w:rsidRPr="009D6147">
        <w:rPr>
          <w:rFonts w:eastAsia="Times New Roman" w:cstheme="majorHAnsi"/>
          <w:sz w:val="22"/>
          <w:szCs w:val="22"/>
          <w:lang w:eastAsia="en-GB"/>
        </w:rPr>
        <w:t>Planet dhe dokumentet strategjike</w:t>
      </w:r>
      <w:bookmarkEnd w:id="33"/>
    </w:p>
    <w:p w14:paraId="413377AC" w14:textId="2362E544" w:rsidR="004F395D" w:rsidRDefault="004F395D" w:rsidP="004F395D">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eastAsia="Times New Roman" w:hAnsiTheme="majorHAnsi" w:cstheme="majorHAnsi"/>
          <w:lang w:eastAsia="en-GB"/>
        </w:rPr>
        <w:t>B</w:t>
      </w:r>
      <w:r w:rsidRPr="004F395D">
        <w:rPr>
          <w:rFonts w:asciiTheme="majorHAnsi" w:eastAsia="Times New Roman" w:hAnsiTheme="majorHAnsi" w:cstheme="majorHAnsi"/>
          <w:lang w:eastAsia="en-GB"/>
        </w:rPr>
        <w:t>azuar në Udhëzimin Administrativ Nr. 04/2023 për Administratë të Hapur, komunat kanë obligim ligjor të sigurojnë transparencë dhe qasje publike në dokumentet strategjike dhe planifikuese të fushave përkatëse përmes ueb-faqeve zyrtare. Këto dokumente përbëjnë një nga instrumentet kryesore të llogaridhënies dhe informimit publik në nivel lokal.</w:t>
      </w:r>
    </w:p>
    <w:p w14:paraId="2402334E" w14:textId="3A0955F8" w:rsidR="00325C4E" w:rsidRPr="00325C4E" w:rsidRDefault="00325C4E" w:rsidP="004F395D">
      <w:pPr>
        <w:spacing w:before="100" w:beforeAutospacing="1" w:after="100" w:afterAutospacing="1" w:line="276" w:lineRule="auto"/>
        <w:rPr>
          <w:rFonts w:asciiTheme="majorHAnsi" w:eastAsia="Times New Roman" w:hAnsiTheme="majorHAnsi" w:cstheme="majorHAnsi"/>
          <w:lang w:eastAsia="en-GB"/>
        </w:rPr>
      </w:pPr>
      <w:r w:rsidRPr="00325C4E">
        <w:rPr>
          <w:rFonts w:asciiTheme="majorHAnsi" w:hAnsiTheme="majorHAnsi" w:cstheme="majorHAnsi"/>
        </w:rPr>
        <w:t>Të dhënat e verifikuara për periudhën janar–dhjetor 2025 tregojnë se planet dhe dokumentet strategjike të fushave përkatëse janë publikuar nga 19 komuna (50%), ndërsa 19 komuna të tjera (50%) nuk kanë publikuar asnjë plan apo dokument strategjik gjatë kësaj periudhe. Megjithatë, këto të dhëna lidhen vetëm me vitin 2025 dhe duhet të merren parasysh në kontekstin e faktit se hartimi i planeve dhe dokumenteve strategjike varet nga nevojat dhe planifikimet specifike të secilës komunë. Disa komuna mund t’i kenë hartuar dhe publikuar këto dokumente në vitet paraprake, ndërsa të tjera mund të mos kenë pasur nevojë për dokumente të reja gjatë vitit raportues</w:t>
      </w:r>
    </w:p>
    <w:p w14:paraId="08227830" w14:textId="0F1B36B7" w:rsidR="006257DA" w:rsidRPr="00325C4E" w:rsidRDefault="004F395D" w:rsidP="00325C4E">
      <w:pPr>
        <w:spacing w:before="100" w:beforeAutospacing="1" w:after="100" w:afterAutospacing="1" w:line="276" w:lineRule="auto"/>
        <w:rPr>
          <w:rFonts w:asciiTheme="majorHAnsi" w:eastAsia="Times New Roman" w:hAnsiTheme="majorHAnsi" w:cstheme="majorHAnsi"/>
          <w:lang w:eastAsia="en-GB"/>
        </w:rPr>
      </w:pPr>
      <w:r w:rsidRPr="004F395D">
        <w:rPr>
          <w:rFonts w:asciiTheme="majorHAnsi" w:eastAsia="Times New Roman" w:hAnsiTheme="majorHAnsi" w:cstheme="majorHAnsi"/>
          <w:lang w:eastAsia="en-GB"/>
        </w:rPr>
        <w:t>Në vijim paraqitet figura me të dhënat për numrin e komunave që kanë publikuar planet dhe dokumentet strategjike të fushave përkatëse gjatë periudhës janar–dhjetor 2025.</w:t>
      </w:r>
    </w:p>
    <w:p w14:paraId="3FA00B3E" w14:textId="0843D6D2" w:rsidR="00DF3E0F" w:rsidRPr="009D6147" w:rsidRDefault="00283C50" w:rsidP="00A70BC5">
      <w:pPr>
        <w:spacing w:line="276" w:lineRule="auto"/>
        <w:rPr>
          <w:rFonts w:asciiTheme="majorHAnsi" w:hAnsiTheme="majorHAnsi" w:cstheme="majorHAnsi"/>
          <w:color w:val="C00000"/>
        </w:rPr>
      </w:pPr>
      <w:r w:rsidRPr="00325C4E">
        <w:rPr>
          <w:rFonts w:asciiTheme="majorHAnsi" w:hAnsiTheme="majorHAnsi" w:cstheme="majorHAnsi"/>
          <w:noProof/>
          <w:sz w:val="16"/>
          <w:szCs w:val="16"/>
          <w:lang w:eastAsia="sq-AL"/>
        </w:rPr>
        <w:drawing>
          <wp:inline distT="0" distB="0" distL="0" distR="0" wp14:anchorId="2AECAFD3" wp14:editId="33750822">
            <wp:extent cx="6014085" cy="1782147"/>
            <wp:effectExtent l="0" t="0" r="5715" b="8890"/>
            <wp:docPr id="41" name="Chart 41">
              <a:extLst xmlns:a="http://schemas.openxmlformats.org/drawingml/2006/main">
                <a:ext uri="{FF2B5EF4-FFF2-40B4-BE49-F238E27FC236}">
                  <a16:creationId xmlns:a16="http://schemas.microsoft.com/office/drawing/2014/main" id="{1FD37E32-777B-4959-8D46-400AD9D64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Start w:id="34" w:name="_Toc130455684"/>
    </w:p>
    <w:p w14:paraId="45DA62A9" w14:textId="5D35CF99" w:rsidR="00FD3CAC" w:rsidRPr="00325C4E" w:rsidRDefault="00042A3B" w:rsidP="00EA21F2">
      <w:pPr>
        <w:spacing w:line="276" w:lineRule="auto"/>
        <w:jc w:val="center"/>
        <w:rPr>
          <w:rFonts w:asciiTheme="majorHAnsi" w:hAnsiTheme="majorHAnsi" w:cstheme="majorHAnsi"/>
          <w:color w:val="00B0F0"/>
          <w:sz w:val="20"/>
          <w:szCs w:val="20"/>
        </w:rPr>
      </w:pPr>
      <w:r w:rsidRPr="00325C4E">
        <w:rPr>
          <w:rFonts w:asciiTheme="majorHAnsi" w:hAnsiTheme="majorHAnsi" w:cstheme="majorHAnsi"/>
          <w:i/>
          <w:sz w:val="14"/>
          <w:szCs w:val="14"/>
        </w:rPr>
        <w:t>Fig. 11.</w:t>
      </w:r>
      <w:r w:rsidR="00E61B1D" w:rsidRPr="00325C4E">
        <w:rPr>
          <w:rFonts w:asciiTheme="majorHAnsi" w:hAnsiTheme="majorHAnsi" w:cstheme="majorHAnsi"/>
          <w:i/>
          <w:sz w:val="14"/>
          <w:szCs w:val="14"/>
        </w:rPr>
        <w:t xml:space="preserve">   Planet dhe</w:t>
      </w:r>
      <w:bookmarkEnd w:id="34"/>
      <w:r w:rsidR="00025A7B" w:rsidRPr="00325C4E">
        <w:rPr>
          <w:rFonts w:asciiTheme="majorHAnsi" w:hAnsiTheme="majorHAnsi" w:cstheme="majorHAnsi"/>
          <w:i/>
          <w:sz w:val="14"/>
          <w:szCs w:val="14"/>
        </w:rPr>
        <w:t xml:space="preserve"> dokumente strategjike</w:t>
      </w:r>
      <w:bookmarkStart w:id="35" w:name="_Toc130455685"/>
    </w:p>
    <w:p w14:paraId="1C77251E" w14:textId="77777777" w:rsidR="00325C4E" w:rsidRDefault="00325C4E" w:rsidP="006257DA">
      <w:pPr>
        <w:pStyle w:val="Style3"/>
        <w:rPr>
          <w:rFonts w:cstheme="majorHAnsi"/>
        </w:rPr>
      </w:pPr>
      <w:bookmarkStart w:id="36" w:name="_Toc227827170"/>
    </w:p>
    <w:p w14:paraId="76C11608" w14:textId="4C63671A" w:rsidR="002B0561" w:rsidRDefault="00B73A89" w:rsidP="006257DA">
      <w:pPr>
        <w:pStyle w:val="Style3"/>
        <w:rPr>
          <w:rFonts w:cstheme="majorHAnsi"/>
        </w:rPr>
      </w:pPr>
      <w:r w:rsidRPr="009D6147">
        <w:rPr>
          <w:rFonts w:cstheme="majorHAnsi"/>
        </w:rPr>
        <w:t>Hartat zonale</w:t>
      </w:r>
      <w:bookmarkEnd w:id="35"/>
      <w:bookmarkEnd w:id="36"/>
      <w:r w:rsidRPr="009D6147">
        <w:rPr>
          <w:rFonts w:cstheme="majorHAnsi"/>
        </w:rPr>
        <w:t xml:space="preserve"> </w:t>
      </w:r>
    </w:p>
    <w:p w14:paraId="100C031D" w14:textId="77777777" w:rsidR="00325C4E" w:rsidRPr="009D6147" w:rsidRDefault="00325C4E" w:rsidP="006257DA">
      <w:pPr>
        <w:pStyle w:val="Style3"/>
        <w:rPr>
          <w:rFonts w:cstheme="majorHAnsi"/>
        </w:rPr>
      </w:pPr>
    </w:p>
    <w:p w14:paraId="6877203F" w14:textId="4C7EB24D" w:rsidR="00025A7B" w:rsidRPr="009D6147" w:rsidRDefault="007D4ABB" w:rsidP="00A70BC5">
      <w:pPr>
        <w:spacing w:after="240" w:line="276" w:lineRule="auto"/>
        <w:rPr>
          <w:rFonts w:asciiTheme="majorHAnsi" w:eastAsia="Times New Roman" w:hAnsiTheme="majorHAnsi" w:cstheme="majorHAnsi"/>
          <w:bCs/>
          <w:kern w:val="20"/>
        </w:rPr>
      </w:pPr>
      <w:r w:rsidRPr="009D6147">
        <w:rPr>
          <w:rFonts w:asciiTheme="majorHAnsi" w:eastAsia="Times New Roman" w:hAnsiTheme="majorHAnsi" w:cstheme="majorHAnsi"/>
          <w:bCs/>
          <w:kern w:val="20"/>
        </w:rPr>
        <w:t>Sipas të dhënave  nga  monitorimi i ueb faqeve zyrtare të komuna</w:t>
      </w:r>
      <w:r w:rsidR="002B127D" w:rsidRPr="009D6147">
        <w:rPr>
          <w:rFonts w:asciiTheme="majorHAnsi" w:eastAsia="Times New Roman" w:hAnsiTheme="majorHAnsi" w:cstheme="majorHAnsi"/>
          <w:bCs/>
          <w:kern w:val="20"/>
        </w:rPr>
        <w:t xml:space="preserve">ve për periudhën </w:t>
      </w:r>
      <w:r w:rsidR="002F7F9D" w:rsidRPr="009D6147">
        <w:rPr>
          <w:rFonts w:asciiTheme="majorHAnsi" w:eastAsia="Times New Roman" w:hAnsiTheme="majorHAnsi" w:cstheme="majorHAnsi"/>
          <w:bCs/>
          <w:kern w:val="20"/>
        </w:rPr>
        <w:t>j</w:t>
      </w:r>
      <w:r w:rsidR="002B127D" w:rsidRPr="009D6147">
        <w:rPr>
          <w:rFonts w:asciiTheme="majorHAnsi" w:eastAsia="Times New Roman" w:hAnsiTheme="majorHAnsi" w:cstheme="majorHAnsi"/>
          <w:bCs/>
          <w:kern w:val="20"/>
        </w:rPr>
        <w:t xml:space="preserve">anar- </w:t>
      </w:r>
      <w:r w:rsidR="002F7F9D" w:rsidRPr="009D6147">
        <w:rPr>
          <w:rFonts w:asciiTheme="majorHAnsi" w:eastAsia="Times New Roman" w:hAnsiTheme="majorHAnsi" w:cstheme="majorHAnsi"/>
          <w:bCs/>
          <w:kern w:val="20"/>
        </w:rPr>
        <w:t>d</w:t>
      </w:r>
      <w:r w:rsidR="002B127D" w:rsidRPr="009D6147">
        <w:rPr>
          <w:rFonts w:asciiTheme="majorHAnsi" w:eastAsia="Times New Roman" w:hAnsiTheme="majorHAnsi" w:cstheme="majorHAnsi"/>
          <w:bCs/>
          <w:kern w:val="20"/>
        </w:rPr>
        <w:t xml:space="preserve">hjetor </w:t>
      </w:r>
      <w:r w:rsidR="000D20B3" w:rsidRPr="009D6147">
        <w:rPr>
          <w:rFonts w:asciiTheme="majorHAnsi" w:eastAsia="Times New Roman" w:hAnsiTheme="majorHAnsi" w:cstheme="majorHAnsi"/>
          <w:bCs/>
          <w:kern w:val="20"/>
        </w:rPr>
        <w:t>202</w:t>
      </w:r>
      <w:r w:rsidR="00294F9E" w:rsidRPr="009D6147">
        <w:rPr>
          <w:rFonts w:asciiTheme="majorHAnsi" w:eastAsia="Times New Roman" w:hAnsiTheme="majorHAnsi" w:cstheme="majorHAnsi"/>
          <w:bCs/>
          <w:kern w:val="20"/>
        </w:rPr>
        <w:t>5</w:t>
      </w:r>
      <w:r w:rsidRPr="009D6147">
        <w:rPr>
          <w:rFonts w:asciiTheme="majorHAnsi" w:eastAsia="Times New Roman" w:hAnsiTheme="majorHAnsi" w:cstheme="majorHAnsi"/>
          <w:bCs/>
          <w:kern w:val="20"/>
        </w:rPr>
        <w:t>, prej 38 komunave</w:t>
      </w:r>
      <w:r w:rsidR="006C5B6E" w:rsidRPr="009D6147">
        <w:rPr>
          <w:rFonts w:asciiTheme="majorHAnsi" w:eastAsia="Times New Roman" w:hAnsiTheme="majorHAnsi" w:cstheme="majorHAnsi"/>
          <w:bCs/>
          <w:kern w:val="20"/>
        </w:rPr>
        <w:t xml:space="preserve">, </w:t>
      </w:r>
      <w:r w:rsidRPr="009D6147">
        <w:rPr>
          <w:rFonts w:asciiTheme="majorHAnsi" w:eastAsia="Times New Roman" w:hAnsiTheme="majorHAnsi" w:cstheme="majorHAnsi"/>
          <w:bCs/>
          <w:kern w:val="20"/>
        </w:rPr>
        <w:t>H</w:t>
      </w:r>
      <w:r w:rsidR="000D20B3" w:rsidRPr="009D6147">
        <w:rPr>
          <w:rFonts w:asciiTheme="majorHAnsi" w:eastAsia="Times New Roman" w:hAnsiTheme="majorHAnsi" w:cstheme="majorHAnsi"/>
          <w:bCs/>
          <w:kern w:val="20"/>
        </w:rPr>
        <w:t>artat Zonale</w:t>
      </w:r>
      <w:r w:rsidR="00B25B25" w:rsidRPr="009D6147">
        <w:rPr>
          <w:rFonts w:asciiTheme="majorHAnsi" w:eastAsia="Times New Roman" w:hAnsiTheme="majorHAnsi" w:cstheme="majorHAnsi"/>
          <w:bCs/>
          <w:kern w:val="20"/>
        </w:rPr>
        <w:t xml:space="preserve"> i</w:t>
      </w:r>
      <w:r w:rsidR="000D20B3" w:rsidRPr="009D6147">
        <w:rPr>
          <w:rFonts w:asciiTheme="majorHAnsi" w:eastAsia="Times New Roman" w:hAnsiTheme="majorHAnsi" w:cstheme="majorHAnsi"/>
          <w:bCs/>
          <w:kern w:val="20"/>
        </w:rPr>
        <w:t xml:space="preserve"> kanë  publikuar </w:t>
      </w:r>
      <w:r w:rsidR="00E30CEA" w:rsidRPr="009D6147">
        <w:rPr>
          <w:rFonts w:asciiTheme="majorHAnsi" w:eastAsia="Times New Roman" w:hAnsiTheme="majorHAnsi" w:cstheme="majorHAnsi"/>
          <w:bCs/>
          <w:kern w:val="20"/>
        </w:rPr>
        <w:t>19</w:t>
      </w:r>
      <w:r w:rsidRPr="009D6147">
        <w:rPr>
          <w:rFonts w:asciiTheme="majorHAnsi" w:eastAsia="Times New Roman" w:hAnsiTheme="majorHAnsi" w:cstheme="majorHAnsi"/>
          <w:bCs/>
          <w:kern w:val="20"/>
        </w:rPr>
        <w:t xml:space="preserve"> komuna</w:t>
      </w:r>
      <w:r w:rsidR="00E30CEA" w:rsidRPr="009D6147">
        <w:rPr>
          <w:rFonts w:asciiTheme="majorHAnsi" w:eastAsia="Times New Roman" w:hAnsiTheme="majorHAnsi" w:cstheme="majorHAnsi"/>
          <w:bCs/>
          <w:kern w:val="20"/>
        </w:rPr>
        <w:t xml:space="preserve"> ose 50%</w:t>
      </w:r>
      <w:r w:rsidRPr="009D6147">
        <w:rPr>
          <w:rFonts w:asciiTheme="majorHAnsi" w:eastAsia="Times New Roman" w:hAnsiTheme="majorHAnsi" w:cstheme="majorHAnsi"/>
          <w:bCs/>
          <w:kern w:val="20"/>
        </w:rPr>
        <w:t>, n</w:t>
      </w:r>
      <w:r w:rsidR="000D20B3" w:rsidRPr="009D6147">
        <w:rPr>
          <w:rFonts w:asciiTheme="majorHAnsi" w:eastAsia="Times New Roman" w:hAnsiTheme="majorHAnsi" w:cstheme="majorHAnsi"/>
          <w:bCs/>
          <w:kern w:val="20"/>
        </w:rPr>
        <w:t xml:space="preserve">dërsa </w:t>
      </w:r>
      <w:r w:rsidR="00E30CEA" w:rsidRPr="00325C4E">
        <w:rPr>
          <w:rFonts w:asciiTheme="majorHAnsi" w:eastAsia="Times New Roman" w:hAnsiTheme="majorHAnsi" w:cstheme="majorHAnsi"/>
          <w:bCs/>
          <w:kern w:val="20"/>
        </w:rPr>
        <w:t>19</w:t>
      </w:r>
      <w:r w:rsidR="00025A7B" w:rsidRPr="00325C4E">
        <w:rPr>
          <w:rFonts w:asciiTheme="majorHAnsi" w:eastAsia="Times New Roman" w:hAnsiTheme="majorHAnsi" w:cstheme="majorHAnsi"/>
          <w:bCs/>
          <w:kern w:val="20"/>
        </w:rPr>
        <w:t xml:space="preserve"> </w:t>
      </w:r>
      <w:r w:rsidR="00025A7B" w:rsidRPr="009D6147">
        <w:rPr>
          <w:rFonts w:asciiTheme="majorHAnsi" w:eastAsia="Times New Roman" w:hAnsiTheme="majorHAnsi" w:cstheme="majorHAnsi"/>
          <w:bCs/>
          <w:kern w:val="20"/>
        </w:rPr>
        <w:t xml:space="preserve">komuna </w:t>
      </w:r>
      <w:r w:rsidR="00E30CEA" w:rsidRPr="009D6147">
        <w:rPr>
          <w:rFonts w:asciiTheme="majorHAnsi" w:eastAsia="Times New Roman" w:hAnsiTheme="majorHAnsi" w:cstheme="majorHAnsi"/>
          <w:bCs/>
          <w:kern w:val="20"/>
        </w:rPr>
        <w:t>ose 50%</w:t>
      </w:r>
      <w:r w:rsidR="002A56C5" w:rsidRPr="009D6147">
        <w:rPr>
          <w:rFonts w:asciiTheme="majorHAnsi" w:eastAsia="Times New Roman" w:hAnsiTheme="majorHAnsi" w:cstheme="majorHAnsi"/>
          <w:bCs/>
          <w:kern w:val="20"/>
        </w:rPr>
        <w:t xml:space="preserve"> </w:t>
      </w:r>
      <w:r w:rsidR="008D370B">
        <w:rPr>
          <w:rFonts w:asciiTheme="majorHAnsi" w:eastAsia="Times New Roman" w:hAnsiTheme="majorHAnsi" w:cstheme="majorHAnsi"/>
          <w:bCs/>
          <w:kern w:val="20"/>
        </w:rPr>
        <w:t>nuk</w:t>
      </w:r>
      <w:r w:rsidR="008D370B" w:rsidRPr="00275069">
        <w:rPr>
          <w:rFonts w:asciiTheme="majorHAnsi" w:eastAsia="Times New Roman" w:hAnsiTheme="majorHAnsi" w:cstheme="majorHAnsi"/>
          <w:bCs/>
          <w:kern w:val="20"/>
        </w:rPr>
        <w:t xml:space="preserve"> e</w:t>
      </w:r>
      <w:r w:rsidR="00733B42" w:rsidRPr="00275069">
        <w:rPr>
          <w:rFonts w:asciiTheme="majorHAnsi" w:eastAsia="Times New Roman" w:hAnsiTheme="majorHAnsi" w:cstheme="majorHAnsi"/>
          <w:bCs/>
          <w:kern w:val="20"/>
        </w:rPr>
        <w:t xml:space="preserve"> </w:t>
      </w:r>
      <w:r w:rsidR="00733B42" w:rsidRPr="009D6147">
        <w:rPr>
          <w:rFonts w:asciiTheme="majorHAnsi" w:eastAsia="Times New Roman" w:hAnsiTheme="majorHAnsi" w:cstheme="majorHAnsi"/>
          <w:bCs/>
          <w:kern w:val="20"/>
        </w:rPr>
        <w:t>kanë përmbushur ende  ketë</w:t>
      </w:r>
      <w:r w:rsidRPr="009D6147">
        <w:rPr>
          <w:rFonts w:asciiTheme="majorHAnsi" w:eastAsia="Times New Roman" w:hAnsiTheme="majorHAnsi" w:cstheme="majorHAnsi"/>
          <w:bCs/>
          <w:kern w:val="20"/>
        </w:rPr>
        <w:t xml:space="preserve"> obligimi ligjor</w:t>
      </w:r>
      <w:r w:rsidR="002B127D" w:rsidRPr="009D6147">
        <w:rPr>
          <w:rFonts w:asciiTheme="majorHAnsi" w:eastAsia="Times New Roman" w:hAnsiTheme="majorHAnsi" w:cstheme="majorHAnsi"/>
          <w:bCs/>
          <w:kern w:val="20"/>
        </w:rPr>
        <w:t>.</w:t>
      </w:r>
      <w:bookmarkStart w:id="37" w:name="_Toc130455686"/>
    </w:p>
    <w:p w14:paraId="3D1D0E18" w14:textId="6604D1A5" w:rsidR="00265205" w:rsidRPr="009D6147" w:rsidRDefault="00B751C0" w:rsidP="00A70BC5">
      <w:pPr>
        <w:spacing w:after="240" w:line="276" w:lineRule="auto"/>
        <w:rPr>
          <w:rFonts w:asciiTheme="majorHAnsi" w:eastAsia="Times New Roman" w:hAnsiTheme="majorHAnsi" w:cstheme="majorHAnsi"/>
          <w:bCs/>
          <w:kern w:val="20"/>
        </w:rPr>
      </w:pPr>
      <w:r w:rsidRPr="009D6147">
        <w:rPr>
          <w:rFonts w:asciiTheme="majorHAnsi" w:eastAsia="Times New Roman" w:hAnsiTheme="majorHAnsi" w:cstheme="majorHAnsi"/>
          <w:bCs/>
          <w:kern w:val="20"/>
        </w:rPr>
        <w:t xml:space="preserve">Në </w:t>
      </w:r>
      <w:r w:rsidR="00B25B25" w:rsidRPr="009D6147">
        <w:rPr>
          <w:rFonts w:asciiTheme="majorHAnsi" w:eastAsia="Times New Roman" w:hAnsiTheme="majorHAnsi" w:cstheme="majorHAnsi"/>
          <w:bCs/>
          <w:kern w:val="20"/>
        </w:rPr>
        <w:t>vijim</w:t>
      </w:r>
      <w:r w:rsidR="006C5B6E" w:rsidRPr="009D6147">
        <w:rPr>
          <w:rFonts w:asciiTheme="majorHAnsi" w:eastAsia="Times New Roman" w:hAnsiTheme="majorHAnsi" w:cstheme="majorHAnsi"/>
          <w:bCs/>
          <w:kern w:val="20"/>
        </w:rPr>
        <w:t xml:space="preserve">, </w:t>
      </w:r>
      <w:r w:rsidR="007D4ABB" w:rsidRPr="009D6147">
        <w:rPr>
          <w:rFonts w:asciiTheme="majorHAnsi" w:eastAsia="Times New Roman" w:hAnsiTheme="majorHAnsi" w:cstheme="majorHAnsi"/>
          <w:bCs/>
          <w:kern w:val="20"/>
        </w:rPr>
        <w:t>ësh</w:t>
      </w:r>
      <w:r w:rsidR="002B127D" w:rsidRPr="009D6147">
        <w:rPr>
          <w:rFonts w:asciiTheme="majorHAnsi" w:eastAsia="Times New Roman" w:hAnsiTheme="majorHAnsi" w:cstheme="majorHAnsi"/>
          <w:bCs/>
          <w:kern w:val="20"/>
        </w:rPr>
        <w:t xml:space="preserve">të paraqitur </w:t>
      </w:r>
      <w:r w:rsidRPr="009D6147">
        <w:rPr>
          <w:rFonts w:asciiTheme="majorHAnsi" w:eastAsia="Times New Roman" w:hAnsiTheme="majorHAnsi" w:cstheme="majorHAnsi"/>
          <w:bCs/>
          <w:kern w:val="20"/>
        </w:rPr>
        <w:t xml:space="preserve"> figura me numrin e komunave </w:t>
      </w:r>
      <w:r w:rsidR="002B127D" w:rsidRPr="009D6147">
        <w:rPr>
          <w:rFonts w:asciiTheme="majorHAnsi" w:eastAsia="Times New Roman" w:hAnsiTheme="majorHAnsi" w:cstheme="majorHAnsi"/>
          <w:bCs/>
          <w:kern w:val="20"/>
        </w:rPr>
        <w:t>që</w:t>
      </w:r>
      <w:r w:rsidR="008D370B">
        <w:rPr>
          <w:rFonts w:asciiTheme="majorHAnsi" w:eastAsia="Times New Roman" w:hAnsiTheme="majorHAnsi" w:cstheme="majorHAnsi"/>
          <w:bCs/>
          <w:kern w:val="20"/>
        </w:rPr>
        <w:t xml:space="preserve"> </w:t>
      </w:r>
      <w:r w:rsidR="002B127D" w:rsidRPr="009D6147">
        <w:rPr>
          <w:rFonts w:asciiTheme="majorHAnsi" w:eastAsia="Times New Roman" w:hAnsiTheme="majorHAnsi" w:cstheme="majorHAnsi"/>
          <w:bCs/>
          <w:kern w:val="20"/>
        </w:rPr>
        <w:t>kanë publikuar  Harta</w:t>
      </w:r>
      <w:r w:rsidR="006C5B6E" w:rsidRPr="009D6147">
        <w:rPr>
          <w:rFonts w:asciiTheme="majorHAnsi" w:eastAsia="Times New Roman" w:hAnsiTheme="majorHAnsi" w:cstheme="majorHAnsi"/>
          <w:bCs/>
          <w:kern w:val="20"/>
        </w:rPr>
        <w:t>t</w:t>
      </w:r>
      <w:r w:rsidR="007D4ABB" w:rsidRPr="009D6147">
        <w:rPr>
          <w:rFonts w:asciiTheme="majorHAnsi" w:eastAsia="Times New Roman" w:hAnsiTheme="majorHAnsi" w:cstheme="majorHAnsi"/>
          <w:bCs/>
          <w:kern w:val="20"/>
        </w:rPr>
        <w:t xml:space="preserve"> </w:t>
      </w:r>
      <w:r w:rsidR="00265205" w:rsidRPr="009D6147">
        <w:rPr>
          <w:rFonts w:asciiTheme="majorHAnsi" w:eastAsia="Times New Roman" w:hAnsiTheme="majorHAnsi" w:cstheme="majorHAnsi"/>
          <w:bCs/>
          <w:kern w:val="20"/>
        </w:rPr>
        <w:t>Zonale</w:t>
      </w:r>
    </w:p>
    <w:p w14:paraId="1EB27634" w14:textId="2389C66B" w:rsidR="00DD1F9B" w:rsidRPr="009D6147" w:rsidRDefault="006E6AAC" w:rsidP="00A70BC5">
      <w:pPr>
        <w:spacing w:after="240" w:line="276" w:lineRule="auto"/>
        <w:rPr>
          <w:rFonts w:asciiTheme="majorHAnsi" w:eastAsia="Times New Roman" w:hAnsiTheme="majorHAnsi" w:cstheme="majorHAnsi"/>
          <w:kern w:val="20"/>
        </w:rPr>
      </w:pPr>
      <w:r w:rsidRPr="009D6147">
        <w:rPr>
          <w:rFonts w:asciiTheme="majorHAnsi" w:hAnsiTheme="majorHAnsi" w:cstheme="majorHAnsi"/>
          <w:noProof/>
          <w:lang w:eastAsia="sq-AL"/>
        </w:rPr>
        <w:drawing>
          <wp:inline distT="0" distB="0" distL="0" distR="0" wp14:anchorId="778DAFF7" wp14:editId="216A59A0">
            <wp:extent cx="5943600" cy="1609530"/>
            <wp:effectExtent l="0" t="0" r="0" b="10160"/>
            <wp:docPr id="42" name="Chart 42">
              <a:extLst xmlns:a="http://schemas.openxmlformats.org/drawingml/2006/main">
                <a:ext uri="{FF2B5EF4-FFF2-40B4-BE49-F238E27FC236}">
                  <a16:creationId xmlns:a16="http://schemas.microsoft.com/office/drawing/2014/main" id="{51F83101-BD9B-49C5-BD5B-598E4D94B7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F6D674E" w14:textId="77777777" w:rsidR="007D4ABB" w:rsidRPr="00325C4E" w:rsidRDefault="007D4ABB" w:rsidP="00280BB6">
      <w:pPr>
        <w:spacing w:after="240" w:line="276" w:lineRule="auto"/>
        <w:jc w:val="center"/>
        <w:rPr>
          <w:rFonts w:asciiTheme="majorHAnsi" w:eastAsia="Times New Roman" w:hAnsiTheme="majorHAnsi" w:cstheme="majorHAnsi"/>
          <w:kern w:val="20"/>
        </w:rPr>
      </w:pPr>
      <w:bookmarkStart w:id="38" w:name="_Toc130455687"/>
      <w:bookmarkEnd w:id="37"/>
      <w:proofErr w:type="spellStart"/>
      <w:r w:rsidRPr="00325C4E">
        <w:rPr>
          <w:rFonts w:asciiTheme="majorHAnsi" w:eastAsia="Times New Roman" w:hAnsiTheme="majorHAnsi" w:cstheme="majorHAnsi"/>
          <w:i/>
          <w:sz w:val="14"/>
          <w:szCs w:val="14"/>
        </w:rPr>
        <w:t>Fig</w:t>
      </w:r>
      <w:proofErr w:type="spellEnd"/>
      <w:r w:rsidRPr="00325C4E">
        <w:rPr>
          <w:rFonts w:asciiTheme="majorHAnsi" w:eastAsia="Times New Roman" w:hAnsiTheme="majorHAnsi" w:cstheme="majorHAnsi"/>
          <w:i/>
          <w:sz w:val="14"/>
          <w:szCs w:val="14"/>
        </w:rPr>
        <w:t xml:space="preserve"> </w:t>
      </w:r>
      <w:r w:rsidR="00042A3B" w:rsidRPr="00325C4E">
        <w:rPr>
          <w:rFonts w:asciiTheme="majorHAnsi" w:eastAsia="Times New Roman" w:hAnsiTheme="majorHAnsi" w:cstheme="majorHAnsi"/>
          <w:i/>
          <w:sz w:val="14"/>
          <w:szCs w:val="14"/>
        </w:rPr>
        <w:t>12</w:t>
      </w:r>
      <w:r w:rsidRPr="00325C4E">
        <w:rPr>
          <w:rFonts w:asciiTheme="majorHAnsi" w:eastAsia="Times New Roman" w:hAnsiTheme="majorHAnsi" w:cstheme="majorHAnsi"/>
          <w:i/>
          <w:sz w:val="14"/>
          <w:szCs w:val="14"/>
        </w:rPr>
        <w:t>. Publikimi i hartave zonale</w:t>
      </w:r>
      <w:bookmarkEnd w:id="38"/>
    </w:p>
    <w:p w14:paraId="20DE29F4" w14:textId="05FC4225" w:rsidR="00280BB6" w:rsidRPr="009D6147" w:rsidRDefault="00280BB6" w:rsidP="00A70BC5">
      <w:pPr>
        <w:spacing w:line="276" w:lineRule="auto"/>
        <w:rPr>
          <w:rFonts w:asciiTheme="majorHAnsi" w:hAnsiTheme="majorHAnsi" w:cstheme="majorHAnsi"/>
          <w:b/>
          <w:color w:val="2F5496" w:themeColor="accent5" w:themeShade="BF"/>
        </w:rPr>
      </w:pPr>
    </w:p>
    <w:p w14:paraId="6A143EA2" w14:textId="77777777" w:rsidR="00280BB6" w:rsidRPr="009D6147" w:rsidRDefault="00280BB6" w:rsidP="004F395D">
      <w:pPr>
        <w:pStyle w:val="Style3"/>
        <w:spacing w:line="276" w:lineRule="auto"/>
        <w:rPr>
          <w:rFonts w:cstheme="majorHAnsi"/>
          <w:sz w:val="22"/>
          <w:szCs w:val="22"/>
        </w:rPr>
      </w:pPr>
      <w:bookmarkStart w:id="39" w:name="_Toc227827171"/>
      <w:r w:rsidRPr="009D6147">
        <w:rPr>
          <w:rFonts w:cstheme="majorHAnsi"/>
          <w:sz w:val="22"/>
          <w:szCs w:val="22"/>
        </w:rPr>
        <w:t>Plani i Veprimit për Transparencë</w:t>
      </w:r>
      <w:bookmarkEnd w:id="39"/>
    </w:p>
    <w:p w14:paraId="7D26401D" w14:textId="2358274E" w:rsidR="004F395D" w:rsidRPr="004F395D" w:rsidRDefault="004F395D" w:rsidP="004F395D">
      <w:pPr>
        <w:spacing w:before="100" w:beforeAutospacing="1" w:after="100" w:afterAutospacing="1" w:line="276" w:lineRule="auto"/>
        <w:rPr>
          <w:rFonts w:asciiTheme="majorHAnsi" w:eastAsia="Times New Roman" w:hAnsiTheme="majorHAnsi" w:cstheme="majorHAnsi"/>
          <w:lang w:eastAsia="en-GB"/>
        </w:rPr>
      </w:pPr>
      <w:r w:rsidRPr="004F395D">
        <w:rPr>
          <w:rFonts w:asciiTheme="majorHAnsi" w:eastAsia="Times New Roman" w:hAnsiTheme="majorHAnsi" w:cstheme="majorHAnsi"/>
          <w:lang w:eastAsia="en-GB"/>
        </w:rPr>
        <w:t>Udhëzimi Administrativ Nr. 04/2023 për Administratë të Hapur në Komuna përcakton obligimin ligjor të komunave p</w:t>
      </w:r>
      <w:r w:rsidR="00AD046E">
        <w:rPr>
          <w:rFonts w:asciiTheme="majorHAnsi" w:eastAsia="Times New Roman" w:hAnsiTheme="majorHAnsi" w:cstheme="majorHAnsi"/>
          <w:lang w:eastAsia="en-GB"/>
        </w:rPr>
        <w:t xml:space="preserve">ër hartimin e Planit Katër (4) </w:t>
      </w:r>
      <w:r w:rsidR="00AD046E" w:rsidRPr="00EC6021">
        <w:rPr>
          <w:rFonts w:asciiTheme="majorHAnsi" w:eastAsia="Times New Roman" w:hAnsiTheme="majorHAnsi" w:cstheme="majorHAnsi"/>
          <w:lang w:eastAsia="en-GB"/>
        </w:rPr>
        <w:t>v</w:t>
      </w:r>
      <w:r w:rsidRPr="004F395D">
        <w:rPr>
          <w:rFonts w:asciiTheme="majorHAnsi" w:eastAsia="Times New Roman" w:hAnsiTheme="majorHAnsi" w:cstheme="majorHAnsi"/>
          <w:lang w:eastAsia="en-GB"/>
        </w:rPr>
        <w:t>jeçar të Veprimit për Transparencë. Ky plan përfshin një sërë veprimesh që synojnë avancimin e transparencës dhe llogaridhënies, duke përfshirë: publikimin dhe transparencën e mbledhjeve të Kuvendit Komunal dhe komiteteve, organizimin e takimeve publike dhe konsultative për projekte, transparencën në planifikimin dhe shpenzimin e buxhetit komunal, qasjen në shërbime publike, procedurat transparente të prokurimit dhe punësimit, përditësimin e aktiviteteve në ueb-faqet zyrtare, si dhe forcimin e pjesëmarrjes së qytetarëve në proceset vendimmarrëse.</w:t>
      </w:r>
    </w:p>
    <w:p w14:paraId="440D9990" w14:textId="53D758E3" w:rsidR="004F395D" w:rsidRPr="004F395D" w:rsidRDefault="004F395D" w:rsidP="004F395D">
      <w:pPr>
        <w:spacing w:before="100" w:beforeAutospacing="1" w:after="100" w:afterAutospacing="1" w:line="276" w:lineRule="auto"/>
        <w:rPr>
          <w:rFonts w:asciiTheme="majorHAnsi" w:eastAsia="Times New Roman" w:hAnsiTheme="majorHAnsi" w:cstheme="majorHAnsi"/>
          <w:lang w:eastAsia="en-GB"/>
        </w:rPr>
      </w:pPr>
      <w:r w:rsidRPr="004F395D">
        <w:rPr>
          <w:rFonts w:asciiTheme="majorHAnsi" w:eastAsia="Times New Roman" w:hAnsiTheme="majorHAnsi" w:cstheme="majorHAnsi"/>
          <w:lang w:eastAsia="en-GB"/>
        </w:rPr>
        <w:t>Plani i Veprimit për Transparencë Komunale ka për qëllim të sigurojë qasje të lehtë dhe të plotë të publikut në monitorimin dhe zbatimin e politikave komunale, përmes informim</w:t>
      </w:r>
      <w:r w:rsidR="00AD046E">
        <w:rPr>
          <w:rFonts w:asciiTheme="majorHAnsi" w:eastAsia="Times New Roman" w:hAnsiTheme="majorHAnsi" w:cstheme="majorHAnsi"/>
          <w:lang w:eastAsia="en-GB"/>
        </w:rPr>
        <w:t xml:space="preserve">it të shpejtë, publikimit të </w:t>
      </w:r>
      <w:r w:rsidRPr="004F395D">
        <w:rPr>
          <w:rFonts w:asciiTheme="majorHAnsi" w:eastAsia="Times New Roman" w:hAnsiTheme="majorHAnsi" w:cstheme="majorHAnsi"/>
          <w:lang w:eastAsia="en-GB"/>
        </w:rPr>
        <w:t xml:space="preserve">dhënave të qasshme, publikimit të akteve normative dhe dokumenteve me interes </w:t>
      </w:r>
      <w:r w:rsidR="00AD046E">
        <w:rPr>
          <w:rFonts w:asciiTheme="majorHAnsi" w:eastAsia="Times New Roman" w:hAnsiTheme="majorHAnsi" w:cstheme="majorHAnsi"/>
          <w:lang w:eastAsia="en-GB"/>
        </w:rPr>
        <w:t xml:space="preserve">publik, si </w:t>
      </w:r>
      <w:r w:rsidR="00AD046E" w:rsidRPr="00EC6021">
        <w:rPr>
          <w:rFonts w:asciiTheme="majorHAnsi" w:eastAsia="Times New Roman" w:hAnsiTheme="majorHAnsi" w:cstheme="majorHAnsi"/>
          <w:lang w:eastAsia="en-GB"/>
        </w:rPr>
        <w:t>dhe rritjen e</w:t>
      </w:r>
      <w:r w:rsidRPr="00EC6021">
        <w:rPr>
          <w:rFonts w:asciiTheme="majorHAnsi" w:eastAsia="Times New Roman" w:hAnsiTheme="majorHAnsi" w:cstheme="majorHAnsi"/>
          <w:lang w:eastAsia="en-GB"/>
        </w:rPr>
        <w:t xml:space="preserve"> përfshirjes së qytetarëve në proceset vendimmarrëse. Objektivi kryesor i Planit të Veprimit </w:t>
      </w:r>
      <w:r w:rsidRPr="004F395D">
        <w:rPr>
          <w:rFonts w:asciiTheme="majorHAnsi" w:eastAsia="Times New Roman" w:hAnsiTheme="majorHAnsi" w:cstheme="majorHAnsi"/>
          <w:lang w:eastAsia="en-GB"/>
        </w:rPr>
        <w:t>për Transparencë Komunale është të sigurojë qeverisje të hapur për qytetarët, përfshirje gjithëpërfshirëse në proceset e planifikimit dhe zhvillimit të politikave, si dhe një qeverisje transparente dhe llogaridhënëse.</w:t>
      </w:r>
    </w:p>
    <w:p w14:paraId="58C8FBBC" w14:textId="77777777" w:rsidR="004F395D" w:rsidRPr="004F395D" w:rsidRDefault="004F395D" w:rsidP="004F395D">
      <w:pPr>
        <w:spacing w:before="100" w:beforeAutospacing="1" w:after="100" w:afterAutospacing="1" w:line="276" w:lineRule="auto"/>
        <w:rPr>
          <w:rFonts w:asciiTheme="majorHAnsi" w:eastAsia="Times New Roman" w:hAnsiTheme="majorHAnsi" w:cstheme="majorHAnsi"/>
          <w:lang w:val="en-GB" w:eastAsia="en-GB"/>
        </w:rPr>
      </w:pPr>
      <w:proofErr w:type="spellStart"/>
      <w:r w:rsidRPr="004F395D">
        <w:rPr>
          <w:rFonts w:asciiTheme="majorHAnsi" w:eastAsia="Times New Roman" w:hAnsiTheme="majorHAnsi" w:cstheme="majorHAnsi"/>
          <w:lang w:val="en-GB" w:eastAsia="en-GB"/>
        </w:rPr>
        <w:t>Plani</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synon</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gjithashtu</w:t>
      </w:r>
      <w:proofErr w:type="spellEnd"/>
      <w:r w:rsidRPr="004F395D">
        <w:rPr>
          <w:rFonts w:asciiTheme="majorHAnsi" w:eastAsia="Times New Roman" w:hAnsiTheme="majorHAnsi" w:cstheme="majorHAnsi"/>
          <w:lang w:val="en-GB" w:eastAsia="en-GB"/>
        </w:rPr>
        <w:t>:</w:t>
      </w:r>
    </w:p>
    <w:p w14:paraId="316E2DA5" w14:textId="77777777" w:rsidR="004F395D" w:rsidRPr="004F395D" w:rsidRDefault="004F395D" w:rsidP="004F395D">
      <w:pPr>
        <w:numPr>
          <w:ilvl w:val="0"/>
          <w:numId w:val="39"/>
        </w:numPr>
        <w:spacing w:before="100" w:beforeAutospacing="1" w:after="100" w:afterAutospacing="1" w:line="276" w:lineRule="auto"/>
        <w:rPr>
          <w:rFonts w:asciiTheme="majorHAnsi" w:eastAsia="Times New Roman" w:hAnsiTheme="majorHAnsi" w:cstheme="majorHAnsi"/>
          <w:lang w:val="en-GB" w:eastAsia="en-GB"/>
        </w:rPr>
      </w:pPr>
      <w:proofErr w:type="spellStart"/>
      <w:r w:rsidRPr="004F395D">
        <w:rPr>
          <w:rFonts w:asciiTheme="majorHAnsi" w:eastAsia="Times New Roman" w:hAnsiTheme="majorHAnsi" w:cstheme="majorHAnsi"/>
          <w:lang w:val="en-GB" w:eastAsia="en-GB"/>
        </w:rPr>
        <w:t>sigurimin</w:t>
      </w:r>
      <w:proofErr w:type="spellEnd"/>
      <w:r w:rsidRPr="004F395D">
        <w:rPr>
          <w:rFonts w:asciiTheme="majorHAnsi" w:eastAsia="Times New Roman" w:hAnsiTheme="majorHAnsi" w:cstheme="majorHAnsi"/>
          <w:lang w:val="en-GB" w:eastAsia="en-GB"/>
        </w:rPr>
        <w:t xml:space="preserve"> e </w:t>
      </w:r>
      <w:proofErr w:type="spellStart"/>
      <w:r w:rsidRPr="004F395D">
        <w:rPr>
          <w:rFonts w:asciiTheme="majorHAnsi" w:eastAsia="Times New Roman" w:hAnsiTheme="majorHAnsi" w:cstheme="majorHAnsi"/>
          <w:lang w:val="en-GB" w:eastAsia="en-GB"/>
        </w:rPr>
        <w:t>një</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kornize</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të</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qartë</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dhe</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të</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organizuar</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të</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planifikimit</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ku</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përcaktohen</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rolet</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dhe</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përgjegjësitë</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për</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transparencën</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komunale</w:t>
      </w:r>
      <w:proofErr w:type="spellEnd"/>
      <w:r w:rsidRPr="004F395D">
        <w:rPr>
          <w:rFonts w:asciiTheme="majorHAnsi" w:eastAsia="Times New Roman" w:hAnsiTheme="majorHAnsi" w:cstheme="majorHAnsi"/>
          <w:lang w:val="en-GB" w:eastAsia="en-GB"/>
        </w:rPr>
        <w:t xml:space="preserve">; </w:t>
      </w:r>
    </w:p>
    <w:p w14:paraId="6AD9DE51" w14:textId="77777777" w:rsidR="004F395D" w:rsidRPr="004F395D" w:rsidRDefault="004F395D" w:rsidP="004F395D">
      <w:pPr>
        <w:numPr>
          <w:ilvl w:val="0"/>
          <w:numId w:val="39"/>
        </w:numPr>
        <w:spacing w:before="100" w:beforeAutospacing="1" w:after="100" w:afterAutospacing="1" w:line="276" w:lineRule="auto"/>
        <w:rPr>
          <w:rFonts w:asciiTheme="majorHAnsi" w:eastAsia="Times New Roman" w:hAnsiTheme="majorHAnsi" w:cstheme="majorHAnsi"/>
          <w:lang w:val="en-GB" w:eastAsia="en-GB"/>
        </w:rPr>
      </w:pPr>
      <w:proofErr w:type="spellStart"/>
      <w:r w:rsidRPr="004F395D">
        <w:rPr>
          <w:rFonts w:asciiTheme="majorHAnsi" w:eastAsia="Times New Roman" w:hAnsiTheme="majorHAnsi" w:cstheme="majorHAnsi"/>
          <w:lang w:val="en-GB" w:eastAsia="en-GB"/>
        </w:rPr>
        <w:t>fuqizimin</w:t>
      </w:r>
      <w:proofErr w:type="spellEnd"/>
      <w:r w:rsidRPr="004F395D">
        <w:rPr>
          <w:rFonts w:asciiTheme="majorHAnsi" w:eastAsia="Times New Roman" w:hAnsiTheme="majorHAnsi" w:cstheme="majorHAnsi"/>
          <w:lang w:val="en-GB" w:eastAsia="en-GB"/>
        </w:rPr>
        <w:t xml:space="preserve"> e </w:t>
      </w:r>
      <w:proofErr w:type="spellStart"/>
      <w:r w:rsidRPr="004F395D">
        <w:rPr>
          <w:rFonts w:asciiTheme="majorHAnsi" w:eastAsia="Times New Roman" w:hAnsiTheme="majorHAnsi" w:cstheme="majorHAnsi"/>
          <w:lang w:val="en-GB" w:eastAsia="en-GB"/>
        </w:rPr>
        <w:t>mekanizmave</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lokalë</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të</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demokracisë</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dhe</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rritjen</w:t>
      </w:r>
      <w:proofErr w:type="spellEnd"/>
      <w:r w:rsidRPr="004F395D">
        <w:rPr>
          <w:rFonts w:asciiTheme="majorHAnsi" w:eastAsia="Times New Roman" w:hAnsiTheme="majorHAnsi" w:cstheme="majorHAnsi"/>
          <w:lang w:val="en-GB" w:eastAsia="en-GB"/>
        </w:rPr>
        <w:t xml:space="preserve"> e </w:t>
      </w:r>
      <w:proofErr w:type="spellStart"/>
      <w:r w:rsidRPr="004F395D">
        <w:rPr>
          <w:rFonts w:asciiTheme="majorHAnsi" w:eastAsia="Times New Roman" w:hAnsiTheme="majorHAnsi" w:cstheme="majorHAnsi"/>
          <w:lang w:val="en-GB" w:eastAsia="en-GB"/>
        </w:rPr>
        <w:t>interesimit</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publik</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për</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çështje</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publike</w:t>
      </w:r>
      <w:proofErr w:type="spellEnd"/>
      <w:r w:rsidRPr="004F395D">
        <w:rPr>
          <w:rFonts w:asciiTheme="majorHAnsi" w:eastAsia="Times New Roman" w:hAnsiTheme="majorHAnsi" w:cstheme="majorHAnsi"/>
          <w:lang w:val="en-GB" w:eastAsia="en-GB"/>
        </w:rPr>
        <w:t xml:space="preserve">; </w:t>
      </w:r>
    </w:p>
    <w:p w14:paraId="4332BF4A" w14:textId="77777777" w:rsidR="004F395D" w:rsidRPr="004F395D" w:rsidRDefault="004F395D" w:rsidP="004F395D">
      <w:pPr>
        <w:numPr>
          <w:ilvl w:val="0"/>
          <w:numId w:val="39"/>
        </w:numPr>
        <w:spacing w:before="100" w:beforeAutospacing="1" w:after="100" w:afterAutospacing="1" w:line="276" w:lineRule="auto"/>
        <w:rPr>
          <w:rFonts w:asciiTheme="majorHAnsi" w:eastAsia="Times New Roman" w:hAnsiTheme="majorHAnsi" w:cstheme="majorHAnsi"/>
          <w:lang w:val="en-GB" w:eastAsia="en-GB"/>
        </w:rPr>
      </w:pPr>
      <w:proofErr w:type="spellStart"/>
      <w:r w:rsidRPr="004F395D">
        <w:rPr>
          <w:rFonts w:asciiTheme="majorHAnsi" w:eastAsia="Times New Roman" w:hAnsiTheme="majorHAnsi" w:cstheme="majorHAnsi"/>
          <w:lang w:val="en-GB" w:eastAsia="en-GB"/>
        </w:rPr>
        <w:t>avancimin</w:t>
      </w:r>
      <w:proofErr w:type="spellEnd"/>
      <w:r w:rsidRPr="004F395D">
        <w:rPr>
          <w:rFonts w:asciiTheme="majorHAnsi" w:eastAsia="Times New Roman" w:hAnsiTheme="majorHAnsi" w:cstheme="majorHAnsi"/>
          <w:lang w:val="en-GB" w:eastAsia="en-GB"/>
        </w:rPr>
        <w:t xml:space="preserve"> e </w:t>
      </w:r>
      <w:proofErr w:type="spellStart"/>
      <w:r w:rsidRPr="004F395D">
        <w:rPr>
          <w:rFonts w:asciiTheme="majorHAnsi" w:eastAsia="Times New Roman" w:hAnsiTheme="majorHAnsi" w:cstheme="majorHAnsi"/>
          <w:lang w:val="en-GB" w:eastAsia="en-GB"/>
        </w:rPr>
        <w:t>mekanizmave</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të</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informimit</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dhe</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inkurajimin</w:t>
      </w:r>
      <w:proofErr w:type="spellEnd"/>
      <w:r w:rsidRPr="004F395D">
        <w:rPr>
          <w:rFonts w:asciiTheme="majorHAnsi" w:eastAsia="Times New Roman" w:hAnsiTheme="majorHAnsi" w:cstheme="majorHAnsi"/>
          <w:lang w:val="en-GB" w:eastAsia="en-GB"/>
        </w:rPr>
        <w:t xml:space="preserve"> e </w:t>
      </w:r>
      <w:proofErr w:type="spellStart"/>
      <w:r w:rsidRPr="004F395D">
        <w:rPr>
          <w:rFonts w:asciiTheme="majorHAnsi" w:eastAsia="Times New Roman" w:hAnsiTheme="majorHAnsi" w:cstheme="majorHAnsi"/>
          <w:lang w:val="en-GB" w:eastAsia="en-GB"/>
        </w:rPr>
        <w:t>qytetarëve</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për</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pjesëmarrje</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aktive</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në</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vendimmarrje</w:t>
      </w:r>
      <w:proofErr w:type="spellEnd"/>
      <w:r w:rsidRPr="004F395D">
        <w:rPr>
          <w:rFonts w:asciiTheme="majorHAnsi" w:eastAsia="Times New Roman" w:hAnsiTheme="majorHAnsi" w:cstheme="majorHAnsi"/>
          <w:lang w:val="en-GB" w:eastAsia="en-GB"/>
        </w:rPr>
        <w:t xml:space="preserve">; </w:t>
      </w:r>
    </w:p>
    <w:p w14:paraId="0CE14916" w14:textId="77777777" w:rsidR="004F395D" w:rsidRPr="004F395D" w:rsidRDefault="004F395D" w:rsidP="004F395D">
      <w:pPr>
        <w:numPr>
          <w:ilvl w:val="0"/>
          <w:numId w:val="39"/>
        </w:numPr>
        <w:spacing w:before="100" w:beforeAutospacing="1" w:after="100" w:afterAutospacing="1" w:line="276" w:lineRule="auto"/>
        <w:rPr>
          <w:rFonts w:asciiTheme="majorHAnsi" w:eastAsia="Times New Roman" w:hAnsiTheme="majorHAnsi" w:cstheme="majorHAnsi"/>
          <w:lang w:val="en-GB" w:eastAsia="en-GB"/>
        </w:rPr>
      </w:pPr>
      <w:proofErr w:type="spellStart"/>
      <w:r w:rsidRPr="004F395D">
        <w:rPr>
          <w:rFonts w:asciiTheme="majorHAnsi" w:eastAsia="Times New Roman" w:hAnsiTheme="majorHAnsi" w:cstheme="majorHAnsi"/>
          <w:lang w:val="en-GB" w:eastAsia="en-GB"/>
        </w:rPr>
        <w:t>krijimin</w:t>
      </w:r>
      <w:proofErr w:type="spellEnd"/>
      <w:r w:rsidRPr="004F395D">
        <w:rPr>
          <w:rFonts w:asciiTheme="majorHAnsi" w:eastAsia="Times New Roman" w:hAnsiTheme="majorHAnsi" w:cstheme="majorHAnsi"/>
          <w:lang w:val="en-GB" w:eastAsia="en-GB"/>
        </w:rPr>
        <w:t xml:space="preserve"> e </w:t>
      </w:r>
      <w:proofErr w:type="spellStart"/>
      <w:r w:rsidRPr="004F395D">
        <w:rPr>
          <w:rFonts w:asciiTheme="majorHAnsi" w:eastAsia="Times New Roman" w:hAnsiTheme="majorHAnsi" w:cstheme="majorHAnsi"/>
          <w:lang w:val="en-GB" w:eastAsia="en-GB"/>
        </w:rPr>
        <w:t>një</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sistemi</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efektiv</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të</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qeverisjes</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ku</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vendimmarrja</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bazohet</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në</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të</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dhëna</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dhe</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informacione</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të</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sakta</w:t>
      </w:r>
      <w:proofErr w:type="spellEnd"/>
      <w:r w:rsidRPr="004F395D">
        <w:rPr>
          <w:rFonts w:asciiTheme="majorHAnsi" w:eastAsia="Times New Roman" w:hAnsiTheme="majorHAnsi" w:cstheme="majorHAnsi"/>
          <w:lang w:val="en-GB" w:eastAsia="en-GB"/>
        </w:rPr>
        <w:t xml:space="preserve">. </w:t>
      </w:r>
    </w:p>
    <w:p w14:paraId="39BD843E" w14:textId="77777777" w:rsidR="004F395D" w:rsidRPr="004F395D" w:rsidRDefault="004F395D" w:rsidP="004F395D">
      <w:pPr>
        <w:spacing w:before="100" w:beforeAutospacing="1" w:after="100" w:afterAutospacing="1" w:line="276" w:lineRule="auto"/>
        <w:rPr>
          <w:rFonts w:asciiTheme="majorHAnsi" w:eastAsia="Times New Roman" w:hAnsiTheme="majorHAnsi" w:cstheme="majorHAnsi"/>
          <w:lang w:val="en-GB" w:eastAsia="en-GB"/>
        </w:rPr>
      </w:pPr>
      <w:proofErr w:type="spellStart"/>
      <w:r w:rsidRPr="004F395D">
        <w:rPr>
          <w:rFonts w:asciiTheme="majorHAnsi" w:eastAsia="Times New Roman" w:hAnsiTheme="majorHAnsi" w:cstheme="majorHAnsi"/>
          <w:lang w:val="en-GB" w:eastAsia="en-GB"/>
        </w:rPr>
        <w:t>Të</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dhënat</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nga</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monitorimi</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për</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periudhën</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raportuese</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tregojnë</w:t>
      </w:r>
      <w:proofErr w:type="spellEnd"/>
      <w:r w:rsidRPr="004F395D">
        <w:rPr>
          <w:rFonts w:asciiTheme="majorHAnsi" w:eastAsia="Times New Roman" w:hAnsiTheme="majorHAnsi" w:cstheme="majorHAnsi"/>
          <w:lang w:val="en-GB" w:eastAsia="en-GB"/>
        </w:rPr>
        <w:t xml:space="preserve"> se </w:t>
      </w:r>
      <w:proofErr w:type="spellStart"/>
      <w:r w:rsidRPr="004F395D">
        <w:rPr>
          <w:rFonts w:asciiTheme="majorHAnsi" w:eastAsia="Times New Roman" w:hAnsiTheme="majorHAnsi" w:cstheme="majorHAnsi"/>
          <w:lang w:val="en-GB" w:eastAsia="en-GB"/>
        </w:rPr>
        <w:t>Planin</w:t>
      </w:r>
      <w:proofErr w:type="spellEnd"/>
      <w:r w:rsidRPr="004F395D">
        <w:rPr>
          <w:rFonts w:asciiTheme="majorHAnsi" w:eastAsia="Times New Roman" w:hAnsiTheme="majorHAnsi" w:cstheme="majorHAnsi"/>
          <w:lang w:val="en-GB" w:eastAsia="en-GB"/>
        </w:rPr>
        <w:t xml:space="preserve"> e </w:t>
      </w:r>
      <w:proofErr w:type="spellStart"/>
      <w:r w:rsidRPr="004F395D">
        <w:rPr>
          <w:rFonts w:asciiTheme="majorHAnsi" w:eastAsia="Times New Roman" w:hAnsiTheme="majorHAnsi" w:cstheme="majorHAnsi"/>
          <w:lang w:val="en-GB" w:eastAsia="en-GB"/>
        </w:rPr>
        <w:t>Veprimit</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për</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Transparencë</w:t>
      </w:r>
      <w:proofErr w:type="spellEnd"/>
      <w:r w:rsidRPr="004F395D">
        <w:rPr>
          <w:rFonts w:asciiTheme="majorHAnsi" w:eastAsia="Times New Roman" w:hAnsiTheme="majorHAnsi" w:cstheme="majorHAnsi"/>
          <w:lang w:val="en-GB" w:eastAsia="en-GB"/>
        </w:rPr>
        <w:t xml:space="preserve"> e </w:t>
      </w:r>
      <w:proofErr w:type="spellStart"/>
      <w:r w:rsidRPr="004F395D">
        <w:rPr>
          <w:rFonts w:asciiTheme="majorHAnsi" w:eastAsia="Times New Roman" w:hAnsiTheme="majorHAnsi" w:cstheme="majorHAnsi"/>
          <w:lang w:val="en-GB" w:eastAsia="en-GB"/>
        </w:rPr>
        <w:t>kanë</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publikuar</w:t>
      </w:r>
      <w:proofErr w:type="spellEnd"/>
      <w:r w:rsidRPr="004F395D">
        <w:rPr>
          <w:rFonts w:asciiTheme="majorHAnsi" w:eastAsia="Times New Roman" w:hAnsiTheme="majorHAnsi" w:cstheme="majorHAnsi"/>
          <w:lang w:val="en-GB" w:eastAsia="en-GB"/>
        </w:rPr>
        <w:t xml:space="preserve"> 23 </w:t>
      </w:r>
      <w:proofErr w:type="spellStart"/>
      <w:r w:rsidRPr="004F395D">
        <w:rPr>
          <w:rFonts w:asciiTheme="majorHAnsi" w:eastAsia="Times New Roman" w:hAnsiTheme="majorHAnsi" w:cstheme="majorHAnsi"/>
          <w:lang w:val="en-GB" w:eastAsia="en-GB"/>
        </w:rPr>
        <w:t>komuna</w:t>
      </w:r>
      <w:proofErr w:type="spellEnd"/>
      <w:r w:rsidRPr="004F395D">
        <w:rPr>
          <w:rFonts w:asciiTheme="majorHAnsi" w:eastAsia="Times New Roman" w:hAnsiTheme="majorHAnsi" w:cstheme="majorHAnsi"/>
          <w:lang w:val="en-GB" w:eastAsia="en-GB"/>
        </w:rPr>
        <w:t xml:space="preserve"> (60%), </w:t>
      </w:r>
      <w:proofErr w:type="spellStart"/>
      <w:r w:rsidRPr="004F395D">
        <w:rPr>
          <w:rFonts w:asciiTheme="majorHAnsi" w:eastAsia="Times New Roman" w:hAnsiTheme="majorHAnsi" w:cstheme="majorHAnsi"/>
          <w:lang w:val="en-GB" w:eastAsia="en-GB"/>
        </w:rPr>
        <w:t>ndërsa</w:t>
      </w:r>
      <w:proofErr w:type="spellEnd"/>
      <w:r w:rsidRPr="004F395D">
        <w:rPr>
          <w:rFonts w:asciiTheme="majorHAnsi" w:eastAsia="Times New Roman" w:hAnsiTheme="majorHAnsi" w:cstheme="majorHAnsi"/>
          <w:lang w:val="en-GB" w:eastAsia="en-GB"/>
        </w:rPr>
        <w:t xml:space="preserve"> 15 </w:t>
      </w:r>
      <w:proofErr w:type="spellStart"/>
      <w:r w:rsidRPr="004F395D">
        <w:rPr>
          <w:rFonts w:asciiTheme="majorHAnsi" w:eastAsia="Times New Roman" w:hAnsiTheme="majorHAnsi" w:cstheme="majorHAnsi"/>
          <w:lang w:val="en-GB" w:eastAsia="en-GB"/>
        </w:rPr>
        <w:t>komuna</w:t>
      </w:r>
      <w:proofErr w:type="spellEnd"/>
      <w:r w:rsidRPr="004F395D">
        <w:rPr>
          <w:rFonts w:asciiTheme="majorHAnsi" w:eastAsia="Times New Roman" w:hAnsiTheme="majorHAnsi" w:cstheme="majorHAnsi"/>
          <w:lang w:val="en-GB" w:eastAsia="en-GB"/>
        </w:rPr>
        <w:t xml:space="preserve"> (40%) </w:t>
      </w:r>
      <w:proofErr w:type="spellStart"/>
      <w:r w:rsidRPr="004F395D">
        <w:rPr>
          <w:rFonts w:asciiTheme="majorHAnsi" w:eastAsia="Times New Roman" w:hAnsiTheme="majorHAnsi" w:cstheme="majorHAnsi"/>
          <w:lang w:val="en-GB" w:eastAsia="en-GB"/>
        </w:rPr>
        <w:t>nuk</w:t>
      </w:r>
      <w:proofErr w:type="spellEnd"/>
      <w:r w:rsidRPr="004F395D">
        <w:rPr>
          <w:rFonts w:asciiTheme="majorHAnsi" w:eastAsia="Times New Roman" w:hAnsiTheme="majorHAnsi" w:cstheme="majorHAnsi"/>
          <w:lang w:val="en-GB" w:eastAsia="en-GB"/>
        </w:rPr>
        <w:t xml:space="preserve"> e </w:t>
      </w:r>
      <w:proofErr w:type="spellStart"/>
      <w:r w:rsidRPr="004F395D">
        <w:rPr>
          <w:rFonts w:asciiTheme="majorHAnsi" w:eastAsia="Times New Roman" w:hAnsiTheme="majorHAnsi" w:cstheme="majorHAnsi"/>
          <w:lang w:val="en-GB" w:eastAsia="en-GB"/>
        </w:rPr>
        <w:t>kanë</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publikuar</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këtë</w:t>
      </w:r>
      <w:proofErr w:type="spellEnd"/>
      <w:r w:rsidRPr="004F395D">
        <w:rPr>
          <w:rFonts w:asciiTheme="majorHAnsi" w:eastAsia="Times New Roman" w:hAnsiTheme="majorHAnsi" w:cstheme="majorHAnsi"/>
          <w:lang w:val="en-GB" w:eastAsia="en-GB"/>
        </w:rPr>
        <w:t xml:space="preserve"> plan.</w:t>
      </w:r>
    </w:p>
    <w:p w14:paraId="5B5806B1" w14:textId="68371EE3" w:rsidR="004F395D" w:rsidRPr="009D6147" w:rsidRDefault="004F395D" w:rsidP="00280BB6">
      <w:pPr>
        <w:spacing w:before="100" w:beforeAutospacing="1" w:after="100" w:afterAutospacing="1" w:line="276" w:lineRule="auto"/>
        <w:rPr>
          <w:rFonts w:asciiTheme="majorHAnsi" w:eastAsia="Times New Roman" w:hAnsiTheme="majorHAnsi" w:cstheme="majorHAnsi"/>
          <w:lang w:val="en-GB" w:eastAsia="en-GB"/>
        </w:rPr>
      </w:pPr>
      <w:proofErr w:type="spellStart"/>
      <w:r w:rsidRPr="004F395D">
        <w:rPr>
          <w:rFonts w:asciiTheme="majorHAnsi" w:eastAsia="Times New Roman" w:hAnsiTheme="majorHAnsi" w:cstheme="majorHAnsi"/>
          <w:lang w:val="en-GB" w:eastAsia="en-GB"/>
        </w:rPr>
        <w:t>Në</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vijim</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paraqitet</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figura</w:t>
      </w:r>
      <w:proofErr w:type="spellEnd"/>
      <w:r w:rsidRPr="004F395D">
        <w:rPr>
          <w:rFonts w:asciiTheme="majorHAnsi" w:eastAsia="Times New Roman" w:hAnsiTheme="majorHAnsi" w:cstheme="majorHAnsi"/>
          <w:lang w:val="en-GB" w:eastAsia="en-GB"/>
        </w:rPr>
        <w:t xml:space="preserve"> me </w:t>
      </w:r>
      <w:proofErr w:type="spellStart"/>
      <w:r w:rsidRPr="004F395D">
        <w:rPr>
          <w:rFonts w:asciiTheme="majorHAnsi" w:eastAsia="Times New Roman" w:hAnsiTheme="majorHAnsi" w:cstheme="majorHAnsi"/>
          <w:lang w:val="en-GB" w:eastAsia="en-GB"/>
        </w:rPr>
        <w:t>numrin</w:t>
      </w:r>
      <w:proofErr w:type="spellEnd"/>
      <w:r w:rsidRPr="004F395D">
        <w:rPr>
          <w:rFonts w:asciiTheme="majorHAnsi" w:eastAsia="Times New Roman" w:hAnsiTheme="majorHAnsi" w:cstheme="majorHAnsi"/>
          <w:lang w:val="en-GB" w:eastAsia="en-GB"/>
        </w:rPr>
        <w:t xml:space="preserve"> e </w:t>
      </w:r>
      <w:proofErr w:type="spellStart"/>
      <w:r w:rsidRPr="004F395D">
        <w:rPr>
          <w:rFonts w:asciiTheme="majorHAnsi" w:eastAsia="Times New Roman" w:hAnsiTheme="majorHAnsi" w:cstheme="majorHAnsi"/>
          <w:lang w:val="en-GB" w:eastAsia="en-GB"/>
        </w:rPr>
        <w:t>komunave</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që</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kanë</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publikuar</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Planin</w:t>
      </w:r>
      <w:proofErr w:type="spellEnd"/>
      <w:r w:rsidRPr="004F395D">
        <w:rPr>
          <w:rFonts w:asciiTheme="majorHAnsi" w:eastAsia="Times New Roman" w:hAnsiTheme="majorHAnsi" w:cstheme="majorHAnsi"/>
          <w:lang w:val="en-GB" w:eastAsia="en-GB"/>
        </w:rPr>
        <w:t xml:space="preserve"> e </w:t>
      </w:r>
      <w:proofErr w:type="spellStart"/>
      <w:r w:rsidRPr="004F395D">
        <w:rPr>
          <w:rFonts w:asciiTheme="majorHAnsi" w:eastAsia="Times New Roman" w:hAnsiTheme="majorHAnsi" w:cstheme="majorHAnsi"/>
          <w:lang w:val="en-GB" w:eastAsia="en-GB"/>
        </w:rPr>
        <w:t>Veprimit</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për</w:t>
      </w:r>
      <w:proofErr w:type="spellEnd"/>
      <w:r w:rsidRPr="004F395D">
        <w:rPr>
          <w:rFonts w:asciiTheme="majorHAnsi" w:eastAsia="Times New Roman" w:hAnsiTheme="majorHAnsi" w:cstheme="majorHAnsi"/>
          <w:lang w:val="en-GB" w:eastAsia="en-GB"/>
        </w:rPr>
        <w:t xml:space="preserve"> </w:t>
      </w:r>
      <w:proofErr w:type="spellStart"/>
      <w:r w:rsidRPr="004F395D">
        <w:rPr>
          <w:rFonts w:asciiTheme="majorHAnsi" w:eastAsia="Times New Roman" w:hAnsiTheme="majorHAnsi" w:cstheme="majorHAnsi"/>
          <w:lang w:val="en-GB" w:eastAsia="en-GB"/>
        </w:rPr>
        <w:t>Transparencë</w:t>
      </w:r>
      <w:proofErr w:type="spellEnd"/>
      <w:r w:rsidRPr="004F395D">
        <w:rPr>
          <w:rFonts w:asciiTheme="majorHAnsi" w:eastAsia="Times New Roman" w:hAnsiTheme="majorHAnsi" w:cstheme="majorHAnsi"/>
          <w:lang w:val="en-GB" w:eastAsia="en-GB"/>
        </w:rPr>
        <w:t>.</w:t>
      </w:r>
    </w:p>
    <w:p w14:paraId="4A9FFF7B" w14:textId="1A58B9BC" w:rsidR="00233A97" w:rsidRPr="009D6147" w:rsidRDefault="004F395D" w:rsidP="004F395D">
      <w:pPr>
        <w:spacing w:before="100" w:beforeAutospacing="1" w:after="100" w:afterAutospacing="1" w:line="276" w:lineRule="auto"/>
        <w:rPr>
          <w:rFonts w:asciiTheme="majorHAnsi" w:eastAsia="Times New Roman" w:hAnsiTheme="majorHAnsi" w:cstheme="majorHAnsi"/>
          <w:lang w:val="en-GB" w:eastAsia="en-GB"/>
        </w:rPr>
      </w:pPr>
      <w:r w:rsidRPr="009D6147">
        <w:rPr>
          <w:rFonts w:asciiTheme="majorHAnsi" w:hAnsiTheme="majorHAnsi" w:cstheme="majorHAnsi"/>
          <w:noProof/>
          <w:lang w:eastAsia="sq-AL"/>
        </w:rPr>
        <mc:AlternateContent>
          <mc:Choice Requires="cx1">
            <w:drawing>
              <wp:inline distT="0" distB="0" distL="0" distR="0" wp14:anchorId="0F7B2CC2" wp14:editId="10B709C0">
                <wp:extent cx="5731510" cy="1553547"/>
                <wp:effectExtent l="0" t="0" r="2540" b="8890"/>
                <wp:docPr id="2" name="Chart 2">
                  <a:extLst xmlns:a="http://schemas.openxmlformats.org/drawingml/2006/main">
                    <a:ext uri="{FF2B5EF4-FFF2-40B4-BE49-F238E27FC236}">
                      <a16:creationId xmlns:a16="http://schemas.microsoft.com/office/drawing/2014/main" id="{8DDD648F-C6BA-4B69-A08D-32D774F24C3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4"/>
                  </a:graphicData>
                </a:graphic>
              </wp:inline>
            </w:drawing>
          </mc:Choice>
          <mc:Fallback>
            <w:drawing>
              <wp:inline distT="0" distB="0" distL="0" distR="0" wp14:anchorId="0F7B2CC2" wp14:editId="10B709C0">
                <wp:extent cx="5731510" cy="1553547"/>
                <wp:effectExtent l="0" t="0" r="2540" b="8890"/>
                <wp:docPr id="2" name="Chart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DDD648F-C6BA-4B69-A08D-32D774F24C3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Chart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DDD648F-C6BA-4B69-A08D-32D774F24C30}"/>
                            </a:ext>
                          </a:extLst>
                        </pic:cNvPr>
                        <pic:cNvPicPr>
                          <a:picLocks noGrp="1" noRot="1" noChangeAspect="1" noMove="1" noResize="1" noEditPoints="1" noAdjustHandles="1" noChangeArrowheads="1" noChangeShapeType="1"/>
                        </pic:cNvPicPr>
                      </pic:nvPicPr>
                      <pic:blipFill>
                        <a:blip r:embed="rId25"/>
                        <a:stretch>
                          <a:fillRect/>
                        </a:stretch>
                      </pic:blipFill>
                      <pic:spPr>
                        <a:xfrm>
                          <a:off x="0" y="0"/>
                          <a:ext cx="5731510" cy="1553210"/>
                        </a:xfrm>
                        <a:prstGeom prst="rect">
                          <a:avLst/>
                        </a:prstGeom>
                      </pic:spPr>
                    </pic:pic>
                  </a:graphicData>
                </a:graphic>
              </wp:inline>
            </w:drawing>
          </mc:Fallback>
        </mc:AlternateContent>
      </w:r>
    </w:p>
    <w:p w14:paraId="7718E1DB" w14:textId="22CE4737" w:rsidR="00524F9B" w:rsidRPr="00224BE6" w:rsidRDefault="002E0F9F" w:rsidP="006257DA">
      <w:pPr>
        <w:pStyle w:val="ListParagraph"/>
        <w:tabs>
          <w:tab w:val="left" w:pos="900"/>
        </w:tabs>
        <w:autoSpaceDE w:val="0"/>
        <w:autoSpaceDN w:val="0"/>
        <w:adjustRightInd w:val="0"/>
        <w:spacing w:after="240" w:line="276" w:lineRule="auto"/>
        <w:ind w:left="540"/>
        <w:jc w:val="center"/>
        <w:rPr>
          <w:rFonts w:asciiTheme="majorHAnsi" w:eastAsia="Times New Roman" w:hAnsiTheme="majorHAnsi" w:cstheme="majorHAnsi"/>
          <w:i/>
          <w:color w:val="000000" w:themeColor="text1"/>
          <w:sz w:val="14"/>
          <w:szCs w:val="14"/>
        </w:rPr>
      </w:pPr>
      <w:proofErr w:type="spellStart"/>
      <w:r w:rsidRPr="00224BE6">
        <w:rPr>
          <w:rFonts w:asciiTheme="majorHAnsi" w:eastAsia="Times New Roman" w:hAnsiTheme="majorHAnsi" w:cstheme="majorHAnsi"/>
          <w:i/>
          <w:color w:val="000000" w:themeColor="text1"/>
          <w:sz w:val="14"/>
          <w:szCs w:val="14"/>
        </w:rPr>
        <w:t>Fig</w:t>
      </w:r>
      <w:proofErr w:type="spellEnd"/>
      <w:r w:rsidRPr="00224BE6">
        <w:rPr>
          <w:rFonts w:asciiTheme="majorHAnsi" w:eastAsia="Times New Roman" w:hAnsiTheme="majorHAnsi" w:cstheme="majorHAnsi"/>
          <w:i/>
          <w:color w:val="000000" w:themeColor="text1"/>
          <w:sz w:val="14"/>
          <w:szCs w:val="14"/>
        </w:rPr>
        <w:t xml:space="preserve"> </w:t>
      </w:r>
      <w:r w:rsidR="00BF0C04" w:rsidRPr="00224BE6">
        <w:rPr>
          <w:rFonts w:asciiTheme="majorHAnsi" w:eastAsia="Times New Roman" w:hAnsiTheme="majorHAnsi" w:cstheme="majorHAnsi"/>
          <w:i/>
          <w:color w:val="000000" w:themeColor="text1"/>
          <w:sz w:val="14"/>
          <w:szCs w:val="14"/>
        </w:rPr>
        <w:t>13</w:t>
      </w:r>
      <w:r w:rsidRPr="00224BE6">
        <w:rPr>
          <w:rFonts w:asciiTheme="majorHAnsi" w:eastAsia="Times New Roman" w:hAnsiTheme="majorHAnsi" w:cstheme="majorHAnsi"/>
          <w:i/>
          <w:color w:val="000000" w:themeColor="text1"/>
          <w:sz w:val="14"/>
          <w:szCs w:val="14"/>
        </w:rPr>
        <w:t xml:space="preserve">. </w:t>
      </w:r>
      <w:r w:rsidR="002C0069" w:rsidRPr="00224BE6">
        <w:rPr>
          <w:rFonts w:asciiTheme="majorHAnsi" w:eastAsia="Times New Roman" w:hAnsiTheme="majorHAnsi" w:cstheme="majorHAnsi"/>
          <w:i/>
          <w:color w:val="000000" w:themeColor="text1"/>
          <w:sz w:val="14"/>
          <w:szCs w:val="14"/>
        </w:rPr>
        <w:t xml:space="preserve">Plani i </w:t>
      </w:r>
      <w:r w:rsidRPr="00224BE6">
        <w:rPr>
          <w:rFonts w:asciiTheme="majorHAnsi" w:eastAsia="Times New Roman" w:hAnsiTheme="majorHAnsi" w:cstheme="majorHAnsi"/>
          <w:i/>
          <w:color w:val="000000" w:themeColor="text1"/>
          <w:sz w:val="14"/>
          <w:szCs w:val="14"/>
        </w:rPr>
        <w:t xml:space="preserve"> veprimit për </w:t>
      </w:r>
      <w:r w:rsidR="002C0069" w:rsidRPr="00224BE6">
        <w:rPr>
          <w:rFonts w:asciiTheme="majorHAnsi" w:eastAsia="Times New Roman" w:hAnsiTheme="majorHAnsi" w:cstheme="majorHAnsi"/>
          <w:i/>
          <w:color w:val="000000" w:themeColor="text1"/>
          <w:sz w:val="14"/>
          <w:szCs w:val="14"/>
        </w:rPr>
        <w:t>transparencë</w:t>
      </w:r>
      <w:r w:rsidRPr="00224BE6">
        <w:rPr>
          <w:rFonts w:asciiTheme="majorHAnsi" w:eastAsia="Times New Roman" w:hAnsiTheme="majorHAnsi" w:cstheme="majorHAnsi"/>
          <w:i/>
          <w:color w:val="000000" w:themeColor="text1"/>
          <w:sz w:val="14"/>
          <w:szCs w:val="14"/>
        </w:rPr>
        <w:t xml:space="preserve"> komunale</w:t>
      </w:r>
    </w:p>
    <w:p w14:paraId="46150BE5" w14:textId="0018BB51" w:rsidR="004F395D" w:rsidRPr="004F395D" w:rsidRDefault="00B17F21" w:rsidP="004F395D">
      <w:pPr>
        <w:spacing w:before="100" w:beforeAutospacing="1" w:after="100" w:afterAutospacing="1" w:line="276" w:lineRule="auto"/>
        <w:outlineLvl w:val="1"/>
        <w:rPr>
          <w:rFonts w:asciiTheme="majorHAnsi" w:eastAsia="Times New Roman" w:hAnsiTheme="majorHAnsi" w:cstheme="majorHAnsi"/>
          <w:b/>
          <w:bCs/>
          <w:lang w:eastAsia="en-GB"/>
        </w:rPr>
      </w:pPr>
      <w:r>
        <w:rPr>
          <w:rFonts w:asciiTheme="majorHAnsi" w:eastAsia="Times New Roman" w:hAnsiTheme="majorHAnsi" w:cstheme="majorHAnsi"/>
          <w:b/>
          <w:bCs/>
          <w:lang w:eastAsia="en-GB"/>
        </w:rPr>
        <w:t>RREGULLORE</w:t>
      </w:r>
      <w:r w:rsidR="004F395D" w:rsidRPr="004F395D">
        <w:rPr>
          <w:rFonts w:asciiTheme="majorHAnsi" w:eastAsia="Times New Roman" w:hAnsiTheme="majorHAnsi" w:cstheme="majorHAnsi"/>
          <w:b/>
          <w:bCs/>
          <w:lang w:eastAsia="en-GB"/>
        </w:rPr>
        <w:t xml:space="preserve"> PËR TRANSPARENCË KOMUNALE</w:t>
      </w:r>
    </w:p>
    <w:p w14:paraId="307617F9" w14:textId="28F5B3B4" w:rsidR="004F395D" w:rsidRPr="004F395D" w:rsidRDefault="004F395D" w:rsidP="004F395D">
      <w:pPr>
        <w:spacing w:before="100" w:beforeAutospacing="1" w:after="100" w:afterAutospacing="1" w:line="276" w:lineRule="auto"/>
        <w:rPr>
          <w:rFonts w:asciiTheme="majorHAnsi" w:eastAsia="Times New Roman" w:hAnsiTheme="majorHAnsi" w:cstheme="majorHAnsi"/>
          <w:lang w:eastAsia="en-GB"/>
        </w:rPr>
      </w:pPr>
      <w:r w:rsidRPr="004F395D">
        <w:rPr>
          <w:rFonts w:asciiTheme="majorHAnsi" w:eastAsia="Times New Roman" w:hAnsiTheme="majorHAnsi" w:cstheme="majorHAnsi"/>
          <w:lang w:eastAsia="en-GB"/>
        </w:rPr>
        <w:t>Bazuar në Ligjin Nr. 03/L-040 për Vetëqeverisje Lokale, neni 68, paragrafi 68.4, Kuvendi i Komunës miraton rregulloren komunale që promovon transparencën e organeve legjislative, ekzekutive dhe administrative të komunës, duke rritur pjesëmarrjen e publikut në proceset vendimmarrëse në nivel lokal dhe duke lehtësuar qasjen e qytetarëve në do</w:t>
      </w:r>
      <w:r w:rsidR="005F4F0F">
        <w:rPr>
          <w:rFonts w:asciiTheme="majorHAnsi" w:eastAsia="Times New Roman" w:hAnsiTheme="majorHAnsi" w:cstheme="majorHAnsi"/>
          <w:lang w:eastAsia="en-GB"/>
        </w:rPr>
        <w:t>kumente</w:t>
      </w:r>
      <w:r w:rsidRPr="004F395D">
        <w:rPr>
          <w:rFonts w:asciiTheme="majorHAnsi" w:eastAsia="Times New Roman" w:hAnsiTheme="majorHAnsi" w:cstheme="majorHAnsi"/>
          <w:lang w:eastAsia="en-GB"/>
        </w:rPr>
        <w:t xml:space="preserve"> zyrtare të komunës.</w:t>
      </w:r>
    </w:p>
    <w:p w14:paraId="3D8285BF" w14:textId="77777777" w:rsidR="004F395D" w:rsidRPr="004F395D" w:rsidRDefault="004F395D" w:rsidP="004F395D">
      <w:pPr>
        <w:spacing w:before="100" w:beforeAutospacing="1" w:after="100" w:afterAutospacing="1" w:line="276" w:lineRule="auto"/>
        <w:rPr>
          <w:rFonts w:asciiTheme="majorHAnsi" w:eastAsia="Times New Roman" w:hAnsiTheme="majorHAnsi" w:cstheme="majorHAnsi"/>
          <w:lang w:eastAsia="en-GB"/>
        </w:rPr>
      </w:pPr>
      <w:r w:rsidRPr="004F395D">
        <w:rPr>
          <w:rFonts w:asciiTheme="majorHAnsi" w:eastAsia="Times New Roman" w:hAnsiTheme="majorHAnsi" w:cstheme="majorHAnsi"/>
          <w:lang w:eastAsia="en-GB"/>
        </w:rPr>
        <w:t>Të dhënat nga ueb-faqet zyrtare të komunave tregojnë se, për periudhën janar–dhjetor 2025, Rregulloren për Transparencë e kanë publikuar 22 komuna (58%), ndërsa 16 komuna (42%) nuk e kanë publikuar këtë rregullore.</w:t>
      </w:r>
    </w:p>
    <w:p w14:paraId="2F15D1A1" w14:textId="5671B2CB" w:rsidR="00B73E46" w:rsidRPr="009D6147" w:rsidRDefault="004F395D" w:rsidP="004F395D">
      <w:pPr>
        <w:spacing w:before="100" w:beforeAutospacing="1" w:after="100" w:afterAutospacing="1" w:line="276" w:lineRule="auto"/>
        <w:rPr>
          <w:rFonts w:asciiTheme="majorHAnsi" w:eastAsia="Times New Roman" w:hAnsiTheme="majorHAnsi" w:cstheme="majorHAnsi"/>
          <w:lang w:eastAsia="en-GB"/>
        </w:rPr>
      </w:pPr>
      <w:r w:rsidRPr="004F395D">
        <w:rPr>
          <w:rFonts w:asciiTheme="majorHAnsi" w:eastAsia="Times New Roman" w:hAnsiTheme="majorHAnsi" w:cstheme="majorHAnsi"/>
          <w:lang w:eastAsia="en-GB"/>
        </w:rPr>
        <w:t>Në vijim paraqitet figura me numrin e komunave që kanë publikuar Rregulloren për Transparencë.</w:t>
      </w:r>
    </w:p>
    <w:p w14:paraId="77712EEB" w14:textId="048C16F4" w:rsidR="00B73E46" w:rsidRPr="009D6147" w:rsidRDefault="00280BB6" w:rsidP="00A70BC5">
      <w:pPr>
        <w:spacing w:after="0" w:line="276" w:lineRule="auto"/>
        <w:rPr>
          <w:rFonts w:asciiTheme="majorHAnsi" w:hAnsiTheme="majorHAnsi" w:cstheme="majorHAnsi"/>
        </w:rPr>
      </w:pPr>
      <w:r w:rsidRPr="009D6147">
        <w:rPr>
          <w:rFonts w:asciiTheme="majorHAnsi" w:hAnsiTheme="majorHAnsi" w:cstheme="majorHAnsi"/>
          <w:noProof/>
          <w:lang w:eastAsia="sq-AL"/>
        </w:rPr>
        <w:drawing>
          <wp:inline distT="0" distB="0" distL="0" distR="0" wp14:anchorId="0D5948A3" wp14:editId="4E3BAEAB">
            <wp:extent cx="5731510" cy="1720800"/>
            <wp:effectExtent l="0" t="0" r="2540" b="13335"/>
            <wp:docPr id="54" name="Chart 54">
              <a:extLst xmlns:a="http://schemas.openxmlformats.org/drawingml/2006/main">
                <a:ext uri="{FF2B5EF4-FFF2-40B4-BE49-F238E27FC236}">
                  <a16:creationId xmlns:a16="http://schemas.microsoft.com/office/drawing/2014/main" id="{99982C57-F45D-455C-BCED-C9EB777968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753E8B3" w14:textId="77777777" w:rsidR="006257DA" w:rsidRPr="00224BE6" w:rsidRDefault="006257DA" w:rsidP="006257DA">
      <w:pPr>
        <w:spacing w:after="0" w:line="276" w:lineRule="auto"/>
        <w:rPr>
          <w:rFonts w:asciiTheme="majorHAnsi" w:hAnsiTheme="majorHAnsi" w:cstheme="majorHAnsi"/>
          <w:sz w:val="20"/>
          <w:szCs w:val="20"/>
        </w:rPr>
      </w:pPr>
    </w:p>
    <w:p w14:paraId="2B4AE7EF" w14:textId="13A912CC" w:rsidR="00222E8C" w:rsidRPr="00224BE6" w:rsidRDefault="00927A52" w:rsidP="006257DA">
      <w:pPr>
        <w:spacing w:after="240" w:line="276" w:lineRule="auto"/>
        <w:jc w:val="center"/>
        <w:rPr>
          <w:rFonts w:asciiTheme="majorHAnsi" w:hAnsiTheme="majorHAnsi" w:cstheme="majorHAnsi"/>
          <w:i/>
          <w:sz w:val="14"/>
          <w:szCs w:val="14"/>
        </w:rPr>
      </w:pPr>
      <w:r w:rsidRPr="00224BE6">
        <w:rPr>
          <w:rFonts w:asciiTheme="majorHAnsi" w:hAnsiTheme="majorHAnsi" w:cstheme="majorHAnsi"/>
          <w:i/>
          <w:sz w:val="14"/>
          <w:szCs w:val="14"/>
        </w:rPr>
        <w:t>Fig.</w:t>
      </w:r>
      <w:r w:rsidR="00BF0C04" w:rsidRPr="00224BE6">
        <w:rPr>
          <w:rFonts w:asciiTheme="majorHAnsi" w:hAnsiTheme="majorHAnsi" w:cstheme="majorHAnsi"/>
          <w:i/>
          <w:sz w:val="14"/>
          <w:szCs w:val="14"/>
        </w:rPr>
        <w:t>14</w:t>
      </w:r>
      <w:r w:rsidRPr="00224BE6">
        <w:rPr>
          <w:rFonts w:asciiTheme="majorHAnsi" w:hAnsiTheme="majorHAnsi" w:cstheme="majorHAnsi"/>
          <w:i/>
          <w:sz w:val="14"/>
          <w:szCs w:val="14"/>
        </w:rPr>
        <w:t xml:space="preserve">  </w:t>
      </w:r>
      <w:r w:rsidR="002E0F9F" w:rsidRPr="00224BE6">
        <w:rPr>
          <w:rFonts w:asciiTheme="majorHAnsi" w:hAnsiTheme="majorHAnsi" w:cstheme="majorHAnsi"/>
          <w:i/>
          <w:sz w:val="14"/>
          <w:szCs w:val="14"/>
        </w:rPr>
        <w:t>P</w:t>
      </w:r>
      <w:r w:rsidRPr="00224BE6">
        <w:rPr>
          <w:rFonts w:asciiTheme="majorHAnsi" w:hAnsiTheme="majorHAnsi" w:cstheme="majorHAnsi"/>
          <w:i/>
          <w:sz w:val="14"/>
          <w:szCs w:val="14"/>
        </w:rPr>
        <w:t>ublikimi i rregullores për transparencë</w:t>
      </w:r>
      <w:r w:rsidR="004A4273" w:rsidRPr="00224BE6">
        <w:rPr>
          <w:rFonts w:asciiTheme="majorHAnsi" w:hAnsiTheme="majorHAnsi" w:cstheme="majorHAnsi"/>
          <w:i/>
          <w:sz w:val="14"/>
          <w:szCs w:val="14"/>
        </w:rPr>
        <w:t xml:space="preserve"> në komuna</w:t>
      </w:r>
      <w:bookmarkStart w:id="40" w:name="_Toc163220245"/>
      <w:bookmarkStart w:id="41" w:name="_Toc56692985"/>
      <w:bookmarkStart w:id="42" w:name="_Toc81401211"/>
      <w:bookmarkStart w:id="43" w:name="_Toc85812816"/>
    </w:p>
    <w:p w14:paraId="0F466134" w14:textId="5F91F7F2" w:rsidR="002923CE" w:rsidRPr="009D6147" w:rsidRDefault="002923CE" w:rsidP="004F395D">
      <w:pPr>
        <w:pStyle w:val="Style3"/>
        <w:spacing w:line="276" w:lineRule="auto"/>
        <w:rPr>
          <w:rFonts w:eastAsia="Times New Roman" w:cstheme="majorHAnsi"/>
          <w:sz w:val="22"/>
          <w:szCs w:val="22"/>
          <w:lang w:eastAsia="en-GB"/>
        </w:rPr>
      </w:pPr>
      <w:bookmarkStart w:id="44" w:name="_Toc227827172"/>
      <w:r w:rsidRPr="009D6147">
        <w:rPr>
          <w:rFonts w:eastAsia="Times New Roman" w:cstheme="majorHAnsi"/>
          <w:sz w:val="22"/>
          <w:szCs w:val="22"/>
          <w:lang w:eastAsia="en-GB"/>
        </w:rPr>
        <w:t>Plani i Integritetit</w:t>
      </w:r>
      <w:bookmarkEnd w:id="44"/>
    </w:p>
    <w:p w14:paraId="4559A620" w14:textId="77777777" w:rsidR="004F395D" w:rsidRPr="004F395D" w:rsidRDefault="004F395D" w:rsidP="004F395D">
      <w:pPr>
        <w:spacing w:before="100" w:beforeAutospacing="1" w:after="100" w:afterAutospacing="1" w:line="276" w:lineRule="auto"/>
        <w:rPr>
          <w:rFonts w:asciiTheme="majorHAnsi" w:eastAsia="Times New Roman" w:hAnsiTheme="majorHAnsi" w:cstheme="majorHAnsi"/>
          <w:lang w:eastAsia="en-GB"/>
        </w:rPr>
      </w:pPr>
      <w:r w:rsidRPr="004F395D">
        <w:rPr>
          <w:rFonts w:asciiTheme="majorHAnsi" w:eastAsia="Times New Roman" w:hAnsiTheme="majorHAnsi" w:cstheme="majorHAnsi"/>
          <w:lang w:eastAsia="en-GB"/>
        </w:rPr>
        <w:t>Plani i Integritetit përbën një instrument thelbësor për sigurimin e transparencës, llogaridhënies dhe qeverisjes së mirë në institucionet publike. Përmes këtij plani, institucionet identifikojnë dhe vlerësojnë rreziqet potenciale të korrupsionit, përcaktojnë masa parandaluese dhe mekanizma kontrolli, si dhe forcojnë integritetin institucional dhe besimin e publikut. Në këtë mënyrë, Plani i Integritetit kontribuon drejtpërdrejt në parandalimin dhe luftimin e korrupsionit, si dhe në zbatimin e parimeve të sundimit të ligjit.</w:t>
      </w:r>
    </w:p>
    <w:p w14:paraId="1B46F99C" w14:textId="77777777" w:rsidR="004F395D" w:rsidRPr="004F395D" w:rsidRDefault="004F395D" w:rsidP="004F395D">
      <w:pPr>
        <w:spacing w:before="100" w:beforeAutospacing="1" w:after="100" w:afterAutospacing="1" w:line="276" w:lineRule="auto"/>
        <w:rPr>
          <w:rFonts w:asciiTheme="majorHAnsi" w:eastAsia="Times New Roman" w:hAnsiTheme="majorHAnsi" w:cstheme="majorHAnsi"/>
          <w:lang w:eastAsia="en-GB"/>
        </w:rPr>
      </w:pPr>
      <w:r w:rsidRPr="004F395D">
        <w:rPr>
          <w:rFonts w:asciiTheme="majorHAnsi" w:eastAsia="Times New Roman" w:hAnsiTheme="majorHAnsi" w:cstheme="majorHAnsi"/>
          <w:lang w:eastAsia="en-GB"/>
        </w:rPr>
        <w:t>Në bazë të Ligjit Nr. 08/L-017 për Agjencinë për Parandalimin e Korrupsionit, si dhe akteve nënligjore dhe udhëzimeve të nxjerra nga kjo agjenci, institucionet publike, përfshirë komunat, janë të obliguara të hartojnë dhe zbatojnë Planin e Integritetit si pjesë e mekanizmave për parandalimin e korrupsionit.</w:t>
      </w:r>
    </w:p>
    <w:p w14:paraId="0CE2A34D" w14:textId="77777777" w:rsidR="004F395D" w:rsidRPr="004F395D" w:rsidRDefault="004F395D" w:rsidP="004F395D">
      <w:pPr>
        <w:spacing w:before="100" w:beforeAutospacing="1" w:after="100" w:afterAutospacing="1" w:line="276" w:lineRule="auto"/>
        <w:rPr>
          <w:rFonts w:asciiTheme="majorHAnsi" w:eastAsia="Times New Roman" w:hAnsiTheme="majorHAnsi" w:cstheme="majorHAnsi"/>
          <w:lang w:eastAsia="en-GB"/>
        </w:rPr>
      </w:pPr>
      <w:r w:rsidRPr="004F395D">
        <w:rPr>
          <w:rFonts w:asciiTheme="majorHAnsi" w:eastAsia="Times New Roman" w:hAnsiTheme="majorHAnsi" w:cstheme="majorHAnsi"/>
          <w:lang w:eastAsia="en-GB"/>
        </w:rPr>
        <w:t>Në këtë kontekst, në përputhje me dispozitat përkatëse të këtij ligji dhe udhëzimet zbatuese, komunat janë të obliguara që Planin e Integritetit ta miratojnë dhe ta publikojnë në faqet e tyre zyrtare, me qëllim sigurimin e transparencës dhe qasjes së publikut në dokumentet zyrtare.</w:t>
      </w:r>
    </w:p>
    <w:p w14:paraId="551D494D" w14:textId="5071A796" w:rsidR="004F395D" w:rsidRPr="009D6147" w:rsidRDefault="004F395D" w:rsidP="00280BB6">
      <w:pPr>
        <w:spacing w:before="100" w:beforeAutospacing="1" w:after="100" w:afterAutospacing="1" w:line="276" w:lineRule="auto"/>
        <w:rPr>
          <w:rFonts w:asciiTheme="majorHAnsi" w:eastAsia="Times New Roman" w:hAnsiTheme="majorHAnsi" w:cstheme="majorHAnsi"/>
          <w:sz w:val="24"/>
          <w:szCs w:val="24"/>
          <w:lang w:eastAsia="en-GB"/>
        </w:rPr>
      </w:pPr>
      <w:r w:rsidRPr="004F395D">
        <w:rPr>
          <w:rFonts w:asciiTheme="majorHAnsi" w:eastAsia="Times New Roman" w:hAnsiTheme="majorHAnsi" w:cstheme="majorHAnsi"/>
          <w:lang w:eastAsia="en-GB"/>
        </w:rPr>
        <w:t>Në vijim paraqitet figura me numrin e komunave që kanë publikuar Planin e Integritetit</w:t>
      </w:r>
      <w:r w:rsidRPr="004F395D">
        <w:rPr>
          <w:rFonts w:asciiTheme="majorHAnsi" w:eastAsia="Times New Roman" w:hAnsiTheme="majorHAnsi" w:cstheme="majorHAnsi"/>
          <w:sz w:val="24"/>
          <w:szCs w:val="24"/>
          <w:lang w:eastAsia="en-GB"/>
        </w:rPr>
        <w:t>.</w:t>
      </w:r>
    </w:p>
    <w:p w14:paraId="1DF5176F" w14:textId="329D3C41" w:rsidR="00572118" w:rsidRPr="009D6147" w:rsidRDefault="00280BB6" w:rsidP="00280BB6">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hAnsiTheme="majorHAnsi" w:cstheme="majorHAnsi"/>
          <w:b/>
          <w:bCs/>
          <w:noProof/>
          <w:lang w:eastAsia="sq-AL"/>
        </w:rPr>
        <w:drawing>
          <wp:inline distT="0" distB="0" distL="0" distR="0" wp14:anchorId="32DA6796" wp14:editId="62A8AC5D">
            <wp:extent cx="5946775" cy="1628192"/>
            <wp:effectExtent l="0" t="0" r="15875" b="10160"/>
            <wp:docPr id="59" name="Chart 59">
              <a:extLst xmlns:a="http://schemas.openxmlformats.org/drawingml/2006/main">
                <a:ext uri="{FF2B5EF4-FFF2-40B4-BE49-F238E27FC236}">
                  <a16:creationId xmlns:a16="http://schemas.microsoft.com/office/drawing/2014/main" id="{506A4D21-9193-4029-B754-E456028A20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220FA0" w14:textId="6CD47EAD" w:rsidR="00051CD5" w:rsidRPr="00224BE6" w:rsidRDefault="002923CE" w:rsidP="004F395D">
      <w:pPr>
        <w:spacing w:after="240" w:line="276" w:lineRule="auto"/>
        <w:jc w:val="center"/>
        <w:rPr>
          <w:rFonts w:asciiTheme="majorHAnsi" w:hAnsiTheme="majorHAnsi" w:cstheme="majorHAnsi"/>
          <w:i/>
          <w:sz w:val="14"/>
          <w:szCs w:val="14"/>
        </w:rPr>
      </w:pPr>
      <w:r w:rsidRPr="00224BE6">
        <w:rPr>
          <w:rFonts w:asciiTheme="majorHAnsi" w:hAnsiTheme="majorHAnsi" w:cstheme="majorHAnsi"/>
          <w:i/>
          <w:sz w:val="14"/>
          <w:szCs w:val="14"/>
        </w:rPr>
        <w:t>Fig.1</w:t>
      </w:r>
      <w:r w:rsidR="006A4783" w:rsidRPr="00224BE6">
        <w:rPr>
          <w:rFonts w:asciiTheme="majorHAnsi" w:hAnsiTheme="majorHAnsi" w:cstheme="majorHAnsi"/>
          <w:i/>
          <w:sz w:val="14"/>
          <w:szCs w:val="14"/>
        </w:rPr>
        <w:t>5</w:t>
      </w:r>
      <w:r w:rsidRPr="00224BE6">
        <w:rPr>
          <w:rFonts w:asciiTheme="majorHAnsi" w:hAnsiTheme="majorHAnsi" w:cstheme="majorHAnsi"/>
          <w:i/>
          <w:sz w:val="14"/>
          <w:szCs w:val="14"/>
        </w:rPr>
        <w:t xml:space="preserve">  Publikimi i </w:t>
      </w:r>
      <w:r w:rsidR="00EA0597" w:rsidRPr="00224BE6">
        <w:rPr>
          <w:rFonts w:asciiTheme="majorHAnsi" w:hAnsiTheme="majorHAnsi" w:cstheme="majorHAnsi"/>
          <w:i/>
          <w:sz w:val="14"/>
          <w:szCs w:val="14"/>
        </w:rPr>
        <w:t>Plani</w:t>
      </w:r>
      <w:r w:rsidR="00AC7AA3" w:rsidRPr="00224BE6">
        <w:rPr>
          <w:rFonts w:asciiTheme="majorHAnsi" w:hAnsiTheme="majorHAnsi" w:cstheme="majorHAnsi"/>
          <w:i/>
          <w:sz w:val="14"/>
          <w:szCs w:val="14"/>
        </w:rPr>
        <w:t>t të</w:t>
      </w:r>
      <w:r w:rsidR="00EA0597" w:rsidRPr="00224BE6">
        <w:rPr>
          <w:rFonts w:asciiTheme="majorHAnsi" w:hAnsiTheme="majorHAnsi" w:cstheme="majorHAnsi"/>
          <w:i/>
          <w:sz w:val="14"/>
          <w:szCs w:val="14"/>
        </w:rPr>
        <w:t xml:space="preserve"> integritetit</w:t>
      </w:r>
    </w:p>
    <w:p w14:paraId="78E939EE" w14:textId="79D0AD67" w:rsidR="00051CD5" w:rsidRPr="00224BE6" w:rsidRDefault="007D4ABB" w:rsidP="00A70BC5">
      <w:pPr>
        <w:pStyle w:val="Style2"/>
        <w:spacing w:line="276" w:lineRule="auto"/>
        <w:rPr>
          <w:rFonts w:asciiTheme="majorHAnsi" w:hAnsiTheme="majorHAnsi" w:cstheme="majorHAnsi"/>
          <w:sz w:val="22"/>
          <w:szCs w:val="24"/>
        </w:rPr>
      </w:pPr>
      <w:bookmarkStart w:id="45" w:name="_Toc227827173"/>
      <w:r w:rsidRPr="00224BE6">
        <w:rPr>
          <w:rFonts w:asciiTheme="majorHAnsi" w:hAnsiTheme="majorHAnsi" w:cstheme="majorHAnsi"/>
          <w:sz w:val="22"/>
          <w:szCs w:val="24"/>
        </w:rPr>
        <w:t>TRANSPARENCA E KRYETARIT TË KOMUNËS</w:t>
      </w:r>
      <w:bookmarkEnd w:id="40"/>
      <w:bookmarkEnd w:id="45"/>
      <w:r w:rsidRPr="00224BE6">
        <w:rPr>
          <w:rFonts w:asciiTheme="majorHAnsi" w:hAnsiTheme="majorHAnsi" w:cstheme="majorHAnsi"/>
          <w:sz w:val="22"/>
          <w:szCs w:val="24"/>
        </w:rPr>
        <w:t xml:space="preserve"> </w:t>
      </w:r>
    </w:p>
    <w:p w14:paraId="6FF298FA" w14:textId="77777777" w:rsidR="004F395D" w:rsidRPr="004F395D" w:rsidRDefault="004F395D" w:rsidP="004F395D">
      <w:pPr>
        <w:spacing w:before="100" w:beforeAutospacing="1" w:after="100" w:afterAutospacing="1" w:line="276" w:lineRule="auto"/>
        <w:rPr>
          <w:rFonts w:asciiTheme="majorHAnsi" w:eastAsia="Times New Roman" w:hAnsiTheme="majorHAnsi" w:cstheme="majorHAnsi"/>
          <w:lang w:eastAsia="en-GB"/>
        </w:rPr>
      </w:pPr>
      <w:r w:rsidRPr="004F395D">
        <w:rPr>
          <w:rFonts w:asciiTheme="majorHAnsi" w:eastAsia="Times New Roman" w:hAnsiTheme="majorHAnsi" w:cstheme="majorHAnsi"/>
          <w:lang w:eastAsia="en-GB"/>
        </w:rPr>
        <w:t>Bazuar në Udhëzimin Administrativ Nr. 04/2023 për Administratë të Hapur në Komuna, kryetari i komunës siguron transparencë në procesin e tij vendimmarrës dhe në punën e administratës komunale. Kryetari i komunës është përgjegjës për zbatimin e legjislacionit për publikimin e akteve të ekzekutivit dhe dokumenteve zyrtare, në përputhje me Ligjin Nr. 06/L-082 për Mbrojtjen e të Dhënave Personale dhe Ligjin Nr. 06/L-081 për Qasje në Dokumente Publike.</w:t>
      </w:r>
    </w:p>
    <w:p w14:paraId="50C67429" w14:textId="77777777" w:rsidR="004F395D" w:rsidRPr="009D6147" w:rsidRDefault="004F395D" w:rsidP="004F395D">
      <w:pPr>
        <w:spacing w:before="100" w:beforeAutospacing="1" w:after="100" w:afterAutospacing="1" w:line="276" w:lineRule="auto"/>
        <w:rPr>
          <w:rFonts w:asciiTheme="majorHAnsi" w:eastAsia="Times New Roman" w:hAnsiTheme="majorHAnsi" w:cstheme="majorHAnsi"/>
          <w:lang w:eastAsia="en-GB"/>
        </w:rPr>
      </w:pPr>
      <w:r w:rsidRPr="004F395D">
        <w:rPr>
          <w:rFonts w:asciiTheme="majorHAnsi" w:eastAsia="Times New Roman" w:hAnsiTheme="majorHAnsi" w:cstheme="majorHAnsi"/>
          <w:lang w:eastAsia="en-GB"/>
        </w:rPr>
        <w:t>Gjatë periudhës janar–dhjetor 2025, janë publikuar gjithsej 3,934 vendime të kryetarëve të komunave nga 27 komuna (71%), ndërsa 11 komuna (29%) nuk kanë publikuar asnjë vendim të kryetarit.</w:t>
      </w:r>
      <w:r w:rsidRPr="009D6147">
        <w:rPr>
          <w:rFonts w:asciiTheme="majorHAnsi" w:eastAsia="Times New Roman" w:hAnsiTheme="majorHAnsi" w:cstheme="majorHAnsi"/>
          <w:lang w:eastAsia="en-GB"/>
        </w:rPr>
        <w:t xml:space="preserve"> </w:t>
      </w:r>
    </w:p>
    <w:p w14:paraId="610EF2E3" w14:textId="409FE2A4" w:rsidR="004F395D" w:rsidRPr="004F395D" w:rsidRDefault="004F395D" w:rsidP="004F395D">
      <w:pPr>
        <w:spacing w:before="100" w:beforeAutospacing="1" w:after="100" w:afterAutospacing="1" w:line="276" w:lineRule="auto"/>
        <w:rPr>
          <w:rFonts w:asciiTheme="majorHAnsi" w:eastAsia="Times New Roman" w:hAnsiTheme="majorHAnsi" w:cstheme="majorHAnsi"/>
          <w:lang w:eastAsia="en-GB"/>
        </w:rPr>
      </w:pPr>
      <w:r w:rsidRPr="004F395D">
        <w:rPr>
          <w:rFonts w:asciiTheme="majorHAnsi" w:eastAsia="Times New Roman" w:hAnsiTheme="majorHAnsi" w:cstheme="majorHAnsi"/>
          <w:lang w:eastAsia="en-GB"/>
        </w:rPr>
        <w:t>Në vijim paraqitet figura me numrin e vendimeve të kryetarëve të komunave.</w:t>
      </w:r>
    </w:p>
    <w:p w14:paraId="0252FF60" w14:textId="04F1C152" w:rsidR="003F2D54" w:rsidRPr="009D6147" w:rsidRDefault="00AC7AA3" w:rsidP="00A70BC5">
      <w:pPr>
        <w:spacing w:line="276" w:lineRule="auto"/>
        <w:rPr>
          <w:rFonts w:asciiTheme="majorHAnsi" w:hAnsiTheme="majorHAnsi" w:cstheme="majorHAnsi"/>
        </w:rPr>
      </w:pPr>
      <w:r w:rsidRPr="009D6147">
        <w:rPr>
          <w:rFonts w:asciiTheme="majorHAnsi" w:hAnsiTheme="majorHAnsi" w:cstheme="majorHAnsi"/>
          <w:b/>
          <w:bCs/>
          <w:noProof/>
          <w:lang w:eastAsia="sq-AL"/>
        </w:rPr>
        <w:drawing>
          <wp:inline distT="0" distB="0" distL="0" distR="0" wp14:anchorId="49920FC6" wp14:editId="6F738CE8">
            <wp:extent cx="6020435" cy="1562878"/>
            <wp:effectExtent l="0" t="0" r="18415" b="18415"/>
            <wp:docPr id="7" name="Chart 7">
              <a:extLst xmlns:a="http://schemas.openxmlformats.org/drawingml/2006/main">
                <a:ext uri="{FF2B5EF4-FFF2-40B4-BE49-F238E27FC236}">
                  <a16:creationId xmlns:a16="http://schemas.microsoft.com/office/drawing/2014/main" id="{626166F4-5CA0-4FA5-A0BA-03935353CD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D78F8CD" w14:textId="041D0475" w:rsidR="007D4ABB" w:rsidRPr="00224BE6" w:rsidRDefault="00A85CE9" w:rsidP="006A4783">
      <w:pPr>
        <w:spacing w:line="276" w:lineRule="auto"/>
        <w:jc w:val="center"/>
        <w:rPr>
          <w:rFonts w:asciiTheme="majorHAnsi" w:hAnsiTheme="majorHAnsi" w:cstheme="majorHAnsi"/>
          <w:i/>
          <w:iCs/>
          <w:sz w:val="14"/>
          <w:szCs w:val="14"/>
        </w:rPr>
      </w:pPr>
      <w:proofErr w:type="spellStart"/>
      <w:r w:rsidRPr="00224BE6">
        <w:rPr>
          <w:rFonts w:asciiTheme="majorHAnsi" w:hAnsiTheme="majorHAnsi" w:cstheme="majorHAnsi"/>
          <w:i/>
          <w:sz w:val="14"/>
          <w:szCs w:val="14"/>
        </w:rPr>
        <w:t>Fig</w:t>
      </w:r>
      <w:proofErr w:type="spellEnd"/>
      <w:r w:rsidRPr="00224BE6">
        <w:rPr>
          <w:rFonts w:asciiTheme="majorHAnsi" w:hAnsiTheme="majorHAnsi" w:cstheme="majorHAnsi"/>
          <w:i/>
          <w:sz w:val="14"/>
          <w:szCs w:val="14"/>
        </w:rPr>
        <w:t xml:space="preserve"> 1</w:t>
      </w:r>
      <w:r w:rsidR="006A4783" w:rsidRPr="00224BE6">
        <w:rPr>
          <w:rFonts w:asciiTheme="majorHAnsi" w:hAnsiTheme="majorHAnsi" w:cstheme="majorHAnsi"/>
          <w:i/>
          <w:sz w:val="14"/>
          <w:szCs w:val="14"/>
        </w:rPr>
        <w:t>6</w:t>
      </w:r>
      <w:r w:rsidR="007D4ABB" w:rsidRPr="00224BE6">
        <w:rPr>
          <w:rFonts w:asciiTheme="majorHAnsi" w:hAnsiTheme="majorHAnsi" w:cstheme="majorHAnsi"/>
          <w:i/>
          <w:iCs/>
          <w:sz w:val="14"/>
          <w:szCs w:val="14"/>
        </w:rPr>
        <w:t xml:space="preserve"> Publikimi </w:t>
      </w:r>
      <w:r w:rsidR="00912F89" w:rsidRPr="00224BE6">
        <w:rPr>
          <w:rFonts w:asciiTheme="majorHAnsi" w:hAnsiTheme="majorHAnsi" w:cstheme="majorHAnsi"/>
          <w:i/>
          <w:iCs/>
          <w:sz w:val="14"/>
          <w:szCs w:val="14"/>
        </w:rPr>
        <w:t>i</w:t>
      </w:r>
      <w:r w:rsidR="001C5103" w:rsidRPr="00224BE6">
        <w:rPr>
          <w:rFonts w:asciiTheme="majorHAnsi" w:hAnsiTheme="majorHAnsi" w:cstheme="majorHAnsi"/>
          <w:i/>
          <w:iCs/>
          <w:sz w:val="14"/>
          <w:szCs w:val="14"/>
        </w:rPr>
        <w:t xml:space="preserve"> vendimeve të kryetareve</w:t>
      </w:r>
      <w:r w:rsidR="007D4ABB" w:rsidRPr="00224BE6">
        <w:rPr>
          <w:rFonts w:asciiTheme="majorHAnsi" w:hAnsiTheme="majorHAnsi" w:cstheme="majorHAnsi"/>
          <w:i/>
          <w:iCs/>
          <w:sz w:val="14"/>
          <w:szCs w:val="14"/>
        </w:rPr>
        <w:t xml:space="preserve"> të komunës</w:t>
      </w:r>
    </w:p>
    <w:p w14:paraId="0BA66FAF" w14:textId="77777777" w:rsidR="00594BD1" w:rsidRPr="009D6147" w:rsidRDefault="00594BD1" w:rsidP="00A70BC5">
      <w:pPr>
        <w:spacing w:line="276" w:lineRule="auto"/>
        <w:rPr>
          <w:rFonts w:asciiTheme="majorHAnsi" w:hAnsiTheme="majorHAnsi" w:cstheme="majorHAnsi"/>
          <w:i/>
          <w:iCs/>
          <w:sz w:val="16"/>
          <w:szCs w:val="16"/>
        </w:rPr>
      </w:pPr>
    </w:p>
    <w:p w14:paraId="15F8B8BD" w14:textId="77777777" w:rsidR="00F146C3" w:rsidRPr="00224BE6" w:rsidRDefault="00F146C3" w:rsidP="006A4783">
      <w:pPr>
        <w:pStyle w:val="Style2"/>
        <w:rPr>
          <w:rFonts w:asciiTheme="majorHAnsi" w:hAnsiTheme="majorHAnsi" w:cstheme="majorHAnsi"/>
          <w:sz w:val="22"/>
          <w:szCs w:val="24"/>
        </w:rPr>
      </w:pPr>
      <w:bookmarkStart w:id="46" w:name="_Toc227827174"/>
      <w:r w:rsidRPr="00224BE6">
        <w:rPr>
          <w:rFonts w:asciiTheme="majorHAnsi" w:hAnsiTheme="majorHAnsi" w:cstheme="majorHAnsi"/>
          <w:sz w:val="22"/>
          <w:szCs w:val="24"/>
        </w:rPr>
        <w:t>PUBLIKIMI I PLANIT VJETOR  TË KRYETARIT</w:t>
      </w:r>
      <w:bookmarkEnd w:id="46"/>
      <w:r w:rsidRPr="00224BE6">
        <w:rPr>
          <w:rFonts w:asciiTheme="majorHAnsi" w:hAnsiTheme="majorHAnsi" w:cstheme="majorHAnsi"/>
          <w:sz w:val="22"/>
          <w:szCs w:val="24"/>
        </w:rPr>
        <w:t xml:space="preserve"> </w:t>
      </w:r>
    </w:p>
    <w:p w14:paraId="01D3E94E" w14:textId="620D2EC1" w:rsidR="00F146C3" w:rsidRPr="009D6147" w:rsidRDefault="00F146C3" w:rsidP="00A70BC5">
      <w:pPr>
        <w:spacing w:line="276" w:lineRule="auto"/>
        <w:rPr>
          <w:rFonts w:asciiTheme="majorHAnsi" w:hAnsiTheme="majorHAnsi" w:cstheme="majorHAnsi"/>
          <w:i/>
          <w:iCs/>
          <w:sz w:val="16"/>
          <w:szCs w:val="16"/>
        </w:rPr>
      </w:pPr>
    </w:p>
    <w:p w14:paraId="43199ED1" w14:textId="77777777" w:rsidR="006D764B" w:rsidRPr="006D764B" w:rsidRDefault="006D764B" w:rsidP="006D764B">
      <w:pPr>
        <w:spacing w:before="100" w:beforeAutospacing="1" w:after="100" w:afterAutospacing="1" w:line="276" w:lineRule="auto"/>
        <w:rPr>
          <w:rFonts w:asciiTheme="majorHAnsi" w:eastAsia="Times New Roman" w:hAnsiTheme="majorHAnsi" w:cstheme="majorHAnsi"/>
          <w:lang w:eastAsia="en-GB"/>
        </w:rPr>
      </w:pPr>
      <w:r w:rsidRPr="006D764B">
        <w:rPr>
          <w:rFonts w:asciiTheme="majorHAnsi" w:eastAsia="Times New Roman" w:hAnsiTheme="majorHAnsi" w:cstheme="majorHAnsi"/>
          <w:lang w:eastAsia="en-GB"/>
        </w:rPr>
        <w:t>Udhëzimi Administrativ (MAPL) Nr. 04/2023 për Administratë të Hapur në Komuna përcakton se komunat obligohen të publikojnë të gjitha dokumentet zyrtare, duke përfshirë Planin Vjetor të Punës së Kryetarit dhe drejtorive.</w:t>
      </w:r>
    </w:p>
    <w:p w14:paraId="48EE936A" w14:textId="77777777" w:rsidR="006D764B" w:rsidRPr="006D764B" w:rsidRDefault="006D764B" w:rsidP="006D764B">
      <w:pPr>
        <w:spacing w:before="100" w:beforeAutospacing="1" w:after="100" w:afterAutospacing="1" w:line="276" w:lineRule="auto"/>
        <w:rPr>
          <w:rFonts w:asciiTheme="majorHAnsi" w:eastAsia="Times New Roman" w:hAnsiTheme="majorHAnsi" w:cstheme="majorHAnsi"/>
          <w:lang w:eastAsia="en-GB"/>
        </w:rPr>
      </w:pPr>
      <w:r w:rsidRPr="006D764B">
        <w:rPr>
          <w:rFonts w:asciiTheme="majorHAnsi" w:eastAsia="Times New Roman" w:hAnsiTheme="majorHAnsi" w:cstheme="majorHAnsi"/>
          <w:lang w:eastAsia="en-GB"/>
        </w:rPr>
        <w:t>Planin e Punës së Kryetarit të komunës për periudhën janar–dhjetor 2025 e kanë publikuar 20 komuna (53%), ndërsa 18 komuna (47%) nuk kanë publikuar asnjë Plan të Punës së Kryetarit të Komunës.</w:t>
      </w:r>
    </w:p>
    <w:p w14:paraId="039A1B09" w14:textId="77777777" w:rsidR="006D764B" w:rsidRPr="006D764B" w:rsidRDefault="006D764B" w:rsidP="006D764B">
      <w:pPr>
        <w:spacing w:before="100" w:beforeAutospacing="1" w:after="100" w:afterAutospacing="1" w:line="276" w:lineRule="auto"/>
        <w:rPr>
          <w:rFonts w:asciiTheme="majorHAnsi" w:eastAsia="Times New Roman" w:hAnsiTheme="majorHAnsi" w:cstheme="majorHAnsi"/>
          <w:lang w:eastAsia="en-GB"/>
        </w:rPr>
      </w:pPr>
      <w:r w:rsidRPr="006D764B">
        <w:rPr>
          <w:rFonts w:asciiTheme="majorHAnsi" w:eastAsia="Times New Roman" w:hAnsiTheme="majorHAnsi" w:cstheme="majorHAnsi"/>
          <w:lang w:eastAsia="en-GB"/>
        </w:rPr>
        <w:t>Referuar të dhënave nga Raporti për Vlerësimin e Transparencës për vitin 2024, ku janë publikuar 24 plane pune të kryetarëve të komunave, konstatohet një rënie prej katër (4) komunash në vitin 2025 krahasuar me vitin paraprak.</w:t>
      </w:r>
    </w:p>
    <w:p w14:paraId="2A76F619" w14:textId="17630897" w:rsidR="00EA21F2" w:rsidRPr="009D6147" w:rsidRDefault="006D764B" w:rsidP="006D764B">
      <w:pPr>
        <w:spacing w:before="100" w:beforeAutospacing="1" w:after="100" w:afterAutospacing="1" w:line="276" w:lineRule="auto"/>
        <w:rPr>
          <w:rFonts w:asciiTheme="majorHAnsi" w:eastAsia="Times New Roman" w:hAnsiTheme="majorHAnsi" w:cstheme="majorHAnsi"/>
          <w:lang w:eastAsia="en-GB"/>
        </w:rPr>
      </w:pPr>
      <w:r w:rsidRPr="006D764B">
        <w:rPr>
          <w:rFonts w:asciiTheme="majorHAnsi" w:eastAsia="Times New Roman" w:hAnsiTheme="majorHAnsi" w:cstheme="majorHAnsi"/>
          <w:lang w:eastAsia="en-GB"/>
        </w:rPr>
        <w:t>Në vijim paraqitet në formë tabelore numri i komunave që kanë publikuar Planin e Punës së Kryetarit të Komunës</w:t>
      </w:r>
    </w:p>
    <w:p w14:paraId="34529DC7" w14:textId="6969D767" w:rsidR="00EA21F2" w:rsidRPr="009D6147" w:rsidRDefault="00EA21F2" w:rsidP="00A70BC5">
      <w:pPr>
        <w:spacing w:line="276" w:lineRule="auto"/>
        <w:rPr>
          <w:rFonts w:asciiTheme="majorHAnsi" w:hAnsiTheme="majorHAnsi" w:cstheme="majorHAnsi"/>
          <w:noProof/>
        </w:rPr>
      </w:pPr>
    </w:p>
    <w:p w14:paraId="4717CD9C" w14:textId="22BC924B" w:rsidR="005E0304" w:rsidRDefault="005E0304" w:rsidP="00E0400C">
      <w:pPr>
        <w:spacing w:line="276" w:lineRule="auto"/>
        <w:jc w:val="center"/>
        <w:rPr>
          <w:rFonts w:asciiTheme="majorHAnsi" w:hAnsiTheme="majorHAnsi" w:cstheme="majorHAnsi"/>
          <w:i/>
          <w:sz w:val="14"/>
          <w:szCs w:val="14"/>
        </w:rPr>
      </w:pPr>
      <w:r>
        <w:rPr>
          <w:noProof/>
        </w:rPr>
        <w:drawing>
          <wp:inline distT="0" distB="0" distL="0" distR="0" wp14:anchorId="4234B59E" wp14:editId="3614B20B">
            <wp:extent cx="5827395" cy="1958292"/>
            <wp:effectExtent l="0" t="0" r="1905" b="4445"/>
            <wp:docPr id="1" name="Chart 1">
              <a:extLst xmlns:a="http://schemas.openxmlformats.org/drawingml/2006/main">
                <a:ext uri="{FF2B5EF4-FFF2-40B4-BE49-F238E27FC236}">
                  <a16:creationId xmlns:a16="http://schemas.microsoft.com/office/drawing/2014/main" id="{28EE2B83-4AE9-4BF7-ADDB-02C900D1C3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F95FC97" w14:textId="089E971C" w:rsidR="001322CD" w:rsidRPr="00224BE6" w:rsidRDefault="00A85CE9" w:rsidP="006A4783">
      <w:pPr>
        <w:spacing w:line="276" w:lineRule="auto"/>
        <w:jc w:val="center"/>
        <w:rPr>
          <w:rFonts w:asciiTheme="majorHAnsi" w:hAnsiTheme="majorHAnsi" w:cstheme="majorHAnsi"/>
          <w:i/>
          <w:sz w:val="14"/>
          <w:szCs w:val="14"/>
        </w:rPr>
      </w:pPr>
      <w:r w:rsidRPr="00224BE6">
        <w:rPr>
          <w:rFonts w:asciiTheme="majorHAnsi" w:hAnsiTheme="majorHAnsi" w:cstheme="majorHAnsi"/>
          <w:i/>
          <w:sz w:val="14"/>
          <w:szCs w:val="14"/>
        </w:rPr>
        <w:t>Fig. 1</w:t>
      </w:r>
      <w:r w:rsidR="006A4783" w:rsidRPr="00224BE6">
        <w:rPr>
          <w:rFonts w:asciiTheme="majorHAnsi" w:hAnsiTheme="majorHAnsi" w:cstheme="majorHAnsi"/>
          <w:i/>
          <w:sz w:val="14"/>
          <w:szCs w:val="14"/>
        </w:rPr>
        <w:t>7</w:t>
      </w:r>
      <w:r w:rsidRPr="00224BE6">
        <w:rPr>
          <w:rFonts w:asciiTheme="majorHAnsi" w:hAnsiTheme="majorHAnsi" w:cstheme="majorHAnsi"/>
          <w:i/>
          <w:iCs/>
          <w:sz w:val="14"/>
          <w:szCs w:val="14"/>
        </w:rPr>
        <w:t xml:space="preserve"> Publikimi  i </w:t>
      </w:r>
      <w:r w:rsidRPr="00224BE6">
        <w:rPr>
          <w:rFonts w:asciiTheme="majorHAnsi" w:hAnsiTheme="majorHAnsi" w:cstheme="majorHAnsi"/>
          <w:i/>
          <w:sz w:val="14"/>
          <w:szCs w:val="14"/>
        </w:rPr>
        <w:t>Planit</w:t>
      </w:r>
      <w:r w:rsidR="001C5103" w:rsidRPr="00224BE6">
        <w:rPr>
          <w:rFonts w:asciiTheme="majorHAnsi" w:hAnsiTheme="majorHAnsi" w:cstheme="majorHAnsi"/>
          <w:i/>
          <w:sz w:val="14"/>
          <w:szCs w:val="14"/>
        </w:rPr>
        <w:t xml:space="preserve"> vjetor të punës së Kryetarit</w:t>
      </w:r>
    </w:p>
    <w:p w14:paraId="4EB3926B" w14:textId="77777777" w:rsidR="00051CD5" w:rsidRPr="009D6147" w:rsidRDefault="00051CD5" w:rsidP="006A4783">
      <w:pPr>
        <w:spacing w:line="276" w:lineRule="auto"/>
        <w:jc w:val="center"/>
        <w:rPr>
          <w:rFonts w:asciiTheme="majorHAnsi" w:hAnsiTheme="majorHAnsi" w:cstheme="majorHAnsi"/>
          <w:i/>
          <w:iCs/>
          <w:sz w:val="16"/>
          <w:szCs w:val="16"/>
        </w:rPr>
      </w:pPr>
    </w:p>
    <w:p w14:paraId="1B03269E" w14:textId="0D9EBDF2" w:rsidR="006A4783" w:rsidRPr="00224BE6" w:rsidRDefault="007D4ABB" w:rsidP="006A4783">
      <w:pPr>
        <w:pStyle w:val="Style2"/>
        <w:rPr>
          <w:rFonts w:asciiTheme="majorHAnsi" w:hAnsiTheme="majorHAnsi" w:cstheme="majorHAnsi"/>
          <w:sz w:val="22"/>
          <w:szCs w:val="24"/>
        </w:rPr>
      </w:pPr>
      <w:bookmarkStart w:id="47" w:name="_Toc227827175"/>
      <w:r w:rsidRPr="00224BE6">
        <w:rPr>
          <w:rFonts w:asciiTheme="majorHAnsi" w:hAnsiTheme="majorHAnsi" w:cstheme="majorHAnsi"/>
          <w:sz w:val="22"/>
          <w:szCs w:val="24"/>
        </w:rPr>
        <w:t>PUBLIKIMI I RAPORTIT TË KRYETARIT</w:t>
      </w:r>
      <w:bookmarkEnd w:id="47"/>
    </w:p>
    <w:p w14:paraId="3002377E" w14:textId="77777777" w:rsidR="006769E2" w:rsidRPr="006769E2" w:rsidRDefault="006769E2" w:rsidP="006769E2">
      <w:pPr>
        <w:spacing w:before="100" w:beforeAutospacing="1" w:after="100" w:afterAutospacing="1" w:line="276" w:lineRule="auto"/>
        <w:rPr>
          <w:rFonts w:asciiTheme="majorHAnsi" w:eastAsia="Times New Roman" w:hAnsiTheme="majorHAnsi" w:cstheme="majorHAnsi"/>
          <w:lang w:eastAsia="en-GB"/>
        </w:rPr>
      </w:pPr>
      <w:r w:rsidRPr="006769E2">
        <w:rPr>
          <w:rFonts w:asciiTheme="majorHAnsi" w:eastAsia="Times New Roman" w:hAnsiTheme="majorHAnsi" w:cstheme="majorHAnsi"/>
          <w:lang w:eastAsia="en-GB"/>
        </w:rPr>
        <w:t>Ligji Nr. 03/L-040 për Vetëqeverisje Lokale, neni 58, përcakton se kryetari i komunës është i obliguar të raportojë para Kuvendit të Komunës së paku një herë në gjashtë muaj, ose kurdoherë që kërkohet nga Kuvendi i Komunës, lidhur me situatën ekonomiko-financiare të komunës, si dhe zbatimin e planeve investuese të saj.</w:t>
      </w:r>
    </w:p>
    <w:p w14:paraId="6017B2CA" w14:textId="77777777" w:rsidR="006769E2" w:rsidRPr="006769E2" w:rsidRDefault="006769E2" w:rsidP="006769E2">
      <w:pPr>
        <w:spacing w:before="100" w:beforeAutospacing="1" w:after="100" w:afterAutospacing="1" w:line="276" w:lineRule="auto"/>
        <w:rPr>
          <w:rFonts w:asciiTheme="majorHAnsi" w:eastAsia="Times New Roman" w:hAnsiTheme="majorHAnsi" w:cstheme="majorHAnsi"/>
          <w:lang w:eastAsia="en-GB"/>
        </w:rPr>
      </w:pPr>
      <w:r w:rsidRPr="006769E2">
        <w:rPr>
          <w:rFonts w:asciiTheme="majorHAnsi" w:eastAsia="Times New Roman" w:hAnsiTheme="majorHAnsi" w:cstheme="majorHAnsi"/>
          <w:lang w:eastAsia="en-GB"/>
        </w:rPr>
        <w:t>Në bazë të Udhëzimit Administrativ Nr. 04/2023 për Administratë të Hapur në Komuna, raportet e kryetarit duhet të publikohen në ueb-faqen zyrtare të komunës, së bashku me dokumentet e tjera të obligueshme.</w:t>
      </w:r>
    </w:p>
    <w:p w14:paraId="0832DD4E" w14:textId="77777777" w:rsidR="006769E2" w:rsidRPr="006769E2" w:rsidRDefault="006769E2" w:rsidP="006769E2">
      <w:pPr>
        <w:spacing w:before="100" w:beforeAutospacing="1" w:after="100" w:afterAutospacing="1" w:line="276" w:lineRule="auto"/>
        <w:rPr>
          <w:rFonts w:asciiTheme="majorHAnsi" w:eastAsia="Times New Roman" w:hAnsiTheme="majorHAnsi" w:cstheme="majorHAnsi"/>
          <w:lang w:eastAsia="en-GB"/>
        </w:rPr>
      </w:pPr>
      <w:r w:rsidRPr="006769E2">
        <w:rPr>
          <w:rFonts w:asciiTheme="majorHAnsi" w:eastAsia="Times New Roman" w:hAnsiTheme="majorHAnsi" w:cstheme="majorHAnsi"/>
          <w:lang w:eastAsia="en-GB"/>
        </w:rPr>
        <w:t>Të gjeturat tregojnë se 22 komuna (58%) kanë publikuar raportin e kryetarit, ndërsa 15 komuna (42%) nuk kanë publikuar asnjë raport të ekzekutivit në ueb-faqet e tyre zyrtare.</w:t>
      </w:r>
    </w:p>
    <w:p w14:paraId="2260BEB9" w14:textId="77777777" w:rsidR="006769E2" w:rsidRPr="006769E2" w:rsidRDefault="006769E2" w:rsidP="006769E2">
      <w:pPr>
        <w:spacing w:before="100" w:beforeAutospacing="1" w:after="100" w:afterAutospacing="1" w:line="276" w:lineRule="auto"/>
        <w:rPr>
          <w:rFonts w:asciiTheme="majorHAnsi" w:eastAsia="Times New Roman" w:hAnsiTheme="majorHAnsi" w:cstheme="majorHAnsi"/>
          <w:lang w:eastAsia="en-GB"/>
        </w:rPr>
      </w:pPr>
      <w:r w:rsidRPr="006769E2">
        <w:rPr>
          <w:rFonts w:asciiTheme="majorHAnsi" w:eastAsia="Times New Roman" w:hAnsiTheme="majorHAnsi" w:cstheme="majorHAnsi"/>
          <w:lang w:eastAsia="en-GB"/>
        </w:rPr>
        <w:t>Në krahasim me vitin 2024, kur raportin e kryetarit e kishin të publikuar 27 komuna, konstatohet një rënie prej katër (4) komunash në vitin 2025.</w:t>
      </w:r>
    </w:p>
    <w:p w14:paraId="1DE9A650" w14:textId="5F4225BE" w:rsidR="006769E2" w:rsidRPr="009D6147" w:rsidRDefault="006769E2" w:rsidP="006769E2">
      <w:pPr>
        <w:spacing w:before="100" w:beforeAutospacing="1" w:after="100" w:afterAutospacing="1" w:line="276" w:lineRule="auto"/>
        <w:rPr>
          <w:rFonts w:asciiTheme="majorHAnsi" w:eastAsia="Times New Roman" w:hAnsiTheme="majorHAnsi" w:cstheme="majorHAnsi"/>
          <w:lang w:eastAsia="en-GB"/>
        </w:rPr>
      </w:pPr>
      <w:r w:rsidRPr="006769E2">
        <w:rPr>
          <w:rFonts w:asciiTheme="majorHAnsi" w:eastAsia="Times New Roman" w:hAnsiTheme="majorHAnsi" w:cstheme="majorHAnsi"/>
          <w:lang w:eastAsia="en-GB"/>
        </w:rPr>
        <w:t>Në vijim paraqitet në formë tabelore numri i komunave që kanë publikuar raportin e kryetarit të komunës.</w:t>
      </w:r>
    </w:p>
    <w:p w14:paraId="1FD89B75" w14:textId="78FDDD2F" w:rsidR="005F3BD8" w:rsidRPr="009D6147" w:rsidRDefault="005F3BD8" w:rsidP="00A70BC5">
      <w:pPr>
        <w:spacing w:line="276" w:lineRule="auto"/>
        <w:contextualSpacing/>
        <w:rPr>
          <w:rFonts w:asciiTheme="majorHAnsi" w:hAnsiTheme="majorHAnsi" w:cstheme="majorHAnsi"/>
          <w:noProof/>
          <w:lang w:eastAsia="sq-AL"/>
        </w:rPr>
      </w:pPr>
      <w:r w:rsidRPr="009D6147">
        <w:rPr>
          <w:rFonts w:asciiTheme="majorHAnsi" w:hAnsiTheme="majorHAnsi" w:cstheme="majorHAnsi"/>
          <w:noProof/>
          <w:lang w:eastAsia="sq-AL"/>
        </w:rPr>
        <w:drawing>
          <wp:inline distT="0" distB="0" distL="0" distR="0" wp14:anchorId="3E1B5BFF" wp14:editId="3B4BD3F8">
            <wp:extent cx="5888990" cy="1693506"/>
            <wp:effectExtent l="0" t="0" r="16510" b="2540"/>
            <wp:docPr id="8" name="Chart 8">
              <a:extLst xmlns:a="http://schemas.openxmlformats.org/drawingml/2006/main">
                <a:ext uri="{FF2B5EF4-FFF2-40B4-BE49-F238E27FC236}">
                  <a16:creationId xmlns:a16="http://schemas.microsoft.com/office/drawing/2014/main" id="{C076FF51-5B63-4E2D-A18B-6E96850FA1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51885A3" w14:textId="0B110D0E" w:rsidR="00A85CE9" w:rsidRPr="009D6147" w:rsidRDefault="00A85CE9" w:rsidP="006A4783">
      <w:pPr>
        <w:spacing w:line="276" w:lineRule="auto"/>
        <w:contextualSpacing/>
        <w:rPr>
          <w:rFonts w:asciiTheme="majorHAnsi" w:eastAsia="Times New Roman" w:hAnsiTheme="majorHAnsi" w:cstheme="majorHAnsi"/>
          <w:i/>
          <w:color w:val="000000"/>
          <w:sz w:val="16"/>
          <w:szCs w:val="16"/>
          <w:lang w:eastAsia="sq-AL"/>
        </w:rPr>
      </w:pPr>
      <w:r w:rsidRPr="009D6147">
        <w:rPr>
          <w:rFonts w:asciiTheme="majorHAnsi" w:eastAsia="Times New Roman" w:hAnsiTheme="majorHAnsi" w:cstheme="majorHAnsi"/>
          <w:i/>
          <w:color w:val="000000"/>
          <w:sz w:val="16"/>
          <w:szCs w:val="16"/>
          <w:lang w:eastAsia="sq-AL"/>
        </w:rPr>
        <w:t xml:space="preserve">   </w:t>
      </w:r>
    </w:p>
    <w:p w14:paraId="38CB8E3D" w14:textId="1B061FA7" w:rsidR="0064001C" w:rsidRPr="00224BE6" w:rsidRDefault="00A85CE9" w:rsidP="006A4783">
      <w:pPr>
        <w:spacing w:line="276" w:lineRule="auto"/>
        <w:contextualSpacing/>
        <w:jc w:val="center"/>
        <w:rPr>
          <w:rFonts w:asciiTheme="majorHAnsi" w:hAnsiTheme="majorHAnsi" w:cstheme="majorHAnsi"/>
          <w:color w:val="000000"/>
          <w:sz w:val="20"/>
          <w:szCs w:val="20"/>
        </w:rPr>
      </w:pPr>
      <w:r w:rsidRPr="00224BE6">
        <w:rPr>
          <w:rFonts w:asciiTheme="majorHAnsi" w:eastAsia="Times New Roman" w:hAnsiTheme="majorHAnsi" w:cstheme="majorHAnsi"/>
          <w:i/>
          <w:color w:val="000000"/>
          <w:sz w:val="14"/>
          <w:szCs w:val="14"/>
          <w:lang w:eastAsia="sq-AL"/>
        </w:rPr>
        <w:t>Fig. 1</w:t>
      </w:r>
      <w:r w:rsidR="006A4783" w:rsidRPr="00224BE6">
        <w:rPr>
          <w:rFonts w:asciiTheme="majorHAnsi" w:eastAsia="Times New Roman" w:hAnsiTheme="majorHAnsi" w:cstheme="majorHAnsi"/>
          <w:i/>
          <w:color w:val="000000"/>
          <w:sz w:val="14"/>
          <w:szCs w:val="14"/>
          <w:lang w:eastAsia="sq-AL"/>
        </w:rPr>
        <w:t>8</w:t>
      </w:r>
      <w:r w:rsidR="0064001C" w:rsidRPr="00224BE6">
        <w:rPr>
          <w:rFonts w:asciiTheme="majorHAnsi" w:eastAsia="Times New Roman" w:hAnsiTheme="majorHAnsi" w:cstheme="majorHAnsi"/>
          <w:i/>
          <w:color w:val="000000"/>
          <w:sz w:val="14"/>
          <w:szCs w:val="14"/>
          <w:lang w:eastAsia="sq-AL"/>
        </w:rPr>
        <w:t xml:space="preserve"> Publikimi i Raportit të</w:t>
      </w:r>
      <w:r w:rsidR="00036236" w:rsidRPr="00224BE6">
        <w:rPr>
          <w:rFonts w:asciiTheme="majorHAnsi" w:eastAsia="Times New Roman" w:hAnsiTheme="majorHAnsi" w:cstheme="majorHAnsi"/>
          <w:i/>
          <w:color w:val="000000"/>
          <w:sz w:val="14"/>
          <w:szCs w:val="14"/>
          <w:lang w:eastAsia="sq-AL"/>
        </w:rPr>
        <w:t xml:space="preserve"> kryetarit të</w:t>
      </w:r>
      <w:r w:rsidR="0064001C" w:rsidRPr="00224BE6">
        <w:rPr>
          <w:rFonts w:asciiTheme="majorHAnsi" w:eastAsia="Times New Roman" w:hAnsiTheme="majorHAnsi" w:cstheme="majorHAnsi"/>
          <w:i/>
          <w:color w:val="000000"/>
          <w:sz w:val="14"/>
          <w:szCs w:val="14"/>
          <w:lang w:eastAsia="sq-AL"/>
        </w:rPr>
        <w:t xml:space="preserve"> komunës</w:t>
      </w:r>
    </w:p>
    <w:p w14:paraId="741C93B2" w14:textId="77777777" w:rsidR="00B70CE7" w:rsidRPr="009D6147" w:rsidRDefault="00B70CE7" w:rsidP="00A70BC5">
      <w:pPr>
        <w:spacing w:after="0" w:line="276" w:lineRule="auto"/>
        <w:rPr>
          <w:rFonts w:asciiTheme="majorHAnsi" w:eastAsia="Times New Roman" w:hAnsiTheme="majorHAnsi" w:cstheme="majorHAnsi"/>
          <w:i/>
          <w:color w:val="000000"/>
          <w:lang w:eastAsia="sq-AL"/>
        </w:rPr>
      </w:pPr>
    </w:p>
    <w:p w14:paraId="075B1631" w14:textId="77777777" w:rsidR="001C5103" w:rsidRPr="009D6147" w:rsidRDefault="001C5103" w:rsidP="00A70BC5">
      <w:pPr>
        <w:spacing w:line="276" w:lineRule="auto"/>
        <w:rPr>
          <w:rFonts w:asciiTheme="majorHAnsi" w:hAnsiTheme="majorHAnsi" w:cstheme="majorHAnsi"/>
          <w:color w:val="2F5496" w:themeColor="accent5" w:themeShade="BF"/>
        </w:rPr>
      </w:pPr>
      <w:bookmarkStart w:id="48" w:name="_Toc56692986"/>
      <w:bookmarkStart w:id="49" w:name="_Toc81401212"/>
      <w:bookmarkEnd w:id="41"/>
      <w:bookmarkEnd w:id="42"/>
      <w:bookmarkEnd w:id="43"/>
    </w:p>
    <w:p w14:paraId="4C6F1976" w14:textId="4A366712" w:rsidR="007D4ABB" w:rsidRPr="009D6147" w:rsidRDefault="007D4ABB" w:rsidP="006A4783">
      <w:pPr>
        <w:spacing w:line="276" w:lineRule="auto"/>
        <w:rPr>
          <w:rFonts w:asciiTheme="majorHAnsi" w:hAnsiTheme="majorHAnsi" w:cstheme="majorHAnsi"/>
          <w:b/>
          <w:color w:val="2F5496" w:themeColor="accent5" w:themeShade="BF"/>
        </w:rPr>
      </w:pPr>
      <w:r w:rsidRPr="009D6147">
        <w:rPr>
          <w:rFonts w:asciiTheme="majorHAnsi" w:hAnsiTheme="majorHAnsi" w:cstheme="majorHAnsi"/>
          <w:b/>
          <w:color w:val="2F5496" w:themeColor="accent5" w:themeShade="BF"/>
        </w:rPr>
        <w:t xml:space="preserve">TAKIMET E KRYETARIT </w:t>
      </w:r>
    </w:p>
    <w:p w14:paraId="078CD688" w14:textId="77777777" w:rsidR="006769E2" w:rsidRPr="006769E2" w:rsidRDefault="006769E2" w:rsidP="006769E2">
      <w:pPr>
        <w:spacing w:before="100" w:beforeAutospacing="1" w:after="100" w:afterAutospacing="1" w:line="276" w:lineRule="auto"/>
        <w:rPr>
          <w:rFonts w:asciiTheme="majorHAnsi" w:eastAsia="Times New Roman" w:hAnsiTheme="majorHAnsi" w:cstheme="majorHAnsi"/>
          <w:lang w:val="en-GB" w:eastAsia="en-GB"/>
        </w:rPr>
      </w:pPr>
      <w:r w:rsidRPr="006769E2">
        <w:rPr>
          <w:rFonts w:asciiTheme="majorHAnsi" w:eastAsia="Times New Roman" w:hAnsiTheme="majorHAnsi" w:cstheme="majorHAnsi"/>
          <w:lang w:eastAsia="en-GB"/>
        </w:rPr>
        <w:t xml:space="preserve">Çdo vit, komuna mban së paku dy takime publike me qytetarë për çështje të interesit të përgjithshëm. Njëri nga takimet publike mbahet në gjashtëmujorin e parë të vitit, ndërsa takimi tjetër në gjashtëmujorin e dytë. Në këto takime publike obligohen të marrin pjesë zyrtarët më të lartë të organeve komunale, si: Kryetari i Komunës, Kryesuesi i Kuvendit të Komunës, drejtorët e drejtorive, kryetarët e komiteteve dhe zyrtarët kompetentë për çështjet që trajtohen në diskutim publik. </w:t>
      </w:r>
      <w:proofErr w:type="spellStart"/>
      <w:r w:rsidRPr="006769E2">
        <w:rPr>
          <w:rFonts w:asciiTheme="majorHAnsi" w:eastAsia="Times New Roman" w:hAnsiTheme="majorHAnsi" w:cstheme="majorHAnsi"/>
          <w:lang w:val="en-GB" w:eastAsia="en-GB"/>
        </w:rPr>
        <w:t>Takimet</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publike</w:t>
      </w:r>
      <w:proofErr w:type="spellEnd"/>
      <w:r w:rsidRPr="006769E2">
        <w:rPr>
          <w:rFonts w:asciiTheme="majorHAnsi" w:eastAsia="Times New Roman" w:hAnsiTheme="majorHAnsi" w:cstheme="majorHAnsi"/>
          <w:lang w:val="en-GB" w:eastAsia="en-GB"/>
        </w:rPr>
        <w:t xml:space="preserve"> i </w:t>
      </w:r>
      <w:proofErr w:type="spellStart"/>
      <w:r w:rsidRPr="006769E2">
        <w:rPr>
          <w:rFonts w:asciiTheme="majorHAnsi" w:eastAsia="Times New Roman" w:hAnsiTheme="majorHAnsi" w:cstheme="majorHAnsi"/>
          <w:lang w:val="en-GB" w:eastAsia="en-GB"/>
        </w:rPr>
        <w:t>udhëheq</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dhe</w:t>
      </w:r>
      <w:proofErr w:type="spellEnd"/>
      <w:r w:rsidRPr="006769E2">
        <w:rPr>
          <w:rFonts w:asciiTheme="majorHAnsi" w:eastAsia="Times New Roman" w:hAnsiTheme="majorHAnsi" w:cstheme="majorHAnsi"/>
          <w:lang w:val="en-GB" w:eastAsia="en-GB"/>
        </w:rPr>
        <w:t xml:space="preserve"> i </w:t>
      </w:r>
      <w:proofErr w:type="spellStart"/>
      <w:r w:rsidRPr="006769E2">
        <w:rPr>
          <w:rFonts w:asciiTheme="majorHAnsi" w:eastAsia="Times New Roman" w:hAnsiTheme="majorHAnsi" w:cstheme="majorHAnsi"/>
          <w:lang w:val="en-GB" w:eastAsia="en-GB"/>
        </w:rPr>
        <w:t>kryeson</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Kryetari</w:t>
      </w:r>
      <w:proofErr w:type="spellEnd"/>
      <w:r w:rsidRPr="006769E2">
        <w:rPr>
          <w:rFonts w:asciiTheme="majorHAnsi" w:eastAsia="Times New Roman" w:hAnsiTheme="majorHAnsi" w:cstheme="majorHAnsi"/>
          <w:lang w:val="en-GB" w:eastAsia="en-GB"/>
        </w:rPr>
        <w:t xml:space="preserve"> i </w:t>
      </w:r>
      <w:proofErr w:type="spellStart"/>
      <w:r w:rsidRPr="006769E2">
        <w:rPr>
          <w:rFonts w:asciiTheme="majorHAnsi" w:eastAsia="Times New Roman" w:hAnsiTheme="majorHAnsi" w:cstheme="majorHAnsi"/>
          <w:lang w:val="en-GB" w:eastAsia="en-GB"/>
        </w:rPr>
        <w:t>Komunës</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ose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përfaqësuesi</w:t>
      </w:r>
      <w:proofErr w:type="spellEnd"/>
      <w:r w:rsidRPr="006769E2">
        <w:rPr>
          <w:rFonts w:asciiTheme="majorHAnsi" w:eastAsia="Times New Roman" w:hAnsiTheme="majorHAnsi" w:cstheme="majorHAnsi"/>
          <w:lang w:val="en-GB" w:eastAsia="en-GB"/>
        </w:rPr>
        <w:t xml:space="preserve"> i </w:t>
      </w:r>
      <w:proofErr w:type="spellStart"/>
      <w:r w:rsidRPr="006769E2">
        <w:rPr>
          <w:rFonts w:asciiTheme="majorHAnsi" w:eastAsia="Times New Roman" w:hAnsiTheme="majorHAnsi" w:cstheme="majorHAnsi"/>
          <w:lang w:val="en-GB" w:eastAsia="en-GB"/>
        </w:rPr>
        <w:t>tij</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Kryetari</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është</w:t>
      </w:r>
      <w:proofErr w:type="spellEnd"/>
      <w:r w:rsidRPr="006769E2">
        <w:rPr>
          <w:rFonts w:asciiTheme="majorHAnsi" w:eastAsia="Times New Roman" w:hAnsiTheme="majorHAnsi" w:cstheme="majorHAnsi"/>
          <w:lang w:val="en-GB" w:eastAsia="en-GB"/>
        </w:rPr>
        <w:t xml:space="preserve"> i </w:t>
      </w:r>
      <w:proofErr w:type="spellStart"/>
      <w:r w:rsidRPr="006769E2">
        <w:rPr>
          <w:rFonts w:asciiTheme="majorHAnsi" w:eastAsia="Times New Roman" w:hAnsiTheme="majorHAnsi" w:cstheme="majorHAnsi"/>
          <w:lang w:val="en-GB" w:eastAsia="en-GB"/>
        </w:rPr>
        <w:t>autorizuar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të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caktojë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rendin</w:t>
      </w:r>
      <w:proofErr w:type="spellEnd"/>
      <w:r w:rsidRPr="006769E2">
        <w:rPr>
          <w:rFonts w:asciiTheme="majorHAnsi" w:eastAsia="Times New Roman" w:hAnsiTheme="majorHAnsi" w:cstheme="majorHAnsi"/>
          <w:lang w:val="en-GB" w:eastAsia="en-GB"/>
        </w:rPr>
        <w:t xml:space="preserve"> e </w:t>
      </w:r>
      <w:proofErr w:type="spellStart"/>
      <w:r w:rsidRPr="006769E2">
        <w:rPr>
          <w:rFonts w:asciiTheme="majorHAnsi" w:eastAsia="Times New Roman" w:hAnsiTheme="majorHAnsi" w:cstheme="majorHAnsi"/>
          <w:lang w:val="en-GB" w:eastAsia="en-GB"/>
        </w:rPr>
        <w:t>ditës</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dhe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procedurën</w:t>
      </w:r>
      <w:proofErr w:type="spellEnd"/>
      <w:r w:rsidRPr="006769E2">
        <w:rPr>
          <w:rFonts w:asciiTheme="majorHAnsi" w:eastAsia="Times New Roman" w:hAnsiTheme="majorHAnsi" w:cstheme="majorHAnsi"/>
          <w:lang w:val="en-GB" w:eastAsia="en-GB"/>
        </w:rPr>
        <w:t xml:space="preserve"> e </w:t>
      </w:r>
      <w:proofErr w:type="spellStart"/>
      <w:r w:rsidRPr="006769E2">
        <w:rPr>
          <w:rFonts w:asciiTheme="majorHAnsi" w:eastAsia="Times New Roman" w:hAnsiTheme="majorHAnsi" w:cstheme="majorHAnsi"/>
          <w:lang w:val="en-GB" w:eastAsia="en-GB"/>
        </w:rPr>
        <w:t>zhvillimit</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të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diskutimeve</w:t>
      </w:r>
      <w:proofErr w:type="spellEnd"/>
      <w:r w:rsidRPr="006769E2">
        <w:rPr>
          <w:rFonts w:asciiTheme="majorHAnsi" w:eastAsia="Times New Roman" w:hAnsiTheme="majorHAnsi" w:cstheme="majorHAnsi"/>
          <w:lang w:val="en-GB" w:eastAsia="en-GB"/>
        </w:rPr>
        <w:t>.</w:t>
      </w:r>
    </w:p>
    <w:p w14:paraId="410EC3E6" w14:textId="77777777" w:rsidR="006769E2" w:rsidRPr="006769E2" w:rsidRDefault="006769E2" w:rsidP="006769E2">
      <w:pPr>
        <w:spacing w:before="100" w:beforeAutospacing="1" w:after="100" w:afterAutospacing="1" w:line="276" w:lineRule="auto"/>
        <w:rPr>
          <w:rFonts w:asciiTheme="majorHAnsi" w:eastAsia="Times New Roman" w:hAnsiTheme="majorHAnsi" w:cstheme="majorHAnsi"/>
          <w:lang w:val="en-GB" w:eastAsia="en-GB"/>
        </w:rPr>
      </w:pPr>
      <w:proofErr w:type="spellStart"/>
      <w:r w:rsidRPr="006769E2">
        <w:rPr>
          <w:rFonts w:asciiTheme="majorHAnsi" w:eastAsia="Times New Roman" w:hAnsiTheme="majorHAnsi" w:cstheme="majorHAnsi"/>
          <w:lang w:val="en-GB" w:eastAsia="en-GB"/>
        </w:rPr>
        <w:t>Të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dhënat</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nga</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monitorimi</w:t>
      </w:r>
      <w:proofErr w:type="spellEnd"/>
      <w:r w:rsidRPr="006769E2">
        <w:rPr>
          <w:rFonts w:asciiTheme="majorHAnsi" w:eastAsia="Times New Roman" w:hAnsiTheme="majorHAnsi" w:cstheme="majorHAnsi"/>
          <w:lang w:val="en-GB" w:eastAsia="en-GB"/>
        </w:rPr>
        <w:t xml:space="preserve"> i </w:t>
      </w:r>
      <w:proofErr w:type="spellStart"/>
      <w:r w:rsidRPr="006769E2">
        <w:rPr>
          <w:rFonts w:asciiTheme="majorHAnsi" w:eastAsia="Times New Roman" w:hAnsiTheme="majorHAnsi" w:cstheme="majorHAnsi"/>
          <w:lang w:val="en-GB" w:eastAsia="en-GB"/>
        </w:rPr>
        <w:t>ueb-faqeve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zyrtare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për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periudhën</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janar</w:t>
      </w:r>
      <w:proofErr w:type="spellEnd"/>
      <w:r w:rsidRPr="006769E2">
        <w:rPr>
          <w:rFonts w:asciiTheme="majorHAnsi" w:eastAsia="Times New Roman" w:hAnsiTheme="majorHAnsi" w:cstheme="majorHAnsi"/>
          <w:lang w:val="en-GB" w:eastAsia="en-GB"/>
        </w:rPr>
        <w:t>–</w:t>
      </w:r>
      <w:proofErr w:type="spellStart"/>
      <w:r w:rsidRPr="006769E2">
        <w:rPr>
          <w:rFonts w:asciiTheme="majorHAnsi" w:eastAsia="Times New Roman" w:hAnsiTheme="majorHAnsi" w:cstheme="majorHAnsi"/>
          <w:lang w:val="en-GB" w:eastAsia="en-GB"/>
        </w:rPr>
        <w:t>dhjetor</w:t>
      </w:r>
      <w:proofErr w:type="spellEnd"/>
      <w:r w:rsidRPr="006769E2">
        <w:rPr>
          <w:rFonts w:asciiTheme="majorHAnsi" w:eastAsia="Times New Roman" w:hAnsiTheme="majorHAnsi" w:cstheme="majorHAnsi"/>
          <w:lang w:val="en-GB" w:eastAsia="en-GB"/>
        </w:rPr>
        <w:t xml:space="preserve"> 2025 </w:t>
      </w:r>
      <w:proofErr w:type="spellStart"/>
      <w:r w:rsidRPr="006769E2">
        <w:rPr>
          <w:rFonts w:asciiTheme="majorHAnsi" w:eastAsia="Times New Roman" w:hAnsiTheme="majorHAnsi" w:cstheme="majorHAnsi"/>
          <w:lang w:val="en-GB" w:eastAsia="en-GB"/>
        </w:rPr>
        <w:t>tregojnë</w:t>
      </w:r>
      <w:proofErr w:type="spellEnd"/>
      <w:r w:rsidRPr="006769E2">
        <w:rPr>
          <w:rFonts w:asciiTheme="majorHAnsi" w:eastAsia="Times New Roman" w:hAnsiTheme="majorHAnsi" w:cstheme="majorHAnsi"/>
          <w:lang w:val="en-GB" w:eastAsia="en-GB"/>
        </w:rPr>
        <w:t xml:space="preserve"> se </w:t>
      </w:r>
      <w:proofErr w:type="spellStart"/>
      <w:r w:rsidRPr="006769E2">
        <w:rPr>
          <w:rFonts w:asciiTheme="majorHAnsi" w:eastAsia="Times New Roman" w:hAnsiTheme="majorHAnsi" w:cstheme="majorHAnsi"/>
          <w:lang w:val="en-GB" w:eastAsia="en-GB"/>
        </w:rPr>
        <w:t>njoftimet</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për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takime</w:t>
      </w:r>
      <w:proofErr w:type="spellEnd"/>
      <w:r w:rsidRPr="006769E2">
        <w:rPr>
          <w:rFonts w:asciiTheme="majorHAnsi" w:eastAsia="Times New Roman" w:hAnsiTheme="majorHAnsi" w:cstheme="majorHAnsi"/>
          <w:lang w:val="en-GB" w:eastAsia="en-GB"/>
        </w:rPr>
        <w:t xml:space="preserve"> me </w:t>
      </w:r>
      <w:proofErr w:type="spellStart"/>
      <w:r w:rsidRPr="006769E2">
        <w:rPr>
          <w:rFonts w:asciiTheme="majorHAnsi" w:eastAsia="Times New Roman" w:hAnsiTheme="majorHAnsi" w:cstheme="majorHAnsi"/>
          <w:lang w:val="en-GB" w:eastAsia="en-GB"/>
        </w:rPr>
        <w:t>qytetarë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janë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publikuar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nga</w:t>
      </w:r>
      <w:proofErr w:type="spellEnd"/>
      <w:r w:rsidRPr="006769E2">
        <w:rPr>
          <w:rFonts w:asciiTheme="majorHAnsi" w:eastAsia="Times New Roman" w:hAnsiTheme="majorHAnsi" w:cstheme="majorHAnsi"/>
          <w:lang w:val="en-GB" w:eastAsia="en-GB"/>
        </w:rPr>
        <w:t xml:space="preserve"> 24 </w:t>
      </w:r>
      <w:proofErr w:type="spellStart"/>
      <w:r w:rsidRPr="006769E2">
        <w:rPr>
          <w:rFonts w:asciiTheme="majorHAnsi" w:eastAsia="Times New Roman" w:hAnsiTheme="majorHAnsi" w:cstheme="majorHAnsi"/>
          <w:lang w:val="en-GB" w:eastAsia="en-GB"/>
        </w:rPr>
        <w:t>komuna</w:t>
      </w:r>
      <w:proofErr w:type="spellEnd"/>
      <w:r w:rsidRPr="006769E2">
        <w:rPr>
          <w:rFonts w:asciiTheme="majorHAnsi" w:eastAsia="Times New Roman" w:hAnsiTheme="majorHAnsi" w:cstheme="majorHAnsi"/>
          <w:lang w:val="en-GB" w:eastAsia="en-GB"/>
        </w:rPr>
        <w:t xml:space="preserve"> (64%), </w:t>
      </w:r>
      <w:proofErr w:type="spellStart"/>
      <w:r w:rsidRPr="006769E2">
        <w:rPr>
          <w:rFonts w:asciiTheme="majorHAnsi" w:eastAsia="Times New Roman" w:hAnsiTheme="majorHAnsi" w:cstheme="majorHAnsi"/>
          <w:lang w:val="en-GB" w:eastAsia="en-GB"/>
        </w:rPr>
        <w:t>ndërsa</w:t>
      </w:r>
      <w:proofErr w:type="spellEnd"/>
      <w:r w:rsidRPr="006769E2">
        <w:rPr>
          <w:rFonts w:asciiTheme="majorHAnsi" w:eastAsia="Times New Roman" w:hAnsiTheme="majorHAnsi" w:cstheme="majorHAnsi"/>
          <w:lang w:val="en-GB" w:eastAsia="en-GB"/>
        </w:rPr>
        <w:t xml:space="preserve"> 14 </w:t>
      </w:r>
      <w:proofErr w:type="spellStart"/>
      <w:r w:rsidRPr="006769E2">
        <w:rPr>
          <w:rFonts w:asciiTheme="majorHAnsi" w:eastAsia="Times New Roman" w:hAnsiTheme="majorHAnsi" w:cstheme="majorHAnsi"/>
          <w:lang w:val="en-GB" w:eastAsia="en-GB"/>
        </w:rPr>
        <w:t>komuna</w:t>
      </w:r>
      <w:proofErr w:type="spellEnd"/>
      <w:r w:rsidRPr="006769E2">
        <w:rPr>
          <w:rFonts w:asciiTheme="majorHAnsi" w:eastAsia="Times New Roman" w:hAnsiTheme="majorHAnsi" w:cstheme="majorHAnsi"/>
          <w:lang w:val="en-GB" w:eastAsia="en-GB"/>
        </w:rPr>
        <w:t xml:space="preserve"> (36%) </w:t>
      </w:r>
      <w:proofErr w:type="spellStart"/>
      <w:r w:rsidRPr="006769E2">
        <w:rPr>
          <w:rFonts w:asciiTheme="majorHAnsi" w:eastAsia="Times New Roman" w:hAnsiTheme="majorHAnsi" w:cstheme="majorHAnsi"/>
          <w:lang w:val="en-GB" w:eastAsia="en-GB"/>
        </w:rPr>
        <w:t>nuk</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kanë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publikuar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asnjë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njoftim</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për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takime</w:t>
      </w:r>
      <w:proofErr w:type="spellEnd"/>
      <w:r w:rsidRPr="006769E2">
        <w:rPr>
          <w:rFonts w:asciiTheme="majorHAnsi" w:eastAsia="Times New Roman" w:hAnsiTheme="majorHAnsi" w:cstheme="majorHAnsi"/>
          <w:lang w:val="en-GB" w:eastAsia="en-GB"/>
        </w:rPr>
        <w:t xml:space="preserve"> me </w:t>
      </w:r>
      <w:proofErr w:type="spellStart"/>
      <w:r w:rsidRPr="006769E2">
        <w:rPr>
          <w:rFonts w:asciiTheme="majorHAnsi" w:eastAsia="Times New Roman" w:hAnsiTheme="majorHAnsi" w:cstheme="majorHAnsi"/>
          <w:lang w:val="en-GB" w:eastAsia="en-GB"/>
        </w:rPr>
        <w:t>qytetarë</w:t>
      </w:r>
      <w:proofErr w:type="spellEnd"/>
      <w:r w:rsidRPr="006769E2">
        <w:rPr>
          <w:rFonts w:asciiTheme="majorHAnsi" w:eastAsia="Times New Roman" w:hAnsiTheme="majorHAnsi" w:cstheme="majorHAnsi"/>
          <w:lang w:val="en-GB" w:eastAsia="en-GB"/>
        </w:rPr>
        <w:t>.</w:t>
      </w:r>
    </w:p>
    <w:p w14:paraId="6E7E13A3" w14:textId="77777777" w:rsidR="006769E2" w:rsidRPr="006769E2" w:rsidRDefault="006769E2" w:rsidP="006769E2">
      <w:pPr>
        <w:spacing w:before="100" w:beforeAutospacing="1" w:after="100" w:afterAutospacing="1" w:line="276" w:lineRule="auto"/>
        <w:rPr>
          <w:rFonts w:asciiTheme="majorHAnsi" w:eastAsia="Times New Roman" w:hAnsiTheme="majorHAnsi" w:cstheme="majorHAnsi"/>
          <w:lang w:val="en-GB" w:eastAsia="en-GB"/>
        </w:rPr>
      </w:pPr>
      <w:proofErr w:type="spellStart"/>
      <w:r w:rsidRPr="006769E2">
        <w:rPr>
          <w:rFonts w:asciiTheme="majorHAnsi" w:eastAsia="Times New Roman" w:hAnsiTheme="majorHAnsi" w:cstheme="majorHAnsi"/>
          <w:lang w:val="en-GB" w:eastAsia="en-GB"/>
        </w:rPr>
        <w:t>Në</w:t>
      </w:r>
      <w:proofErr w:type="spellEnd"/>
      <w:r w:rsidRPr="006769E2">
        <w:rPr>
          <w:rFonts w:asciiTheme="majorHAnsi" w:eastAsia="Times New Roman" w:hAnsiTheme="majorHAnsi" w:cstheme="majorHAnsi"/>
          <w:lang w:val="en-GB" w:eastAsia="en-GB"/>
        </w:rPr>
        <w:t xml:space="preserve"> total:</w:t>
      </w:r>
    </w:p>
    <w:p w14:paraId="75C4402F" w14:textId="77777777" w:rsidR="006769E2" w:rsidRPr="006769E2" w:rsidRDefault="006769E2" w:rsidP="006769E2">
      <w:pPr>
        <w:numPr>
          <w:ilvl w:val="0"/>
          <w:numId w:val="40"/>
        </w:numPr>
        <w:spacing w:before="100" w:beforeAutospacing="1" w:after="100" w:afterAutospacing="1" w:line="276" w:lineRule="auto"/>
        <w:rPr>
          <w:rFonts w:asciiTheme="majorHAnsi" w:eastAsia="Times New Roman" w:hAnsiTheme="majorHAnsi" w:cstheme="majorHAnsi"/>
          <w:lang w:val="en-GB" w:eastAsia="en-GB"/>
        </w:rPr>
      </w:pPr>
      <w:r w:rsidRPr="006769E2">
        <w:rPr>
          <w:rFonts w:asciiTheme="majorHAnsi" w:eastAsia="Times New Roman" w:hAnsiTheme="majorHAnsi" w:cstheme="majorHAnsi"/>
          <w:lang w:val="en-GB" w:eastAsia="en-GB"/>
        </w:rPr>
        <w:t xml:space="preserve">24 </w:t>
      </w:r>
      <w:proofErr w:type="spellStart"/>
      <w:r w:rsidRPr="006769E2">
        <w:rPr>
          <w:rFonts w:asciiTheme="majorHAnsi" w:eastAsia="Times New Roman" w:hAnsiTheme="majorHAnsi" w:cstheme="majorHAnsi"/>
          <w:lang w:val="en-GB" w:eastAsia="en-GB"/>
        </w:rPr>
        <w:t>komuna</w:t>
      </w:r>
      <w:proofErr w:type="spellEnd"/>
      <w:r w:rsidRPr="006769E2">
        <w:rPr>
          <w:rFonts w:asciiTheme="majorHAnsi" w:eastAsia="Times New Roman" w:hAnsiTheme="majorHAnsi" w:cstheme="majorHAnsi"/>
          <w:lang w:val="en-GB" w:eastAsia="en-GB"/>
        </w:rPr>
        <w:t xml:space="preserve"> (64%) </w:t>
      </w:r>
      <w:proofErr w:type="spellStart"/>
      <w:r w:rsidRPr="006769E2">
        <w:rPr>
          <w:rFonts w:asciiTheme="majorHAnsi" w:eastAsia="Times New Roman" w:hAnsiTheme="majorHAnsi" w:cstheme="majorHAnsi"/>
          <w:lang w:val="en-GB" w:eastAsia="en-GB"/>
        </w:rPr>
        <w:t>kanë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publikuar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gjithsej</w:t>
      </w:r>
      <w:proofErr w:type="spellEnd"/>
      <w:r w:rsidRPr="006769E2">
        <w:rPr>
          <w:rFonts w:asciiTheme="majorHAnsi" w:eastAsia="Times New Roman" w:hAnsiTheme="majorHAnsi" w:cstheme="majorHAnsi"/>
          <w:lang w:val="en-GB" w:eastAsia="en-GB"/>
        </w:rPr>
        <w:t xml:space="preserve"> 44 </w:t>
      </w:r>
      <w:proofErr w:type="spellStart"/>
      <w:r w:rsidRPr="006769E2">
        <w:rPr>
          <w:rFonts w:asciiTheme="majorHAnsi" w:eastAsia="Times New Roman" w:hAnsiTheme="majorHAnsi" w:cstheme="majorHAnsi"/>
          <w:lang w:val="en-GB" w:eastAsia="en-GB"/>
        </w:rPr>
        <w:t>njoftime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për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takime</w:t>
      </w:r>
      <w:proofErr w:type="spellEnd"/>
      <w:r w:rsidRPr="006769E2">
        <w:rPr>
          <w:rFonts w:asciiTheme="majorHAnsi" w:eastAsia="Times New Roman" w:hAnsiTheme="majorHAnsi" w:cstheme="majorHAnsi"/>
          <w:lang w:val="en-GB" w:eastAsia="en-GB"/>
        </w:rPr>
        <w:t xml:space="preserve">; </w:t>
      </w:r>
    </w:p>
    <w:p w14:paraId="04DF418A" w14:textId="77777777" w:rsidR="006769E2" w:rsidRPr="006769E2" w:rsidRDefault="006769E2" w:rsidP="006769E2">
      <w:pPr>
        <w:numPr>
          <w:ilvl w:val="0"/>
          <w:numId w:val="40"/>
        </w:numPr>
        <w:spacing w:before="100" w:beforeAutospacing="1" w:after="100" w:afterAutospacing="1" w:line="276" w:lineRule="auto"/>
        <w:rPr>
          <w:rFonts w:asciiTheme="majorHAnsi" w:eastAsia="Times New Roman" w:hAnsiTheme="majorHAnsi" w:cstheme="majorHAnsi"/>
          <w:lang w:val="en-GB" w:eastAsia="en-GB"/>
        </w:rPr>
      </w:pPr>
      <w:r w:rsidRPr="006769E2">
        <w:rPr>
          <w:rFonts w:asciiTheme="majorHAnsi" w:eastAsia="Times New Roman" w:hAnsiTheme="majorHAnsi" w:cstheme="majorHAnsi"/>
          <w:lang w:val="en-GB" w:eastAsia="en-GB"/>
        </w:rPr>
        <w:t xml:space="preserve">14 </w:t>
      </w:r>
      <w:proofErr w:type="spellStart"/>
      <w:r w:rsidRPr="006769E2">
        <w:rPr>
          <w:rFonts w:asciiTheme="majorHAnsi" w:eastAsia="Times New Roman" w:hAnsiTheme="majorHAnsi" w:cstheme="majorHAnsi"/>
          <w:lang w:val="en-GB" w:eastAsia="en-GB"/>
        </w:rPr>
        <w:t>komuna</w:t>
      </w:r>
      <w:proofErr w:type="spellEnd"/>
      <w:r w:rsidRPr="006769E2">
        <w:rPr>
          <w:rFonts w:asciiTheme="majorHAnsi" w:eastAsia="Times New Roman" w:hAnsiTheme="majorHAnsi" w:cstheme="majorHAnsi"/>
          <w:lang w:val="en-GB" w:eastAsia="en-GB"/>
        </w:rPr>
        <w:t xml:space="preserve"> (36%) </w:t>
      </w:r>
      <w:proofErr w:type="spellStart"/>
      <w:r w:rsidRPr="006769E2">
        <w:rPr>
          <w:rFonts w:asciiTheme="majorHAnsi" w:eastAsia="Times New Roman" w:hAnsiTheme="majorHAnsi" w:cstheme="majorHAnsi"/>
          <w:lang w:val="en-GB" w:eastAsia="en-GB"/>
        </w:rPr>
        <w:t>nuk</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kanë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publikuar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asnjë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njoftim</w:t>
      </w:r>
      <w:proofErr w:type="spellEnd"/>
      <w:r w:rsidRPr="006769E2">
        <w:rPr>
          <w:rFonts w:asciiTheme="majorHAnsi" w:eastAsia="Times New Roman" w:hAnsiTheme="majorHAnsi" w:cstheme="majorHAnsi"/>
          <w:lang w:val="en-GB" w:eastAsia="en-GB"/>
        </w:rPr>
        <w:t xml:space="preserve">. </w:t>
      </w:r>
    </w:p>
    <w:p w14:paraId="03E2055B" w14:textId="77777777" w:rsidR="006769E2" w:rsidRPr="006769E2" w:rsidRDefault="006769E2" w:rsidP="006769E2">
      <w:pPr>
        <w:spacing w:before="100" w:beforeAutospacing="1" w:after="100" w:afterAutospacing="1" w:line="276" w:lineRule="auto"/>
        <w:rPr>
          <w:rFonts w:asciiTheme="majorHAnsi" w:eastAsia="Times New Roman" w:hAnsiTheme="majorHAnsi" w:cstheme="majorHAnsi"/>
          <w:lang w:val="en-GB" w:eastAsia="en-GB"/>
        </w:rPr>
      </w:pPr>
      <w:proofErr w:type="spellStart"/>
      <w:r w:rsidRPr="006769E2">
        <w:rPr>
          <w:rFonts w:asciiTheme="majorHAnsi" w:eastAsia="Times New Roman" w:hAnsiTheme="majorHAnsi" w:cstheme="majorHAnsi"/>
          <w:lang w:val="en-GB" w:eastAsia="en-GB"/>
        </w:rPr>
        <w:t>Procesi</w:t>
      </w:r>
      <w:proofErr w:type="spellEnd"/>
      <w:r w:rsidRPr="006769E2">
        <w:rPr>
          <w:rFonts w:asciiTheme="majorHAnsi" w:eastAsia="Times New Roman" w:hAnsiTheme="majorHAnsi" w:cstheme="majorHAnsi"/>
          <w:lang w:val="en-GB" w:eastAsia="en-GB"/>
        </w:rPr>
        <w:t xml:space="preserve"> i </w:t>
      </w:r>
      <w:proofErr w:type="spellStart"/>
      <w:r w:rsidRPr="006769E2">
        <w:rPr>
          <w:rFonts w:asciiTheme="majorHAnsi" w:eastAsia="Times New Roman" w:hAnsiTheme="majorHAnsi" w:cstheme="majorHAnsi"/>
          <w:lang w:val="en-GB" w:eastAsia="en-GB"/>
        </w:rPr>
        <w:t>monitorimit</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tregon</w:t>
      </w:r>
      <w:proofErr w:type="spellEnd"/>
      <w:r w:rsidRPr="006769E2">
        <w:rPr>
          <w:rFonts w:asciiTheme="majorHAnsi" w:eastAsia="Times New Roman" w:hAnsiTheme="majorHAnsi" w:cstheme="majorHAnsi"/>
          <w:lang w:val="en-GB" w:eastAsia="en-GB"/>
        </w:rPr>
        <w:t xml:space="preserve"> se:</w:t>
      </w:r>
    </w:p>
    <w:p w14:paraId="10F42CB5" w14:textId="77777777" w:rsidR="006769E2" w:rsidRPr="006769E2" w:rsidRDefault="006769E2" w:rsidP="006769E2">
      <w:pPr>
        <w:numPr>
          <w:ilvl w:val="0"/>
          <w:numId w:val="41"/>
        </w:numPr>
        <w:spacing w:before="100" w:beforeAutospacing="1" w:after="100" w:afterAutospacing="1" w:line="276" w:lineRule="auto"/>
        <w:rPr>
          <w:rFonts w:asciiTheme="majorHAnsi" w:eastAsia="Times New Roman" w:hAnsiTheme="majorHAnsi" w:cstheme="majorHAnsi"/>
          <w:lang w:val="en-GB" w:eastAsia="en-GB"/>
        </w:rPr>
      </w:pPr>
      <w:r w:rsidRPr="006769E2">
        <w:rPr>
          <w:rFonts w:asciiTheme="majorHAnsi" w:eastAsia="Times New Roman" w:hAnsiTheme="majorHAnsi" w:cstheme="majorHAnsi"/>
          <w:lang w:val="en-GB" w:eastAsia="en-GB"/>
        </w:rPr>
        <w:t xml:space="preserve">21 </w:t>
      </w:r>
      <w:proofErr w:type="spellStart"/>
      <w:r w:rsidRPr="006769E2">
        <w:rPr>
          <w:rFonts w:asciiTheme="majorHAnsi" w:eastAsia="Times New Roman" w:hAnsiTheme="majorHAnsi" w:cstheme="majorHAnsi"/>
          <w:lang w:val="en-GB" w:eastAsia="en-GB"/>
        </w:rPr>
        <w:t>komuna</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kanë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publikuar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njoftime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për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dy</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takime</w:t>
      </w:r>
      <w:proofErr w:type="spellEnd"/>
      <w:r w:rsidRPr="006769E2">
        <w:rPr>
          <w:rFonts w:asciiTheme="majorHAnsi" w:eastAsia="Times New Roman" w:hAnsiTheme="majorHAnsi" w:cstheme="majorHAnsi"/>
          <w:lang w:val="en-GB" w:eastAsia="en-GB"/>
        </w:rPr>
        <w:t xml:space="preserve">; </w:t>
      </w:r>
    </w:p>
    <w:p w14:paraId="0263DB86" w14:textId="77777777" w:rsidR="006769E2" w:rsidRPr="006769E2" w:rsidRDefault="006769E2" w:rsidP="006769E2">
      <w:pPr>
        <w:numPr>
          <w:ilvl w:val="0"/>
          <w:numId w:val="41"/>
        </w:numPr>
        <w:spacing w:before="100" w:beforeAutospacing="1" w:after="100" w:afterAutospacing="1" w:line="276" w:lineRule="auto"/>
        <w:rPr>
          <w:rFonts w:asciiTheme="majorHAnsi" w:eastAsia="Times New Roman" w:hAnsiTheme="majorHAnsi" w:cstheme="majorHAnsi"/>
          <w:lang w:val="en-GB" w:eastAsia="en-GB"/>
        </w:rPr>
      </w:pPr>
      <w:r w:rsidRPr="006769E2">
        <w:rPr>
          <w:rFonts w:asciiTheme="majorHAnsi" w:eastAsia="Times New Roman" w:hAnsiTheme="majorHAnsi" w:cstheme="majorHAnsi"/>
          <w:lang w:val="en-GB" w:eastAsia="en-GB"/>
        </w:rPr>
        <w:t xml:space="preserve">3 </w:t>
      </w:r>
      <w:proofErr w:type="spellStart"/>
      <w:r w:rsidRPr="006769E2">
        <w:rPr>
          <w:rFonts w:asciiTheme="majorHAnsi" w:eastAsia="Times New Roman" w:hAnsiTheme="majorHAnsi" w:cstheme="majorHAnsi"/>
          <w:lang w:val="en-GB" w:eastAsia="en-GB"/>
        </w:rPr>
        <w:t>komuna</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kanë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publikuar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vetëm</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një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takim</w:t>
      </w:r>
      <w:proofErr w:type="spellEnd"/>
      <w:r w:rsidRPr="006769E2">
        <w:rPr>
          <w:rFonts w:asciiTheme="majorHAnsi" w:eastAsia="Times New Roman" w:hAnsiTheme="majorHAnsi" w:cstheme="majorHAnsi"/>
          <w:lang w:val="en-GB" w:eastAsia="en-GB"/>
        </w:rPr>
        <w:t xml:space="preserve">; </w:t>
      </w:r>
    </w:p>
    <w:p w14:paraId="4BE946E5" w14:textId="77777777" w:rsidR="006769E2" w:rsidRPr="006769E2" w:rsidRDefault="006769E2" w:rsidP="006769E2">
      <w:pPr>
        <w:numPr>
          <w:ilvl w:val="0"/>
          <w:numId w:val="41"/>
        </w:numPr>
        <w:spacing w:before="100" w:beforeAutospacing="1" w:after="100" w:afterAutospacing="1" w:line="276" w:lineRule="auto"/>
        <w:rPr>
          <w:rFonts w:asciiTheme="majorHAnsi" w:eastAsia="Times New Roman" w:hAnsiTheme="majorHAnsi" w:cstheme="majorHAnsi"/>
          <w:lang w:val="en-GB" w:eastAsia="en-GB"/>
        </w:rPr>
      </w:pPr>
      <w:r w:rsidRPr="006769E2">
        <w:rPr>
          <w:rFonts w:asciiTheme="majorHAnsi" w:eastAsia="Times New Roman" w:hAnsiTheme="majorHAnsi" w:cstheme="majorHAnsi"/>
          <w:lang w:val="en-GB" w:eastAsia="en-GB"/>
        </w:rPr>
        <w:t xml:space="preserve">14 </w:t>
      </w:r>
      <w:proofErr w:type="spellStart"/>
      <w:r w:rsidRPr="006769E2">
        <w:rPr>
          <w:rFonts w:asciiTheme="majorHAnsi" w:eastAsia="Times New Roman" w:hAnsiTheme="majorHAnsi" w:cstheme="majorHAnsi"/>
          <w:lang w:val="en-GB" w:eastAsia="en-GB"/>
        </w:rPr>
        <w:t>komuna</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nuk</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kanë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publikuar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asnjë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njoftim</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për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takime</w:t>
      </w:r>
      <w:proofErr w:type="spellEnd"/>
      <w:r w:rsidRPr="006769E2">
        <w:rPr>
          <w:rFonts w:asciiTheme="majorHAnsi" w:eastAsia="Times New Roman" w:hAnsiTheme="majorHAnsi" w:cstheme="majorHAnsi"/>
          <w:lang w:val="en-GB" w:eastAsia="en-GB"/>
        </w:rPr>
        <w:t xml:space="preserve"> me </w:t>
      </w:r>
      <w:proofErr w:type="spellStart"/>
      <w:r w:rsidRPr="006769E2">
        <w:rPr>
          <w:rFonts w:asciiTheme="majorHAnsi" w:eastAsia="Times New Roman" w:hAnsiTheme="majorHAnsi" w:cstheme="majorHAnsi"/>
          <w:lang w:val="en-GB" w:eastAsia="en-GB"/>
        </w:rPr>
        <w:t>qytetarë</w:t>
      </w:r>
      <w:proofErr w:type="spellEnd"/>
      <w:r w:rsidRPr="006769E2">
        <w:rPr>
          <w:rFonts w:asciiTheme="majorHAnsi" w:eastAsia="Times New Roman" w:hAnsiTheme="majorHAnsi" w:cstheme="majorHAnsi"/>
          <w:lang w:val="en-GB" w:eastAsia="en-GB"/>
        </w:rPr>
        <w:t xml:space="preserve">. </w:t>
      </w:r>
    </w:p>
    <w:p w14:paraId="4F51A745" w14:textId="77777777" w:rsidR="006769E2" w:rsidRPr="006769E2" w:rsidRDefault="006769E2" w:rsidP="006769E2">
      <w:pPr>
        <w:spacing w:before="100" w:beforeAutospacing="1" w:after="100" w:afterAutospacing="1" w:line="276" w:lineRule="auto"/>
        <w:rPr>
          <w:rFonts w:asciiTheme="majorHAnsi" w:eastAsia="Times New Roman" w:hAnsiTheme="majorHAnsi" w:cstheme="majorHAnsi"/>
          <w:lang w:val="en-GB" w:eastAsia="en-GB"/>
        </w:rPr>
      </w:pPr>
      <w:proofErr w:type="spellStart"/>
      <w:r w:rsidRPr="006769E2">
        <w:rPr>
          <w:rFonts w:asciiTheme="majorHAnsi" w:eastAsia="Times New Roman" w:hAnsiTheme="majorHAnsi" w:cstheme="majorHAnsi"/>
          <w:lang w:val="en-GB" w:eastAsia="en-GB"/>
        </w:rPr>
        <w:t>Komunat</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që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nuk</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kanë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publikuar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asnjë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njoftim</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për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takimet</w:t>
      </w:r>
      <w:proofErr w:type="spellEnd"/>
      <w:r w:rsidRPr="006769E2">
        <w:rPr>
          <w:rFonts w:asciiTheme="majorHAnsi" w:eastAsia="Times New Roman" w:hAnsiTheme="majorHAnsi" w:cstheme="majorHAnsi"/>
          <w:lang w:val="en-GB" w:eastAsia="en-GB"/>
        </w:rPr>
        <w:t xml:space="preserve"> e </w:t>
      </w:r>
      <w:proofErr w:type="spellStart"/>
      <w:r w:rsidRPr="006769E2">
        <w:rPr>
          <w:rFonts w:asciiTheme="majorHAnsi" w:eastAsia="Times New Roman" w:hAnsiTheme="majorHAnsi" w:cstheme="majorHAnsi"/>
          <w:lang w:val="en-GB" w:eastAsia="en-GB"/>
        </w:rPr>
        <w:t>kryetarit</w:t>
      </w:r>
      <w:proofErr w:type="spellEnd"/>
      <w:r w:rsidRPr="006769E2">
        <w:rPr>
          <w:rFonts w:asciiTheme="majorHAnsi" w:eastAsia="Times New Roman" w:hAnsiTheme="majorHAnsi" w:cstheme="majorHAnsi"/>
          <w:lang w:val="en-GB" w:eastAsia="en-GB"/>
        </w:rPr>
        <w:t xml:space="preserve"> me </w:t>
      </w:r>
      <w:proofErr w:type="spellStart"/>
      <w:r w:rsidRPr="006769E2">
        <w:rPr>
          <w:rFonts w:asciiTheme="majorHAnsi" w:eastAsia="Times New Roman" w:hAnsiTheme="majorHAnsi" w:cstheme="majorHAnsi"/>
          <w:lang w:val="en-GB" w:eastAsia="en-GB"/>
        </w:rPr>
        <w:t>qytetarë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janë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Fushë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Kosovë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Graçanicë</w:t>
      </w:r>
      <w:proofErr w:type="spellEnd"/>
      <w:r w:rsidRPr="006769E2">
        <w:rPr>
          <w:rFonts w:asciiTheme="majorHAnsi" w:eastAsia="Times New Roman" w:hAnsiTheme="majorHAnsi" w:cstheme="majorHAnsi"/>
          <w:lang w:val="en-GB" w:eastAsia="en-GB"/>
        </w:rPr>
        <w:t xml:space="preserve">, Hani i </w:t>
      </w:r>
      <w:proofErr w:type="spellStart"/>
      <w:r w:rsidRPr="006769E2">
        <w:rPr>
          <w:rFonts w:asciiTheme="majorHAnsi" w:eastAsia="Times New Roman" w:hAnsiTheme="majorHAnsi" w:cstheme="majorHAnsi"/>
          <w:lang w:val="en-GB" w:eastAsia="en-GB"/>
        </w:rPr>
        <w:t>Elezit</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Junik</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Klinë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Novobërdë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Partesh</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Ranillug</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Shtërpcë</w:t>
      </w:r>
      <w:proofErr w:type="spellEnd"/>
      <w:r w:rsidRPr="006769E2">
        <w:rPr>
          <w:rFonts w:asciiTheme="majorHAnsi" w:eastAsia="Times New Roman" w:hAnsiTheme="majorHAnsi" w:cstheme="majorHAnsi"/>
          <w:lang w:val="en-GB" w:eastAsia="en-GB"/>
        </w:rPr>
        <w:t xml:space="preserve">, Zubin </w:t>
      </w:r>
      <w:proofErr w:type="spellStart"/>
      <w:r w:rsidRPr="006769E2">
        <w:rPr>
          <w:rFonts w:asciiTheme="majorHAnsi" w:eastAsia="Times New Roman" w:hAnsiTheme="majorHAnsi" w:cstheme="majorHAnsi"/>
          <w:lang w:val="en-GB" w:eastAsia="en-GB"/>
        </w:rPr>
        <w:t>Potok</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Zveçan</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Leposaviq</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Mitrovicë</w:t>
      </w:r>
      <w:proofErr w:type="spellEnd"/>
      <w:r w:rsidRPr="006769E2">
        <w:rPr>
          <w:rFonts w:asciiTheme="majorHAnsi" w:eastAsia="Times New Roman" w:hAnsiTheme="majorHAnsi" w:cstheme="majorHAnsi"/>
          <w:lang w:val="en-GB" w:eastAsia="en-GB"/>
        </w:rPr>
        <w:t xml:space="preserve"> e </w:t>
      </w:r>
      <w:proofErr w:type="spellStart"/>
      <w:r w:rsidRPr="006769E2">
        <w:rPr>
          <w:rFonts w:asciiTheme="majorHAnsi" w:eastAsia="Times New Roman" w:hAnsiTheme="majorHAnsi" w:cstheme="majorHAnsi"/>
          <w:lang w:val="en-GB" w:eastAsia="en-GB"/>
        </w:rPr>
        <w:t>Veriut</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dhe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Mamushë</w:t>
      </w:r>
      <w:proofErr w:type="spellEnd"/>
      <w:r w:rsidRPr="006769E2">
        <w:rPr>
          <w:rFonts w:asciiTheme="majorHAnsi" w:eastAsia="Times New Roman" w:hAnsiTheme="majorHAnsi" w:cstheme="majorHAnsi"/>
          <w:lang w:val="en-GB" w:eastAsia="en-GB"/>
        </w:rPr>
        <w:t>.</w:t>
      </w:r>
    </w:p>
    <w:p w14:paraId="0A8AD803" w14:textId="77777777" w:rsidR="006769E2" w:rsidRPr="006769E2" w:rsidRDefault="006769E2" w:rsidP="006769E2">
      <w:pPr>
        <w:spacing w:before="100" w:beforeAutospacing="1" w:after="100" w:afterAutospacing="1" w:line="276" w:lineRule="auto"/>
        <w:rPr>
          <w:rFonts w:asciiTheme="majorHAnsi" w:eastAsia="Times New Roman" w:hAnsiTheme="majorHAnsi" w:cstheme="majorHAnsi"/>
          <w:lang w:val="en-GB" w:eastAsia="en-GB"/>
        </w:rPr>
      </w:pPr>
      <w:proofErr w:type="spellStart"/>
      <w:r w:rsidRPr="006769E2">
        <w:rPr>
          <w:rFonts w:asciiTheme="majorHAnsi" w:eastAsia="Times New Roman" w:hAnsiTheme="majorHAnsi" w:cstheme="majorHAnsi"/>
          <w:lang w:val="en-GB" w:eastAsia="en-GB"/>
        </w:rPr>
        <w:t>Sipas</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të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dhënave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nga</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Raporti</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për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Funksionimin</w:t>
      </w:r>
      <w:proofErr w:type="spellEnd"/>
      <w:r w:rsidRPr="006769E2">
        <w:rPr>
          <w:rFonts w:asciiTheme="majorHAnsi" w:eastAsia="Times New Roman" w:hAnsiTheme="majorHAnsi" w:cstheme="majorHAnsi"/>
          <w:lang w:val="en-GB" w:eastAsia="en-GB"/>
        </w:rPr>
        <w:t xml:space="preserve"> e </w:t>
      </w:r>
      <w:proofErr w:type="spellStart"/>
      <w:r w:rsidRPr="006769E2">
        <w:rPr>
          <w:rFonts w:asciiTheme="majorHAnsi" w:eastAsia="Times New Roman" w:hAnsiTheme="majorHAnsi" w:cstheme="majorHAnsi"/>
          <w:lang w:val="en-GB" w:eastAsia="en-GB"/>
        </w:rPr>
        <w:t>Komunave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të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Kosovës</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të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gjitha</w:t>
      </w:r>
      <w:proofErr w:type="spellEnd"/>
      <w:r w:rsidRPr="006769E2">
        <w:rPr>
          <w:rFonts w:asciiTheme="majorHAnsi" w:eastAsia="Times New Roman" w:hAnsiTheme="majorHAnsi" w:cstheme="majorHAnsi"/>
          <w:lang w:val="en-GB" w:eastAsia="en-GB"/>
        </w:rPr>
        <w:t xml:space="preserve"> 38 </w:t>
      </w:r>
      <w:proofErr w:type="spellStart"/>
      <w:r w:rsidRPr="006769E2">
        <w:rPr>
          <w:rFonts w:asciiTheme="majorHAnsi" w:eastAsia="Times New Roman" w:hAnsiTheme="majorHAnsi" w:cstheme="majorHAnsi"/>
          <w:lang w:val="en-GB" w:eastAsia="en-GB"/>
        </w:rPr>
        <w:t>komunat</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kanë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përmbushur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obligimin</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ligjor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për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mbajtjen</w:t>
      </w:r>
      <w:proofErr w:type="spellEnd"/>
      <w:r w:rsidRPr="006769E2">
        <w:rPr>
          <w:rFonts w:asciiTheme="majorHAnsi" w:eastAsia="Times New Roman" w:hAnsiTheme="majorHAnsi" w:cstheme="majorHAnsi"/>
          <w:lang w:val="en-GB" w:eastAsia="en-GB"/>
        </w:rPr>
        <w:t xml:space="preserve"> e </w:t>
      </w:r>
      <w:proofErr w:type="spellStart"/>
      <w:r w:rsidRPr="006769E2">
        <w:rPr>
          <w:rFonts w:asciiTheme="majorHAnsi" w:eastAsia="Times New Roman" w:hAnsiTheme="majorHAnsi" w:cstheme="majorHAnsi"/>
          <w:lang w:val="en-GB" w:eastAsia="en-GB"/>
        </w:rPr>
        <w:t>së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paku</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dy</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takimeve</w:t>
      </w:r>
      <w:proofErr w:type="spellEnd"/>
      <w:r w:rsidRPr="006769E2">
        <w:rPr>
          <w:rFonts w:asciiTheme="majorHAnsi" w:eastAsia="Times New Roman" w:hAnsiTheme="majorHAnsi" w:cstheme="majorHAnsi"/>
          <w:lang w:val="en-GB" w:eastAsia="en-GB"/>
        </w:rPr>
        <w:t xml:space="preserve"> me </w:t>
      </w:r>
      <w:proofErr w:type="spellStart"/>
      <w:r w:rsidRPr="006769E2">
        <w:rPr>
          <w:rFonts w:asciiTheme="majorHAnsi" w:eastAsia="Times New Roman" w:hAnsiTheme="majorHAnsi" w:cstheme="majorHAnsi"/>
          <w:lang w:val="en-GB" w:eastAsia="en-GB"/>
        </w:rPr>
        <w:t>qytetarë</w:t>
      </w:r>
      <w:proofErr w:type="spellEnd"/>
      <w:r w:rsidRPr="006769E2">
        <w:rPr>
          <w:rFonts w:asciiTheme="majorHAnsi" w:eastAsia="Times New Roman" w:hAnsiTheme="majorHAnsi" w:cstheme="majorHAnsi"/>
          <w:lang w:val="en-GB" w:eastAsia="en-GB"/>
        </w:rPr>
        <w:t>.</w:t>
      </w:r>
    </w:p>
    <w:p w14:paraId="0B8DABAE" w14:textId="77777777" w:rsidR="006769E2" w:rsidRPr="006769E2" w:rsidRDefault="006769E2" w:rsidP="006769E2">
      <w:pPr>
        <w:spacing w:before="100" w:beforeAutospacing="1" w:after="100" w:afterAutospacing="1" w:line="276" w:lineRule="auto"/>
        <w:rPr>
          <w:rFonts w:asciiTheme="majorHAnsi" w:eastAsia="Times New Roman" w:hAnsiTheme="majorHAnsi" w:cstheme="majorHAnsi"/>
          <w:lang w:val="en-GB" w:eastAsia="en-GB"/>
        </w:rPr>
      </w:pPr>
      <w:r w:rsidRPr="006769E2">
        <w:rPr>
          <w:rFonts w:asciiTheme="majorHAnsi" w:eastAsia="Times New Roman" w:hAnsiTheme="majorHAnsi" w:cstheme="majorHAnsi"/>
          <w:lang w:val="en-GB" w:eastAsia="en-GB"/>
        </w:rPr>
        <w:t xml:space="preserve">Ky </w:t>
      </w:r>
      <w:proofErr w:type="spellStart"/>
      <w:r w:rsidRPr="006769E2">
        <w:rPr>
          <w:rFonts w:asciiTheme="majorHAnsi" w:eastAsia="Times New Roman" w:hAnsiTheme="majorHAnsi" w:cstheme="majorHAnsi"/>
          <w:lang w:val="en-GB" w:eastAsia="en-GB"/>
        </w:rPr>
        <w:t>dallim</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ndërmjet</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mbajtjes</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së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takimeve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dhe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publikimit</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të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njoftimeve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tregon</w:t>
      </w:r>
      <w:proofErr w:type="spellEnd"/>
      <w:r w:rsidRPr="006769E2">
        <w:rPr>
          <w:rFonts w:asciiTheme="majorHAnsi" w:eastAsia="Times New Roman" w:hAnsiTheme="majorHAnsi" w:cstheme="majorHAnsi"/>
          <w:lang w:val="en-GB" w:eastAsia="en-GB"/>
        </w:rPr>
        <w:t xml:space="preserve"> se, </w:t>
      </w:r>
      <w:proofErr w:type="spellStart"/>
      <w:r w:rsidRPr="006769E2">
        <w:rPr>
          <w:rFonts w:asciiTheme="majorHAnsi" w:eastAsia="Times New Roman" w:hAnsiTheme="majorHAnsi" w:cstheme="majorHAnsi"/>
          <w:lang w:val="en-GB" w:eastAsia="en-GB"/>
        </w:rPr>
        <w:t>megjithëse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komunat</w:t>
      </w:r>
      <w:proofErr w:type="spellEnd"/>
      <w:r w:rsidRPr="006769E2">
        <w:rPr>
          <w:rFonts w:asciiTheme="majorHAnsi" w:eastAsia="Times New Roman" w:hAnsiTheme="majorHAnsi" w:cstheme="majorHAnsi"/>
          <w:lang w:val="en-GB" w:eastAsia="en-GB"/>
        </w:rPr>
        <w:t xml:space="preserve"> e </w:t>
      </w:r>
      <w:proofErr w:type="spellStart"/>
      <w:r w:rsidRPr="006769E2">
        <w:rPr>
          <w:rFonts w:asciiTheme="majorHAnsi" w:eastAsia="Times New Roman" w:hAnsiTheme="majorHAnsi" w:cstheme="majorHAnsi"/>
          <w:lang w:val="en-GB" w:eastAsia="en-GB"/>
        </w:rPr>
        <w:t>kanë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përmbushur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obligimin</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ligjor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për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organizimin</w:t>
      </w:r>
      <w:proofErr w:type="spellEnd"/>
      <w:r w:rsidRPr="006769E2">
        <w:rPr>
          <w:rFonts w:asciiTheme="majorHAnsi" w:eastAsia="Times New Roman" w:hAnsiTheme="majorHAnsi" w:cstheme="majorHAnsi"/>
          <w:lang w:val="en-GB" w:eastAsia="en-GB"/>
        </w:rPr>
        <w:t xml:space="preserve"> e </w:t>
      </w:r>
      <w:proofErr w:type="spellStart"/>
      <w:r w:rsidRPr="006769E2">
        <w:rPr>
          <w:rFonts w:asciiTheme="majorHAnsi" w:eastAsia="Times New Roman" w:hAnsiTheme="majorHAnsi" w:cstheme="majorHAnsi"/>
          <w:lang w:val="en-GB" w:eastAsia="en-GB"/>
        </w:rPr>
        <w:t>takimeve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transparenca</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dhe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informimi</w:t>
      </w:r>
      <w:proofErr w:type="spellEnd"/>
      <w:r w:rsidRPr="006769E2">
        <w:rPr>
          <w:rFonts w:asciiTheme="majorHAnsi" w:eastAsia="Times New Roman" w:hAnsiTheme="majorHAnsi" w:cstheme="majorHAnsi"/>
          <w:lang w:val="en-GB" w:eastAsia="en-GB"/>
        </w:rPr>
        <w:t xml:space="preserve"> i </w:t>
      </w:r>
      <w:proofErr w:type="spellStart"/>
      <w:r w:rsidRPr="006769E2">
        <w:rPr>
          <w:rFonts w:asciiTheme="majorHAnsi" w:eastAsia="Times New Roman" w:hAnsiTheme="majorHAnsi" w:cstheme="majorHAnsi"/>
          <w:lang w:val="en-GB" w:eastAsia="en-GB"/>
        </w:rPr>
        <w:t>qytetarëve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nuk</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është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siguruar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në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mënyrë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të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njëtrajtshme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Mungesa</w:t>
      </w:r>
      <w:proofErr w:type="spellEnd"/>
      <w:r w:rsidRPr="006769E2">
        <w:rPr>
          <w:rFonts w:asciiTheme="majorHAnsi" w:eastAsia="Times New Roman" w:hAnsiTheme="majorHAnsi" w:cstheme="majorHAnsi"/>
          <w:lang w:val="en-GB" w:eastAsia="en-GB"/>
        </w:rPr>
        <w:t xml:space="preserve"> e </w:t>
      </w:r>
      <w:proofErr w:type="spellStart"/>
      <w:r w:rsidRPr="006769E2">
        <w:rPr>
          <w:rFonts w:asciiTheme="majorHAnsi" w:eastAsia="Times New Roman" w:hAnsiTheme="majorHAnsi" w:cstheme="majorHAnsi"/>
          <w:lang w:val="en-GB" w:eastAsia="en-GB"/>
        </w:rPr>
        <w:t>publikimit</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të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njoftimeve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paraprake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kufizon</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mundësinë</w:t>
      </w:r>
      <w:proofErr w:type="spellEnd"/>
      <w:r w:rsidRPr="006769E2">
        <w:rPr>
          <w:rFonts w:asciiTheme="majorHAnsi" w:eastAsia="Times New Roman" w:hAnsiTheme="majorHAnsi" w:cstheme="majorHAnsi"/>
          <w:lang w:val="en-GB" w:eastAsia="en-GB"/>
        </w:rPr>
        <w:t xml:space="preserve"> e </w:t>
      </w:r>
      <w:proofErr w:type="spellStart"/>
      <w:r w:rsidRPr="006769E2">
        <w:rPr>
          <w:rFonts w:asciiTheme="majorHAnsi" w:eastAsia="Times New Roman" w:hAnsiTheme="majorHAnsi" w:cstheme="majorHAnsi"/>
          <w:lang w:val="en-GB" w:eastAsia="en-GB"/>
        </w:rPr>
        <w:t>qytetarëve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për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informim</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dhe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pjesëmarrje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aktive</w:t>
      </w:r>
      <w:proofErr w:type="spellEnd"/>
      <w:r w:rsidRPr="006769E2">
        <w:rPr>
          <w:rFonts w:asciiTheme="majorHAnsi" w:eastAsia="Times New Roman" w:hAnsiTheme="majorHAnsi" w:cstheme="majorHAnsi"/>
          <w:lang w:val="en-GB" w:eastAsia="en-GB"/>
        </w:rPr>
        <w:t xml:space="preserve">, duke </w:t>
      </w:r>
      <w:proofErr w:type="spellStart"/>
      <w:r w:rsidRPr="006769E2">
        <w:rPr>
          <w:rFonts w:asciiTheme="majorHAnsi" w:eastAsia="Times New Roman" w:hAnsiTheme="majorHAnsi" w:cstheme="majorHAnsi"/>
          <w:lang w:val="en-GB" w:eastAsia="en-GB"/>
        </w:rPr>
        <w:t>ndikuar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negativisht</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në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përfshirjen</w:t>
      </w:r>
      <w:proofErr w:type="spellEnd"/>
      <w:r w:rsidRPr="006769E2">
        <w:rPr>
          <w:rFonts w:asciiTheme="majorHAnsi" w:eastAsia="Times New Roman" w:hAnsiTheme="majorHAnsi" w:cstheme="majorHAnsi"/>
          <w:lang w:val="en-GB" w:eastAsia="en-GB"/>
        </w:rPr>
        <w:t xml:space="preserve"> e tyre </w:t>
      </w:r>
      <w:proofErr w:type="spellStart"/>
      <w:r w:rsidRPr="006769E2">
        <w:rPr>
          <w:rFonts w:asciiTheme="majorHAnsi" w:eastAsia="Times New Roman" w:hAnsiTheme="majorHAnsi" w:cstheme="majorHAnsi"/>
          <w:lang w:val="en-GB" w:eastAsia="en-GB"/>
        </w:rPr>
        <w:t>dhe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në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cilësinë</w:t>
      </w:r>
      <w:proofErr w:type="spellEnd"/>
      <w:r w:rsidRPr="006769E2">
        <w:rPr>
          <w:rFonts w:asciiTheme="majorHAnsi" w:eastAsia="Times New Roman" w:hAnsiTheme="majorHAnsi" w:cstheme="majorHAnsi"/>
          <w:lang w:val="en-GB" w:eastAsia="en-GB"/>
        </w:rPr>
        <w:t xml:space="preserve"> e </w:t>
      </w:r>
      <w:proofErr w:type="spellStart"/>
      <w:r w:rsidRPr="006769E2">
        <w:rPr>
          <w:rFonts w:asciiTheme="majorHAnsi" w:eastAsia="Times New Roman" w:hAnsiTheme="majorHAnsi" w:cstheme="majorHAnsi"/>
          <w:lang w:val="en-GB" w:eastAsia="en-GB"/>
        </w:rPr>
        <w:t>procesit</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të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vendimmarrjes</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në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nivel</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lokal</w:t>
      </w:r>
      <w:proofErr w:type="spellEnd"/>
      <w:r w:rsidRPr="006769E2">
        <w:rPr>
          <w:rFonts w:asciiTheme="majorHAnsi" w:eastAsia="Times New Roman" w:hAnsiTheme="majorHAnsi" w:cstheme="majorHAnsi"/>
          <w:lang w:val="en-GB" w:eastAsia="en-GB"/>
        </w:rPr>
        <w:t>.</w:t>
      </w:r>
    </w:p>
    <w:p w14:paraId="7F574212" w14:textId="48A2C4B0" w:rsidR="006769E2" w:rsidRPr="009D6147" w:rsidRDefault="006769E2" w:rsidP="006769E2">
      <w:pPr>
        <w:spacing w:before="100" w:beforeAutospacing="1" w:after="100" w:afterAutospacing="1" w:line="276" w:lineRule="auto"/>
        <w:rPr>
          <w:rFonts w:asciiTheme="majorHAnsi" w:eastAsia="Times New Roman" w:hAnsiTheme="majorHAnsi" w:cstheme="majorHAnsi"/>
          <w:sz w:val="24"/>
          <w:szCs w:val="24"/>
          <w:lang w:val="en-GB" w:eastAsia="en-GB"/>
        </w:rPr>
      </w:pPr>
      <w:proofErr w:type="spellStart"/>
      <w:r w:rsidRPr="006769E2">
        <w:rPr>
          <w:rFonts w:asciiTheme="majorHAnsi" w:eastAsia="Times New Roman" w:hAnsiTheme="majorHAnsi" w:cstheme="majorHAnsi"/>
          <w:lang w:val="en-GB" w:eastAsia="en-GB"/>
        </w:rPr>
        <w:t>Në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vijim</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paraqiten</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të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dhënat</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tabelore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për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komunat</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që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kanë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publikuar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njoftimet</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për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takime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të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kryetarit</w:t>
      </w:r>
      <w:proofErr w:type="spellEnd"/>
      <w:r w:rsidRPr="006769E2">
        <w:rPr>
          <w:rFonts w:asciiTheme="majorHAnsi" w:eastAsia="Times New Roman" w:hAnsiTheme="majorHAnsi" w:cstheme="majorHAnsi"/>
          <w:lang w:val="en-GB" w:eastAsia="en-GB"/>
        </w:rPr>
        <w:t xml:space="preserve"> me </w:t>
      </w:r>
      <w:proofErr w:type="spellStart"/>
      <w:r w:rsidRPr="006769E2">
        <w:rPr>
          <w:rFonts w:asciiTheme="majorHAnsi" w:eastAsia="Times New Roman" w:hAnsiTheme="majorHAnsi" w:cstheme="majorHAnsi"/>
          <w:lang w:val="en-GB" w:eastAsia="en-GB"/>
        </w:rPr>
        <w:t>qytetarë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për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periudhën</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janar</w:t>
      </w:r>
      <w:proofErr w:type="spellEnd"/>
      <w:r w:rsidRPr="006769E2">
        <w:rPr>
          <w:rFonts w:asciiTheme="majorHAnsi" w:eastAsia="Times New Roman" w:hAnsiTheme="majorHAnsi" w:cstheme="majorHAnsi"/>
          <w:lang w:val="en-GB" w:eastAsia="en-GB"/>
        </w:rPr>
        <w:t>–</w:t>
      </w:r>
      <w:proofErr w:type="spellStart"/>
      <w:r w:rsidRPr="006769E2">
        <w:rPr>
          <w:rFonts w:asciiTheme="majorHAnsi" w:eastAsia="Times New Roman" w:hAnsiTheme="majorHAnsi" w:cstheme="majorHAnsi"/>
          <w:lang w:val="en-GB" w:eastAsia="en-GB"/>
        </w:rPr>
        <w:t>dhjetor</w:t>
      </w:r>
      <w:proofErr w:type="spellEnd"/>
      <w:r w:rsidRPr="006769E2">
        <w:rPr>
          <w:rFonts w:asciiTheme="majorHAnsi" w:eastAsia="Times New Roman" w:hAnsiTheme="majorHAnsi" w:cstheme="majorHAnsi"/>
          <w:lang w:val="en-GB" w:eastAsia="en-GB"/>
        </w:rPr>
        <w:t xml:space="preserve"> 2025</w:t>
      </w:r>
      <w:r w:rsidRPr="006769E2">
        <w:rPr>
          <w:rFonts w:asciiTheme="majorHAnsi" w:eastAsia="Times New Roman" w:hAnsiTheme="majorHAnsi" w:cstheme="majorHAnsi"/>
          <w:sz w:val="24"/>
          <w:szCs w:val="24"/>
          <w:lang w:val="en-GB" w:eastAsia="en-GB"/>
        </w:rPr>
        <w:t>.</w:t>
      </w:r>
    </w:p>
    <w:p w14:paraId="3620355B" w14:textId="4D0535EF" w:rsidR="006C1F9D" w:rsidRPr="009D6147" w:rsidRDefault="00C7140E" w:rsidP="00F2395A">
      <w:pPr>
        <w:spacing w:after="0" w:line="276" w:lineRule="auto"/>
        <w:rPr>
          <w:rFonts w:asciiTheme="majorHAnsi" w:eastAsia="Times New Roman" w:hAnsiTheme="majorHAnsi" w:cstheme="majorHAnsi"/>
          <w:color w:val="000000"/>
          <w:lang w:eastAsia="sq-AL"/>
        </w:rPr>
      </w:pPr>
      <w:r w:rsidRPr="009D6147">
        <w:rPr>
          <w:rFonts w:asciiTheme="majorHAnsi" w:hAnsiTheme="majorHAnsi" w:cstheme="majorHAnsi"/>
          <w:noProof/>
          <w:lang w:eastAsia="sq-AL"/>
        </w:rPr>
        <w:drawing>
          <wp:inline distT="0" distB="0" distL="0" distR="0" wp14:anchorId="4ADF1A97" wp14:editId="5C88423D">
            <wp:extent cx="6062400" cy="1814195"/>
            <wp:effectExtent l="0" t="0" r="14605" b="14605"/>
            <wp:docPr id="9" name="Chart 9">
              <a:extLst xmlns:a="http://schemas.openxmlformats.org/drawingml/2006/main">
                <a:ext uri="{FF2B5EF4-FFF2-40B4-BE49-F238E27FC236}">
                  <a16:creationId xmlns:a16="http://schemas.microsoft.com/office/drawing/2014/main" id="{7F362A15-B144-4D51-9804-E27347D35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Start w:id="50" w:name="_Hlk227592583"/>
    </w:p>
    <w:p w14:paraId="72779748" w14:textId="79A47B6E" w:rsidR="0071735D" w:rsidRPr="00224BE6" w:rsidRDefault="00F87B93" w:rsidP="006A4783">
      <w:pPr>
        <w:autoSpaceDE w:val="0"/>
        <w:autoSpaceDN w:val="0"/>
        <w:adjustRightInd w:val="0"/>
        <w:spacing w:after="240" w:line="276" w:lineRule="auto"/>
        <w:jc w:val="center"/>
        <w:rPr>
          <w:rFonts w:asciiTheme="majorHAnsi" w:hAnsiTheme="majorHAnsi" w:cstheme="majorHAnsi"/>
          <w:i/>
          <w:sz w:val="14"/>
          <w:szCs w:val="14"/>
        </w:rPr>
      </w:pPr>
      <w:proofErr w:type="spellStart"/>
      <w:r w:rsidRPr="00224BE6">
        <w:rPr>
          <w:rFonts w:asciiTheme="majorHAnsi" w:hAnsiTheme="majorHAnsi" w:cstheme="majorHAnsi"/>
          <w:i/>
          <w:sz w:val="14"/>
          <w:szCs w:val="14"/>
        </w:rPr>
        <w:t>Fig</w:t>
      </w:r>
      <w:proofErr w:type="spellEnd"/>
      <w:r w:rsidRPr="00224BE6">
        <w:rPr>
          <w:rFonts w:asciiTheme="majorHAnsi" w:hAnsiTheme="majorHAnsi" w:cstheme="majorHAnsi"/>
          <w:i/>
          <w:sz w:val="14"/>
          <w:szCs w:val="14"/>
        </w:rPr>
        <w:t xml:space="preserve"> </w:t>
      </w:r>
      <w:r w:rsidR="00261961" w:rsidRPr="00224BE6">
        <w:rPr>
          <w:rFonts w:asciiTheme="majorHAnsi" w:hAnsiTheme="majorHAnsi" w:cstheme="majorHAnsi"/>
          <w:i/>
          <w:sz w:val="14"/>
          <w:szCs w:val="14"/>
        </w:rPr>
        <w:t>1</w:t>
      </w:r>
      <w:r w:rsidR="006A4783" w:rsidRPr="00224BE6">
        <w:rPr>
          <w:rFonts w:asciiTheme="majorHAnsi" w:hAnsiTheme="majorHAnsi" w:cstheme="majorHAnsi"/>
          <w:i/>
          <w:sz w:val="14"/>
          <w:szCs w:val="14"/>
        </w:rPr>
        <w:t>9</w:t>
      </w:r>
      <w:r w:rsidRPr="00224BE6">
        <w:rPr>
          <w:rFonts w:asciiTheme="majorHAnsi" w:hAnsiTheme="majorHAnsi" w:cstheme="majorHAnsi"/>
          <w:i/>
          <w:sz w:val="14"/>
          <w:szCs w:val="14"/>
        </w:rPr>
        <w:t xml:space="preserve">. </w:t>
      </w:r>
      <w:bookmarkEnd w:id="50"/>
      <w:r w:rsidRPr="00224BE6">
        <w:rPr>
          <w:rFonts w:asciiTheme="majorHAnsi" w:hAnsiTheme="majorHAnsi" w:cstheme="majorHAnsi"/>
          <w:i/>
          <w:sz w:val="14"/>
          <w:szCs w:val="14"/>
        </w:rPr>
        <w:t xml:space="preserve">Numri i njoftimeve për takimet  </w:t>
      </w:r>
      <w:r w:rsidR="00261961" w:rsidRPr="00224BE6">
        <w:rPr>
          <w:rFonts w:asciiTheme="majorHAnsi" w:hAnsiTheme="majorHAnsi" w:cstheme="majorHAnsi"/>
          <w:i/>
          <w:sz w:val="14"/>
          <w:szCs w:val="14"/>
        </w:rPr>
        <w:t>të kryetari</w:t>
      </w:r>
      <w:r w:rsidRPr="00224BE6">
        <w:rPr>
          <w:rFonts w:asciiTheme="majorHAnsi" w:hAnsiTheme="majorHAnsi" w:cstheme="majorHAnsi"/>
          <w:i/>
          <w:sz w:val="14"/>
          <w:szCs w:val="14"/>
        </w:rPr>
        <w:t>t</w:t>
      </w:r>
      <w:r w:rsidR="00261961" w:rsidRPr="00224BE6">
        <w:rPr>
          <w:rFonts w:asciiTheme="majorHAnsi" w:hAnsiTheme="majorHAnsi" w:cstheme="majorHAnsi"/>
          <w:i/>
          <w:sz w:val="14"/>
          <w:szCs w:val="14"/>
        </w:rPr>
        <w:t xml:space="preserve"> të  komunës</w:t>
      </w:r>
    </w:p>
    <w:p w14:paraId="16BD7D4A" w14:textId="77777777" w:rsidR="00420BCC" w:rsidRPr="009D6147" w:rsidRDefault="00420BCC" w:rsidP="00A70BC5">
      <w:pPr>
        <w:spacing w:before="100" w:beforeAutospacing="1" w:after="100" w:afterAutospacing="1" w:line="276" w:lineRule="auto"/>
        <w:rPr>
          <w:rFonts w:asciiTheme="majorHAnsi" w:eastAsia="Times New Roman" w:hAnsiTheme="majorHAnsi" w:cstheme="majorHAnsi"/>
          <w:lang w:val="en-GB" w:eastAsia="en-GB"/>
        </w:rPr>
      </w:pPr>
    </w:p>
    <w:p w14:paraId="115DD8C3" w14:textId="6A3C6546" w:rsidR="00891A1F" w:rsidRPr="009D6147" w:rsidRDefault="00891A1F" w:rsidP="006769E2">
      <w:pPr>
        <w:pStyle w:val="Style3"/>
        <w:spacing w:line="276" w:lineRule="auto"/>
        <w:rPr>
          <w:rFonts w:cstheme="majorHAnsi"/>
          <w:sz w:val="22"/>
          <w:szCs w:val="22"/>
        </w:rPr>
      </w:pPr>
      <w:bookmarkStart w:id="51" w:name="_Toc227827176"/>
      <w:r w:rsidRPr="009D6147">
        <w:rPr>
          <w:rFonts w:cstheme="majorHAnsi"/>
          <w:sz w:val="22"/>
          <w:szCs w:val="22"/>
        </w:rPr>
        <w:t>Publikimi i listës së pronave të paluajtshme të komunës</w:t>
      </w:r>
      <w:bookmarkEnd w:id="51"/>
      <w:r w:rsidRPr="009D6147">
        <w:rPr>
          <w:rFonts w:cstheme="majorHAnsi"/>
          <w:sz w:val="22"/>
          <w:szCs w:val="22"/>
        </w:rPr>
        <w:t xml:space="preserve"> </w:t>
      </w:r>
    </w:p>
    <w:p w14:paraId="335B4A19" w14:textId="49DA170A" w:rsidR="006769E2" w:rsidRPr="00E271C1" w:rsidRDefault="006769E2" w:rsidP="006769E2">
      <w:pPr>
        <w:spacing w:before="100" w:beforeAutospacing="1" w:after="100" w:afterAutospacing="1" w:line="276" w:lineRule="auto"/>
        <w:rPr>
          <w:rFonts w:asciiTheme="majorHAnsi" w:eastAsia="Times New Roman" w:hAnsiTheme="majorHAnsi" w:cstheme="majorHAnsi"/>
          <w:lang w:eastAsia="en-GB"/>
        </w:rPr>
      </w:pPr>
      <w:r w:rsidRPr="00B03A09">
        <w:rPr>
          <w:rFonts w:asciiTheme="majorHAnsi" w:eastAsia="Times New Roman" w:hAnsiTheme="majorHAnsi" w:cstheme="majorHAnsi"/>
          <w:lang w:eastAsia="en-GB"/>
        </w:rPr>
        <w:t xml:space="preserve">Në bazë të Ligjit Nr. 06/L-092 për Dhënien në Shfrytëzim dhe Këmbimin e Pronës së Paluajtshme të Komunës, për të siguruar transparencë të plotë, komuna obligohet të publikojë listën e përgjithshme të pronave të paluajtshme të komunës, si dhe listën e veçantë të pronave që planifikohen për dhënie në shfrytëzim për vitin vijues deri më 31 dhjetor, duke arsyetuar interesin publik dhe zhvillimin ekonomik të </w:t>
      </w:r>
      <w:proofErr w:type="spellStart"/>
      <w:r w:rsidRPr="00B03A09">
        <w:rPr>
          <w:rFonts w:asciiTheme="majorHAnsi" w:eastAsia="Times New Roman" w:hAnsiTheme="majorHAnsi" w:cstheme="majorHAnsi"/>
          <w:lang w:eastAsia="en-GB"/>
        </w:rPr>
        <w:t>komunës.Lista</w:t>
      </w:r>
      <w:proofErr w:type="spellEnd"/>
      <w:r w:rsidRPr="00B03A09">
        <w:rPr>
          <w:rFonts w:asciiTheme="majorHAnsi" w:eastAsia="Times New Roman" w:hAnsiTheme="majorHAnsi" w:cstheme="majorHAnsi"/>
          <w:lang w:eastAsia="en-GB"/>
        </w:rPr>
        <w:t xml:space="preserve"> e pronave të paluajtshme për dhënie në shfrytëzim duhet të përmbajë këto të dhëna: të dhënat </w:t>
      </w:r>
      <w:proofErr w:type="spellStart"/>
      <w:r w:rsidRPr="00B03A09">
        <w:rPr>
          <w:rFonts w:asciiTheme="majorHAnsi" w:eastAsia="Times New Roman" w:hAnsiTheme="majorHAnsi" w:cstheme="majorHAnsi"/>
          <w:lang w:eastAsia="en-GB"/>
        </w:rPr>
        <w:t>kadastrale</w:t>
      </w:r>
      <w:proofErr w:type="spellEnd"/>
      <w:r w:rsidRPr="00B03A09">
        <w:rPr>
          <w:rFonts w:asciiTheme="majorHAnsi" w:eastAsia="Times New Roman" w:hAnsiTheme="majorHAnsi" w:cstheme="majorHAnsi"/>
          <w:lang w:eastAsia="en-GB"/>
        </w:rPr>
        <w:t xml:space="preserve"> të pronës, qëllimin dhe </w:t>
      </w:r>
      <w:proofErr w:type="spellStart"/>
      <w:r w:rsidRPr="00B03A09">
        <w:rPr>
          <w:rFonts w:asciiTheme="majorHAnsi" w:eastAsia="Times New Roman" w:hAnsiTheme="majorHAnsi" w:cstheme="majorHAnsi"/>
          <w:lang w:eastAsia="en-GB"/>
        </w:rPr>
        <w:t>destinimin</w:t>
      </w:r>
      <w:proofErr w:type="spellEnd"/>
      <w:r w:rsidRPr="00B03A09">
        <w:rPr>
          <w:rFonts w:asciiTheme="majorHAnsi" w:eastAsia="Times New Roman" w:hAnsiTheme="majorHAnsi" w:cstheme="majorHAnsi"/>
          <w:lang w:eastAsia="en-GB"/>
        </w:rPr>
        <w:t xml:space="preserve"> e saj, datën e publikimit të njoftimit, si dhe periudhën kohore të dhënies në shfrytëzim të pronës së paluajtshme komunale</w:t>
      </w:r>
      <w:r w:rsidRPr="00B03A09">
        <w:rPr>
          <w:rFonts w:ascii="Century Schoolbook" w:eastAsia="Times New Roman" w:hAnsi="Century Schoolbook" w:cstheme="majorHAnsi"/>
          <w:lang w:eastAsia="en-GB"/>
        </w:rPr>
        <w:t>.</w:t>
      </w:r>
    </w:p>
    <w:p w14:paraId="50367E11" w14:textId="093D4DAB" w:rsidR="006769E2" w:rsidRPr="006769E2" w:rsidRDefault="006769E2" w:rsidP="006769E2">
      <w:pPr>
        <w:spacing w:before="100" w:beforeAutospacing="1" w:after="100" w:afterAutospacing="1" w:line="276" w:lineRule="auto"/>
        <w:rPr>
          <w:rFonts w:asciiTheme="majorHAnsi" w:eastAsia="Times New Roman" w:hAnsiTheme="majorHAnsi" w:cstheme="majorHAnsi"/>
          <w:lang w:eastAsia="en-GB"/>
        </w:rPr>
      </w:pPr>
      <w:r w:rsidRPr="006769E2">
        <w:rPr>
          <w:rFonts w:asciiTheme="majorHAnsi" w:eastAsia="Times New Roman" w:hAnsiTheme="majorHAnsi" w:cstheme="majorHAnsi"/>
          <w:lang w:eastAsia="en-GB"/>
        </w:rPr>
        <w:t>Nga këto dispozita rrjedh obligimi që komunat:</w:t>
      </w:r>
    </w:p>
    <w:p w14:paraId="558F3BF9" w14:textId="77777777" w:rsidR="006769E2" w:rsidRPr="006769E2" w:rsidRDefault="006769E2" w:rsidP="006769E2">
      <w:pPr>
        <w:numPr>
          <w:ilvl w:val="0"/>
          <w:numId w:val="42"/>
        </w:numPr>
        <w:spacing w:before="100" w:beforeAutospacing="1" w:after="100" w:afterAutospacing="1" w:line="276" w:lineRule="auto"/>
        <w:rPr>
          <w:rFonts w:asciiTheme="majorHAnsi" w:eastAsia="Times New Roman" w:hAnsiTheme="majorHAnsi" w:cstheme="majorHAnsi"/>
          <w:lang w:eastAsia="en-GB"/>
        </w:rPr>
      </w:pPr>
      <w:r w:rsidRPr="006769E2">
        <w:rPr>
          <w:rFonts w:asciiTheme="majorHAnsi" w:eastAsia="Times New Roman" w:hAnsiTheme="majorHAnsi" w:cstheme="majorHAnsi"/>
          <w:lang w:eastAsia="en-GB"/>
        </w:rPr>
        <w:t xml:space="preserve">të publikojnë paraprakisht listën e pronave komunale të planifikuara për dhënie në shfrytëzim, dhe </w:t>
      </w:r>
    </w:p>
    <w:p w14:paraId="7E58E590" w14:textId="77777777" w:rsidR="006F5A72" w:rsidRPr="009D6147" w:rsidRDefault="006769E2" w:rsidP="006769E2">
      <w:pPr>
        <w:numPr>
          <w:ilvl w:val="0"/>
          <w:numId w:val="42"/>
        </w:numPr>
        <w:spacing w:before="100" w:beforeAutospacing="1" w:after="100" w:afterAutospacing="1" w:line="276" w:lineRule="auto"/>
        <w:rPr>
          <w:rFonts w:asciiTheme="majorHAnsi" w:eastAsia="Times New Roman" w:hAnsiTheme="majorHAnsi" w:cstheme="majorHAnsi"/>
          <w:lang w:eastAsia="en-GB"/>
        </w:rPr>
      </w:pPr>
      <w:r w:rsidRPr="006769E2">
        <w:rPr>
          <w:rFonts w:asciiTheme="majorHAnsi" w:eastAsia="Times New Roman" w:hAnsiTheme="majorHAnsi" w:cstheme="majorHAnsi"/>
          <w:lang w:eastAsia="en-GB"/>
        </w:rPr>
        <w:t xml:space="preserve">të publikojnë në mënyrë të vazhdueshme listën e pronave komunale të dhëna në shfrytëzim. </w:t>
      </w:r>
    </w:p>
    <w:p w14:paraId="624F2AB9" w14:textId="0F425238" w:rsidR="006769E2" w:rsidRPr="006769E2" w:rsidRDefault="006769E2" w:rsidP="006F5A72">
      <w:pPr>
        <w:spacing w:before="100" w:beforeAutospacing="1" w:after="100" w:afterAutospacing="1" w:line="276" w:lineRule="auto"/>
        <w:rPr>
          <w:rFonts w:asciiTheme="majorHAnsi" w:eastAsia="Times New Roman" w:hAnsiTheme="majorHAnsi" w:cstheme="majorHAnsi"/>
          <w:lang w:eastAsia="en-GB"/>
        </w:rPr>
      </w:pPr>
      <w:r w:rsidRPr="006769E2">
        <w:rPr>
          <w:rFonts w:asciiTheme="majorHAnsi" w:eastAsia="Times New Roman" w:hAnsiTheme="majorHAnsi" w:cstheme="majorHAnsi"/>
          <w:lang w:eastAsia="en-GB"/>
        </w:rPr>
        <w:t>Megjithatë, të dhënat nga monitorimi i ueb-faqeve zyrtare të komunave për periudhën janar–dhjetor 2025 tregojnë se ky obligim nuk është përmbushur në mënyrë të njëtrajtshme:</w:t>
      </w:r>
    </w:p>
    <w:p w14:paraId="1226F305" w14:textId="77777777" w:rsidR="006769E2" w:rsidRPr="006769E2" w:rsidRDefault="006769E2" w:rsidP="006F5A72">
      <w:pPr>
        <w:spacing w:before="100" w:beforeAutospacing="1" w:after="100" w:afterAutospacing="1" w:line="240" w:lineRule="auto"/>
        <w:rPr>
          <w:rFonts w:asciiTheme="majorHAnsi" w:eastAsia="Times New Roman" w:hAnsiTheme="majorHAnsi" w:cstheme="majorHAnsi"/>
          <w:lang w:eastAsia="en-GB"/>
        </w:rPr>
      </w:pPr>
      <w:r w:rsidRPr="006769E2">
        <w:rPr>
          <w:rFonts w:asciiTheme="majorHAnsi" w:eastAsia="Times New Roman" w:hAnsiTheme="majorHAnsi" w:cstheme="majorHAnsi"/>
          <w:b/>
          <w:bCs/>
          <w:lang w:eastAsia="en-GB"/>
        </w:rPr>
        <w:t>Për listën e pronave komunale të planifikuara për dhënie në shfrytëzim:</w:t>
      </w:r>
    </w:p>
    <w:p w14:paraId="7B45CB4C" w14:textId="39B36ED5" w:rsidR="006769E2" w:rsidRPr="006769E2" w:rsidRDefault="006769E2" w:rsidP="006F5A72">
      <w:pPr>
        <w:numPr>
          <w:ilvl w:val="0"/>
          <w:numId w:val="43"/>
        </w:numPr>
        <w:spacing w:before="100" w:beforeAutospacing="1" w:after="100" w:afterAutospacing="1" w:line="240" w:lineRule="auto"/>
        <w:rPr>
          <w:rFonts w:asciiTheme="majorHAnsi" w:eastAsia="Times New Roman" w:hAnsiTheme="majorHAnsi" w:cstheme="majorHAnsi"/>
          <w:lang w:eastAsia="en-GB"/>
        </w:rPr>
      </w:pPr>
      <w:r w:rsidRPr="006769E2">
        <w:rPr>
          <w:rFonts w:asciiTheme="majorHAnsi" w:eastAsia="Times New Roman" w:hAnsiTheme="majorHAnsi" w:cstheme="majorHAnsi"/>
          <w:lang w:eastAsia="en-GB"/>
        </w:rPr>
        <w:t>2</w:t>
      </w:r>
      <w:r w:rsidR="007B4044">
        <w:rPr>
          <w:rFonts w:asciiTheme="majorHAnsi" w:eastAsia="Times New Roman" w:hAnsiTheme="majorHAnsi" w:cstheme="majorHAnsi"/>
          <w:lang w:eastAsia="en-GB"/>
        </w:rPr>
        <w:t>1</w:t>
      </w:r>
      <w:r w:rsidRPr="006769E2">
        <w:rPr>
          <w:rFonts w:asciiTheme="majorHAnsi" w:eastAsia="Times New Roman" w:hAnsiTheme="majorHAnsi" w:cstheme="majorHAnsi"/>
          <w:lang w:eastAsia="en-GB"/>
        </w:rPr>
        <w:t xml:space="preserve"> komuna (53%) e kanë publikuar këtë listë, në përputhje me kërkesat ligjore; </w:t>
      </w:r>
    </w:p>
    <w:p w14:paraId="3F952390" w14:textId="4AA29E6E" w:rsidR="006769E2" w:rsidRPr="006769E2" w:rsidRDefault="006769E2" w:rsidP="006F5A72">
      <w:pPr>
        <w:numPr>
          <w:ilvl w:val="0"/>
          <w:numId w:val="43"/>
        </w:numPr>
        <w:spacing w:before="100" w:beforeAutospacing="1" w:after="100" w:afterAutospacing="1" w:line="240" w:lineRule="auto"/>
        <w:rPr>
          <w:rFonts w:asciiTheme="majorHAnsi" w:eastAsia="Times New Roman" w:hAnsiTheme="majorHAnsi" w:cstheme="majorHAnsi"/>
          <w:lang w:val="en-GB" w:eastAsia="en-GB"/>
        </w:rPr>
      </w:pPr>
      <w:r w:rsidRPr="006769E2">
        <w:rPr>
          <w:rFonts w:asciiTheme="majorHAnsi" w:eastAsia="Times New Roman" w:hAnsiTheme="majorHAnsi" w:cstheme="majorHAnsi"/>
          <w:lang w:val="en-GB" w:eastAsia="en-GB"/>
        </w:rPr>
        <w:t>1</w:t>
      </w:r>
      <w:r w:rsidR="007B4044">
        <w:rPr>
          <w:rFonts w:asciiTheme="majorHAnsi" w:eastAsia="Times New Roman" w:hAnsiTheme="majorHAnsi" w:cstheme="majorHAnsi"/>
          <w:lang w:val="en-GB" w:eastAsia="en-GB"/>
        </w:rPr>
        <w:t>7</w:t>
      </w:r>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komuna</w:t>
      </w:r>
      <w:proofErr w:type="spellEnd"/>
      <w:r w:rsidRPr="006769E2">
        <w:rPr>
          <w:rFonts w:asciiTheme="majorHAnsi" w:eastAsia="Times New Roman" w:hAnsiTheme="majorHAnsi" w:cstheme="majorHAnsi"/>
          <w:lang w:val="en-GB" w:eastAsia="en-GB"/>
        </w:rPr>
        <w:t xml:space="preserve"> (47%) </w:t>
      </w:r>
      <w:proofErr w:type="spellStart"/>
      <w:r w:rsidRPr="006769E2">
        <w:rPr>
          <w:rFonts w:asciiTheme="majorHAnsi" w:eastAsia="Times New Roman" w:hAnsiTheme="majorHAnsi" w:cstheme="majorHAnsi"/>
          <w:lang w:val="en-GB" w:eastAsia="en-GB"/>
        </w:rPr>
        <w:t>nuk</w:t>
      </w:r>
      <w:proofErr w:type="spellEnd"/>
      <w:r w:rsidRPr="006769E2">
        <w:rPr>
          <w:rFonts w:asciiTheme="majorHAnsi" w:eastAsia="Times New Roman" w:hAnsiTheme="majorHAnsi" w:cstheme="majorHAnsi"/>
          <w:lang w:val="en-GB" w:eastAsia="en-GB"/>
        </w:rPr>
        <w:t xml:space="preserve"> e </w:t>
      </w:r>
      <w:proofErr w:type="spellStart"/>
      <w:r w:rsidRPr="006769E2">
        <w:rPr>
          <w:rFonts w:asciiTheme="majorHAnsi" w:eastAsia="Times New Roman" w:hAnsiTheme="majorHAnsi" w:cstheme="majorHAnsi"/>
          <w:lang w:val="en-GB" w:eastAsia="en-GB"/>
        </w:rPr>
        <w:t>kanë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publikuar</w:t>
      </w:r>
      <w:proofErr w:type="spellEnd"/>
      <w:r w:rsidRPr="006769E2">
        <w:rPr>
          <w:rFonts w:asciiTheme="majorHAnsi" w:eastAsia="Times New Roman" w:hAnsiTheme="majorHAnsi" w:cstheme="majorHAnsi"/>
          <w:lang w:val="en-GB" w:eastAsia="en-GB"/>
        </w:rPr>
        <w:t xml:space="preserve">. </w:t>
      </w:r>
    </w:p>
    <w:p w14:paraId="57821604" w14:textId="77777777" w:rsidR="006769E2" w:rsidRPr="006769E2" w:rsidRDefault="006769E2" w:rsidP="006769E2">
      <w:pPr>
        <w:spacing w:before="100" w:beforeAutospacing="1" w:after="100" w:afterAutospacing="1" w:line="276" w:lineRule="auto"/>
        <w:rPr>
          <w:rFonts w:asciiTheme="majorHAnsi" w:eastAsia="Times New Roman" w:hAnsiTheme="majorHAnsi" w:cstheme="majorHAnsi"/>
          <w:lang w:val="en-GB" w:eastAsia="en-GB"/>
        </w:rPr>
      </w:pPr>
      <w:proofErr w:type="spellStart"/>
      <w:r w:rsidRPr="006769E2">
        <w:rPr>
          <w:rFonts w:asciiTheme="majorHAnsi" w:eastAsia="Times New Roman" w:hAnsiTheme="majorHAnsi" w:cstheme="majorHAnsi"/>
          <w:b/>
          <w:bCs/>
          <w:lang w:val="en-GB" w:eastAsia="en-GB"/>
        </w:rPr>
        <w:t>Për</w:t>
      </w:r>
      <w:proofErr w:type="spellEnd"/>
      <w:r w:rsidRPr="006769E2">
        <w:rPr>
          <w:rFonts w:asciiTheme="majorHAnsi" w:eastAsia="Times New Roman" w:hAnsiTheme="majorHAnsi" w:cstheme="majorHAnsi"/>
          <w:b/>
          <w:bCs/>
          <w:lang w:val="en-GB" w:eastAsia="en-GB"/>
        </w:rPr>
        <w:t xml:space="preserve"> </w:t>
      </w:r>
      <w:proofErr w:type="spellStart"/>
      <w:r w:rsidRPr="006769E2">
        <w:rPr>
          <w:rFonts w:asciiTheme="majorHAnsi" w:eastAsia="Times New Roman" w:hAnsiTheme="majorHAnsi" w:cstheme="majorHAnsi"/>
          <w:b/>
          <w:bCs/>
          <w:lang w:val="en-GB" w:eastAsia="en-GB"/>
        </w:rPr>
        <w:t>listën</w:t>
      </w:r>
      <w:proofErr w:type="spellEnd"/>
      <w:r w:rsidRPr="006769E2">
        <w:rPr>
          <w:rFonts w:asciiTheme="majorHAnsi" w:eastAsia="Times New Roman" w:hAnsiTheme="majorHAnsi" w:cstheme="majorHAnsi"/>
          <w:b/>
          <w:bCs/>
          <w:lang w:val="en-GB" w:eastAsia="en-GB"/>
        </w:rPr>
        <w:t xml:space="preserve"> e </w:t>
      </w:r>
      <w:proofErr w:type="spellStart"/>
      <w:r w:rsidRPr="006769E2">
        <w:rPr>
          <w:rFonts w:asciiTheme="majorHAnsi" w:eastAsia="Times New Roman" w:hAnsiTheme="majorHAnsi" w:cstheme="majorHAnsi"/>
          <w:b/>
          <w:bCs/>
          <w:lang w:val="en-GB" w:eastAsia="en-GB"/>
        </w:rPr>
        <w:t>pronave</w:t>
      </w:r>
      <w:proofErr w:type="spellEnd"/>
      <w:r w:rsidRPr="006769E2">
        <w:rPr>
          <w:rFonts w:asciiTheme="majorHAnsi" w:eastAsia="Times New Roman" w:hAnsiTheme="majorHAnsi" w:cstheme="majorHAnsi"/>
          <w:b/>
          <w:bCs/>
          <w:lang w:val="en-GB" w:eastAsia="en-GB"/>
        </w:rPr>
        <w:t xml:space="preserve"> </w:t>
      </w:r>
      <w:proofErr w:type="spellStart"/>
      <w:r w:rsidRPr="006769E2">
        <w:rPr>
          <w:rFonts w:asciiTheme="majorHAnsi" w:eastAsia="Times New Roman" w:hAnsiTheme="majorHAnsi" w:cstheme="majorHAnsi"/>
          <w:b/>
          <w:bCs/>
          <w:lang w:val="en-GB" w:eastAsia="en-GB"/>
        </w:rPr>
        <w:t>komunale</w:t>
      </w:r>
      <w:proofErr w:type="spellEnd"/>
      <w:r w:rsidRPr="006769E2">
        <w:rPr>
          <w:rFonts w:asciiTheme="majorHAnsi" w:eastAsia="Times New Roman" w:hAnsiTheme="majorHAnsi" w:cstheme="majorHAnsi"/>
          <w:b/>
          <w:bCs/>
          <w:lang w:val="en-GB" w:eastAsia="en-GB"/>
        </w:rPr>
        <w:t xml:space="preserve"> </w:t>
      </w:r>
      <w:proofErr w:type="spellStart"/>
      <w:r w:rsidRPr="006769E2">
        <w:rPr>
          <w:rFonts w:asciiTheme="majorHAnsi" w:eastAsia="Times New Roman" w:hAnsiTheme="majorHAnsi" w:cstheme="majorHAnsi"/>
          <w:b/>
          <w:bCs/>
          <w:lang w:val="en-GB" w:eastAsia="en-GB"/>
        </w:rPr>
        <w:t>të</w:t>
      </w:r>
      <w:proofErr w:type="spellEnd"/>
      <w:r w:rsidRPr="006769E2">
        <w:rPr>
          <w:rFonts w:asciiTheme="majorHAnsi" w:eastAsia="Times New Roman" w:hAnsiTheme="majorHAnsi" w:cstheme="majorHAnsi"/>
          <w:b/>
          <w:bCs/>
          <w:lang w:val="en-GB" w:eastAsia="en-GB"/>
        </w:rPr>
        <w:t xml:space="preserve"> </w:t>
      </w:r>
      <w:proofErr w:type="spellStart"/>
      <w:r w:rsidRPr="006769E2">
        <w:rPr>
          <w:rFonts w:asciiTheme="majorHAnsi" w:eastAsia="Times New Roman" w:hAnsiTheme="majorHAnsi" w:cstheme="majorHAnsi"/>
          <w:b/>
          <w:bCs/>
          <w:lang w:val="en-GB" w:eastAsia="en-GB"/>
        </w:rPr>
        <w:t>dhëna</w:t>
      </w:r>
      <w:proofErr w:type="spellEnd"/>
      <w:r w:rsidRPr="006769E2">
        <w:rPr>
          <w:rFonts w:asciiTheme="majorHAnsi" w:eastAsia="Times New Roman" w:hAnsiTheme="majorHAnsi" w:cstheme="majorHAnsi"/>
          <w:b/>
          <w:bCs/>
          <w:lang w:val="en-GB" w:eastAsia="en-GB"/>
        </w:rPr>
        <w:t xml:space="preserve"> </w:t>
      </w:r>
      <w:proofErr w:type="spellStart"/>
      <w:r w:rsidRPr="006769E2">
        <w:rPr>
          <w:rFonts w:asciiTheme="majorHAnsi" w:eastAsia="Times New Roman" w:hAnsiTheme="majorHAnsi" w:cstheme="majorHAnsi"/>
          <w:b/>
          <w:bCs/>
          <w:lang w:val="en-GB" w:eastAsia="en-GB"/>
        </w:rPr>
        <w:t>në</w:t>
      </w:r>
      <w:proofErr w:type="spellEnd"/>
      <w:r w:rsidRPr="006769E2">
        <w:rPr>
          <w:rFonts w:asciiTheme="majorHAnsi" w:eastAsia="Times New Roman" w:hAnsiTheme="majorHAnsi" w:cstheme="majorHAnsi"/>
          <w:b/>
          <w:bCs/>
          <w:lang w:val="en-GB" w:eastAsia="en-GB"/>
        </w:rPr>
        <w:t xml:space="preserve"> </w:t>
      </w:r>
      <w:proofErr w:type="spellStart"/>
      <w:r w:rsidRPr="006769E2">
        <w:rPr>
          <w:rFonts w:asciiTheme="majorHAnsi" w:eastAsia="Times New Roman" w:hAnsiTheme="majorHAnsi" w:cstheme="majorHAnsi"/>
          <w:b/>
          <w:bCs/>
          <w:lang w:val="en-GB" w:eastAsia="en-GB"/>
        </w:rPr>
        <w:t>shfrytëzim</w:t>
      </w:r>
      <w:proofErr w:type="spellEnd"/>
      <w:r w:rsidRPr="006769E2">
        <w:rPr>
          <w:rFonts w:asciiTheme="majorHAnsi" w:eastAsia="Times New Roman" w:hAnsiTheme="majorHAnsi" w:cstheme="majorHAnsi"/>
          <w:b/>
          <w:bCs/>
          <w:lang w:val="en-GB" w:eastAsia="en-GB"/>
        </w:rPr>
        <w:t>:</w:t>
      </w:r>
    </w:p>
    <w:p w14:paraId="349374F7" w14:textId="77777777" w:rsidR="006769E2" w:rsidRPr="006769E2" w:rsidRDefault="006769E2" w:rsidP="006769E2">
      <w:pPr>
        <w:numPr>
          <w:ilvl w:val="0"/>
          <w:numId w:val="44"/>
        </w:numPr>
        <w:spacing w:before="100" w:beforeAutospacing="1" w:after="100" w:afterAutospacing="1" w:line="276" w:lineRule="auto"/>
        <w:rPr>
          <w:rFonts w:asciiTheme="majorHAnsi" w:eastAsia="Times New Roman" w:hAnsiTheme="majorHAnsi" w:cstheme="majorHAnsi"/>
          <w:lang w:val="en-GB" w:eastAsia="en-GB"/>
        </w:rPr>
      </w:pPr>
      <w:r w:rsidRPr="006769E2">
        <w:rPr>
          <w:rFonts w:asciiTheme="majorHAnsi" w:eastAsia="Times New Roman" w:hAnsiTheme="majorHAnsi" w:cstheme="majorHAnsi"/>
          <w:lang w:val="en-GB" w:eastAsia="en-GB"/>
        </w:rPr>
        <w:t xml:space="preserve">18 </w:t>
      </w:r>
      <w:proofErr w:type="spellStart"/>
      <w:r w:rsidRPr="006769E2">
        <w:rPr>
          <w:rFonts w:asciiTheme="majorHAnsi" w:eastAsia="Times New Roman" w:hAnsiTheme="majorHAnsi" w:cstheme="majorHAnsi"/>
          <w:lang w:val="en-GB" w:eastAsia="en-GB"/>
        </w:rPr>
        <w:t>komuna</w:t>
      </w:r>
      <w:proofErr w:type="spellEnd"/>
      <w:r w:rsidRPr="006769E2">
        <w:rPr>
          <w:rFonts w:asciiTheme="majorHAnsi" w:eastAsia="Times New Roman" w:hAnsiTheme="majorHAnsi" w:cstheme="majorHAnsi"/>
          <w:lang w:val="en-GB" w:eastAsia="en-GB"/>
        </w:rPr>
        <w:t xml:space="preserve"> (47%) e </w:t>
      </w:r>
      <w:proofErr w:type="spellStart"/>
      <w:r w:rsidRPr="006769E2">
        <w:rPr>
          <w:rFonts w:asciiTheme="majorHAnsi" w:eastAsia="Times New Roman" w:hAnsiTheme="majorHAnsi" w:cstheme="majorHAnsi"/>
          <w:lang w:val="en-GB" w:eastAsia="en-GB"/>
        </w:rPr>
        <w:t>kanë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publikuar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këtë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listë</w:t>
      </w:r>
      <w:proofErr w:type="spellEnd"/>
      <w:r w:rsidRPr="006769E2">
        <w:rPr>
          <w:rFonts w:asciiTheme="majorHAnsi" w:eastAsia="Times New Roman" w:hAnsiTheme="majorHAnsi" w:cstheme="majorHAnsi"/>
          <w:lang w:val="en-GB" w:eastAsia="en-GB"/>
        </w:rPr>
        <w:t xml:space="preserve">; </w:t>
      </w:r>
    </w:p>
    <w:p w14:paraId="02607FB2" w14:textId="77777777" w:rsidR="006F5A72" w:rsidRPr="009D6147" w:rsidRDefault="006769E2" w:rsidP="006769E2">
      <w:pPr>
        <w:numPr>
          <w:ilvl w:val="0"/>
          <w:numId w:val="44"/>
        </w:numPr>
        <w:spacing w:before="100" w:beforeAutospacing="1" w:after="100" w:afterAutospacing="1" w:line="276" w:lineRule="auto"/>
        <w:rPr>
          <w:rFonts w:asciiTheme="majorHAnsi" w:eastAsia="Times New Roman" w:hAnsiTheme="majorHAnsi" w:cstheme="majorHAnsi"/>
          <w:lang w:val="en-GB" w:eastAsia="en-GB"/>
        </w:rPr>
      </w:pPr>
      <w:r w:rsidRPr="006769E2">
        <w:rPr>
          <w:rFonts w:asciiTheme="majorHAnsi" w:eastAsia="Times New Roman" w:hAnsiTheme="majorHAnsi" w:cstheme="majorHAnsi"/>
          <w:lang w:val="en-GB" w:eastAsia="en-GB"/>
        </w:rPr>
        <w:t xml:space="preserve">20 </w:t>
      </w:r>
      <w:proofErr w:type="spellStart"/>
      <w:r w:rsidRPr="006769E2">
        <w:rPr>
          <w:rFonts w:asciiTheme="majorHAnsi" w:eastAsia="Times New Roman" w:hAnsiTheme="majorHAnsi" w:cstheme="majorHAnsi"/>
          <w:lang w:val="en-GB" w:eastAsia="en-GB"/>
        </w:rPr>
        <w:t>komuna</w:t>
      </w:r>
      <w:proofErr w:type="spellEnd"/>
      <w:r w:rsidRPr="006769E2">
        <w:rPr>
          <w:rFonts w:asciiTheme="majorHAnsi" w:eastAsia="Times New Roman" w:hAnsiTheme="majorHAnsi" w:cstheme="majorHAnsi"/>
          <w:lang w:val="en-GB" w:eastAsia="en-GB"/>
        </w:rPr>
        <w:t xml:space="preserve"> (53%) </w:t>
      </w:r>
      <w:proofErr w:type="spellStart"/>
      <w:r w:rsidRPr="006769E2">
        <w:rPr>
          <w:rFonts w:asciiTheme="majorHAnsi" w:eastAsia="Times New Roman" w:hAnsiTheme="majorHAnsi" w:cstheme="majorHAnsi"/>
          <w:lang w:val="en-GB" w:eastAsia="en-GB"/>
        </w:rPr>
        <w:t>nuk</w:t>
      </w:r>
      <w:proofErr w:type="spellEnd"/>
      <w:r w:rsidRPr="006769E2">
        <w:rPr>
          <w:rFonts w:asciiTheme="majorHAnsi" w:eastAsia="Times New Roman" w:hAnsiTheme="majorHAnsi" w:cstheme="majorHAnsi"/>
          <w:lang w:val="en-GB" w:eastAsia="en-GB"/>
        </w:rPr>
        <w:t xml:space="preserve"> e </w:t>
      </w:r>
      <w:proofErr w:type="spellStart"/>
      <w:r w:rsidRPr="006769E2">
        <w:rPr>
          <w:rFonts w:asciiTheme="majorHAnsi" w:eastAsia="Times New Roman" w:hAnsiTheme="majorHAnsi" w:cstheme="majorHAnsi"/>
          <w:lang w:val="en-GB" w:eastAsia="en-GB"/>
        </w:rPr>
        <w:t>kanë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publikuar</w:t>
      </w:r>
      <w:proofErr w:type="spellEnd"/>
      <w:r w:rsidRPr="006769E2">
        <w:rPr>
          <w:rFonts w:asciiTheme="majorHAnsi" w:eastAsia="Times New Roman" w:hAnsiTheme="majorHAnsi" w:cstheme="majorHAnsi"/>
          <w:lang w:val="en-GB" w:eastAsia="en-GB"/>
        </w:rPr>
        <w:t xml:space="preserve">. </w:t>
      </w:r>
    </w:p>
    <w:p w14:paraId="1406F6F2" w14:textId="4E8B1862" w:rsidR="006769E2" w:rsidRPr="00E271C1" w:rsidRDefault="006769E2" w:rsidP="00E271C1">
      <w:pPr>
        <w:spacing w:before="100" w:beforeAutospacing="1" w:after="100" w:afterAutospacing="1" w:line="276" w:lineRule="auto"/>
        <w:rPr>
          <w:rFonts w:asciiTheme="majorHAnsi" w:eastAsia="Times New Roman" w:hAnsiTheme="majorHAnsi" w:cstheme="majorHAnsi"/>
          <w:lang w:val="en-GB" w:eastAsia="en-GB"/>
        </w:rPr>
      </w:pPr>
      <w:proofErr w:type="spellStart"/>
      <w:r w:rsidRPr="006769E2">
        <w:rPr>
          <w:rFonts w:asciiTheme="majorHAnsi" w:eastAsia="Times New Roman" w:hAnsiTheme="majorHAnsi" w:cstheme="majorHAnsi"/>
          <w:lang w:val="en-GB" w:eastAsia="en-GB"/>
        </w:rPr>
        <w:t>Në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vijim</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paraqiten</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të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dhënat</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tabelore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për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komunat</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lidhur</w:t>
      </w:r>
      <w:proofErr w:type="spellEnd"/>
      <w:r w:rsidRPr="006769E2">
        <w:rPr>
          <w:rFonts w:asciiTheme="majorHAnsi" w:eastAsia="Times New Roman" w:hAnsiTheme="majorHAnsi" w:cstheme="majorHAnsi"/>
          <w:lang w:val="en-GB" w:eastAsia="en-GB"/>
        </w:rPr>
        <w:t xml:space="preserve"> me </w:t>
      </w:r>
      <w:proofErr w:type="spellStart"/>
      <w:r w:rsidRPr="006769E2">
        <w:rPr>
          <w:rFonts w:asciiTheme="majorHAnsi" w:eastAsia="Times New Roman" w:hAnsiTheme="majorHAnsi" w:cstheme="majorHAnsi"/>
          <w:lang w:val="en-GB" w:eastAsia="en-GB"/>
        </w:rPr>
        <w:t>publikimin</w:t>
      </w:r>
      <w:proofErr w:type="spellEnd"/>
      <w:r w:rsidRPr="006769E2">
        <w:rPr>
          <w:rFonts w:asciiTheme="majorHAnsi" w:eastAsia="Times New Roman" w:hAnsiTheme="majorHAnsi" w:cstheme="majorHAnsi"/>
          <w:lang w:val="en-GB" w:eastAsia="en-GB"/>
        </w:rPr>
        <w:t xml:space="preserve"> e </w:t>
      </w:r>
      <w:proofErr w:type="spellStart"/>
      <w:r w:rsidRPr="006769E2">
        <w:rPr>
          <w:rFonts w:asciiTheme="majorHAnsi" w:eastAsia="Times New Roman" w:hAnsiTheme="majorHAnsi" w:cstheme="majorHAnsi"/>
          <w:lang w:val="en-GB" w:eastAsia="en-GB"/>
        </w:rPr>
        <w:t>listës</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së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pronave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komunale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të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planifikuara</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për</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dhënie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në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shfrytëzim</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dhe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listës</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së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pronave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komunale</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të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dhëna</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në</w:t>
      </w:r>
      <w:proofErr w:type="spellEnd"/>
      <w:r w:rsidRPr="006769E2">
        <w:rPr>
          <w:rFonts w:asciiTheme="majorHAnsi" w:eastAsia="Times New Roman" w:hAnsiTheme="majorHAnsi" w:cstheme="majorHAnsi"/>
          <w:lang w:val="en-GB" w:eastAsia="en-GB"/>
        </w:rPr>
        <w:t xml:space="preserve"> </w:t>
      </w:r>
      <w:proofErr w:type="spellStart"/>
      <w:r w:rsidRPr="006769E2">
        <w:rPr>
          <w:rFonts w:asciiTheme="majorHAnsi" w:eastAsia="Times New Roman" w:hAnsiTheme="majorHAnsi" w:cstheme="majorHAnsi"/>
          <w:lang w:val="en-GB" w:eastAsia="en-GB"/>
        </w:rPr>
        <w:t>shfrytëzim</w:t>
      </w:r>
      <w:proofErr w:type="spellEnd"/>
      <w:r w:rsidRPr="006769E2">
        <w:rPr>
          <w:rFonts w:asciiTheme="majorHAnsi" w:eastAsia="Times New Roman" w:hAnsiTheme="majorHAnsi" w:cstheme="majorHAnsi"/>
          <w:lang w:val="en-GB" w:eastAsia="en-GB"/>
        </w:rPr>
        <w:t>.</w:t>
      </w:r>
    </w:p>
    <w:p w14:paraId="06781327" w14:textId="3DBADB3A" w:rsidR="004314AE" w:rsidRPr="009D6147" w:rsidRDefault="00216A28" w:rsidP="00A70BC5">
      <w:pPr>
        <w:spacing w:line="276" w:lineRule="auto"/>
        <w:rPr>
          <w:rFonts w:asciiTheme="majorHAnsi" w:hAnsiTheme="majorHAnsi" w:cstheme="majorHAnsi"/>
          <w:b/>
          <w:color w:val="2F5496" w:themeColor="accent5" w:themeShade="BF"/>
          <w:sz w:val="24"/>
        </w:rPr>
      </w:pPr>
      <w:r w:rsidRPr="009D6147">
        <w:rPr>
          <w:rFonts w:asciiTheme="majorHAnsi" w:hAnsiTheme="majorHAnsi" w:cstheme="majorHAnsi"/>
          <w:b/>
          <w:bCs/>
          <w:noProof/>
          <w:lang w:eastAsia="sq-AL"/>
        </w:rPr>
        <w:drawing>
          <wp:inline distT="0" distB="0" distL="0" distR="0" wp14:anchorId="4479241A" wp14:editId="5ACCE1C2">
            <wp:extent cx="5824220" cy="1898780"/>
            <wp:effectExtent l="0" t="0" r="5080" b="6350"/>
            <wp:docPr id="63" name="Chart 63">
              <a:extLst xmlns:a="http://schemas.openxmlformats.org/drawingml/2006/main">
                <a:ext uri="{FF2B5EF4-FFF2-40B4-BE49-F238E27FC236}">
                  <a16:creationId xmlns:a16="http://schemas.microsoft.com/office/drawing/2014/main" id="{093AEFAF-FC9B-4EE9-AECA-4214A83C9F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E3FACFE" w14:textId="67027F5A" w:rsidR="00321592" w:rsidRPr="00E271C1" w:rsidRDefault="00BC02E9" w:rsidP="00F2395A">
      <w:pPr>
        <w:pStyle w:val="Heading2"/>
        <w:spacing w:line="276" w:lineRule="auto"/>
        <w:jc w:val="center"/>
        <w:rPr>
          <w:rFonts w:asciiTheme="majorHAnsi" w:eastAsia="Times New Roman" w:hAnsiTheme="majorHAnsi" w:cstheme="majorHAnsi"/>
          <w:b w:val="0"/>
          <w:bCs w:val="0"/>
          <w:color w:val="auto"/>
          <w:sz w:val="14"/>
          <w:szCs w:val="14"/>
          <w:lang w:eastAsia="en-GB"/>
        </w:rPr>
      </w:pPr>
      <w:bookmarkStart w:id="52" w:name="_Toc227827178"/>
      <w:proofErr w:type="spellStart"/>
      <w:r w:rsidRPr="00E271C1">
        <w:rPr>
          <w:rFonts w:asciiTheme="majorHAnsi" w:hAnsiTheme="majorHAnsi" w:cstheme="majorHAnsi"/>
          <w:b w:val="0"/>
          <w:bCs w:val="0"/>
          <w:i/>
          <w:color w:val="auto"/>
          <w:sz w:val="14"/>
          <w:szCs w:val="14"/>
        </w:rPr>
        <w:t>Fig</w:t>
      </w:r>
      <w:proofErr w:type="spellEnd"/>
      <w:r w:rsidRPr="00E271C1">
        <w:rPr>
          <w:rFonts w:asciiTheme="majorHAnsi" w:hAnsiTheme="majorHAnsi" w:cstheme="majorHAnsi"/>
          <w:b w:val="0"/>
          <w:bCs w:val="0"/>
          <w:i/>
          <w:color w:val="auto"/>
          <w:sz w:val="14"/>
          <w:szCs w:val="14"/>
        </w:rPr>
        <w:t xml:space="preserve"> </w:t>
      </w:r>
      <w:r w:rsidR="00891A1F" w:rsidRPr="00E271C1">
        <w:rPr>
          <w:rFonts w:asciiTheme="majorHAnsi" w:hAnsiTheme="majorHAnsi" w:cstheme="majorHAnsi"/>
          <w:b w:val="0"/>
          <w:bCs w:val="0"/>
          <w:i/>
          <w:color w:val="auto"/>
          <w:sz w:val="14"/>
          <w:szCs w:val="14"/>
        </w:rPr>
        <w:t>20</w:t>
      </w:r>
      <w:r w:rsidRPr="00E271C1">
        <w:rPr>
          <w:rFonts w:asciiTheme="majorHAnsi" w:hAnsiTheme="majorHAnsi" w:cstheme="majorHAnsi"/>
          <w:b w:val="0"/>
          <w:bCs w:val="0"/>
          <w:i/>
          <w:color w:val="auto"/>
          <w:sz w:val="14"/>
          <w:szCs w:val="14"/>
        </w:rPr>
        <w:t xml:space="preserve">  </w:t>
      </w:r>
      <w:r w:rsidRPr="00E271C1">
        <w:rPr>
          <w:rFonts w:asciiTheme="majorHAnsi" w:hAnsiTheme="majorHAnsi" w:cstheme="majorHAnsi"/>
          <w:b w:val="0"/>
          <w:bCs w:val="0"/>
          <w:color w:val="auto"/>
          <w:sz w:val="14"/>
          <w:szCs w:val="14"/>
        </w:rPr>
        <w:t xml:space="preserve">e </w:t>
      </w:r>
      <w:r w:rsidRPr="00E271C1">
        <w:rPr>
          <w:rFonts w:asciiTheme="majorHAnsi" w:eastAsia="Times New Roman" w:hAnsiTheme="majorHAnsi" w:cstheme="majorHAnsi"/>
          <w:b w:val="0"/>
          <w:bCs w:val="0"/>
          <w:color w:val="auto"/>
          <w:sz w:val="14"/>
          <w:szCs w:val="14"/>
          <w:lang w:eastAsia="en-GB"/>
        </w:rPr>
        <w:t>Listave e pronave komunale të planifikuara për dhënie në shfrytëzim</w:t>
      </w:r>
      <w:r w:rsidR="00216A28" w:rsidRPr="00E271C1">
        <w:rPr>
          <w:rFonts w:asciiTheme="majorHAnsi" w:eastAsia="Times New Roman" w:hAnsiTheme="majorHAnsi" w:cstheme="majorHAnsi"/>
          <w:b w:val="0"/>
          <w:bCs w:val="0"/>
          <w:color w:val="auto"/>
          <w:sz w:val="14"/>
          <w:szCs w:val="14"/>
          <w:lang w:eastAsia="en-GB"/>
        </w:rPr>
        <w:t xml:space="preserve"> dhe </w:t>
      </w:r>
      <w:r w:rsidRPr="00E271C1">
        <w:rPr>
          <w:rFonts w:asciiTheme="majorHAnsi" w:eastAsia="Times New Roman" w:hAnsiTheme="majorHAnsi" w:cstheme="majorHAnsi"/>
          <w:b w:val="0"/>
          <w:bCs w:val="0"/>
          <w:color w:val="auto"/>
          <w:sz w:val="14"/>
          <w:szCs w:val="14"/>
          <w:lang w:eastAsia="en-GB"/>
        </w:rPr>
        <w:t>lista  e  pronave komunale të dhëna në shfrytëzim</w:t>
      </w:r>
      <w:bookmarkEnd w:id="52"/>
    </w:p>
    <w:p w14:paraId="65DC84FF" w14:textId="57E71AA7" w:rsidR="006F5A72" w:rsidRPr="009D6147" w:rsidRDefault="006F5A72" w:rsidP="006F5A72">
      <w:pPr>
        <w:rPr>
          <w:rFonts w:asciiTheme="majorHAnsi" w:hAnsiTheme="majorHAnsi" w:cstheme="majorHAnsi"/>
          <w:lang w:eastAsia="en-GB"/>
        </w:rPr>
      </w:pPr>
    </w:p>
    <w:p w14:paraId="57F667B6" w14:textId="77777777" w:rsidR="006F5A72" w:rsidRPr="009D6147" w:rsidRDefault="006F5A72" w:rsidP="006F5A72">
      <w:pPr>
        <w:rPr>
          <w:rFonts w:asciiTheme="majorHAnsi" w:hAnsiTheme="majorHAnsi" w:cstheme="majorHAnsi"/>
          <w:lang w:eastAsia="en-GB"/>
        </w:rPr>
      </w:pPr>
    </w:p>
    <w:p w14:paraId="2443E3A6" w14:textId="5C7AB006" w:rsidR="00216A28" w:rsidRPr="009D6147" w:rsidRDefault="00216A28" w:rsidP="006F5A72">
      <w:pPr>
        <w:pStyle w:val="Style3"/>
        <w:spacing w:line="276" w:lineRule="auto"/>
        <w:rPr>
          <w:rFonts w:eastAsia="Times New Roman" w:cstheme="majorHAnsi"/>
          <w:sz w:val="22"/>
          <w:szCs w:val="22"/>
          <w:lang w:val="fr-FR" w:eastAsia="en-GB"/>
        </w:rPr>
      </w:pPr>
      <w:bookmarkStart w:id="53" w:name="_Toc227827179"/>
      <w:proofErr w:type="spellStart"/>
      <w:r w:rsidRPr="009D6147">
        <w:rPr>
          <w:rFonts w:eastAsia="Times New Roman" w:cstheme="majorHAnsi"/>
          <w:sz w:val="22"/>
          <w:szCs w:val="22"/>
          <w:lang w:val="fr-FR" w:eastAsia="en-GB"/>
        </w:rPr>
        <w:t>Raporti</w:t>
      </w:r>
      <w:proofErr w:type="spellEnd"/>
      <w:r w:rsidRPr="009D6147">
        <w:rPr>
          <w:rFonts w:eastAsia="Times New Roman" w:cstheme="majorHAnsi"/>
          <w:sz w:val="22"/>
          <w:szCs w:val="22"/>
          <w:lang w:val="fr-FR" w:eastAsia="en-GB"/>
        </w:rPr>
        <w:t xml:space="preserve"> </w:t>
      </w:r>
      <w:proofErr w:type="spellStart"/>
      <w:r w:rsidRPr="009D6147">
        <w:rPr>
          <w:rFonts w:eastAsia="Times New Roman" w:cstheme="majorHAnsi"/>
          <w:sz w:val="22"/>
          <w:szCs w:val="22"/>
          <w:lang w:val="fr-FR" w:eastAsia="en-GB"/>
        </w:rPr>
        <w:t>për</w:t>
      </w:r>
      <w:proofErr w:type="spellEnd"/>
      <w:r w:rsidRPr="009D6147">
        <w:rPr>
          <w:rFonts w:eastAsia="Times New Roman" w:cstheme="majorHAnsi"/>
          <w:sz w:val="22"/>
          <w:szCs w:val="22"/>
          <w:lang w:val="fr-FR" w:eastAsia="en-GB"/>
        </w:rPr>
        <w:t xml:space="preserve"> </w:t>
      </w:r>
      <w:proofErr w:type="spellStart"/>
      <w:r w:rsidRPr="009D6147">
        <w:rPr>
          <w:rFonts w:eastAsia="Times New Roman" w:cstheme="majorHAnsi"/>
          <w:sz w:val="22"/>
          <w:szCs w:val="22"/>
          <w:lang w:val="fr-FR" w:eastAsia="en-GB"/>
        </w:rPr>
        <w:t>qasje</w:t>
      </w:r>
      <w:proofErr w:type="spellEnd"/>
      <w:r w:rsidRPr="009D6147">
        <w:rPr>
          <w:rFonts w:eastAsia="Times New Roman" w:cstheme="majorHAnsi"/>
          <w:sz w:val="22"/>
          <w:szCs w:val="22"/>
          <w:lang w:val="fr-FR" w:eastAsia="en-GB"/>
        </w:rPr>
        <w:t xml:space="preserve"> </w:t>
      </w:r>
      <w:proofErr w:type="spellStart"/>
      <w:r w:rsidRPr="009D6147">
        <w:rPr>
          <w:rFonts w:eastAsia="Times New Roman" w:cstheme="majorHAnsi"/>
          <w:sz w:val="22"/>
          <w:szCs w:val="22"/>
          <w:lang w:val="fr-FR" w:eastAsia="en-GB"/>
        </w:rPr>
        <w:t>në</w:t>
      </w:r>
      <w:proofErr w:type="spellEnd"/>
      <w:r w:rsidRPr="009D6147">
        <w:rPr>
          <w:rFonts w:eastAsia="Times New Roman" w:cstheme="majorHAnsi"/>
          <w:sz w:val="22"/>
          <w:szCs w:val="22"/>
          <w:lang w:val="fr-FR" w:eastAsia="en-GB"/>
        </w:rPr>
        <w:t xml:space="preserve"> </w:t>
      </w:r>
      <w:proofErr w:type="spellStart"/>
      <w:r w:rsidRPr="009D6147">
        <w:rPr>
          <w:rFonts w:eastAsia="Times New Roman" w:cstheme="majorHAnsi"/>
          <w:sz w:val="22"/>
          <w:szCs w:val="22"/>
          <w:lang w:val="fr-FR" w:eastAsia="en-GB"/>
        </w:rPr>
        <w:t>dokumente</w:t>
      </w:r>
      <w:proofErr w:type="spellEnd"/>
      <w:r w:rsidRPr="009D6147">
        <w:rPr>
          <w:rFonts w:eastAsia="Times New Roman" w:cstheme="majorHAnsi"/>
          <w:sz w:val="22"/>
          <w:szCs w:val="22"/>
          <w:lang w:val="fr-FR" w:eastAsia="en-GB"/>
        </w:rPr>
        <w:t xml:space="preserve"> </w:t>
      </w:r>
      <w:proofErr w:type="spellStart"/>
      <w:r w:rsidRPr="009D6147">
        <w:rPr>
          <w:rFonts w:eastAsia="Times New Roman" w:cstheme="majorHAnsi"/>
          <w:sz w:val="22"/>
          <w:szCs w:val="22"/>
          <w:lang w:val="fr-FR" w:eastAsia="en-GB"/>
        </w:rPr>
        <w:t>publike</w:t>
      </w:r>
      <w:bookmarkEnd w:id="53"/>
      <w:proofErr w:type="spellEnd"/>
    </w:p>
    <w:p w14:paraId="42864A0D" w14:textId="77777777" w:rsidR="006F5A72" w:rsidRPr="006F5A72" w:rsidRDefault="006F5A72" w:rsidP="006F5A72">
      <w:pPr>
        <w:spacing w:before="100" w:beforeAutospacing="1" w:after="100" w:afterAutospacing="1" w:line="276" w:lineRule="auto"/>
        <w:rPr>
          <w:rFonts w:asciiTheme="majorHAnsi" w:eastAsia="Times New Roman" w:hAnsiTheme="majorHAnsi" w:cstheme="majorHAnsi"/>
          <w:lang w:val="fr-FR" w:eastAsia="en-GB"/>
        </w:rPr>
      </w:pPr>
      <w:proofErr w:type="spellStart"/>
      <w:r w:rsidRPr="006F5A72">
        <w:rPr>
          <w:rFonts w:asciiTheme="majorHAnsi" w:eastAsia="Times New Roman" w:hAnsiTheme="majorHAnsi" w:cstheme="majorHAnsi"/>
          <w:lang w:val="fr-FR" w:eastAsia="en-GB"/>
        </w:rPr>
        <w:t>Neni</w:t>
      </w:r>
      <w:proofErr w:type="spellEnd"/>
      <w:r w:rsidRPr="006F5A72">
        <w:rPr>
          <w:rFonts w:asciiTheme="majorHAnsi" w:eastAsia="Times New Roman" w:hAnsiTheme="majorHAnsi" w:cstheme="majorHAnsi"/>
          <w:lang w:val="fr-FR" w:eastAsia="en-GB"/>
        </w:rPr>
        <w:t xml:space="preserve"> 31 i </w:t>
      </w:r>
      <w:proofErr w:type="spellStart"/>
      <w:r w:rsidRPr="006F5A72">
        <w:rPr>
          <w:rFonts w:asciiTheme="majorHAnsi" w:eastAsia="Times New Roman" w:hAnsiTheme="majorHAnsi" w:cstheme="majorHAnsi"/>
          <w:lang w:val="fr-FR" w:eastAsia="en-GB"/>
        </w:rPr>
        <w:t>Ligjit</w:t>
      </w:r>
      <w:proofErr w:type="spellEnd"/>
      <w:r w:rsidRPr="006F5A72">
        <w:rPr>
          <w:rFonts w:asciiTheme="majorHAnsi" w:eastAsia="Times New Roman" w:hAnsiTheme="majorHAnsi" w:cstheme="majorHAnsi"/>
          <w:lang w:val="fr-FR" w:eastAsia="en-GB"/>
        </w:rPr>
        <w:t xml:space="preserve"> Nr. 06/L-081 </w:t>
      </w:r>
      <w:proofErr w:type="spellStart"/>
      <w:r w:rsidRPr="006F5A72">
        <w:rPr>
          <w:rFonts w:asciiTheme="majorHAnsi" w:eastAsia="Times New Roman" w:hAnsiTheme="majorHAnsi" w:cstheme="majorHAnsi"/>
          <w:lang w:val="fr-FR" w:eastAsia="en-GB"/>
        </w:rPr>
        <w:t>për</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Qasje</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në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Dokumente</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Publike</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përcakton</w:t>
      </w:r>
      <w:proofErr w:type="spellEnd"/>
      <w:r w:rsidRPr="006F5A72">
        <w:rPr>
          <w:rFonts w:asciiTheme="majorHAnsi" w:eastAsia="Times New Roman" w:hAnsiTheme="majorHAnsi" w:cstheme="majorHAnsi"/>
          <w:lang w:val="fr-FR" w:eastAsia="en-GB"/>
        </w:rPr>
        <w:t xml:space="preserve"> se, me </w:t>
      </w:r>
      <w:proofErr w:type="spellStart"/>
      <w:r w:rsidRPr="006F5A72">
        <w:rPr>
          <w:rFonts w:asciiTheme="majorHAnsi" w:eastAsia="Times New Roman" w:hAnsiTheme="majorHAnsi" w:cstheme="majorHAnsi"/>
          <w:lang w:val="fr-FR" w:eastAsia="en-GB"/>
        </w:rPr>
        <w:t>qëllim</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të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sigurimit</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të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transparencës</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në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punën</w:t>
      </w:r>
      <w:proofErr w:type="spellEnd"/>
      <w:r w:rsidRPr="006F5A72">
        <w:rPr>
          <w:rFonts w:asciiTheme="majorHAnsi" w:eastAsia="Times New Roman" w:hAnsiTheme="majorHAnsi" w:cstheme="majorHAnsi"/>
          <w:lang w:val="fr-FR" w:eastAsia="en-GB"/>
        </w:rPr>
        <w:t xml:space="preserve"> e </w:t>
      </w:r>
      <w:proofErr w:type="spellStart"/>
      <w:r w:rsidRPr="006F5A72">
        <w:rPr>
          <w:rFonts w:asciiTheme="majorHAnsi" w:eastAsia="Times New Roman" w:hAnsiTheme="majorHAnsi" w:cstheme="majorHAnsi"/>
          <w:lang w:val="fr-FR" w:eastAsia="en-GB"/>
        </w:rPr>
        <w:t>institucioneve</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publike</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dhe</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në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lidhje</w:t>
      </w:r>
      <w:proofErr w:type="spellEnd"/>
      <w:r w:rsidRPr="006F5A72">
        <w:rPr>
          <w:rFonts w:asciiTheme="majorHAnsi" w:eastAsia="Times New Roman" w:hAnsiTheme="majorHAnsi" w:cstheme="majorHAnsi"/>
          <w:lang w:val="fr-FR" w:eastAsia="en-GB"/>
        </w:rPr>
        <w:t xml:space="preserve"> me </w:t>
      </w:r>
      <w:proofErr w:type="spellStart"/>
      <w:r w:rsidRPr="006F5A72">
        <w:rPr>
          <w:rFonts w:asciiTheme="majorHAnsi" w:eastAsia="Times New Roman" w:hAnsiTheme="majorHAnsi" w:cstheme="majorHAnsi"/>
          <w:lang w:val="fr-FR" w:eastAsia="en-GB"/>
        </w:rPr>
        <w:t>qasjen</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në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dokumente</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publike</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këto</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institucione</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përmes</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zyrtarit</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përgjegjës</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për</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qasje</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në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dokumente</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publike</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janë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të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obliguara</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të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hartojnë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raport</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vjetor</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më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së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largu</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deri</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në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fund</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të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muajit</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janar</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të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vitit</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aktual</w:t>
      </w:r>
      <w:proofErr w:type="spellEnd"/>
      <w:r w:rsidRPr="006F5A72">
        <w:rPr>
          <w:rFonts w:asciiTheme="majorHAnsi" w:eastAsia="Times New Roman" w:hAnsiTheme="majorHAnsi" w:cstheme="majorHAnsi"/>
          <w:lang w:val="fr-FR" w:eastAsia="en-GB"/>
        </w:rPr>
        <w:t xml:space="preserve">. Ky </w:t>
      </w:r>
      <w:proofErr w:type="spellStart"/>
      <w:r w:rsidRPr="006F5A72">
        <w:rPr>
          <w:rFonts w:asciiTheme="majorHAnsi" w:eastAsia="Times New Roman" w:hAnsiTheme="majorHAnsi" w:cstheme="majorHAnsi"/>
          <w:lang w:val="fr-FR" w:eastAsia="en-GB"/>
        </w:rPr>
        <w:t>raport</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duhet</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të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përfshijë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numrin</w:t>
      </w:r>
      <w:proofErr w:type="spellEnd"/>
      <w:r w:rsidRPr="006F5A72">
        <w:rPr>
          <w:rFonts w:asciiTheme="majorHAnsi" w:eastAsia="Times New Roman" w:hAnsiTheme="majorHAnsi" w:cstheme="majorHAnsi"/>
          <w:lang w:val="fr-FR" w:eastAsia="en-GB"/>
        </w:rPr>
        <w:t xml:space="preserve"> e </w:t>
      </w:r>
      <w:proofErr w:type="spellStart"/>
      <w:r w:rsidRPr="006F5A72">
        <w:rPr>
          <w:rFonts w:asciiTheme="majorHAnsi" w:eastAsia="Times New Roman" w:hAnsiTheme="majorHAnsi" w:cstheme="majorHAnsi"/>
          <w:lang w:val="fr-FR" w:eastAsia="en-GB"/>
        </w:rPr>
        <w:t>rasteve</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në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të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cilat</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është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lejuar</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qasja</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në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dokumente</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publike</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numrin</w:t>
      </w:r>
      <w:proofErr w:type="spellEnd"/>
      <w:r w:rsidRPr="006F5A72">
        <w:rPr>
          <w:rFonts w:asciiTheme="majorHAnsi" w:eastAsia="Times New Roman" w:hAnsiTheme="majorHAnsi" w:cstheme="majorHAnsi"/>
          <w:lang w:val="fr-FR" w:eastAsia="en-GB"/>
        </w:rPr>
        <w:t xml:space="preserve"> e </w:t>
      </w:r>
      <w:proofErr w:type="spellStart"/>
      <w:r w:rsidRPr="006F5A72">
        <w:rPr>
          <w:rFonts w:asciiTheme="majorHAnsi" w:eastAsia="Times New Roman" w:hAnsiTheme="majorHAnsi" w:cstheme="majorHAnsi"/>
          <w:lang w:val="fr-FR" w:eastAsia="en-GB"/>
        </w:rPr>
        <w:t>rasteve</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në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të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cilat</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është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refuzuar</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qasja</w:t>
      </w:r>
      <w:proofErr w:type="spellEnd"/>
      <w:r w:rsidRPr="006F5A72">
        <w:rPr>
          <w:rFonts w:asciiTheme="majorHAnsi" w:eastAsia="Times New Roman" w:hAnsiTheme="majorHAnsi" w:cstheme="majorHAnsi"/>
          <w:lang w:val="fr-FR" w:eastAsia="en-GB"/>
        </w:rPr>
        <w:t xml:space="preserve">, si </w:t>
      </w:r>
      <w:proofErr w:type="spellStart"/>
      <w:r w:rsidRPr="006F5A72">
        <w:rPr>
          <w:rFonts w:asciiTheme="majorHAnsi" w:eastAsia="Times New Roman" w:hAnsiTheme="majorHAnsi" w:cstheme="majorHAnsi"/>
          <w:lang w:val="fr-FR" w:eastAsia="en-GB"/>
        </w:rPr>
        <w:t>dhe</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arsyet</w:t>
      </w:r>
      <w:proofErr w:type="spellEnd"/>
      <w:r w:rsidRPr="006F5A72">
        <w:rPr>
          <w:rFonts w:asciiTheme="majorHAnsi" w:eastAsia="Times New Roman" w:hAnsiTheme="majorHAnsi" w:cstheme="majorHAnsi"/>
          <w:lang w:val="fr-FR" w:eastAsia="en-GB"/>
        </w:rPr>
        <w:t xml:space="preserve"> e </w:t>
      </w:r>
      <w:proofErr w:type="spellStart"/>
      <w:r w:rsidRPr="006F5A72">
        <w:rPr>
          <w:rFonts w:asciiTheme="majorHAnsi" w:eastAsia="Times New Roman" w:hAnsiTheme="majorHAnsi" w:cstheme="majorHAnsi"/>
          <w:lang w:val="fr-FR" w:eastAsia="en-GB"/>
        </w:rPr>
        <w:t>refuzimeve</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për</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periudhën</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deri</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më</w:t>
      </w:r>
      <w:proofErr w:type="spellEnd"/>
      <w:r w:rsidRPr="006F5A72">
        <w:rPr>
          <w:rFonts w:asciiTheme="majorHAnsi" w:eastAsia="Times New Roman" w:hAnsiTheme="majorHAnsi" w:cstheme="majorHAnsi"/>
          <w:lang w:val="fr-FR" w:eastAsia="en-GB"/>
        </w:rPr>
        <w:t xml:space="preserve"> 31 </w:t>
      </w:r>
      <w:proofErr w:type="spellStart"/>
      <w:r w:rsidRPr="006F5A72">
        <w:rPr>
          <w:rFonts w:asciiTheme="majorHAnsi" w:eastAsia="Times New Roman" w:hAnsiTheme="majorHAnsi" w:cstheme="majorHAnsi"/>
          <w:lang w:val="fr-FR" w:eastAsia="en-GB"/>
        </w:rPr>
        <w:t>dhjetor</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të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vitit</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paraprak</w:t>
      </w:r>
      <w:proofErr w:type="spellEnd"/>
      <w:r w:rsidRPr="006F5A72">
        <w:rPr>
          <w:rFonts w:asciiTheme="majorHAnsi" w:eastAsia="Times New Roman" w:hAnsiTheme="majorHAnsi" w:cstheme="majorHAnsi"/>
          <w:lang w:val="fr-FR" w:eastAsia="en-GB"/>
        </w:rPr>
        <w:t>.</w:t>
      </w:r>
    </w:p>
    <w:p w14:paraId="34D3B5C1" w14:textId="45BD8965" w:rsidR="006F5A72" w:rsidRDefault="006F5A72" w:rsidP="006F5A72">
      <w:pPr>
        <w:spacing w:before="100" w:beforeAutospacing="1" w:after="100" w:afterAutospacing="1" w:line="276" w:lineRule="auto"/>
        <w:rPr>
          <w:rFonts w:asciiTheme="majorHAnsi" w:eastAsia="Times New Roman" w:hAnsiTheme="majorHAnsi" w:cstheme="majorHAnsi"/>
          <w:lang w:val="fr-FR" w:eastAsia="en-GB"/>
        </w:rPr>
      </w:pPr>
      <w:proofErr w:type="spellStart"/>
      <w:r w:rsidRPr="006F5A72">
        <w:rPr>
          <w:rFonts w:asciiTheme="majorHAnsi" w:eastAsia="Times New Roman" w:hAnsiTheme="majorHAnsi" w:cstheme="majorHAnsi"/>
          <w:lang w:val="fr-FR" w:eastAsia="en-GB"/>
        </w:rPr>
        <w:t>Të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dhënat</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nga</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monitorimi</w:t>
      </w:r>
      <w:proofErr w:type="spellEnd"/>
      <w:r w:rsidRPr="006F5A72">
        <w:rPr>
          <w:rFonts w:asciiTheme="majorHAnsi" w:eastAsia="Times New Roman" w:hAnsiTheme="majorHAnsi" w:cstheme="majorHAnsi"/>
          <w:lang w:val="fr-FR" w:eastAsia="en-GB"/>
        </w:rPr>
        <w:t xml:space="preserve"> i </w:t>
      </w:r>
      <w:proofErr w:type="spellStart"/>
      <w:r w:rsidRPr="006F5A72">
        <w:rPr>
          <w:rFonts w:asciiTheme="majorHAnsi" w:eastAsia="Times New Roman" w:hAnsiTheme="majorHAnsi" w:cstheme="majorHAnsi"/>
          <w:lang w:val="fr-FR" w:eastAsia="en-GB"/>
        </w:rPr>
        <w:t>ueb-faqeve</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zyrtare</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të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komunave</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për</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periudhën</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janar</w:t>
      </w:r>
      <w:proofErr w:type="spellEnd"/>
      <w:r w:rsidRPr="006F5A72">
        <w:rPr>
          <w:rFonts w:asciiTheme="majorHAnsi" w:eastAsia="Times New Roman" w:hAnsiTheme="majorHAnsi" w:cstheme="majorHAnsi"/>
          <w:lang w:val="fr-FR" w:eastAsia="en-GB"/>
        </w:rPr>
        <w:t>–</w:t>
      </w:r>
      <w:proofErr w:type="spellStart"/>
      <w:r w:rsidRPr="006F5A72">
        <w:rPr>
          <w:rFonts w:asciiTheme="majorHAnsi" w:eastAsia="Times New Roman" w:hAnsiTheme="majorHAnsi" w:cstheme="majorHAnsi"/>
          <w:lang w:val="fr-FR" w:eastAsia="en-GB"/>
        </w:rPr>
        <w:t>dhjetor</w:t>
      </w:r>
      <w:proofErr w:type="spellEnd"/>
      <w:r w:rsidRPr="006F5A72">
        <w:rPr>
          <w:rFonts w:asciiTheme="majorHAnsi" w:eastAsia="Times New Roman" w:hAnsiTheme="majorHAnsi" w:cstheme="majorHAnsi"/>
          <w:lang w:val="fr-FR" w:eastAsia="en-GB"/>
        </w:rPr>
        <w:t xml:space="preserve"> 2025 </w:t>
      </w:r>
      <w:proofErr w:type="spellStart"/>
      <w:r w:rsidRPr="006F5A72">
        <w:rPr>
          <w:rFonts w:asciiTheme="majorHAnsi" w:eastAsia="Times New Roman" w:hAnsiTheme="majorHAnsi" w:cstheme="majorHAnsi"/>
          <w:lang w:val="fr-FR" w:eastAsia="en-GB"/>
        </w:rPr>
        <w:t>tregojnë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se</w:t>
      </w:r>
      <w:proofErr w:type="spellEnd"/>
      <w:r w:rsidRPr="006F5A72">
        <w:rPr>
          <w:rFonts w:asciiTheme="majorHAnsi" w:eastAsia="Times New Roman" w:hAnsiTheme="majorHAnsi" w:cstheme="majorHAnsi"/>
          <w:lang w:val="fr-FR" w:eastAsia="en-GB"/>
        </w:rPr>
        <w:t xml:space="preserve"> 18 </w:t>
      </w:r>
      <w:proofErr w:type="spellStart"/>
      <w:r w:rsidRPr="006F5A72">
        <w:rPr>
          <w:rFonts w:asciiTheme="majorHAnsi" w:eastAsia="Times New Roman" w:hAnsiTheme="majorHAnsi" w:cstheme="majorHAnsi"/>
          <w:lang w:val="fr-FR" w:eastAsia="en-GB"/>
        </w:rPr>
        <w:t>komuna</w:t>
      </w:r>
      <w:proofErr w:type="spellEnd"/>
      <w:r w:rsidRPr="006F5A72">
        <w:rPr>
          <w:rFonts w:asciiTheme="majorHAnsi" w:eastAsia="Times New Roman" w:hAnsiTheme="majorHAnsi" w:cstheme="majorHAnsi"/>
          <w:lang w:val="fr-FR" w:eastAsia="en-GB"/>
        </w:rPr>
        <w:t xml:space="preserve"> (48%) </w:t>
      </w:r>
      <w:proofErr w:type="spellStart"/>
      <w:r w:rsidRPr="006F5A72">
        <w:rPr>
          <w:rFonts w:asciiTheme="majorHAnsi" w:eastAsia="Times New Roman" w:hAnsiTheme="majorHAnsi" w:cstheme="majorHAnsi"/>
          <w:lang w:val="fr-FR" w:eastAsia="en-GB"/>
        </w:rPr>
        <w:t>kanë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publikuar</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raportin</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për</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qasje</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në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dokumente</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publike</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ndërsa</w:t>
      </w:r>
      <w:proofErr w:type="spellEnd"/>
      <w:r w:rsidRPr="006F5A72">
        <w:rPr>
          <w:rFonts w:asciiTheme="majorHAnsi" w:eastAsia="Times New Roman" w:hAnsiTheme="majorHAnsi" w:cstheme="majorHAnsi"/>
          <w:lang w:val="fr-FR" w:eastAsia="en-GB"/>
        </w:rPr>
        <w:t xml:space="preserve"> 20 </w:t>
      </w:r>
      <w:proofErr w:type="spellStart"/>
      <w:r w:rsidRPr="006F5A72">
        <w:rPr>
          <w:rFonts w:asciiTheme="majorHAnsi" w:eastAsia="Times New Roman" w:hAnsiTheme="majorHAnsi" w:cstheme="majorHAnsi"/>
          <w:lang w:val="fr-FR" w:eastAsia="en-GB"/>
        </w:rPr>
        <w:t>komuna</w:t>
      </w:r>
      <w:proofErr w:type="spellEnd"/>
      <w:r w:rsidRPr="006F5A72">
        <w:rPr>
          <w:rFonts w:asciiTheme="majorHAnsi" w:eastAsia="Times New Roman" w:hAnsiTheme="majorHAnsi" w:cstheme="majorHAnsi"/>
          <w:lang w:val="fr-FR" w:eastAsia="en-GB"/>
        </w:rPr>
        <w:t xml:space="preserve"> (52%) </w:t>
      </w:r>
      <w:proofErr w:type="spellStart"/>
      <w:r w:rsidRPr="006F5A72">
        <w:rPr>
          <w:rFonts w:asciiTheme="majorHAnsi" w:eastAsia="Times New Roman" w:hAnsiTheme="majorHAnsi" w:cstheme="majorHAnsi"/>
          <w:lang w:val="fr-FR" w:eastAsia="en-GB"/>
        </w:rPr>
        <w:t>nuk</w:t>
      </w:r>
      <w:proofErr w:type="spellEnd"/>
      <w:r w:rsidRPr="006F5A72">
        <w:rPr>
          <w:rFonts w:asciiTheme="majorHAnsi" w:eastAsia="Times New Roman" w:hAnsiTheme="majorHAnsi" w:cstheme="majorHAnsi"/>
          <w:lang w:val="fr-FR" w:eastAsia="en-GB"/>
        </w:rPr>
        <w:t xml:space="preserve"> e </w:t>
      </w:r>
      <w:proofErr w:type="spellStart"/>
      <w:r w:rsidRPr="006F5A72">
        <w:rPr>
          <w:rFonts w:asciiTheme="majorHAnsi" w:eastAsia="Times New Roman" w:hAnsiTheme="majorHAnsi" w:cstheme="majorHAnsi"/>
          <w:lang w:val="fr-FR" w:eastAsia="en-GB"/>
        </w:rPr>
        <w:t>kanë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publikuar</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këtë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raport</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në</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ueb-faqet</w:t>
      </w:r>
      <w:proofErr w:type="spellEnd"/>
      <w:r w:rsidRPr="006F5A72">
        <w:rPr>
          <w:rFonts w:asciiTheme="majorHAnsi" w:eastAsia="Times New Roman" w:hAnsiTheme="majorHAnsi" w:cstheme="majorHAnsi"/>
          <w:lang w:val="fr-FR" w:eastAsia="en-GB"/>
        </w:rPr>
        <w:t xml:space="preserve"> e </w:t>
      </w:r>
      <w:proofErr w:type="spellStart"/>
      <w:r w:rsidRPr="006F5A72">
        <w:rPr>
          <w:rFonts w:asciiTheme="majorHAnsi" w:eastAsia="Times New Roman" w:hAnsiTheme="majorHAnsi" w:cstheme="majorHAnsi"/>
          <w:lang w:val="fr-FR" w:eastAsia="en-GB"/>
        </w:rPr>
        <w:t>tyre</w:t>
      </w:r>
      <w:proofErr w:type="spellEnd"/>
      <w:r w:rsidRPr="006F5A72">
        <w:rPr>
          <w:rFonts w:asciiTheme="majorHAnsi" w:eastAsia="Times New Roman" w:hAnsiTheme="majorHAnsi" w:cstheme="majorHAnsi"/>
          <w:lang w:val="fr-FR" w:eastAsia="en-GB"/>
        </w:rPr>
        <w:t xml:space="preserve"> </w:t>
      </w:r>
      <w:proofErr w:type="spellStart"/>
      <w:r w:rsidRPr="006F5A72">
        <w:rPr>
          <w:rFonts w:asciiTheme="majorHAnsi" w:eastAsia="Times New Roman" w:hAnsiTheme="majorHAnsi" w:cstheme="majorHAnsi"/>
          <w:lang w:val="fr-FR" w:eastAsia="en-GB"/>
        </w:rPr>
        <w:t>zyrtare</w:t>
      </w:r>
      <w:proofErr w:type="spellEnd"/>
      <w:r w:rsidRPr="006F5A72">
        <w:rPr>
          <w:rFonts w:asciiTheme="majorHAnsi" w:eastAsia="Times New Roman" w:hAnsiTheme="majorHAnsi" w:cstheme="majorHAnsi"/>
          <w:lang w:val="fr-FR" w:eastAsia="en-GB"/>
        </w:rPr>
        <w:t>.</w:t>
      </w:r>
    </w:p>
    <w:p w14:paraId="20AE0E42" w14:textId="7DF68E21" w:rsidR="006F5A72" w:rsidRPr="00E271C1" w:rsidRDefault="00E271C1" w:rsidP="006F5A72">
      <w:pPr>
        <w:spacing w:before="100" w:beforeAutospacing="1" w:after="100" w:afterAutospacing="1" w:line="276" w:lineRule="auto"/>
        <w:rPr>
          <w:rFonts w:asciiTheme="majorHAnsi" w:eastAsia="Times New Roman" w:hAnsiTheme="majorHAnsi" w:cstheme="majorHAnsi"/>
          <w:lang w:eastAsia="en-GB"/>
        </w:rPr>
      </w:pPr>
      <w:r w:rsidRPr="00E271C1">
        <w:rPr>
          <w:rFonts w:asciiTheme="majorHAnsi" w:hAnsiTheme="majorHAnsi" w:cstheme="majorHAnsi"/>
        </w:rPr>
        <w:t>Krahasuar me vitin 2024, kur 25 komuna kishin publikuar raportin ndërsa 13 komuna nuk e kishin publikuar, në vitin 2025 vërehet një rënie në numrin e komunave që kanë publikuar raportin vjetor. Kjo tregon një nivel më të ulët të transparencës së komunave në publikimin e raportit për qasje në dokumente publike</w:t>
      </w:r>
    </w:p>
    <w:p w14:paraId="7ED877BB" w14:textId="5DD2D444" w:rsidR="007F504A" w:rsidRPr="00E271C1" w:rsidRDefault="006F5A72" w:rsidP="006F5A72">
      <w:pPr>
        <w:spacing w:before="100" w:beforeAutospacing="1" w:after="100" w:afterAutospacing="1" w:line="276" w:lineRule="auto"/>
        <w:rPr>
          <w:rFonts w:asciiTheme="majorHAnsi" w:eastAsia="Times New Roman" w:hAnsiTheme="majorHAnsi" w:cstheme="majorHAnsi"/>
          <w:lang w:eastAsia="en-GB"/>
        </w:rPr>
      </w:pPr>
      <w:r w:rsidRPr="00E271C1">
        <w:rPr>
          <w:rFonts w:asciiTheme="majorHAnsi" w:eastAsia="Times New Roman" w:hAnsiTheme="majorHAnsi" w:cstheme="majorHAnsi"/>
          <w:lang w:eastAsia="en-GB"/>
        </w:rPr>
        <w:t>Në vijim paraqitet figura me numrin e komunave që kanë publikuar raportin për qasje në dokumente publike.</w:t>
      </w:r>
    </w:p>
    <w:p w14:paraId="570DC5E3" w14:textId="64321F53" w:rsidR="000A7D95" w:rsidRPr="009D6147" w:rsidRDefault="007F504A" w:rsidP="00216A28">
      <w:pPr>
        <w:spacing w:before="1" w:line="276" w:lineRule="auto"/>
        <w:ind w:right="1435"/>
        <w:rPr>
          <w:rFonts w:asciiTheme="majorHAnsi" w:hAnsiTheme="majorHAnsi" w:cstheme="majorHAnsi"/>
        </w:rPr>
      </w:pPr>
      <w:r w:rsidRPr="009D6147">
        <w:rPr>
          <w:rFonts w:asciiTheme="majorHAnsi" w:hAnsiTheme="majorHAnsi" w:cstheme="majorHAnsi"/>
          <w:noProof/>
          <w:lang w:eastAsia="sq-AL"/>
        </w:rPr>
        <w:drawing>
          <wp:inline distT="0" distB="0" distL="0" distR="0" wp14:anchorId="46C60DC5" wp14:editId="3133EBA1">
            <wp:extent cx="5802630" cy="1660849"/>
            <wp:effectExtent l="0" t="0" r="7620" b="15875"/>
            <wp:docPr id="35" name="Chart 35">
              <a:extLst xmlns:a="http://schemas.openxmlformats.org/drawingml/2006/main">
                <a:ext uri="{FF2B5EF4-FFF2-40B4-BE49-F238E27FC236}">
                  <a16:creationId xmlns:a16="http://schemas.microsoft.com/office/drawing/2014/main" id="{BACF05DA-5BF8-415D-89D5-2CFC454CC8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Start w:id="54" w:name="_Toc56692987"/>
      <w:bookmarkStart w:id="55" w:name="_Toc81401213"/>
      <w:bookmarkEnd w:id="48"/>
      <w:bookmarkEnd w:id="49"/>
    </w:p>
    <w:p w14:paraId="05F5C061" w14:textId="34980E53" w:rsidR="004461DD" w:rsidRPr="009D6147" w:rsidRDefault="00261961" w:rsidP="006F5A72">
      <w:pPr>
        <w:spacing w:line="276" w:lineRule="auto"/>
        <w:jc w:val="center"/>
        <w:rPr>
          <w:rFonts w:asciiTheme="majorHAnsi" w:eastAsia="Times New Roman" w:hAnsiTheme="majorHAnsi" w:cstheme="majorHAnsi"/>
          <w:b/>
          <w:i/>
          <w:sz w:val="16"/>
          <w:szCs w:val="16"/>
        </w:rPr>
      </w:pPr>
      <w:r w:rsidRPr="009D6147">
        <w:rPr>
          <w:rFonts w:asciiTheme="majorHAnsi" w:eastAsia="Times New Roman" w:hAnsiTheme="majorHAnsi" w:cstheme="majorHAnsi"/>
          <w:i/>
          <w:sz w:val="16"/>
          <w:szCs w:val="16"/>
        </w:rPr>
        <w:t>Fig.</w:t>
      </w:r>
      <w:r w:rsidR="00216A28" w:rsidRPr="009D6147">
        <w:rPr>
          <w:rFonts w:asciiTheme="majorHAnsi" w:eastAsia="Times New Roman" w:hAnsiTheme="majorHAnsi" w:cstheme="majorHAnsi"/>
          <w:i/>
          <w:sz w:val="16"/>
          <w:szCs w:val="16"/>
        </w:rPr>
        <w:t>21</w:t>
      </w:r>
      <w:r w:rsidR="0071735D" w:rsidRPr="009D6147">
        <w:rPr>
          <w:rFonts w:asciiTheme="majorHAnsi" w:eastAsia="Times New Roman" w:hAnsiTheme="majorHAnsi" w:cstheme="majorHAnsi"/>
          <w:i/>
          <w:sz w:val="16"/>
          <w:szCs w:val="16"/>
        </w:rPr>
        <w:t>. Raporti për qasje në dokumente publike</w:t>
      </w:r>
    </w:p>
    <w:p w14:paraId="7239BA4D" w14:textId="77777777" w:rsidR="00E0466F" w:rsidRPr="009D6147" w:rsidRDefault="00321158" w:rsidP="00642BCD">
      <w:pPr>
        <w:pStyle w:val="Style2"/>
        <w:rPr>
          <w:rFonts w:asciiTheme="majorHAnsi" w:hAnsiTheme="majorHAnsi" w:cstheme="majorHAnsi"/>
        </w:rPr>
      </w:pPr>
      <w:bookmarkStart w:id="56" w:name="_Toc85812822"/>
      <w:bookmarkStart w:id="57" w:name="_Toc163220246"/>
      <w:bookmarkStart w:id="58" w:name="_Toc227827180"/>
      <w:r w:rsidRPr="009D6147">
        <w:rPr>
          <w:rFonts w:asciiTheme="majorHAnsi" w:hAnsiTheme="majorHAnsi" w:cstheme="majorHAnsi"/>
        </w:rPr>
        <w:t>TRANSPARENCA FINANCIARE</w:t>
      </w:r>
      <w:bookmarkEnd w:id="54"/>
      <w:bookmarkEnd w:id="55"/>
      <w:bookmarkEnd w:id="56"/>
      <w:bookmarkEnd w:id="57"/>
      <w:bookmarkEnd w:id="58"/>
      <w:r w:rsidRPr="009D6147">
        <w:rPr>
          <w:rFonts w:asciiTheme="majorHAnsi" w:hAnsiTheme="majorHAnsi" w:cstheme="majorHAnsi"/>
        </w:rPr>
        <w:t xml:space="preserve"> </w:t>
      </w:r>
    </w:p>
    <w:p w14:paraId="2BAD211F" w14:textId="77777777" w:rsidR="00E0466F" w:rsidRPr="009D6147" w:rsidRDefault="00E0466F" w:rsidP="00A70BC5">
      <w:pPr>
        <w:spacing w:line="276" w:lineRule="auto"/>
        <w:rPr>
          <w:rFonts w:asciiTheme="majorHAnsi" w:hAnsiTheme="majorHAnsi" w:cstheme="majorHAnsi"/>
          <w:color w:val="000000" w:themeColor="text1"/>
          <w:sz w:val="24"/>
          <w:szCs w:val="24"/>
        </w:rPr>
      </w:pPr>
    </w:p>
    <w:p w14:paraId="2BDC738F" w14:textId="77777777" w:rsidR="00E25C16" w:rsidRPr="009D6147" w:rsidRDefault="324C38FD" w:rsidP="00A70BC5">
      <w:pPr>
        <w:spacing w:line="276" w:lineRule="auto"/>
        <w:rPr>
          <w:rFonts w:asciiTheme="majorHAnsi" w:eastAsia="Times New Roman" w:hAnsiTheme="majorHAnsi" w:cstheme="majorHAnsi"/>
          <w:color w:val="000000" w:themeColor="text1"/>
        </w:rPr>
      </w:pPr>
      <w:r w:rsidRPr="009D6147">
        <w:rPr>
          <w:rFonts w:asciiTheme="majorHAnsi" w:hAnsiTheme="majorHAnsi" w:cstheme="majorHAnsi"/>
          <w:color w:val="000000" w:themeColor="text1"/>
        </w:rPr>
        <w:t xml:space="preserve">Transparenca financiare </w:t>
      </w:r>
      <w:r w:rsidR="2F0F97E2" w:rsidRPr="009D6147">
        <w:rPr>
          <w:rFonts w:asciiTheme="majorHAnsi" w:hAnsiTheme="majorHAnsi" w:cstheme="majorHAnsi"/>
          <w:color w:val="000000" w:themeColor="text1"/>
        </w:rPr>
        <w:t>ë</w:t>
      </w:r>
      <w:r w:rsidRPr="009D6147">
        <w:rPr>
          <w:rFonts w:asciiTheme="majorHAnsi" w:hAnsiTheme="majorHAnsi" w:cstheme="majorHAnsi"/>
          <w:color w:val="000000" w:themeColor="text1"/>
        </w:rPr>
        <w:t>sht</w:t>
      </w:r>
      <w:r w:rsidR="2F0F97E2" w:rsidRPr="009D6147">
        <w:rPr>
          <w:rFonts w:asciiTheme="majorHAnsi" w:hAnsiTheme="majorHAnsi" w:cstheme="majorHAnsi"/>
          <w:color w:val="000000" w:themeColor="text1"/>
        </w:rPr>
        <w:t>ë</w:t>
      </w:r>
      <w:r w:rsidRPr="009D6147">
        <w:rPr>
          <w:rFonts w:asciiTheme="majorHAnsi" w:hAnsiTheme="majorHAnsi" w:cstheme="majorHAnsi"/>
          <w:color w:val="000000" w:themeColor="text1"/>
        </w:rPr>
        <w:t xml:space="preserve"> nj</w:t>
      </w:r>
      <w:r w:rsidR="2F0F97E2" w:rsidRPr="009D6147">
        <w:rPr>
          <w:rFonts w:asciiTheme="majorHAnsi" w:hAnsiTheme="majorHAnsi" w:cstheme="majorHAnsi"/>
          <w:color w:val="000000" w:themeColor="text1"/>
        </w:rPr>
        <w:t>ë</w:t>
      </w:r>
      <w:r w:rsidRPr="009D6147">
        <w:rPr>
          <w:rFonts w:asciiTheme="majorHAnsi" w:hAnsiTheme="majorHAnsi" w:cstheme="majorHAnsi"/>
          <w:color w:val="000000" w:themeColor="text1"/>
        </w:rPr>
        <w:t xml:space="preserve"> nga kriteret kryesore t</w:t>
      </w:r>
      <w:r w:rsidR="2F0F97E2" w:rsidRPr="009D6147">
        <w:rPr>
          <w:rFonts w:asciiTheme="majorHAnsi" w:hAnsiTheme="majorHAnsi" w:cstheme="majorHAnsi"/>
          <w:color w:val="000000" w:themeColor="text1"/>
        </w:rPr>
        <w:t>ë</w:t>
      </w:r>
      <w:r w:rsidRPr="009D6147">
        <w:rPr>
          <w:rFonts w:asciiTheme="majorHAnsi" w:hAnsiTheme="majorHAnsi" w:cstheme="majorHAnsi"/>
          <w:color w:val="000000" w:themeColor="text1"/>
        </w:rPr>
        <w:t xml:space="preserve"> qeverisjes s</w:t>
      </w:r>
      <w:r w:rsidR="2F0F97E2" w:rsidRPr="009D6147">
        <w:rPr>
          <w:rFonts w:asciiTheme="majorHAnsi" w:hAnsiTheme="majorHAnsi" w:cstheme="majorHAnsi"/>
          <w:color w:val="000000" w:themeColor="text1"/>
        </w:rPr>
        <w:t>ë</w:t>
      </w:r>
      <w:r w:rsidRPr="009D6147">
        <w:rPr>
          <w:rFonts w:asciiTheme="majorHAnsi" w:hAnsiTheme="majorHAnsi" w:cstheme="majorHAnsi"/>
          <w:color w:val="000000" w:themeColor="text1"/>
        </w:rPr>
        <w:t xml:space="preserve"> mir</w:t>
      </w:r>
      <w:r w:rsidR="2F0F97E2" w:rsidRPr="009D6147">
        <w:rPr>
          <w:rFonts w:asciiTheme="majorHAnsi" w:hAnsiTheme="majorHAnsi" w:cstheme="majorHAnsi"/>
          <w:color w:val="000000" w:themeColor="text1"/>
        </w:rPr>
        <w:t>ë</w:t>
      </w:r>
      <w:r w:rsidRPr="009D6147">
        <w:rPr>
          <w:rFonts w:asciiTheme="majorHAnsi" w:hAnsiTheme="majorHAnsi" w:cstheme="majorHAnsi"/>
          <w:color w:val="000000" w:themeColor="text1"/>
        </w:rPr>
        <w:t xml:space="preserve"> q</w:t>
      </w:r>
      <w:r w:rsidR="2F0F97E2" w:rsidRPr="009D6147">
        <w:rPr>
          <w:rFonts w:asciiTheme="majorHAnsi" w:hAnsiTheme="majorHAnsi" w:cstheme="majorHAnsi"/>
          <w:color w:val="000000" w:themeColor="text1"/>
        </w:rPr>
        <w:t>ë</w:t>
      </w:r>
      <w:r w:rsidRPr="009D6147">
        <w:rPr>
          <w:rFonts w:asciiTheme="majorHAnsi" w:hAnsiTheme="majorHAnsi" w:cstheme="majorHAnsi"/>
          <w:color w:val="000000" w:themeColor="text1"/>
        </w:rPr>
        <w:t xml:space="preserve"> ndikon n</w:t>
      </w:r>
      <w:r w:rsidR="2F0F97E2" w:rsidRPr="009D6147">
        <w:rPr>
          <w:rFonts w:asciiTheme="majorHAnsi" w:hAnsiTheme="majorHAnsi" w:cstheme="majorHAnsi"/>
          <w:color w:val="000000" w:themeColor="text1"/>
        </w:rPr>
        <w:t>ë</w:t>
      </w:r>
      <w:r w:rsidRPr="009D6147">
        <w:rPr>
          <w:rFonts w:asciiTheme="majorHAnsi" w:hAnsiTheme="majorHAnsi" w:cstheme="majorHAnsi"/>
          <w:color w:val="000000" w:themeColor="text1"/>
        </w:rPr>
        <w:t xml:space="preserve"> rritjen e llogaridh</w:t>
      </w:r>
      <w:r w:rsidR="2F0F97E2" w:rsidRPr="009D6147">
        <w:rPr>
          <w:rFonts w:asciiTheme="majorHAnsi" w:hAnsiTheme="majorHAnsi" w:cstheme="majorHAnsi"/>
          <w:color w:val="000000" w:themeColor="text1"/>
        </w:rPr>
        <w:t>ë</w:t>
      </w:r>
      <w:r w:rsidRPr="009D6147">
        <w:rPr>
          <w:rFonts w:asciiTheme="majorHAnsi" w:hAnsiTheme="majorHAnsi" w:cstheme="majorHAnsi"/>
          <w:color w:val="000000" w:themeColor="text1"/>
        </w:rPr>
        <w:t>nies s</w:t>
      </w:r>
      <w:r w:rsidR="2F0F97E2" w:rsidRPr="009D6147">
        <w:rPr>
          <w:rFonts w:asciiTheme="majorHAnsi" w:hAnsiTheme="majorHAnsi" w:cstheme="majorHAnsi"/>
          <w:color w:val="000000" w:themeColor="text1"/>
        </w:rPr>
        <w:t>ë</w:t>
      </w:r>
      <w:r w:rsidRPr="009D6147">
        <w:rPr>
          <w:rFonts w:asciiTheme="majorHAnsi" w:hAnsiTheme="majorHAnsi" w:cstheme="majorHAnsi"/>
          <w:color w:val="000000" w:themeColor="text1"/>
        </w:rPr>
        <w:t xml:space="preserve"> organeve komunale para qytetar</w:t>
      </w:r>
      <w:r w:rsidR="2F0F97E2" w:rsidRPr="009D6147">
        <w:rPr>
          <w:rFonts w:asciiTheme="majorHAnsi" w:hAnsiTheme="majorHAnsi" w:cstheme="majorHAnsi"/>
          <w:color w:val="000000" w:themeColor="text1"/>
        </w:rPr>
        <w:t>ë</w:t>
      </w:r>
      <w:r w:rsidR="1AAD1FC4" w:rsidRPr="009D6147">
        <w:rPr>
          <w:rFonts w:asciiTheme="majorHAnsi" w:hAnsiTheme="majorHAnsi" w:cstheme="majorHAnsi"/>
          <w:color w:val="000000" w:themeColor="text1"/>
        </w:rPr>
        <w:t>ve</w:t>
      </w:r>
      <w:r w:rsidR="000702D0" w:rsidRPr="009D6147">
        <w:rPr>
          <w:rFonts w:asciiTheme="majorHAnsi" w:hAnsiTheme="majorHAnsi" w:cstheme="majorHAnsi"/>
          <w:color w:val="000000" w:themeColor="text1"/>
        </w:rPr>
        <w:t xml:space="preserve">. </w:t>
      </w:r>
      <w:r w:rsidR="2B6D95DB" w:rsidRPr="009D6147">
        <w:rPr>
          <w:rFonts w:asciiTheme="majorHAnsi" w:hAnsiTheme="majorHAnsi" w:cstheme="majorHAnsi"/>
          <w:color w:val="000000" w:themeColor="text1"/>
        </w:rPr>
        <w:t>Rëndësia e transparencës ndikon në aspekte të shumta duke përfshirë qëndrueshmërinë ekonomike, financiare, qeverisjen e mirë, si dhe në sistemin e përg</w:t>
      </w:r>
      <w:r w:rsidR="005B625E" w:rsidRPr="009D6147">
        <w:rPr>
          <w:rFonts w:asciiTheme="majorHAnsi" w:hAnsiTheme="majorHAnsi" w:cstheme="majorHAnsi"/>
          <w:color w:val="000000" w:themeColor="text1"/>
        </w:rPr>
        <w:t xml:space="preserve">jithshëm të administratës </w:t>
      </w:r>
      <w:r w:rsidR="000702D0" w:rsidRPr="009D6147">
        <w:rPr>
          <w:rFonts w:asciiTheme="majorHAnsi" w:hAnsiTheme="majorHAnsi" w:cstheme="majorHAnsi"/>
          <w:color w:val="000000" w:themeColor="text1"/>
        </w:rPr>
        <w:t>shtetërorë</w:t>
      </w:r>
      <w:r w:rsidR="2B6D95DB" w:rsidRPr="009D6147">
        <w:rPr>
          <w:rFonts w:asciiTheme="majorHAnsi" w:hAnsiTheme="majorHAnsi" w:cstheme="majorHAnsi"/>
          <w:color w:val="000000" w:themeColor="text1"/>
        </w:rPr>
        <w:t xml:space="preserve">.  </w:t>
      </w:r>
      <w:r w:rsidRPr="009D6147">
        <w:rPr>
          <w:rFonts w:asciiTheme="majorHAnsi" w:hAnsiTheme="majorHAnsi" w:cstheme="majorHAnsi"/>
          <w:color w:val="000000" w:themeColor="text1"/>
        </w:rPr>
        <w:t>Përmes këtij parimi mundësohet hapja e administratës para shoqërisë, informimi për pun</w:t>
      </w:r>
      <w:r w:rsidR="005B625E" w:rsidRPr="009D6147">
        <w:rPr>
          <w:rFonts w:asciiTheme="majorHAnsi" w:hAnsiTheme="majorHAnsi" w:cstheme="majorHAnsi"/>
          <w:color w:val="000000" w:themeColor="text1"/>
        </w:rPr>
        <w:t>ën e saj mund të bëhet në mënyra</w:t>
      </w:r>
      <w:r w:rsidRPr="009D6147">
        <w:rPr>
          <w:rFonts w:asciiTheme="majorHAnsi" w:hAnsiTheme="majorHAnsi" w:cstheme="majorHAnsi"/>
          <w:color w:val="000000" w:themeColor="text1"/>
        </w:rPr>
        <w:t xml:space="preserve"> të ndryshme dhe në vëllim</w:t>
      </w:r>
      <w:r w:rsidR="005B625E" w:rsidRPr="009D6147">
        <w:rPr>
          <w:rFonts w:asciiTheme="majorHAnsi" w:hAnsiTheme="majorHAnsi" w:cstheme="majorHAnsi"/>
          <w:color w:val="000000" w:themeColor="text1"/>
        </w:rPr>
        <w:t>e të ndryshme</w:t>
      </w:r>
      <w:r w:rsidRPr="009D6147">
        <w:rPr>
          <w:rFonts w:asciiTheme="majorHAnsi" w:hAnsiTheme="majorHAnsi" w:cstheme="majorHAnsi"/>
          <w:color w:val="000000" w:themeColor="text1"/>
        </w:rPr>
        <w:t>, parim që mund të kufizohet vetëm në rastet e caktuara në legjislacionin e secilit vend. Transparenca financiare b</w:t>
      </w:r>
      <w:r w:rsidR="2F0F97E2" w:rsidRPr="009D6147">
        <w:rPr>
          <w:rFonts w:asciiTheme="majorHAnsi" w:hAnsiTheme="majorHAnsi" w:cstheme="majorHAnsi"/>
          <w:color w:val="000000" w:themeColor="text1"/>
        </w:rPr>
        <w:t>ë</w:t>
      </w:r>
      <w:r w:rsidRPr="009D6147">
        <w:rPr>
          <w:rFonts w:asciiTheme="majorHAnsi" w:hAnsiTheme="majorHAnsi" w:cstheme="majorHAnsi"/>
          <w:color w:val="000000" w:themeColor="text1"/>
        </w:rPr>
        <w:t>n</w:t>
      </w:r>
      <w:r w:rsidR="2F0F97E2" w:rsidRPr="009D6147">
        <w:rPr>
          <w:rFonts w:asciiTheme="majorHAnsi" w:hAnsiTheme="majorHAnsi" w:cstheme="majorHAnsi"/>
          <w:color w:val="000000" w:themeColor="text1"/>
        </w:rPr>
        <w:t>ë</w:t>
      </w:r>
      <w:r w:rsidRPr="009D6147">
        <w:rPr>
          <w:rFonts w:asciiTheme="majorHAnsi" w:hAnsiTheme="majorHAnsi" w:cstheme="majorHAnsi"/>
          <w:color w:val="000000" w:themeColor="text1"/>
        </w:rPr>
        <w:t xml:space="preserve"> q</w:t>
      </w:r>
      <w:r w:rsidR="2F0F97E2" w:rsidRPr="009D6147">
        <w:rPr>
          <w:rFonts w:asciiTheme="majorHAnsi" w:hAnsiTheme="majorHAnsi" w:cstheme="majorHAnsi"/>
          <w:color w:val="000000" w:themeColor="text1"/>
        </w:rPr>
        <w:t>ë</w:t>
      </w:r>
      <w:r w:rsidRPr="009D6147">
        <w:rPr>
          <w:rFonts w:asciiTheme="majorHAnsi" w:hAnsiTheme="majorHAnsi" w:cstheme="majorHAnsi"/>
          <w:color w:val="000000" w:themeColor="text1"/>
        </w:rPr>
        <w:t xml:space="preserve"> administrata t</w:t>
      </w:r>
      <w:r w:rsidR="2F0F97E2" w:rsidRPr="009D6147">
        <w:rPr>
          <w:rFonts w:asciiTheme="majorHAnsi" w:hAnsiTheme="majorHAnsi" w:cstheme="majorHAnsi"/>
          <w:color w:val="000000" w:themeColor="text1"/>
        </w:rPr>
        <w:t>ë</w:t>
      </w:r>
      <w:r w:rsidR="00927EF1" w:rsidRPr="009D6147">
        <w:rPr>
          <w:rFonts w:asciiTheme="majorHAnsi" w:hAnsiTheme="majorHAnsi" w:cstheme="majorHAnsi"/>
          <w:color w:val="000000" w:themeColor="text1"/>
        </w:rPr>
        <w:t xml:space="preserve"> </w:t>
      </w:r>
      <w:r w:rsidRPr="009D6147">
        <w:rPr>
          <w:rFonts w:asciiTheme="majorHAnsi" w:hAnsiTheme="majorHAnsi" w:cstheme="majorHAnsi"/>
          <w:color w:val="000000" w:themeColor="text1"/>
        </w:rPr>
        <w:t>jet</w:t>
      </w:r>
      <w:r w:rsidR="2F0F97E2" w:rsidRPr="009D6147">
        <w:rPr>
          <w:rFonts w:asciiTheme="majorHAnsi" w:hAnsiTheme="majorHAnsi" w:cstheme="majorHAnsi"/>
          <w:color w:val="000000" w:themeColor="text1"/>
        </w:rPr>
        <w:t>ë</w:t>
      </w:r>
      <w:r w:rsidRPr="009D6147">
        <w:rPr>
          <w:rFonts w:asciiTheme="majorHAnsi" w:hAnsiTheme="majorHAnsi" w:cstheme="majorHAnsi"/>
          <w:color w:val="000000" w:themeColor="text1"/>
        </w:rPr>
        <w:t xml:space="preserve"> </w:t>
      </w:r>
      <w:r w:rsidR="00F5429A" w:rsidRPr="009D6147">
        <w:rPr>
          <w:rFonts w:asciiTheme="majorHAnsi" w:hAnsiTheme="majorHAnsi" w:cstheme="majorHAnsi"/>
          <w:color w:val="000000" w:themeColor="text1"/>
        </w:rPr>
        <w:t xml:space="preserve">e qasshme </w:t>
      </w:r>
      <w:r w:rsidR="00927EF1" w:rsidRPr="009D6147">
        <w:rPr>
          <w:rFonts w:asciiTheme="majorHAnsi" w:hAnsiTheme="majorHAnsi" w:cstheme="majorHAnsi"/>
          <w:color w:val="000000" w:themeColor="text1"/>
        </w:rPr>
        <w:t xml:space="preserve">nga </w:t>
      </w:r>
      <w:r w:rsidR="00F5429A" w:rsidRPr="009D6147">
        <w:rPr>
          <w:rFonts w:asciiTheme="majorHAnsi" w:hAnsiTheme="majorHAnsi" w:cstheme="majorHAnsi"/>
          <w:color w:val="000000" w:themeColor="text1"/>
        </w:rPr>
        <w:t>jashtë</w:t>
      </w:r>
      <w:r w:rsidR="00927EF1" w:rsidRPr="009D6147">
        <w:rPr>
          <w:rFonts w:asciiTheme="majorHAnsi" w:hAnsiTheme="majorHAnsi" w:cstheme="majorHAnsi"/>
          <w:color w:val="000000" w:themeColor="text1"/>
        </w:rPr>
        <w:t>.</w:t>
      </w:r>
      <w:r w:rsidRPr="009D6147">
        <w:rPr>
          <w:rFonts w:asciiTheme="majorHAnsi" w:hAnsiTheme="majorHAnsi" w:cstheme="majorHAnsi"/>
          <w:color w:val="000000" w:themeColor="text1"/>
        </w:rPr>
        <w:t xml:space="preserve"> </w:t>
      </w:r>
      <w:r w:rsidRPr="009D6147">
        <w:rPr>
          <w:rFonts w:asciiTheme="majorHAnsi" w:eastAsia="Times New Roman" w:hAnsiTheme="majorHAnsi" w:cstheme="majorHAnsi"/>
          <w:color w:val="000000" w:themeColor="text1"/>
        </w:rPr>
        <w:t>P</w:t>
      </w:r>
      <w:r w:rsidR="2F0F97E2" w:rsidRPr="009D6147">
        <w:rPr>
          <w:rFonts w:asciiTheme="majorHAnsi" w:eastAsia="Times New Roman" w:hAnsiTheme="majorHAnsi" w:cstheme="majorHAnsi"/>
          <w:color w:val="000000" w:themeColor="text1"/>
        </w:rPr>
        <w:t>ë</w:t>
      </w:r>
      <w:r w:rsidRPr="009D6147">
        <w:rPr>
          <w:rFonts w:asciiTheme="majorHAnsi" w:eastAsia="Times New Roman" w:hAnsiTheme="majorHAnsi" w:cstheme="majorHAnsi"/>
          <w:color w:val="000000" w:themeColor="text1"/>
        </w:rPr>
        <w:t>r k</w:t>
      </w:r>
      <w:r w:rsidR="2F0F97E2" w:rsidRPr="009D6147">
        <w:rPr>
          <w:rFonts w:asciiTheme="majorHAnsi" w:eastAsia="Times New Roman" w:hAnsiTheme="majorHAnsi" w:cstheme="majorHAnsi"/>
          <w:color w:val="000000" w:themeColor="text1"/>
        </w:rPr>
        <w:t>ë</w:t>
      </w:r>
      <w:r w:rsidRPr="009D6147">
        <w:rPr>
          <w:rFonts w:asciiTheme="majorHAnsi" w:eastAsia="Times New Roman" w:hAnsiTheme="majorHAnsi" w:cstheme="majorHAnsi"/>
          <w:color w:val="000000" w:themeColor="text1"/>
        </w:rPr>
        <w:t>t</w:t>
      </w:r>
      <w:r w:rsidR="2F0F97E2" w:rsidRPr="009D6147">
        <w:rPr>
          <w:rFonts w:asciiTheme="majorHAnsi" w:eastAsia="Times New Roman" w:hAnsiTheme="majorHAnsi" w:cstheme="majorHAnsi"/>
          <w:color w:val="000000" w:themeColor="text1"/>
        </w:rPr>
        <w:t>ë</w:t>
      </w:r>
      <w:r w:rsidR="00F5429A" w:rsidRPr="009D6147">
        <w:rPr>
          <w:rFonts w:asciiTheme="majorHAnsi" w:eastAsia="Times New Roman" w:hAnsiTheme="majorHAnsi" w:cstheme="majorHAnsi"/>
          <w:color w:val="000000" w:themeColor="text1"/>
        </w:rPr>
        <w:t xml:space="preserve"> arsye</w:t>
      </w:r>
      <w:r w:rsidRPr="009D6147">
        <w:rPr>
          <w:rFonts w:asciiTheme="majorHAnsi" w:eastAsia="Times New Roman" w:hAnsiTheme="majorHAnsi" w:cstheme="majorHAnsi"/>
          <w:color w:val="000000" w:themeColor="text1"/>
        </w:rPr>
        <w:t xml:space="preserve"> ueb-faqet zyrtare të institucioneve publike janë platformat bazë dhe më të aplikueshmet për komunikimin e informatave për qytetarë, dhënien e informacioneve për fushëveprimin e tyre, menaxhimi</w:t>
      </w:r>
      <w:r w:rsidR="00433624" w:rsidRPr="009D6147">
        <w:rPr>
          <w:rFonts w:asciiTheme="majorHAnsi" w:eastAsia="Times New Roman" w:hAnsiTheme="majorHAnsi" w:cstheme="majorHAnsi"/>
          <w:color w:val="000000" w:themeColor="text1"/>
        </w:rPr>
        <w:t xml:space="preserve">n </w:t>
      </w:r>
      <w:r w:rsidRPr="009D6147">
        <w:rPr>
          <w:rFonts w:asciiTheme="majorHAnsi" w:eastAsia="Times New Roman" w:hAnsiTheme="majorHAnsi" w:cstheme="majorHAnsi"/>
          <w:color w:val="000000" w:themeColor="text1"/>
        </w:rPr>
        <w:t>financiar, aktivitete</w:t>
      </w:r>
      <w:r w:rsidR="00433624" w:rsidRPr="009D6147">
        <w:rPr>
          <w:rFonts w:asciiTheme="majorHAnsi" w:eastAsia="Times New Roman" w:hAnsiTheme="majorHAnsi" w:cstheme="majorHAnsi"/>
          <w:color w:val="000000" w:themeColor="text1"/>
        </w:rPr>
        <w:t>t</w:t>
      </w:r>
      <w:r w:rsidRPr="009D6147">
        <w:rPr>
          <w:rFonts w:asciiTheme="majorHAnsi" w:eastAsia="Times New Roman" w:hAnsiTheme="majorHAnsi" w:cstheme="majorHAnsi"/>
          <w:color w:val="000000" w:themeColor="text1"/>
        </w:rPr>
        <w:t xml:space="preserve"> </w:t>
      </w:r>
      <w:r w:rsidR="00433624" w:rsidRPr="009D6147">
        <w:rPr>
          <w:rFonts w:asciiTheme="majorHAnsi" w:eastAsia="Times New Roman" w:hAnsiTheme="majorHAnsi" w:cstheme="majorHAnsi"/>
          <w:color w:val="000000" w:themeColor="text1"/>
        </w:rPr>
        <w:t>e</w:t>
      </w:r>
      <w:r w:rsidRPr="009D6147">
        <w:rPr>
          <w:rFonts w:asciiTheme="majorHAnsi" w:eastAsia="Times New Roman" w:hAnsiTheme="majorHAnsi" w:cstheme="majorHAnsi"/>
          <w:color w:val="000000" w:themeColor="text1"/>
        </w:rPr>
        <w:t xml:space="preserve"> prokurimit, si dhe qasje</w:t>
      </w:r>
      <w:r w:rsidR="00433624" w:rsidRPr="009D6147">
        <w:rPr>
          <w:rFonts w:asciiTheme="majorHAnsi" w:eastAsia="Times New Roman" w:hAnsiTheme="majorHAnsi" w:cstheme="majorHAnsi"/>
          <w:color w:val="000000" w:themeColor="text1"/>
        </w:rPr>
        <w:t>n</w:t>
      </w:r>
      <w:r w:rsidRPr="009D6147">
        <w:rPr>
          <w:rFonts w:asciiTheme="majorHAnsi" w:eastAsia="Times New Roman" w:hAnsiTheme="majorHAnsi" w:cstheme="majorHAnsi"/>
          <w:color w:val="000000" w:themeColor="text1"/>
        </w:rPr>
        <w:t xml:space="preserve"> në dokumente</w:t>
      </w:r>
      <w:r w:rsidR="00433624" w:rsidRPr="009D6147">
        <w:rPr>
          <w:rFonts w:asciiTheme="majorHAnsi" w:eastAsia="Times New Roman" w:hAnsiTheme="majorHAnsi" w:cstheme="majorHAnsi"/>
          <w:color w:val="000000" w:themeColor="text1"/>
        </w:rPr>
        <w:t>t</w:t>
      </w:r>
      <w:r w:rsidRPr="009D6147">
        <w:rPr>
          <w:rFonts w:asciiTheme="majorHAnsi" w:eastAsia="Times New Roman" w:hAnsiTheme="majorHAnsi" w:cstheme="majorHAnsi"/>
          <w:color w:val="000000" w:themeColor="text1"/>
        </w:rPr>
        <w:t xml:space="preserve"> publike. </w:t>
      </w:r>
    </w:p>
    <w:p w14:paraId="0B9C07C1" w14:textId="43B32000" w:rsidR="00343940" w:rsidRDefault="00F5429A" w:rsidP="00A70BC5">
      <w:pPr>
        <w:spacing w:line="276" w:lineRule="auto"/>
        <w:rPr>
          <w:rFonts w:asciiTheme="majorHAnsi" w:hAnsiTheme="majorHAnsi" w:cstheme="majorHAnsi"/>
        </w:rPr>
      </w:pPr>
      <w:r w:rsidRPr="009D6147">
        <w:rPr>
          <w:rFonts w:asciiTheme="majorHAnsi" w:hAnsiTheme="majorHAnsi" w:cstheme="majorHAnsi"/>
        </w:rPr>
        <w:t>Dokumentet financiare</w:t>
      </w:r>
      <w:r w:rsidR="00433624" w:rsidRPr="009D6147">
        <w:rPr>
          <w:rFonts w:asciiTheme="majorHAnsi" w:hAnsiTheme="majorHAnsi" w:cstheme="majorHAnsi"/>
        </w:rPr>
        <w:t>,</w:t>
      </w:r>
      <w:r w:rsidRPr="009D6147">
        <w:rPr>
          <w:rFonts w:asciiTheme="majorHAnsi" w:hAnsiTheme="majorHAnsi" w:cstheme="majorHAnsi"/>
        </w:rPr>
        <w:t xml:space="preserve"> komunat janë të obliguara t’i bëjnë publike si planet vjetore buxhetore, kornizën afatmesme të shpenzimeve, njoftimet për dëgjime buxhetore, raportet 3 mujore financiare, raportet  financiare vjetore,  raportet e </w:t>
      </w:r>
      <w:proofErr w:type="spellStart"/>
      <w:r w:rsidRPr="009D6147">
        <w:rPr>
          <w:rFonts w:asciiTheme="majorHAnsi" w:hAnsiTheme="majorHAnsi" w:cstheme="majorHAnsi"/>
        </w:rPr>
        <w:t>auditimit</w:t>
      </w:r>
      <w:proofErr w:type="spellEnd"/>
      <w:r w:rsidRPr="009D6147">
        <w:rPr>
          <w:rFonts w:asciiTheme="majorHAnsi" w:hAnsiTheme="majorHAnsi" w:cstheme="majorHAnsi"/>
        </w:rPr>
        <w:t>, listën e investimeve kapitale  etj</w:t>
      </w:r>
      <w:r w:rsidR="00E0466F" w:rsidRPr="009D6147">
        <w:rPr>
          <w:rFonts w:asciiTheme="majorHAnsi" w:hAnsiTheme="majorHAnsi" w:cstheme="majorHAnsi"/>
        </w:rPr>
        <w:t>.</w:t>
      </w:r>
    </w:p>
    <w:p w14:paraId="49DF76B1" w14:textId="77777777" w:rsidR="00E271C1" w:rsidRPr="00E271C1" w:rsidRDefault="00E271C1" w:rsidP="00A70BC5">
      <w:pPr>
        <w:spacing w:line="276" w:lineRule="auto"/>
        <w:rPr>
          <w:rFonts w:asciiTheme="majorHAnsi" w:hAnsiTheme="majorHAnsi" w:cstheme="majorHAnsi"/>
        </w:rPr>
      </w:pPr>
    </w:p>
    <w:p w14:paraId="7BE240FD" w14:textId="031E7357" w:rsidR="00F5429A" w:rsidRPr="009D6147" w:rsidRDefault="007D4ABB" w:rsidP="006F5A72">
      <w:pPr>
        <w:pStyle w:val="Style2"/>
        <w:rPr>
          <w:rFonts w:asciiTheme="majorHAnsi" w:hAnsiTheme="majorHAnsi" w:cstheme="majorHAnsi"/>
          <w:sz w:val="22"/>
          <w:szCs w:val="22"/>
        </w:rPr>
      </w:pPr>
      <w:r w:rsidRPr="009D6147">
        <w:rPr>
          <w:rFonts w:asciiTheme="majorHAnsi" w:hAnsiTheme="majorHAnsi" w:cstheme="majorHAnsi"/>
          <w:sz w:val="22"/>
          <w:szCs w:val="22"/>
        </w:rPr>
        <w:t xml:space="preserve">PUBLIKIMI I PLANIT BUXHETOR </w:t>
      </w:r>
    </w:p>
    <w:p w14:paraId="32A8CD5F" w14:textId="280A7DCE" w:rsidR="006F5A72" w:rsidRPr="006F5A72" w:rsidRDefault="006F5A72" w:rsidP="006F5A72">
      <w:pPr>
        <w:spacing w:before="100" w:beforeAutospacing="1" w:after="100" w:afterAutospacing="1" w:line="276" w:lineRule="auto"/>
        <w:rPr>
          <w:rFonts w:asciiTheme="majorHAnsi" w:eastAsia="Times New Roman" w:hAnsiTheme="majorHAnsi" w:cstheme="majorHAnsi"/>
          <w:lang w:eastAsia="en-GB"/>
        </w:rPr>
      </w:pPr>
      <w:r w:rsidRPr="006F5A72">
        <w:rPr>
          <w:rFonts w:asciiTheme="majorHAnsi" w:eastAsia="Times New Roman" w:hAnsiTheme="majorHAnsi" w:cstheme="majorHAnsi"/>
          <w:lang w:eastAsia="en-GB"/>
        </w:rPr>
        <w:t>Planifikimi i buxhetit në komuna përbën një kusht kryesor për llogaridhënie dhe për parandalimin e</w:t>
      </w:r>
      <w:r w:rsidRPr="00275069">
        <w:rPr>
          <w:rFonts w:asciiTheme="majorHAnsi" w:eastAsia="Times New Roman" w:hAnsiTheme="majorHAnsi" w:cstheme="majorHAnsi"/>
          <w:lang w:eastAsia="en-GB"/>
        </w:rPr>
        <w:t xml:space="preserve"> </w:t>
      </w:r>
      <w:r w:rsidR="006D19A7" w:rsidRPr="00275069">
        <w:rPr>
          <w:rFonts w:asciiTheme="majorHAnsi" w:eastAsia="Times New Roman" w:hAnsiTheme="majorHAnsi" w:cstheme="majorHAnsi"/>
          <w:lang w:eastAsia="en-GB"/>
        </w:rPr>
        <w:t>keq menaxhimit</w:t>
      </w:r>
      <w:r w:rsidRPr="006F5A72">
        <w:rPr>
          <w:rFonts w:asciiTheme="majorHAnsi" w:eastAsia="Times New Roman" w:hAnsiTheme="majorHAnsi" w:cstheme="majorHAnsi"/>
          <w:lang w:eastAsia="en-GB"/>
        </w:rPr>
        <w:t xml:space="preserve"> të parasë publike. Publikimi i Planit të Buxhetit është një nga kriteret themelore të qeverisjes së mirë, i cili ndikon drejtpërdrejt në rritjen e transparencës dhe llogaridhënies së organeve komunale ndaj qytetarëve.</w:t>
      </w:r>
    </w:p>
    <w:p w14:paraId="10DB7414" w14:textId="77777777" w:rsidR="006F5A72" w:rsidRPr="006F5A72" w:rsidRDefault="006F5A72" w:rsidP="006F5A72">
      <w:pPr>
        <w:spacing w:before="100" w:beforeAutospacing="1" w:after="100" w:afterAutospacing="1" w:line="276" w:lineRule="auto"/>
        <w:rPr>
          <w:rFonts w:asciiTheme="majorHAnsi" w:eastAsia="Times New Roman" w:hAnsiTheme="majorHAnsi" w:cstheme="majorHAnsi"/>
          <w:lang w:eastAsia="en-GB"/>
        </w:rPr>
      </w:pPr>
      <w:r w:rsidRPr="006F5A72">
        <w:rPr>
          <w:rFonts w:asciiTheme="majorHAnsi" w:eastAsia="Times New Roman" w:hAnsiTheme="majorHAnsi" w:cstheme="majorHAnsi"/>
          <w:lang w:eastAsia="en-GB"/>
        </w:rPr>
        <w:t>Gjatë periudhës janar–dhjetor 2025, Planin e Buxhetit e kanë publikuar 27 komuna, ndërsa 11 komuna nuk e kanë përmbushur këtë obligim ligjor.</w:t>
      </w:r>
    </w:p>
    <w:p w14:paraId="4E00F071" w14:textId="77777777" w:rsidR="006F5A72" w:rsidRPr="006F5A72" w:rsidRDefault="006F5A72" w:rsidP="006F5A72">
      <w:pPr>
        <w:numPr>
          <w:ilvl w:val="0"/>
          <w:numId w:val="45"/>
        </w:numPr>
        <w:spacing w:before="100" w:beforeAutospacing="1" w:after="100" w:afterAutospacing="1" w:line="276" w:lineRule="auto"/>
        <w:rPr>
          <w:rFonts w:asciiTheme="majorHAnsi" w:eastAsia="Times New Roman" w:hAnsiTheme="majorHAnsi" w:cstheme="majorHAnsi"/>
          <w:lang w:val="en-GB" w:eastAsia="en-GB"/>
        </w:rPr>
      </w:pPr>
      <w:r w:rsidRPr="006F5A72">
        <w:rPr>
          <w:rFonts w:asciiTheme="majorHAnsi" w:eastAsia="Times New Roman" w:hAnsiTheme="majorHAnsi" w:cstheme="majorHAnsi"/>
          <w:lang w:val="en-GB" w:eastAsia="en-GB"/>
        </w:rPr>
        <w:t xml:space="preserve">27 </w:t>
      </w:r>
      <w:proofErr w:type="spellStart"/>
      <w:r w:rsidRPr="006F5A72">
        <w:rPr>
          <w:rFonts w:asciiTheme="majorHAnsi" w:eastAsia="Times New Roman" w:hAnsiTheme="majorHAnsi" w:cstheme="majorHAnsi"/>
          <w:lang w:val="en-GB" w:eastAsia="en-GB"/>
        </w:rPr>
        <w:t>komuna</w:t>
      </w:r>
      <w:proofErr w:type="spellEnd"/>
      <w:r w:rsidRPr="006F5A72">
        <w:rPr>
          <w:rFonts w:asciiTheme="majorHAnsi" w:eastAsia="Times New Roman" w:hAnsiTheme="majorHAnsi" w:cstheme="majorHAnsi"/>
          <w:lang w:val="en-GB" w:eastAsia="en-GB"/>
        </w:rPr>
        <w:t xml:space="preserve"> (71%) </w:t>
      </w:r>
      <w:proofErr w:type="spellStart"/>
      <w:r w:rsidRPr="006F5A72">
        <w:rPr>
          <w:rFonts w:asciiTheme="majorHAnsi" w:eastAsia="Times New Roman" w:hAnsiTheme="majorHAnsi" w:cstheme="majorHAnsi"/>
          <w:lang w:val="en-GB" w:eastAsia="en-GB"/>
        </w:rPr>
        <w:t>kanë</w:t>
      </w:r>
      <w:proofErr w:type="spellEnd"/>
      <w:r w:rsidRPr="006F5A72">
        <w:rPr>
          <w:rFonts w:asciiTheme="majorHAnsi" w:eastAsia="Times New Roman" w:hAnsiTheme="majorHAnsi" w:cstheme="majorHAnsi"/>
          <w:lang w:val="en-GB" w:eastAsia="en-GB"/>
        </w:rPr>
        <w:t xml:space="preserve"> </w:t>
      </w:r>
      <w:proofErr w:type="spellStart"/>
      <w:r w:rsidRPr="006F5A72">
        <w:rPr>
          <w:rFonts w:asciiTheme="majorHAnsi" w:eastAsia="Times New Roman" w:hAnsiTheme="majorHAnsi" w:cstheme="majorHAnsi"/>
          <w:lang w:val="en-GB" w:eastAsia="en-GB"/>
        </w:rPr>
        <w:t>publikuar</w:t>
      </w:r>
      <w:proofErr w:type="spellEnd"/>
      <w:r w:rsidRPr="006F5A72">
        <w:rPr>
          <w:rFonts w:asciiTheme="majorHAnsi" w:eastAsia="Times New Roman" w:hAnsiTheme="majorHAnsi" w:cstheme="majorHAnsi"/>
          <w:lang w:val="en-GB" w:eastAsia="en-GB"/>
        </w:rPr>
        <w:t xml:space="preserve"> </w:t>
      </w:r>
      <w:proofErr w:type="spellStart"/>
      <w:r w:rsidRPr="006F5A72">
        <w:rPr>
          <w:rFonts w:asciiTheme="majorHAnsi" w:eastAsia="Times New Roman" w:hAnsiTheme="majorHAnsi" w:cstheme="majorHAnsi"/>
          <w:lang w:val="en-GB" w:eastAsia="en-GB"/>
        </w:rPr>
        <w:t>Planin</w:t>
      </w:r>
      <w:proofErr w:type="spellEnd"/>
      <w:r w:rsidRPr="006F5A72">
        <w:rPr>
          <w:rFonts w:asciiTheme="majorHAnsi" w:eastAsia="Times New Roman" w:hAnsiTheme="majorHAnsi" w:cstheme="majorHAnsi"/>
          <w:lang w:val="en-GB" w:eastAsia="en-GB"/>
        </w:rPr>
        <w:t xml:space="preserve"> e </w:t>
      </w:r>
      <w:proofErr w:type="spellStart"/>
      <w:r w:rsidRPr="006F5A72">
        <w:rPr>
          <w:rFonts w:asciiTheme="majorHAnsi" w:eastAsia="Times New Roman" w:hAnsiTheme="majorHAnsi" w:cstheme="majorHAnsi"/>
          <w:lang w:val="en-GB" w:eastAsia="en-GB"/>
        </w:rPr>
        <w:t>Buxhetit</w:t>
      </w:r>
      <w:proofErr w:type="spellEnd"/>
      <w:r w:rsidRPr="006F5A72">
        <w:rPr>
          <w:rFonts w:asciiTheme="majorHAnsi" w:eastAsia="Times New Roman" w:hAnsiTheme="majorHAnsi" w:cstheme="majorHAnsi"/>
          <w:lang w:val="en-GB" w:eastAsia="en-GB"/>
        </w:rPr>
        <w:t xml:space="preserve">; </w:t>
      </w:r>
    </w:p>
    <w:p w14:paraId="1514FC57" w14:textId="7FD878B1" w:rsidR="006F5A72" w:rsidRDefault="006F5A72" w:rsidP="006F5A72">
      <w:pPr>
        <w:numPr>
          <w:ilvl w:val="0"/>
          <w:numId w:val="45"/>
        </w:numPr>
        <w:spacing w:before="100" w:beforeAutospacing="1" w:after="100" w:afterAutospacing="1" w:line="276" w:lineRule="auto"/>
        <w:rPr>
          <w:rFonts w:asciiTheme="majorHAnsi" w:eastAsia="Times New Roman" w:hAnsiTheme="majorHAnsi" w:cstheme="majorHAnsi"/>
          <w:lang w:val="en-GB" w:eastAsia="en-GB"/>
        </w:rPr>
      </w:pPr>
      <w:r w:rsidRPr="006F5A72">
        <w:rPr>
          <w:rFonts w:asciiTheme="majorHAnsi" w:eastAsia="Times New Roman" w:hAnsiTheme="majorHAnsi" w:cstheme="majorHAnsi"/>
          <w:lang w:val="en-GB" w:eastAsia="en-GB"/>
        </w:rPr>
        <w:t xml:space="preserve">11 </w:t>
      </w:r>
      <w:proofErr w:type="spellStart"/>
      <w:r w:rsidRPr="006F5A72">
        <w:rPr>
          <w:rFonts w:asciiTheme="majorHAnsi" w:eastAsia="Times New Roman" w:hAnsiTheme="majorHAnsi" w:cstheme="majorHAnsi"/>
          <w:lang w:val="en-GB" w:eastAsia="en-GB"/>
        </w:rPr>
        <w:t>komuna</w:t>
      </w:r>
      <w:proofErr w:type="spellEnd"/>
      <w:r w:rsidRPr="006F5A72">
        <w:rPr>
          <w:rFonts w:asciiTheme="majorHAnsi" w:eastAsia="Times New Roman" w:hAnsiTheme="majorHAnsi" w:cstheme="majorHAnsi"/>
          <w:lang w:val="en-GB" w:eastAsia="en-GB"/>
        </w:rPr>
        <w:t xml:space="preserve"> (29%) </w:t>
      </w:r>
      <w:proofErr w:type="spellStart"/>
      <w:r w:rsidRPr="006F5A72">
        <w:rPr>
          <w:rFonts w:asciiTheme="majorHAnsi" w:eastAsia="Times New Roman" w:hAnsiTheme="majorHAnsi" w:cstheme="majorHAnsi"/>
          <w:lang w:val="en-GB" w:eastAsia="en-GB"/>
        </w:rPr>
        <w:t>nuk</w:t>
      </w:r>
      <w:proofErr w:type="spellEnd"/>
      <w:r w:rsidRPr="006F5A72">
        <w:rPr>
          <w:rFonts w:asciiTheme="majorHAnsi" w:eastAsia="Times New Roman" w:hAnsiTheme="majorHAnsi" w:cstheme="majorHAnsi"/>
          <w:lang w:val="en-GB" w:eastAsia="en-GB"/>
        </w:rPr>
        <w:t xml:space="preserve"> e </w:t>
      </w:r>
      <w:proofErr w:type="spellStart"/>
      <w:r w:rsidRPr="006F5A72">
        <w:rPr>
          <w:rFonts w:asciiTheme="majorHAnsi" w:eastAsia="Times New Roman" w:hAnsiTheme="majorHAnsi" w:cstheme="majorHAnsi"/>
          <w:lang w:val="en-GB" w:eastAsia="en-GB"/>
        </w:rPr>
        <w:t>kanë</w:t>
      </w:r>
      <w:proofErr w:type="spellEnd"/>
      <w:r w:rsidRPr="006F5A72">
        <w:rPr>
          <w:rFonts w:asciiTheme="majorHAnsi" w:eastAsia="Times New Roman" w:hAnsiTheme="majorHAnsi" w:cstheme="majorHAnsi"/>
          <w:lang w:val="en-GB" w:eastAsia="en-GB"/>
        </w:rPr>
        <w:t xml:space="preserve"> </w:t>
      </w:r>
      <w:proofErr w:type="spellStart"/>
      <w:r w:rsidRPr="006F5A72">
        <w:rPr>
          <w:rFonts w:asciiTheme="majorHAnsi" w:eastAsia="Times New Roman" w:hAnsiTheme="majorHAnsi" w:cstheme="majorHAnsi"/>
          <w:lang w:val="en-GB" w:eastAsia="en-GB"/>
        </w:rPr>
        <w:t>publikuar</w:t>
      </w:r>
      <w:proofErr w:type="spellEnd"/>
      <w:r w:rsidRPr="006F5A72">
        <w:rPr>
          <w:rFonts w:asciiTheme="majorHAnsi" w:eastAsia="Times New Roman" w:hAnsiTheme="majorHAnsi" w:cstheme="majorHAnsi"/>
          <w:lang w:val="en-GB" w:eastAsia="en-GB"/>
        </w:rPr>
        <w:t xml:space="preserve"> </w:t>
      </w:r>
      <w:proofErr w:type="spellStart"/>
      <w:r w:rsidRPr="006F5A72">
        <w:rPr>
          <w:rFonts w:asciiTheme="majorHAnsi" w:eastAsia="Times New Roman" w:hAnsiTheme="majorHAnsi" w:cstheme="majorHAnsi"/>
          <w:lang w:val="en-GB" w:eastAsia="en-GB"/>
        </w:rPr>
        <w:t>atë</w:t>
      </w:r>
      <w:proofErr w:type="spellEnd"/>
      <w:r w:rsidRPr="006F5A72">
        <w:rPr>
          <w:rFonts w:asciiTheme="majorHAnsi" w:eastAsia="Times New Roman" w:hAnsiTheme="majorHAnsi" w:cstheme="majorHAnsi"/>
          <w:lang w:val="en-GB" w:eastAsia="en-GB"/>
        </w:rPr>
        <w:t xml:space="preserve">. </w:t>
      </w:r>
    </w:p>
    <w:p w14:paraId="61214E8D" w14:textId="2518E3A1" w:rsidR="006F5A72" w:rsidRPr="006F5A72" w:rsidRDefault="00E271C1" w:rsidP="006F5A72">
      <w:pPr>
        <w:spacing w:before="100" w:beforeAutospacing="1" w:after="100" w:afterAutospacing="1" w:line="276" w:lineRule="auto"/>
        <w:rPr>
          <w:rFonts w:asciiTheme="majorHAnsi" w:eastAsia="Times New Roman" w:hAnsiTheme="majorHAnsi" w:cstheme="majorHAnsi"/>
          <w:lang w:val="en-GB" w:eastAsia="en-GB"/>
        </w:rPr>
      </w:pPr>
      <w:r w:rsidRPr="00E271C1">
        <w:rPr>
          <w:rFonts w:asciiTheme="majorHAnsi" w:hAnsiTheme="majorHAnsi" w:cstheme="majorHAnsi"/>
        </w:rPr>
        <w:t xml:space="preserve">Në krahasim me vitin 2024, kur 30 komuna kishin publikuar Planin e Buxhetit dhe 8 komuna nuk e kishin përmbushur këtë obligim, në vitin 2025 vërehet një rënie prej tri komunash në publikimin e </w:t>
      </w:r>
      <w:r w:rsidRPr="006F5A72">
        <w:rPr>
          <w:rFonts w:asciiTheme="majorHAnsi" w:eastAsia="Times New Roman" w:hAnsiTheme="majorHAnsi" w:cstheme="majorHAnsi"/>
          <w:lang w:val="en-GB" w:eastAsia="en-GB"/>
        </w:rPr>
        <w:t>Plani</w:t>
      </w:r>
      <w:r>
        <w:rPr>
          <w:rFonts w:asciiTheme="majorHAnsi" w:eastAsia="Times New Roman" w:hAnsiTheme="majorHAnsi" w:cstheme="majorHAnsi"/>
          <w:lang w:val="en-GB" w:eastAsia="en-GB"/>
        </w:rPr>
        <w:t>t</w:t>
      </w:r>
      <w:r w:rsidRPr="006F5A72">
        <w:rPr>
          <w:rFonts w:asciiTheme="majorHAnsi" w:eastAsia="Times New Roman" w:hAnsiTheme="majorHAnsi" w:cstheme="majorHAnsi"/>
          <w:lang w:val="en-GB" w:eastAsia="en-GB"/>
        </w:rPr>
        <w:t xml:space="preserve"> </w:t>
      </w:r>
      <w:proofErr w:type="spellStart"/>
      <w:r>
        <w:rPr>
          <w:rFonts w:asciiTheme="majorHAnsi" w:eastAsia="Times New Roman" w:hAnsiTheme="majorHAnsi" w:cstheme="majorHAnsi"/>
          <w:lang w:val="en-GB" w:eastAsia="en-GB"/>
        </w:rPr>
        <w:t>të</w:t>
      </w:r>
      <w:proofErr w:type="spellEnd"/>
      <w:r>
        <w:rPr>
          <w:rFonts w:asciiTheme="majorHAnsi" w:eastAsia="Times New Roman" w:hAnsiTheme="majorHAnsi" w:cstheme="majorHAnsi"/>
          <w:lang w:val="en-GB" w:eastAsia="en-GB"/>
        </w:rPr>
        <w:t xml:space="preserve"> </w:t>
      </w:r>
      <w:r w:rsidRPr="006F5A72">
        <w:rPr>
          <w:rFonts w:asciiTheme="majorHAnsi" w:eastAsia="Times New Roman" w:hAnsiTheme="majorHAnsi" w:cstheme="majorHAnsi"/>
          <w:lang w:val="en-GB" w:eastAsia="en-GB"/>
        </w:rPr>
        <w:t xml:space="preserve"> </w:t>
      </w:r>
      <w:proofErr w:type="spellStart"/>
      <w:r w:rsidRPr="006F5A72">
        <w:rPr>
          <w:rFonts w:asciiTheme="majorHAnsi" w:eastAsia="Times New Roman" w:hAnsiTheme="majorHAnsi" w:cstheme="majorHAnsi"/>
          <w:lang w:val="en-GB" w:eastAsia="en-GB"/>
        </w:rPr>
        <w:t>Buxhetit</w:t>
      </w:r>
      <w:proofErr w:type="spellEnd"/>
      <w:r>
        <w:rPr>
          <w:rFonts w:asciiTheme="majorHAnsi" w:eastAsia="Times New Roman" w:hAnsiTheme="majorHAnsi" w:cstheme="majorHAnsi"/>
          <w:lang w:val="en-GB" w:eastAsia="en-GB"/>
        </w:rPr>
        <w:t>.</w:t>
      </w:r>
    </w:p>
    <w:p w14:paraId="423B777E" w14:textId="46E14D23" w:rsidR="006F5A72" w:rsidRPr="00E271C1" w:rsidRDefault="006F5A72" w:rsidP="00E271C1">
      <w:pPr>
        <w:spacing w:before="100" w:beforeAutospacing="1" w:after="100" w:afterAutospacing="1" w:line="276" w:lineRule="auto"/>
        <w:rPr>
          <w:rFonts w:asciiTheme="majorHAnsi" w:eastAsia="Times New Roman" w:hAnsiTheme="majorHAnsi" w:cstheme="majorHAnsi"/>
          <w:lang w:val="en-GB" w:eastAsia="en-GB"/>
        </w:rPr>
      </w:pPr>
      <w:proofErr w:type="spellStart"/>
      <w:r w:rsidRPr="006F5A72">
        <w:rPr>
          <w:rFonts w:asciiTheme="majorHAnsi" w:eastAsia="Times New Roman" w:hAnsiTheme="majorHAnsi" w:cstheme="majorHAnsi"/>
          <w:lang w:val="en-GB" w:eastAsia="en-GB"/>
        </w:rPr>
        <w:t>Në</w:t>
      </w:r>
      <w:proofErr w:type="spellEnd"/>
      <w:r w:rsidRPr="006F5A72">
        <w:rPr>
          <w:rFonts w:asciiTheme="majorHAnsi" w:eastAsia="Times New Roman" w:hAnsiTheme="majorHAnsi" w:cstheme="majorHAnsi"/>
          <w:lang w:val="en-GB" w:eastAsia="en-GB"/>
        </w:rPr>
        <w:t xml:space="preserve"> </w:t>
      </w:r>
      <w:proofErr w:type="spellStart"/>
      <w:r w:rsidRPr="006F5A72">
        <w:rPr>
          <w:rFonts w:asciiTheme="majorHAnsi" w:eastAsia="Times New Roman" w:hAnsiTheme="majorHAnsi" w:cstheme="majorHAnsi"/>
          <w:lang w:val="en-GB" w:eastAsia="en-GB"/>
        </w:rPr>
        <w:t>vijim</w:t>
      </w:r>
      <w:proofErr w:type="spellEnd"/>
      <w:r w:rsidRPr="006F5A72">
        <w:rPr>
          <w:rFonts w:asciiTheme="majorHAnsi" w:eastAsia="Times New Roman" w:hAnsiTheme="majorHAnsi" w:cstheme="majorHAnsi"/>
          <w:lang w:val="en-GB" w:eastAsia="en-GB"/>
        </w:rPr>
        <w:t xml:space="preserve"> </w:t>
      </w:r>
      <w:proofErr w:type="spellStart"/>
      <w:r w:rsidRPr="006F5A72">
        <w:rPr>
          <w:rFonts w:asciiTheme="majorHAnsi" w:eastAsia="Times New Roman" w:hAnsiTheme="majorHAnsi" w:cstheme="majorHAnsi"/>
          <w:lang w:val="en-GB" w:eastAsia="en-GB"/>
        </w:rPr>
        <w:t>paraqitet</w:t>
      </w:r>
      <w:proofErr w:type="spellEnd"/>
      <w:r w:rsidRPr="006F5A72">
        <w:rPr>
          <w:rFonts w:asciiTheme="majorHAnsi" w:eastAsia="Times New Roman" w:hAnsiTheme="majorHAnsi" w:cstheme="majorHAnsi"/>
          <w:lang w:val="en-GB" w:eastAsia="en-GB"/>
        </w:rPr>
        <w:t xml:space="preserve"> </w:t>
      </w:r>
      <w:proofErr w:type="spellStart"/>
      <w:r w:rsidRPr="006F5A72">
        <w:rPr>
          <w:rFonts w:asciiTheme="majorHAnsi" w:eastAsia="Times New Roman" w:hAnsiTheme="majorHAnsi" w:cstheme="majorHAnsi"/>
          <w:lang w:val="en-GB" w:eastAsia="en-GB"/>
        </w:rPr>
        <w:t>në</w:t>
      </w:r>
      <w:proofErr w:type="spellEnd"/>
      <w:r w:rsidRPr="006F5A72">
        <w:rPr>
          <w:rFonts w:asciiTheme="majorHAnsi" w:eastAsia="Times New Roman" w:hAnsiTheme="majorHAnsi" w:cstheme="majorHAnsi"/>
          <w:lang w:val="en-GB" w:eastAsia="en-GB"/>
        </w:rPr>
        <w:t xml:space="preserve"> </w:t>
      </w:r>
      <w:proofErr w:type="spellStart"/>
      <w:r w:rsidRPr="006F5A72">
        <w:rPr>
          <w:rFonts w:asciiTheme="majorHAnsi" w:eastAsia="Times New Roman" w:hAnsiTheme="majorHAnsi" w:cstheme="majorHAnsi"/>
          <w:lang w:val="en-GB" w:eastAsia="en-GB"/>
        </w:rPr>
        <w:t>formë</w:t>
      </w:r>
      <w:proofErr w:type="spellEnd"/>
      <w:r w:rsidRPr="006F5A72">
        <w:rPr>
          <w:rFonts w:asciiTheme="majorHAnsi" w:eastAsia="Times New Roman" w:hAnsiTheme="majorHAnsi" w:cstheme="majorHAnsi"/>
          <w:lang w:val="en-GB" w:eastAsia="en-GB"/>
        </w:rPr>
        <w:t xml:space="preserve"> </w:t>
      </w:r>
      <w:proofErr w:type="spellStart"/>
      <w:r w:rsidRPr="006F5A72">
        <w:rPr>
          <w:rFonts w:asciiTheme="majorHAnsi" w:eastAsia="Times New Roman" w:hAnsiTheme="majorHAnsi" w:cstheme="majorHAnsi"/>
          <w:lang w:val="en-GB" w:eastAsia="en-GB"/>
        </w:rPr>
        <w:t>tabelore</w:t>
      </w:r>
      <w:proofErr w:type="spellEnd"/>
      <w:r w:rsidRPr="006F5A72">
        <w:rPr>
          <w:rFonts w:asciiTheme="majorHAnsi" w:eastAsia="Times New Roman" w:hAnsiTheme="majorHAnsi" w:cstheme="majorHAnsi"/>
          <w:lang w:val="en-GB" w:eastAsia="en-GB"/>
        </w:rPr>
        <w:t xml:space="preserve"> </w:t>
      </w:r>
      <w:proofErr w:type="spellStart"/>
      <w:r w:rsidRPr="006F5A72">
        <w:rPr>
          <w:rFonts w:asciiTheme="majorHAnsi" w:eastAsia="Times New Roman" w:hAnsiTheme="majorHAnsi" w:cstheme="majorHAnsi"/>
          <w:lang w:val="en-GB" w:eastAsia="en-GB"/>
        </w:rPr>
        <w:t>numri</w:t>
      </w:r>
      <w:proofErr w:type="spellEnd"/>
      <w:r w:rsidRPr="006F5A72">
        <w:rPr>
          <w:rFonts w:asciiTheme="majorHAnsi" w:eastAsia="Times New Roman" w:hAnsiTheme="majorHAnsi" w:cstheme="majorHAnsi"/>
          <w:lang w:val="en-GB" w:eastAsia="en-GB"/>
        </w:rPr>
        <w:t xml:space="preserve"> i </w:t>
      </w:r>
      <w:proofErr w:type="spellStart"/>
      <w:r w:rsidRPr="006F5A72">
        <w:rPr>
          <w:rFonts w:asciiTheme="majorHAnsi" w:eastAsia="Times New Roman" w:hAnsiTheme="majorHAnsi" w:cstheme="majorHAnsi"/>
          <w:lang w:val="en-GB" w:eastAsia="en-GB"/>
        </w:rPr>
        <w:t>komunave</w:t>
      </w:r>
      <w:proofErr w:type="spellEnd"/>
      <w:r w:rsidRPr="006F5A72">
        <w:rPr>
          <w:rFonts w:asciiTheme="majorHAnsi" w:eastAsia="Times New Roman" w:hAnsiTheme="majorHAnsi" w:cstheme="majorHAnsi"/>
          <w:lang w:val="en-GB" w:eastAsia="en-GB"/>
        </w:rPr>
        <w:t xml:space="preserve"> </w:t>
      </w:r>
      <w:proofErr w:type="spellStart"/>
      <w:r w:rsidRPr="006F5A72">
        <w:rPr>
          <w:rFonts w:asciiTheme="majorHAnsi" w:eastAsia="Times New Roman" w:hAnsiTheme="majorHAnsi" w:cstheme="majorHAnsi"/>
          <w:lang w:val="en-GB" w:eastAsia="en-GB"/>
        </w:rPr>
        <w:t>që</w:t>
      </w:r>
      <w:proofErr w:type="spellEnd"/>
      <w:r w:rsidRPr="006F5A72">
        <w:rPr>
          <w:rFonts w:asciiTheme="majorHAnsi" w:eastAsia="Times New Roman" w:hAnsiTheme="majorHAnsi" w:cstheme="majorHAnsi"/>
          <w:lang w:val="en-GB" w:eastAsia="en-GB"/>
        </w:rPr>
        <w:t xml:space="preserve"> </w:t>
      </w:r>
      <w:proofErr w:type="spellStart"/>
      <w:r w:rsidRPr="006F5A72">
        <w:rPr>
          <w:rFonts w:asciiTheme="majorHAnsi" w:eastAsia="Times New Roman" w:hAnsiTheme="majorHAnsi" w:cstheme="majorHAnsi"/>
          <w:lang w:val="en-GB" w:eastAsia="en-GB"/>
        </w:rPr>
        <w:t>kanë</w:t>
      </w:r>
      <w:proofErr w:type="spellEnd"/>
      <w:r w:rsidRPr="006F5A72">
        <w:rPr>
          <w:rFonts w:asciiTheme="majorHAnsi" w:eastAsia="Times New Roman" w:hAnsiTheme="majorHAnsi" w:cstheme="majorHAnsi"/>
          <w:lang w:val="en-GB" w:eastAsia="en-GB"/>
        </w:rPr>
        <w:t xml:space="preserve"> </w:t>
      </w:r>
      <w:proofErr w:type="spellStart"/>
      <w:r w:rsidRPr="006F5A72">
        <w:rPr>
          <w:rFonts w:asciiTheme="majorHAnsi" w:eastAsia="Times New Roman" w:hAnsiTheme="majorHAnsi" w:cstheme="majorHAnsi"/>
          <w:lang w:val="en-GB" w:eastAsia="en-GB"/>
        </w:rPr>
        <w:t>publikuar</w:t>
      </w:r>
      <w:proofErr w:type="spellEnd"/>
      <w:r w:rsidRPr="006F5A72">
        <w:rPr>
          <w:rFonts w:asciiTheme="majorHAnsi" w:eastAsia="Times New Roman" w:hAnsiTheme="majorHAnsi" w:cstheme="majorHAnsi"/>
          <w:lang w:val="en-GB" w:eastAsia="en-GB"/>
        </w:rPr>
        <w:t xml:space="preserve"> </w:t>
      </w:r>
      <w:proofErr w:type="spellStart"/>
      <w:r w:rsidRPr="006F5A72">
        <w:rPr>
          <w:rFonts w:asciiTheme="majorHAnsi" w:eastAsia="Times New Roman" w:hAnsiTheme="majorHAnsi" w:cstheme="majorHAnsi"/>
          <w:lang w:val="en-GB" w:eastAsia="en-GB"/>
        </w:rPr>
        <w:t>Planin</w:t>
      </w:r>
      <w:proofErr w:type="spellEnd"/>
      <w:r w:rsidRPr="006F5A72">
        <w:rPr>
          <w:rFonts w:asciiTheme="majorHAnsi" w:eastAsia="Times New Roman" w:hAnsiTheme="majorHAnsi" w:cstheme="majorHAnsi"/>
          <w:lang w:val="en-GB" w:eastAsia="en-GB"/>
        </w:rPr>
        <w:t xml:space="preserve"> e </w:t>
      </w:r>
      <w:proofErr w:type="spellStart"/>
      <w:r w:rsidRPr="006F5A72">
        <w:rPr>
          <w:rFonts w:asciiTheme="majorHAnsi" w:eastAsia="Times New Roman" w:hAnsiTheme="majorHAnsi" w:cstheme="majorHAnsi"/>
          <w:lang w:val="en-GB" w:eastAsia="en-GB"/>
        </w:rPr>
        <w:t>Buxhetit</w:t>
      </w:r>
      <w:proofErr w:type="spellEnd"/>
      <w:r w:rsidRPr="006F5A72">
        <w:rPr>
          <w:rFonts w:asciiTheme="majorHAnsi" w:eastAsia="Times New Roman" w:hAnsiTheme="majorHAnsi" w:cstheme="majorHAnsi"/>
          <w:lang w:val="en-GB" w:eastAsia="en-GB"/>
        </w:rPr>
        <w:t>.</w:t>
      </w:r>
    </w:p>
    <w:p w14:paraId="0B499A9A" w14:textId="3CA3A62E" w:rsidR="00015A8A" w:rsidRPr="009D6147" w:rsidRDefault="00015A8A" w:rsidP="00A70BC5">
      <w:pPr>
        <w:spacing w:after="240" w:line="276" w:lineRule="auto"/>
        <w:rPr>
          <w:rFonts w:asciiTheme="majorHAnsi" w:hAnsiTheme="majorHAnsi" w:cstheme="majorHAnsi"/>
          <w:noProof/>
        </w:rPr>
      </w:pPr>
      <w:r w:rsidRPr="009D6147">
        <w:rPr>
          <w:rFonts w:asciiTheme="majorHAnsi" w:hAnsiTheme="majorHAnsi" w:cstheme="majorHAnsi"/>
          <w:noProof/>
          <w:lang w:eastAsia="sq-AL"/>
        </w:rPr>
        <w:drawing>
          <wp:inline distT="0" distB="0" distL="0" distR="0" wp14:anchorId="6EF5283C" wp14:editId="785EC04D">
            <wp:extent cx="5889600" cy="1943735"/>
            <wp:effectExtent l="0" t="0" r="16510" b="18415"/>
            <wp:docPr id="58" name="Chart 58">
              <a:extLst xmlns:a="http://schemas.openxmlformats.org/drawingml/2006/main">
                <a:ext uri="{FF2B5EF4-FFF2-40B4-BE49-F238E27FC236}">
                  <a16:creationId xmlns:a16="http://schemas.microsoft.com/office/drawing/2014/main" id="{D826E079-9835-4BCB-96F8-FDC146227C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3D7066A" w14:textId="7F0D174E" w:rsidR="00CE04E0" w:rsidRPr="009D6147" w:rsidRDefault="00913CFE" w:rsidP="00642BCD">
      <w:pPr>
        <w:spacing w:line="276" w:lineRule="auto"/>
        <w:jc w:val="center"/>
        <w:rPr>
          <w:rFonts w:asciiTheme="majorHAnsi" w:hAnsiTheme="majorHAnsi" w:cstheme="majorHAnsi"/>
          <w:sz w:val="24"/>
        </w:rPr>
      </w:pPr>
      <w:proofErr w:type="spellStart"/>
      <w:r w:rsidRPr="009D6147">
        <w:rPr>
          <w:rFonts w:asciiTheme="majorHAnsi" w:hAnsiTheme="majorHAnsi" w:cstheme="majorHAnsi"/>
          <w:i/>
          <w:sz w:val="16"/>
          <w:szCs w:val="16"/>
        </w:rPr>
        <w:t>Fig</w:t>
      </w:r>
      <w:proofErr w:type="spellEnd"/>
      <w:r w:rsidRPr="009D6147">
        <w:rPr>
          <w:rFonts w:asciiTheme="majorHAnsi" w:hAnsiTheme="majorHAnsi" w:cstheme="majorHAnsi"/>
          <w:i/>
          <w:sz w:val="16"/>
          <w:szCs w:val="16"/>
        </w:rPr>
        <w:t xml:space="preserve"> 2</w:t>
      </w:r>
      <w:r w:rsidR="00642BCD" w:rsidRPr="009D6147">
        <w:rPr>
          <w:rFonts w:asciiTheme="majorHAnsi" w:hAnsiTheme="majorHAnsi" w:cstheme="majorHAnsi"/>
          <w:i/>
          <w:sz w:val="16"/>
          <w:szCs w:val="16"/>
        </w:rPr>
        <w:t>2.</w:t>
      </w:r>
      <w:r w:rsidR="00261961" w:rsidRPr="009D6147">
        <w:rPr>
          <w:rFonts w:asciiTheme="majorHAnsi" w:hAnsiTheme="majorHAnsi" w:cstheme="majorHAnsi"/>
          <w:i/>
          <w:sz w:val="16"/>
          <w:szCs w:val="16"/>
        </w:rPr>
        <w:t xml:space="preserve"> Publikimi i Buxheti për vitin 202</w:t>
      </w:r>
      <w:r w:rsidR="00294F9E" w:rsidRPr="009D6147">
        <w:rPr>
          <w:rFonts w:asciiTheme="majorHAnsi" w:hAnsiTheme="majorHAnsi" w:cstheme="majorHAnsi"/>
          <w:i/>
          <w:sz w:val="16"/>
          <w:szCs w:val="16"/>
        </w:rPr>
        <w:t>5</w:t>
      </w:r>
    </w:p>
    <w:p w14:paraId="69E97983" w14:textId="77777777" w:rsidR="00642BCD" w:rsidRPr="009D6147" w:rsidRDefault="00642BCD" w:rsidP="00A70BC5">
      <w:pPr>
        <w:spacing w:line="276" w:lineRule="auto"/>
        <w:rPr>
          <w:rFonts w:asciiTheme="majorHAnsi" w:hAnsiTheme="majorHAnsi" w:cstheme="majorHAnsi"/>
          <w:b/>
          <w:color w:val="2F5496" w:themeColor="accent5" w:themeShade="BF"/>
          <w:sz w:val="20"/>
          <w:szCs w:val="20"/>
        </w:rPr>
      </w:pPr>
    </w:p>
    <w:p w14:paraId="72211571" w14:textId="10913A13" w:rsidR="00642BCD" w:rsidRPr="009D6147" w:rsidRDefault="00D04377" w:rsidP="0070449E">
      <w:pPr>
        <w:pStyle w:val="Style2"/>
        <w:spacing w:line="276" w:lineRule="auto"/>
        <w:rPr>
          <w:rFonts w:asciiTheme="majorHAnsi" w:hAnsiTheme="majorHAnsi" w:cstheme="majorHAnsi"/>
          <w:sz w:val="22"/>
          <w:szCs w:val="22"/>
        </w:rPr>
      </w:pPr>
      <w:bookmarkStart w:id="59" w:name="_Toc227827181"/>
      <w:r w:rsidRPr="009D6147">
        <w:rPr>
          <w:rFonts w:asciiTheme="majorHAnsi" w:hAnsiTheme="majorHAnsi" w:cstheme="majorHAnsi"/>
          <w:sz w:val="22"/>
          <w:szCs w:val="22"/>
        </w:rPr>
        <w:t>KORNIZA AFATMESME BUXHETORE</w:t>
      </w:r>
      <w:bookmarkEnd w:id="59"/>
    </w:p>
    <w:p w14:paraId="2E6DAAE4" w14:textId="77777777" w:rsidR="0070449E" w:rsidRPr="009D6147" w:rsidRDefault="0070449E" w:rsidP="0070449E">
      <w:pPr>
        <w:pStyle w:val="Style2"/>
        <w:spacing w:line="276" w:lineRule="auto"/>
        <w:rPr>
          <w:rFonts w:asciiTheme="majorHAnsi" w:hAnsiTheme="majorHAnsi" w:cstheme="majorHAnsi"/>
          <w:sz w:val="22"/>
          <w:szCs w:val="22"/>
        </w:rPr>
      </w:pPr>
    </w:p>
    <w:p w14:paraId="0EB3EB10" w14:textId="3E14B117" w:rsidR="00050692" w:rsidRPr="009D6147" w:rsidRDefault="00050692" w:rsidP="00A70BC5">
      <w:pPr>
        <w:spacing w:line="276" w:lineRule="auto"/>
        <w:rPr>
          <w:rFonts w:asciiTheme="majorHAnsi" w:hAnsiTheme="majorHAnsi" w:cstheme="majorHAnsi"/>
        </w:rPr>
      </w:pPr>
      <w:r w:rsidRPr="009D6147">
        <w:rPr>
          <w:rFonts w:asciiTheme="majorHAnsi" w:hAnsiTheme="majorHAnsi" w:cstheme="majorHAnsi"/>
        </w:rPr>
        <w:t xml:space="preserve">Korniza Afatmesme  Buxhetore është </w:t>
      </w:r>
      <w:r w:rsidR="005B625E" w:rsidRPr="009D6147">
        <w:rPr>
          <w:rFonts w:asciiTheme="majorHAnsi" w:hAnsiTheme="majorHAnsi" w:cstheme="majorHAnsi"/>
        </w:rPr>
        <w:t xml:space="preserve"> </w:t>
      </w:r>
      <w:r w:rsidRPr="009D6147">
        <w:rPr>
          <w:rFonts w:asciiTheme="majorHAnsi" w:hAnsiTheme="majorHAnsi" w:cstheme="majorHAnsi"/>
        </w:rPr>
        <w:t>dokument kryesor financiar, në të cilin hartohet buxheti vjetor për vitin vijues. Në Kornizën  Afatmesme Buxhetore përcaktohen prioritete</w:t>
      </w:r>
      <w:r w:rsidR="005B625E" w:rsidRPr="009D6147">
        <w:rPr>
          <w:rFonts w:asciiTheme="majorHAnsi" w:hAnsiTheme="majorHAnsi" w:cstheme="majorHAnsi"/>
        </w:rPr>
        <w:t>t,</w:t>
      </w:r>
      <w:r w:rsidRPr="009D6147">
        <w:rPr>
          <w:rFonts w:asciiTheme="majorHAnsi" w:hAnsiTheme="majorHAnsi" w:cstheme="majorHAnsi"/>
        </w:rPr>
        <w:t xml:space="preserve"> duke u bazuar në analizën gjithëpërfshirëse dhe planifikimin buxhetor për vitin vijues</w:t>
      </w:r>
      <w:r w:rsidR="005B625E" w:rsidRPr="009D6147">
        <w:rPr>
          <w:rFonts w:asciiTheme="majorHAnsi" w:hAnsiTheme="majorHAnsi" w:cstheme="majorHAnsi"/>
        </w:rPr>
        <w:t>.</w:t>
      </w:r>
    </w:p>
    <w:p w14:paraId="1506BD5F" w14:textId="77777777" w:rsidR="006F6397" w:rsidRPr="009D6147" w:rsidRDefault="006F6397" w:rsidP="00A70BC5">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eastAsia="Times New Roman" w:hAnsiTheme="majorHAnsi" w:cstheme="majorHAnsi"/>
          <w:lang w:eastAsia="en-GB"/>
        </w:rPr>
        <w:t>Gjatë periudhës raportuese 2025, Kornizën Afatmesme Buxhetore (KAB) e kanë publikuar 28 komuna ose 74%, ndërsa 10 komuna ose 26% nuk e kanë publikuar atë.</w:t>
      </w:r>
    </w:p>
    <w:p w14:paraId="3E9BAA25" w14:textId="77777777" w:rsidR="006F6397" w:rsidRPr="009D6147" w:rsidRDefault="006F6397" w:rsidP="00A70BC5">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eastAsia="Times New Roman" w:hAnsiTheme="majorHAnsi" w:cstheme="majorHAnsi"/>
          <w:lang w:eastAsia="en-GB"/>
        </w:rPr>
        <w:t>Krahasuar me të dhënat e Raportit të Transparencës për vitin 2024, kur 31 komuna e kishin publikuar KAB-in dhe 7 komuna nuk e kishin publikuar, në vitin 2025 vërehet rënie prej 3 komunash në numrin e komunave që e kanë publikuar këtë dokument. Kjo tregon ulje të nivelit të publikimit të KAB-it në raport me vitin paraprak.</w:t>
      </w:r>
    </w:p>
    <w:p w14:paraId="2CFFF41C" w14:textId="74F1B618" w:rsidR="00962FB2" w:rsidRPr="009D6147" w:rsidRDefault="005B625E" w:rsidP="00A70BC5">
      <w:pPr>
        <w:spacing w:after="240" w:line="276" w:lineRule="auto"/>
        <w:rPr>
          <w:rFonts w:asciiTheme="majorHAnsi" w:hAnsiTheme="majorHAnsi" w:cstheme="majorHAnsi"/>
        </w:rPr>
      </w:pPr>
      <w:r w:rsidRPr="009D6147">
        <w:rPr>
          <w:rFonts w:asciiTheme="majorHAnsi" w:hAnsiTheme="majorHAnsi" w:cstheme="majorHAnsi"/>
        </w:rPr>
        <w:t xml:space="preserve">Në formë </w:t>
      </w:r>
      <w:r w:rsidR="002C616F" w:rsidRPr="009D6147">
        <w:rPr>
          <w:rFonts w:asciiTheme="majorHAnsi" w:hAnsiTheme="majorHAnsi" w:cstheme="majorHAnsi"/>
        </w:rPr>
        <w:t>tabelore</w:t>
      </w:r>
      <w:r w:rsidR="00C170E5" w:rsidRPr="009D6147">
        <w:rPr>
          <w:rFonts w:asciiTheme="majorHAnsi" w:hAnsiTheme="majorHAnsi" w:cstheme="majorHAnsi"/>
        </w:rPr>
        <w:t>, është paraq</w:t>
      </w:r>
      <w:r w:rsidRPr="009D6147">
        <w:rPr>
          <w:rFonts w:asciiTheme="majorHAnsi" w:hAnsiTheme="majorHAnsi" w:cstheme="majorHAnsi"/>
        </w:rPr>
        <w:t xml:space="preserve">itur numri i komunave, të cilat e </w:t>
      </w:r>
      <w:r w:rsidR="00C170E5" w:rsidRPr="009D6147">
        <w:rPr>
          <w:rFonts w:asciiTheme="majorHAnsi" w:hAnsiTheme="majorHAnsi" w:cstheme="majorHAnsi"/>
        </w:rPr>
        <w:t>k</w:t>
      </w:r>
      <w:r w:rsidR="006D19A7">
        <w:rPr>
          <w:rFonts w:asciiTheme="majorHAnsi" w:hAnsiTheme="majorHAnsi" w:cstheme="majorHAnsi"/>
        </w:rPr>
        <w:t>anë publikuar Kornizën</w:t>
      </w:r>
      <w:r w:rsidR="006D19A7" w:rsidRPr="00275069">
        <w:rPr>
          <w:rFonts w:asciiTheme="majorHAnsi" w:hAnsiTheme="majorHAnsi" w:cstheme="majorHAnsi"/>
        </w:rPr>
        <w:t xml:space="preserve"> Afatmesme</w:t>
      </w:r>
      <w:r w:rsidR="00C170E5" w:rsidRPr="00275069">
        <w:rPr>
          <w:rFonts w:asciiTheme="majorHAnsi" w:hAnsiTheme="majorHAnsi" w:cstheme="majorHAnsi"/>
        </w:rPr>
        <w:t xml:space="preserve"> </w:t>
      </w:r>
      <w:r w:rsidR="00C170E5" w:rsidRPr="009D6147">
        <w:rPr>
          <w:rFonts w:asciiTheme="majorHAnsi" w:hAnsiTheme="majorHAnsi" w:cstheme="majorHAnsi"/>
        </w:rPr>
        <w:t>Buxhetore gjatë kësaj periudhe</w:t>
      </w:r>
      <w:r w:rsidR="00B71B5C" w:rsidRPr="009D6147">
        <w:rPr>
          <w:rFonts w:asciiTheme="majorHAnsi" w:hAnsiTheme="majorHAnsi" w:cstheme="majorHAnsi"/>
        </w:rPr>
        <w:t>.</w:t>
      </w:r>
      <w:r w:rsidR="00C170E5" w:rsidRPr="009D6147">
        <w:rPr>
          <w:rFonts w:asciiTheme="majorHAnsi" w:hAnsiTheme="majorHAnsi" w:cstheme="majorHAnsi"/>
        </w:rPr>
        <w:t>.</w:t>
      </w:r>
    </w:p>
    <w:p w14:paraId="705815D7" w14:textId="082F776C" w:rsidR="000C5105" w:rsidRPr="009D6147" w:rsidRDefault="000C5105" w:rsidP="00A70BC5">
      <w:pPr>
        <w:spacing w:line="276" w:lineRule="auto"/>
        <w:rPr>
          <w:rFonts w:asciiTheme="majorHAnsi" w:hAnsiTheme="majorHAnsi" w:cstheme="majorHAnsi"/>
          <w:i/>
          <w:sz w:val="16"/>
          <w:szCs w:val="16"/>
        </w:rPr>
      </w:pPr>
      <w:r w:rsidRPr="009D6147">
        <w:rPr>
          <w:rFonts w:asciiTheme="majorHAnsi" w:hAnsiTheme="majorHAnsi" w:cstheme="majorHAnsi"/>
          <w:noProof/>
          <w:lang w:eastAsia="sq-AL"/>
        </w:rPr>
        <w:drawing>
          <wp:inline distT="0" distB="0" distL="0" distR="0" wp14:anchorId="7A03EF1F" wp14:editId="4D7353F5">
            <wp:extent cx="5781040" cy="1754156"/>
            <wp:effectExtent l="0" t="0" r="10160" b="17780"/>
            <wp:docPr id="61" name="Chart 61">
              <a:extLst xmlns:a="http://schemas.openxmlformats.org/drawingml/2006/main">
                <a:ext uri="{FF2B5EF4-FFF2-40B4-BE49-F238E27FC236}">
                  <a16:creationId xmlns:a16="http://schemas.microsoft.com/office/drawing/2014/main" id="{388E91AF-67E7-4D24-8B9F-23AC11E7B2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2449DA7" w14:textId="3E1871D0" w:rsidR="00962FB2" w:rsidRPr="00E271C1" w:rsidRDefault="00913CFE" w:rsidP="00642BCD">
      <w:pPr>
        <w:spacing w:line="276" w:lineRule="auto"/>
        <w:jc w:val="center"/>
        <w:rPr>
          <w:rFonts w:asciiTheme="majorHAnsi" w:hAnsiTheme="majorHAnsi" w:cstheme="majorHAnsi"/>
          <w:i/>
          <w:sz w:val="14"/>
          <w:szCs w:val="14"/>
        </w:rPr>
      </w:pPr>
      <w:r w:rsidRPr="00E271C1">
        <w:rPr>
          <w:rFonts w:asciiTheme="majorHAnsi" w:hAnsiTheme="majorHAnsi" w:cstheme="majorHAnsi"/>
          <w:i/>
          <w:sz w:val="14"/>
          <w:szCs w:val="14"/>
        </w:rPr>
        <w:t>Fig2</w:t>
      </w:r>
      <w:r w:rsidR="00642BCD" w:rsidRPr="00E271C1">
        <w:rPr>
          <w:rFonts w:asciiTheme="majorHAnsi" w:hAnsiTheme="majorHAnsi" w:cstheme="majorHAnsi"/>
          <w:i/>
          <w:sz w:val="14"/>
          <w:szCs w:val="14"/>
        </w:rPr>
        <w:t>3</w:t>
      </w:r>
      <w:r w:rsidR="00962FB2" w:rsidRPr="00E271C1">
        <w:rPr>
          <w:rFonts w:asciiTheme="majorHAnsi" w:hAnsiTheme="majorHAnsi" w:cstheme="majorHAnsi"/>
          <w:i/>
          <w:sz w:val="14"/>
          <w:szCs w:val="14"/>
        </w:rPr>
        <w:t>.  Publikimi i KAB-it</w:t>
      </w:r>
    </w:p>
    <w:p w14:paraId="497A21DA" w14:textId="77777777" w:rsidR="00B53303" w:rsidRPr="009D6147" w:rsidRDefault="00B53303" w:rsidP="0070449E">
      <w:pPr>
        <w:pStyle w:val="Style3"/>
        <w:rPr>
          <w:rFonts w:cstheme="majorHAnsi"/>
          <w:sz w:val="22"/>
          <w:szCs w:val="22"/>
        </w:rPr>
      </w:pPr>
    </w:p>
    <w:p w14:paraId="6D7182A2" w14:textId="4397DE09" w:rsidR="007D4ABB" w:rsidRPr="009D6147" w:rsidRDefault="007D4ABB" w:rsidP="0070449E">
      <w:pPr>
        <w:pStyle w:val="Style3"/>
        <w:rPr>
          <w:rFonts w:cstheme="majorHAnsi"/>
          <w:sz w:val="22"/>
          <w:szCs w:val="22"/>
        </w:rPr>
      </w:pPr>
      <w:r w:rsidRPr="009D6147">
        <w:rPr>
          <w:rFonts w:cstheme="majorHAnsi"/>
          <w:sz w:val="22"/>
          <w:szCs w:val="22"/>
        </w:rPr>
        <w:t xml:space="preserve">PUBLIKIMI I RAPORTEVE PERIODIKE </w:t>
      </w:r>
    </w:p>
    <w:p w14:paraId="65502906" w14:textId="470F4984" w:rsidR="0070449E" w:rsidRPr="0070449E" w:rsidRDefault="0070449E" w:rsidP="0070449E">
      <w:pPr>
        <w:spacing w:before="100" w:beforeAutospacing="1" w:after="100" w:afterAutospacing="1" w:line="276" w:lineRule="auto"/>
        <w:rPr>
          <w:rFonts w:asciiTheme="majorHAnsi" w:eastAsia="Times New Roman" w:hAnsiTheme="majorHAnsi" w:cstheme="majorHAnsi"/>
          <w:lang w:eastAsia="en-GB"/>
        </w:rPr>
      </w:pPr>
      <w:r w:rsidRPr="0070449E">
        <w:rPr>
          <w:rFonts w:asciiTheme="majorHAnsi" w:eastAsia="Times New Roman" w:hAnsiTheme="majorHAnsi" w:cstheme="majorHAnsi"/>
          <w:lang w:eastAsia="en-GB"/>
        </w:rPr>
        <w:t xml:space="preserve">Krahas dokumenteve të planifikimit buxhetor, legjislacioni në fuqi i obligon komunat të bëjnë publike veprimtaritë e tyre financiare. Publikimi i raporteve periodike financiare lehtëson edhe aspektet e tjera të kontrollit të jashtëm, duke mundësuar vlerësimin e efikasitetit të punës së kuvendeve komunale, respektimin e ligjshmërisë, menaxhimin efikas financiar, si dhe </w:t>
      </w:r>
      <w:proofErr w:type="spellStart"/>
      <w:r w:rsidRPr="0070449E">
        <w:rPr>
          <w:rFonts w:asciiTheme="majorHAnsi" w:eastAsia="Times New Roman" w:hAnsiTheme="majorHAnsi" w:cstheme="majorHAnsi"/>
          <w:lang w:eastAsia="en-GB"/>
        </w:rPr>
        <w:t>performancën</w:t>
      </w:r>
      <w:proofErr w:type="spellEnd"/>
      <w:r w:rsidRPr="0070449E">
        <w:rPr>
          <w:rFonts w:asciiTheme="majorHAnsi" w:eastAsia="Times New Roman" w:hAnsiTheme="majorHAnsi" w:cstheme="majorHAnsi"/>
          <w:lang w:eastAsia="en-GB"/>
        </w:rPr>
        <w:t xml:space="preserve"> e përgjithshme të ekzekutivit të komunës.</w:t>
      </w:r>
      <w:r w:rsidR="00654DAB">
        <w:rPr>
          <w:rFonts w:asciiTheme="majorHAnsi" w:eastAsia="Times New Roman" w:hAnsiTheme="majorHAnsi" w:cstheme="majorHAnsi"/>
          <w:lang w:eastAsia="en-GB"/>
        </w:rPr>
        <w:t xml:space="preserve"> </w:t>
      </w:r>
      <w:r w:rsidRPr="0070449E">
        <w:rPr>
          <w:rFonts w:asciiTheme="majorHAnsi" w:eastAsia="Times New Roman" w:hAnsiTheme="majorHAnsi" w:cstheme="majorHAnsi"/>
          <w:lang w:eastAsia="en-GB"/>
        </w:rPr>
        <w:t xml:space="preserve">Neni 45.4 i Ligjit për Menaxhimin e Financave Publike dhe Përgjegjësitë përcakton se kryetari i komunës, përveç obligimit për përgatitjen e raporteve financiare, është i obliguar edhe për publikimin e tyre në ueb-faqen zyrtare të komunës. </w:t>
      </w:r>
    </w:p>
    <w:p w14:paraId="4F42B055" w14:textId="77777777" w:rsidR="0070449E" w:rsidRPr="00654DAB" w:rsidRDefault="0070449E" w:rsidP="00654DAB">
      <w:pPr>
        <w:spacing w:before="100" w:beforeAutospacing="1" w:after="100" w:afterAutospacing="1" w:line="276" w:lineRule="auto"/>
        <w:rPr>
          <w:rFonts w:asciiTheme="majorHAnsi" w:eastAsia="Times New Roman" w:hAnsiTheme="majorHAnsi" w:cstheme="majorHAnsi"/>
          <w:lang w:eastAsia="en-GB"/>
        </w:rPr>
      </w:pPr>
      <w:r w:rsidRPr="00654DAB">
        <w:rPr>
          <w:rFonts w:asciiTheme="majorHAnsi" w:eastAsia="Times New Roman" w:hAnsiTheme="majorHAnsi" w:cstheme="majorHAnsi"/>
          <w:lang w:eastAsia="en-GB"/>
        </w:rPr>
        <w:t>Gjatë periudhës raportuese janar–dhjetor 2025, raportet periodike financiare i kanë publikuar 28 komuna (74%), ndërsa 10 komuna (26%) nuk i kanë publikuar këto raporte.</w:t>
      </w:r>
    </w:p>
    <w:p w14:paraId="4C738EF6" w14:textId="77777777" w:rsidR="0070449E" w:rsidRPr="0070449E" w:rsidRDefault="0070449E" w:rsidP="0070449E">
      <w:pPr>
        <w:spacing w:before="100" w:beforeAutospacing="1" w:after="100" w:afterAutospacing="1" w:line="276" w:lineRule="auto"/>
        <w:rPr>
          <w:rFonts w:asciiTheme="majorHAnsi" w:eastAsia="Times New Roman" w:hAnsiTheme="majorHAnsi" w:cstheme="majorHAnsi"/>
          <w:lang w:eastAsia="en-GB"/>
        </w:rPr>
      </w:pPr>
      <w:r w:rsidRPr="0070449E">
        <w:rPr>
          <w:rFonts w:asciiTheme="majorHAnsi" w:eastAsia="Times New Roman" w:hAnsiTheme="majorHAnsi" w:cstheme="majorHAnsi"/>
          <w:lang w:eastAsia="en-GB"/>
        </w:rPr>
        <w:t>Në krahasim me të dhënat e Raportit për Vlerësimin e Transparencës për vitin 2024, vërehet një rënie e lehtë në vitin 2025, ku numri i komunave që kanë publikuar raportet periodike financiare është më i ulët për dy (2) komuna (nga 30 në 28). Kjo tregon një ulje të lehtë të nivelit të raportimit financiar nga komunat.</w:t>
      </w:r>
    </w:p>
    <w:p w14:paraId="6DBE9646" w14:textId="5C68CED8" w:rsidR="0070449E" w:rsidRPr="00E271C1" w:rsidRDefault="0070449E" w:rsidP="00E271C1">
      <w:pPr>
        <w:spacing w:before="100" w:beforeAutospacing="1" w:after="100" w:afterAutospacing="1" w:line="276" w:lineRule="auto"/>
        <w:rPr>
          <w:rFonts w:asciiTheme="majorHAnsi" w:eastAsia="Times New Roman" w:hAnsiTheme="majorHAnsi" w:cstheme="majorHAnsi"/>
          <w:lang w:eastAsia="en-GB"/>
        </w:rPr>
      </w:pPr>
      <w:r w:rsidRPr="0070449E">
        <w:rPr>
          <w:rFonts w:asciiTheme="majorHAnsi" w:eastAsia="Times New Roman" w:hAnsiTheme="majorHAnsi" w:cstheme="majorHAnsi"/>
          <w:lang w:eastAsia="en-GB"/>
        </w:rPr>
        <w:t>Në vijim paraqitet në formë tabelore numri i komunave që kanë publikuar raportet periodike financiare.</w:t>
      </w:r>
    </w:p>
    <w:p w14:paraId="29B364DD" w14:textId="395ADC34" w:rsidR="000C5105" w:rsidRPr="009D6147" w:rsidRDefault="000C5105" w:rsidP="00A70BC5">
      <w:pPr>
        <w:spacing w:after="240" w:line="276" w:lineRule="auto"/>
        <w:rPr>
          <w:rFonts w:asciiTheme="majorHAnsi" w:hAnsiTheme="majorHAnsi" w:cstheme="majorHAnsi"/>
        </w:rPr>
      </w:pPr>
      <w:r w:rsidRPr="009D6147">
        <w:rPr>
          <w:rFonts w:asciiTheme="majorHAnsi" w:hAnsiTheme="majorHAnsi" w:cstheme="majorHAnsi"/>
          <w:noProof/>
          <w:lang w:eastAsia="sq-AL"/>
        </w:rPr>
        <w:drawing>
          <wp:inline distT="0" distB="0" distL="0" distR="0" wp14:anchorId="25FDA177" wp14:editId="7618ED5A">
            <wp:extent cx="5918400" cy="1880870"/>
            <wp:effectExtent l="0" t="0" r="6350" b="5080"/>
            <wp:docPr id="62" name="Chart 62">
              <a:extLst xmlns:a="http://schemas.openxmlformats.org/drawingml/2006/main">
                <a:ext uri="{FF2B5EF4-FFF2-40B4-BE49-F238E27FC236}">
                  <a16:creationId xmlns:a16="http://schemas.microsoft.com/office/drawing/2014/main" id="{7AAC2C9B-3343-4D3D-A1A2-72674CC1D1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8791C6E" w14:textId="5936CA9C" w:rsidR="005671EB" w:rsidRPr="00654DAB" w:rsidRDefault="001827D4" w:rsidP="00051CD5">
      <w:pPr>
        <w:spacing w:after="240" w:line="276" w:lineRule="auto"/>
        <w:jc w:val="center"/>
        <w:rPr>
          <w:rFonts w:asciiTheme="majorHAnsi" w:hAnsiTheme="majorHAnsi" w:cstheme="majorHAnsi"/>
          <w:i/>
          <w:sz w:val="14"/>
          <w:szCs w:val="14"/>
        </w:rPr>
      </w:pPr>
      <w:r w:rsidRPr="00654DAB">
        <w:rPr>
          <w:rFonts w:asciiTheme="majorHAnsi" w:hAnsiTheme="majorHAnsi" w:cstheme="majorHAnsi"/>
          <w:i/>
          <w:sz w:val="14"/>
          <w:szCs w:val="14"/>
        </w:rPr>
        <w:t>Fig.2</w:t>
      </w:r>
      <w:r w:rsidR="005671EB" w:rsidRPr="00654DAB">
        <w:rPr>
          <w:rFonts w:asciiTheme="majorHAnsi" w:hAnsiTheme="majorHAnsi" w:cstheme="majorHAnsi"/>
          <w:i/>
          <w:sz w:val="14"/>
          <w:szCs w:val="14"/>
        </w:rPr>
        <w:t>4</w:t>
      </w:r>
      <w:r w:rsidR="006E6D40" w:rsidRPr="00654DAB">
        <w:rPr>
          <w:rFonts w:asciiTheme="majorHAnsi" w:hAnsiTheme="majorHAnsi" w:cstheme="majorHAnsi"/>
          <w:i/>
          <w:sz w:val="14"/>
          <w:szCs w:val="14"/>
        </w:rPr>
        <w:t>.</w:t>
      </w:r>
      <w:r w:rsidR="00F24AFC" w:rsidRPr="00654DAB">
        <w:rPr>
          <w:rFonts w:asciiTheme="majorHAnsi" w:hAnsiTheme="majorHAnsi" w:cstheme="majorHAnsi"/>
          <w:sz w:val="14"/>
          <w:szCs w:val="14"/>
        </w:rPr>
        <w:t xml:space="preserve"> </w:t>
      </w:r>
      <w:r w:rsidR="00F24AFC" w:rsidRPr="00654DAB">
        <w:rPr>
          <w:rFonts w:asciiTheme="majorHAnsi" w:hAnsiTheme="majorHAnsi" w:cstheme="majorHAnsi"/>
          <w:i/>
          <w:sz w:val="14"/>
          <w:szCs w:val="14"/>
        </w:rPr>
        <w:t>Publikim</w:t>
      </w:r>
      <w:r w:rsidR="00822470" w:rsidRPr="00654DAB">
        <w:rPr>
          <w:rFonts w:asciiTheme="majorHAnsi" w:hAnsiTheme="majorHAnsi" w:cstheme="majorHAnsi"/>
          <w:i/>
          <w:sz w:val="14"/>
          <w:szCs w:val="14"/>
        </w:rPr>
        <w:t>i i</w:t>
      </w:r>
      <w:r w:rsidR="00F24AFC" w:rsidRPr="00654DAB">
        <w:rPr>
          <w:rFonts w:asciiTheme="majorHAnsi" w:hAnsiTheme="majorHAnsi" w:cstheme="majorHAnsi"/>
          <w:i/>
          <w:sz w:val="14"/>
          <w:szCs w:val="14"/>
        </w:rPr>
        <w:t xml:space="preserve"> raporteve periodike financiare</w:t>
      </w:r>
    </w:p>
    <w:p w14:paraId="2607AD39" w14:textId="77777777" w:rsidR="007A53C4" w:rsidRPr="009D6147" w:rsidRDefault="007A53C4" w:rsidP="00051CD5">
      <w:pPr>
        <w:spacing w:after="240" w:line="276" w:lineRule="auto"/>
        <w:jc w:val="center"/>
        <w:rPr>
          <w:rFonts w:asciiTheme="majorHAnsi" w:hAnsiTheme="majorHAnsi" w:cstheme="majorHAnsi"/>
          <w:i/>
        </w:rPr>
      </w:pPr>
    </w:p>
    <w:p w14:paraId="0D59B2A6" w14:textId="3E442B97" w:rsidR="00034627" w:rsidRPr="009D6147" w:rsidRDefault="00292B39" w:rsidP="001D0A4C">
      <w:pPr>
        <w:pStyle w:val="Style3"/>
        <w:spacing w:line="276" w:lineRule="auto"/>
        <w:rPr>
          <w:rFonts w:cstheme="majorHAnsi"/>
          <w:sz w:val="22"/>
          <w:szCs w:val="22"/>
        </w:rPr>
      </w:pPr>
      <w:bookmarkStart w:id="60" w:name="_Toc227827182"/>
      <w:r w:rsidRPr="009D6147">
        <w:rPr>
          <w:rFonts w:cstheme="majorHAnsi"/>
          <w:sz w:val="22"/>
          <w:szCs w:val="22"/>
        </w:rPr>
        <w:t>Raporti vjetor financiar</w:t>
      </w:r>
      <w:bookmarkEnd w:id="60"/>
    </w:p>
    <w:p w14:paraId="0D98ECF8" w14:textId="77777777" w:rsidR="001D0A4C" w:rsidRPr="001D0A4C" w:rsidRDefault="001D0A4C" w:rsidP="001D0A4C">
      <w:pPr>
        <w:spacing w:before="100" w:beforeAutospacing="1" w:after="100" w:afterAutospacing="1" w:line="276" w:lineRule="auto"/>
        <w:rPr>
          <w:rFonts w:asciiTheme="majorHAnsi" w:eastAsia="Times New Roman" w:hAnsiTheme="majorHAnsi" w:cstheme="majorHAnsi"/>
          <w:lang w:eastAsia="en-GB"/>
        </w:rPr>
      </w:pPr>
      <w:r w:rsidRPr="001D0A4C">
        <w:rPr>
          <w:rFonts w:asciiTheme="majorHAnsi" w:eastAsia="Times New Roman" w:hAnsiTheme="majorHAnsi" w:cstheme="majorHAnsi"/>
          <w:lang w:eastAsia="en-GB"/>
        </w:rPr>
        <w:t>Raportin vjetor financiar gjatë vitit 2025 e kanë publikuar 25 komuna (66%), ndërsa 13 komuna (34%) nuk e kanë publikuar këtë raport.</w:t>
      </w:r>
    </w:p>
    <w:p w14:paraId="0BC2978C" w14:textId="77777777" w:rsidR="001D0A4C" w:rsidRPr="00654DAB" w:rsidRDefault="001D0A4C" w:rsidP="001D0A4C">
      <w:pPr>
        <w:spacing w:before="100" w:beforeAutospacing="1" w:after="100" w:afterAutospacing="1" w:line="276" w:lineRule="auto"/>
        <w:rPr>
          <w:rFonts w:asciiTheme="majorHAnsi" w:eastAsia="Times New Roman" w:hAnsiTheme="majorHAnsi" w:cstheme="majorHAnsi"/>
          <w:lang w:eastAsia="en-GB"/>
        </w:rPr>
      </w:pPr>
      <w:r w:rsidRPr="001D0A4C">
        <w:rPr>
          <w:rFonts w:asciiTheme="majorHAnsi" w:eastAsia="Times New Roman" w:hAnsiTheme="majorHAnsi" w:cstheme="majorHAnsi"/>
          <w:lang w:eastAsia="en-GB"/>
        </w:rPr>
        <w:t xml:space="preserve">Krahasuar me të dhënat e Raportit për Vlerësimin e Transparencës për vitin 2024, vërehet një rënie e lehtë në vitin 2025, ku numri i komunave që kanë publikuar raportin vjetor financiar është më i ulët për 3 komuna (nga 28 në 25). Kjo tregon një ulje të lehtë të nivelit të publikimit të raportit vjetor financiar </w:t>
      </w:r>
      <w:r w:rsidRPr="00654DAB">
        <w:rPr>
          <w:rFonts w:asciiTheme="majorHAnsi" w:eastAsia="Times New Roman" w:hAnsiTheme="majorHAnsi" w:cstheme="majorHAnsi"/>
          <w:lang w:eastAsia="en-GB"/>
        </w:rPr>
        <w:t>nga komunat.</w:t>
      </w:r>
    </w:p>
    <w:p w14:paraId="433C9ED7" w14:textId="77777777" w:rsidR="001D0A4C" w:rsidRPr="00654DAB" w:rsidRDefault="001D0A4C" w:rsidP="001D0A4C">
      <w:pPr>
        <w:spacing w:before="100" w:beforeAutospacing="1" w:after="100" w:afterAutospacing="1" w:line="276" w:lineRule="auto"/>
        <w:rPr>
          <w:rFonts w:asciiTheme="majorHAnsi" w:eastAsia="Times New Roman" w:hAnsiTheme="majorHAnsi" w:cstheme="majorHAnsi"/>
          <w:lang w:eastAsia="en-GB"/>
        </w:rPr>
      </w:pPr>
      <w:r w:rsidRPr="00654DAB">
        <w:rPr>
          <w:rFonts w:asciiTheme="majorHAnsi" w:eastAsia="Times New Roman" w:hAnsiTheme="majorHAnsi" w:cstheme="majorHAnsi"/>
          <w:lang w:eastAsia="en-GB"/>
        </w:rPr>
        <w:t>Në formë tabelore, është paraqitur numri i komunave që kanë publikuar raportin vjetor financiar.</w:t>
      </w:r>
    </w:p>
    <w:p w14:paraId="6A8DA0B1" w14:textId="1E92DAB5" w:rsidR="00015A8A" w:rsidRPr="009D6147" w:rsidRDefault="00015A8A" w:rsidP="00A70BC5">
      <w:pPr>
        <w:spacing w:line="276" w:lineRule="auto"/>
        <w:rPr>
          <w:rFonts w:asciiTheme="majorHAnsi" w:hAnsiTheme="majorHAnsi" w:cstheme="majorHAnsi"/>
        </w:rPr>
      </w:pPr>
      <w:r w:rsidRPr="009D6147">
        <w:rPr>
          <w:rFonts w:asciiTheme="majorHAnsi" w:hAnsiTheme="majorHAnsi" w:cstheme="majorHAnsi"/>
          <w:noProof/>
          <w:sz w:val="16"/>
          <w:szCs w:val="16"/>
          <w:lang w:eastAsia="sq-AL"/>
        </w:rPr>
        <w:drawing>
          <wp:inline distT="0" distB="0" distL="0" distR="0" wp14:anchorId="3A1E56D4" wp14:editId="7DDE7E17">
            <wp:extent cx="5845810" cy="1702836"/>
            <wp:effectExtent l="0" t="0" r="2540" b="12065"/>
            <wp:docPr id="60" name="Chart 60">
              <a:extLst xmlns:a="http://schemas.openxmlformats.org/drawingml/2006/main">
                <a:ext uri="{FF2B5EF4-FFF2-40B4-BE49-F238E27FC236}">
                  <a16:creationId xmlns:a16="http://schemas.microsoft.com/office/drawing/2014/main" id="{66230E00-81E9-47A5-86BD-F592886F6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EE3178F" w14:textId="306D216E" w:rsidR="00E0466F" w:rsidRPr="00654DAB" w:rsidRDefault="001827D4" w:rsidP="005671EB">
      <w:pPr>
        <w:spacing w:line="276" w:lineRule="auto"/>
        <w:jc w:val="center"/>
        <w:rPr>
          <w:rFonts w:asciiTheme="majorHAnsi" w:hAnsiTheme="majorHAnsi" w:cstheme="majorHAnsi"/>
          <w:sz w:val="20"/>
          <w:szCs w:val="20"/>
        </w:rPr>
      </w:pPr>
      <w:proofErr w:type="spellStart"/>
      <w:r w:rsidRPr="00654DAB">
        <w:rPr>
          <w:rFonts w:asciiTheme="majorHAnsi" w:hAnsiTheme="majorHAnsi" w:cstheme="majorHAnsi"/>
          <w:i/>
          <w:sz w:val="14"/>
          <w:szCs w:val="14"/>
        </w:rPr>
        <w:t>Fig</w:t>
      </w:r>
      <w:proofErr w:type="spellEnd"/>
      <w:r w:rsidRPr="00654DAB">
        <w:rPr>
          <w:rFonts w:asciiTheme="majorHAnsi" w:hAnsiTheme="majorHAnsi" w:cstheme="majorHAnsi"/>
          <w:i/>
          <w:sz w:val="14"/>
          <w:szCs w:val="14"/>
        </w:rPr>
        <w:t xml:space="preserve"> 2</w:t>
      </w:r>
      <w:r w:rsidR="005671EB" w:rsidRPr="00654DAB">
        <w:rPr>
          <w:rFonts w:asciiTheme="majorHAnsi" w:hAnsiTheme="majorHAnsi" w:cstheme="majorHAnsi"/>
          <w:i/>
          <w:sz w:val="14"/>
          <w:szCs w:val="14"/>
        </w:rPr>
        <w:t>5</w:t>
      </w:r>
      <w:r w:rsidR="007D4ABB" w:rsidRPr="00654DAB">
        <w:rPr>
          <w:rFonts w:asciiTheme="majorHAnsi" w:hAnsiTheme="majorHAnsi" w:cstheme="majorHAnsi"/>
          <w:i/>
          <w:sz w:val="14"/>
          <w:szCs w:val="14"/>
        </w:rPr>
        <w:t xml:space="preserve"> </w:t>
      </w:r>
      <w:r w:rsidR="00F24AFC" w:rsidRPr="00654DAB">
        <w:rPr>
          <w:rFonts w:asciiTheme="majorHAnsi" w:hAnsiTheme="majorHAnsi" w:cstheme="majorHAnsi"/>
          <w:i/>
          <w:sz w:val="14"/>
          <w:szCs w:val="14"/>
        </w:rPr>
        <w:t>Publik</w:t>
      </w:r>
      <w:r w:rsidR="00822470" w:rsidRPr="00654DAB">
        <w:rPr>
          <w:rFonts w:asciiTheme="majorHAnsi" w:hAnsiTheme="majorHAnsi" w:cstheme="majorHAnsi"/>
          <w:i/>
          <w:sz w:val="14"/>
          <w:szCs w:val="14"/>
        </w:rPr>
        <w:t>imi i</w:t>
      </w:r>
      <w:r w:rsidR="00F24AFC" w:rsidRPr="00654DAB">
        <w:rPr>
          <w:rFonts w:asciiTheme="majorHAnsi" w:hAnsiTheme="majorHAnsi" w:cstheme="majorHAnsi"/>
          <w:i/>
          <w:sz w:val="14"/>
          <w:szCs w:val="14"/>
        </w:rPr>
        <w:t xml:space="preserve"> raport</w:t>
      </w:r>
      <w:r w:rsidR="00822470" w:rsidRPr="00654DAB">
        <w:rPr>
          <w:rFonts w:asciiTheme="majorHAnsi" w:hAnsiTheme="majorHAnsi" w:cstheme="majorHAnsi"/>
          <w:i/>
          <w:sz w:val="14"/>
          <w:szCs w:val="14"/>
        </w:rPr>
        <w:t>it vjetor</w:t>
      </w:r>
      <w:r w:rsidR="007D4ABB" w:rsidRPr="00654DAB">
        <w:rPr>
          <w:rFonts w:asciiTheme="majorHAnsi" w:hAnsiTheme="majorHAnsi" w:cstheme="majorHAnsi"/>
          <w:i/>
          <w:sz w:val="14"/>
          <w:szCs w:val="14"/>
        </w:rPr>
        <w:t xml:space="preserve"> financiar</w:t>
      </w:r>
    </w:p>
    <w:p w14:paraId="19A993DC" w14:textId="03D8A747" w:rsidR="008D4D88" w:rsidRPr="00654DAB" w:rsidRDefault="008D4D88" w:rsidP="004D17CD">
      <w:pPr>
        <w:pStyle w:val="Style3"/>
        <w:spacing w:line="276" w:lineRule="auto"/>
        <w:jc w:val="center"/>
        <w:rPr>
          <w:rFonts w:cstheme="majorHAnsi"/>
          <w:sz w:val="22"/>
          <w:szCs w:val="22"/>
        </w:rPr>
      </w:pPr>
      <w:bookmarkStart w:id="61" w:name="_Toc227827183"/>
      <w:r w:rsidRPr="00654DAB">
        <w:rPr>
          <w:rFonts w:cstheme="majorHAnsi"/>
          <w:sz w:val="22"/>
          <w:szCs w:val="22"/>
        </w:rPr>
        <w:t xml:space="preserve">Publikimi i njoftimeve  për </w:t>
      </w:r>
      <w:r w:rsidR="00321158" w:rsidRPr="00654DAB">
        <w:rPr>
          <w:rFonts w:cstheme="majorHAnsi"/>
          <w:sz w:val="22"/>
          <w:szCs w:val="22"/>
        </w:rPr>
        <w:t>Takime</w:t>
      </w:r>
      <w:r w:rsidRPr="00654DAB">
        <w:rPr>
          <w:rFonts w:cstheme="majorHAnsi"/>
          <w:sz w:val="22"/>
          <w:szCs w:val="22"/>
        </w:rPr>
        <w:t xml:space="preserve">/dëgjime </w:t>
      </w:r>
      <w:r w:rsidR="00321158" w:rsidRPr="00654DAB">
        <w:rPr>
          <w:rFonts w:cstheme="majorHAnsi"/>
          <w:sz w:val="22"/>
          <w:szCs w:val="22"/>
        </w:rPr>
        <w:t xml:space="preserve"> buxhetore</w:t>
      </w:r>
      <w:bookmarkEnd w:id="61"/>
    </w:p>
    <w:p w14:paraId="51DF2DD0" w14:textId="77777777" w:rsidR="004D17CD" w:rsidRPr="004D17CD" w:rsidRDefault="004D17CD" w:rsidP="004D17CD">
      <w:pPr>
        <w:spacing w:before="100" w:beforeAutospacing="1" w:after="100" w:afterAutospacing="1" w:line="276" w:lineRule="auto"/>
        <w:rPr>
          <w:rFonts w:asciiTheme="majorHAnsi" w:eastAsia="Times New Roman" w:hAnsiTheme="majorHAnsi" w:cstheme="majorHAnsi"/>
          <w:lang w:eastAsia="en-GB"/>
        </w:rPr>
      </w:pPr>
      <w:r w:rsidRPr="004D17CD">
        <w:rPr>
          <w:rFonts w:asciiTheme="majorHAnsi" w:eastAsia="Times New Roman" w:hAnsiTheme="majorHAnsi" w:cstheme="majorHAnsi"/>
          <w:lang w:eastAsia="en-GB"/>
        </w:rPr>
        <w:t>Komuna është e obliguar të mbajë takime buxhetore me qytetarët, në përputhje me Ligjin për Menaxhimin e Financave Publike dhe Përgjegjësitë. Dëgjimet buxhetore realizohen përmes formave dhe teknikave të konsultimit publik, përfshirë thirrjet publike, respektimin e afateve ligjore, mbajtjen e procesverbaleve dhe hartimin e raporteve përkatëse, në përputhje me dispozitat e Udhëzimit Administrativ Nr. 04/2023 për Administratë të Hapur në Komuna. Njoftimi për dëgjimet buxhetore, së bashku me propozim-buxhetin dhe dokumentet shpjeguese, publikohet së paku dy (2) javë para mbajtjes së takimit, sipas nenit 5, paragrafi 2 të këtij Udhëzimi Administrativ.</w:t>
      </w:r>
    </w:p>
    <w:p w14:paraId="79ED7481" w14:textId="77777777" w:rsidR="004D17CD" w:rsidRPr="004D17CD" w:rsidRDefault="004D17CD" w:rsidP="004D17CD">
      <w:pPr>
        <w:spacing w:before="100" w:beforeAutospacing="1" w:after="100" w:afterAutospacing="1" w:line="276" w:lineRule="auto"/>
        <w:rPr>
          <w:rFonts w:asciiTheme="majorHAnsi" w:eastAsia="Times New Roman" w:hAnsiTheme="majorHAnsi" w:cstheme="majorHAnsi"/>
          <w:lang w:eastAsia="en-GB"/>
        </w:rPr>
      </w:pPr>
      <w:r w:rsidRPr="004D17CD">
        <w:rPr>
          <w:rFonts w:asciiTheme="majorHAnsi" w:eastAsia="Times New Roman" w:hAnsiTheme="majorHAnsi" w:cstheme="majorHAnsi"/>
          <w:lang w:eastAsia="en-GB"/>
        </w:rPr>
        <w:t>Organet përgjegjëse të komunës janë të obliguara të planifikojnë kalendarin e dëgjimeve buxhetore për projektbuxhetin komunal dhe Kornizën Afatmesme Buxhetore (KAB), si dhe të organizojnë dëgjime buxhetore në përputhje me Ligjin për Menaxhimin e Financave Publike dhe Përgjegjësitë.</w:t>
      </w:r>
    </w:p>
    <w:p w14:paraId="54E2BC91" w14:textId="77777777" w:rsidR="004D17CD" w:rsidRPr="004D17CD" w:rsidRDefault="004D17CD" w:rsidP="004D17CD">
      <w:pPr>
        <w:spacing w:before="100" w:beforeAutospacing="1" w:after="100" w:afterAutospacing="1" w:line="276" w:lineRule="auto"/>
        <w:rPr>
          <w:rFonts w:asciiTheme="majorHAnsi" w:eastAsia="Times New Roman" w:hAnsiTheme="majorHAnsi" w:cstheme="majorHAnsi"/>
          <w:lang w:eastAsia="en-GB"/>
        </w:rPr>
      </w:pPr>
      <w:r w:rsidRPr="004D17CD">
        <w:rPr>
          <w:rFonts w:asciiTheme="majorHAnsi" w:eastAsia="Times New Roman" w:hAnsiTheme="majorHAnsi" w:cstheme="majorHAnsi"/>
          <w:lang w:eastAsia="en-GB"/>
        </w:rPr>
        <w:t>Gjatë vitit 2025, njoftimet për takimet buxhetore i kanë publikuar 19 komuna (50%), ndërsa 19 komuna (50%) nuk e kanë përmbushur këtë obligim ligjor. Ndërkohë, 23 komuna kanë publikuar raportet nga dëgjimet buxhetore, ndërsa 15 komuna nuk i kanë publikuar këto raporte.</w:t>
      </w:r>
    </w:p>
    <w:p w14:paraId="1968D74D" w14:textId="77777777" w:rsidR="004D17CD" w:rsidRPr="004D17CD" w:rsidRDefault="004D17CD" w:rsidP="004D17CD">
      <w:pPr>
        <w:spacing w:before="100" w:beforeAutospacing="1" w:after="100" w:afterAutospacing="1" w:line="276" w:lineRule="auto"/>
        <w:rPr>
          <w:rFonts w:asciiTheme="majorHAnsi" w:eastAsia="Times New Roman" w:hAnsiTheme="majorHAnsi" w:cstheme="majorHAnsi"/>
          <w:lang w:eastAsia="en-GB"/>
        </w:rPr>
      </w:pPr>
      <w:r w:rsidRPr="004D17CD">
        <w:rPr>
          <w:rFonts w:asciiTheme="majorHAnsi" w:eastAsia="Times New Roman" w:hAnsiTheme="majorHAnsi" w:cstheme="majorHAnsi"/>
          <w:lang w:eastAsia="en-GB"/>
        </w:rPr>
        <w:t>Të dhënat e monitorimit tregojnë një mospërputhje ndërmjet numrit të njoftimeve dhe numrit të raporteve të dëgjimeve buxhetore, ku numri i raporteve është më i lartë se numri i njoftimeve. Kjo mospërputhje tregon se procesi nuk është zbatuar në mënyrë të plotë dhe sistematike, duke krijuar boshllëqe në zinxhirin e transparencës dhe pjesëmarrjes publike. Në disa raste është vërejtur publikimi i planeve të dëgjimeve buxhetore, gjë që përbën praktikë pozitive; megjithatë, kjo nuk konsiderohet e mjaftueshme në mungesë të njoftimeve individuale për çdo dëgjim buxhetor.</w:t>
      </w:r>
    </w:p>
    <w:p w14:paraId="715CE8A7" w14:textId="3FCEE1A8" w:rsidR="004D17CD" w:rsidRPr="009D6147" w:rsidRDefault="004D17CD" w:rsidP="004D17CD">
      <w:pPr>
        <w:spacing w:before="100" w:beforeAutospacing="1" w:after="100" w:afterAutospacing="1" w:line="276" w:lineRule="auto"/>
        <w:rPr>
          <w:rFonts w:asciiTheme="majorHAnsi" w:eastAsia="Times New Roman" w:hAnsiTheme="majorHAnsi" w:cstheme="majorHAnsi"/>
          <w:lang w:eastAsia="en-GB"/>
        </w:rPr>
      </w:pPr>
      <w:r w:rsidRPr="004D17CD">
        <w:rPr>
          <w:rFonts w:asciiTheme="majorHAnsi" w:eastAsia="Times New Roman" w:hAnsiTheme="majorHAnsi" w:cstheme="majorHAnsi"/>
          <w:lang w:eastAsia="en-GB"/>
        </w:rPr>
        <w:t>Sipas Udhëzimit Administrativ për Administratë të Hapur, çdo dëgjim buxhetor duhet të shoqërohet me njoftim publik të detajuar në ueb-faqen zyrtare të komunës, platformat publike dhe rrjetet sociale, me qëllim sigurimin e informimit të plotë dhe pjesëmarrjes efektive të qytetarëve në procesin e vendimmarrjes për financat publike.</w:t>
      </w:r>
      <w:r w:rsidRPr="009D6147">
        <w:rPr>
          <w:rFonts w:asciiTheme="majorHAnsi" w:eastAsia="Times New Roman" w:hAnsiTheme="majorHAnsi" w:cstheme="majorHAnsi"/>
          <w:lang w:eastAsia="en-GB"/>
        </w:rPr>
        <w:t xml:space="preserve"> </w:t>
      </w:r>
      <w:r w:rsidRPr="004D17CD">
        <w:rPr>
          <w:rFonts w:asciiTheme="majorHAnsi" w:eastAsia="Times New Roman" w:hAnsiTheme="majorHAnsi" w:cstheme="majorHAnsi"/>
          <w:lang w:eastAsia="en-GB"/>
        </w:rPr>
        <w:t>Në formë tabelore, është paraqitur numri i komunave që kanë publikuar njoftimet për takime/diskutime buxhetore</w:t>
      </w:r>
    </w:p>
    <w:p w14:paraId="5549DAAE" w14:textId="6DD9B57E" w:rsidR="009C0A31" w:rsidRPr="009D6147" w:rsidRDefault="004C637A" w:rsidP="00A70BC5">
      <w:pPr>
        <w:spacing w:line="276" w:lineRule="auto"/>
        <w:rPr>
          <w:rFonts w:asciiTheme="majorHAnsi" w:hAnsiTheme="majorHAnsi" w:cstheme="majorHAnsi"/>
        </w:rPr>
      </w:pPr>
      <w:r w:rsidRPr="009D6147">
        <w:rPr>
          <w:rFonts w:asciiTheme="majorHAnsi" w:hAnsiTheme="majorHAnsi" w:cstheme="majorHAnsi"/>
          <w:noProof/>
          <w:sz w:val="20"/>
          <w:szCs w:val="20"/>
          <w:lang w:eastAsia="sq-AL"/>
        </w:rPr>
        <w:drawing>
          <wp:inline distT="0" distB="0" distL="0" distR="0" wp14:anchorId="5037015E" wp14:editId="1BF3F541">
            <wp:extent cx="5759450" cy="1777481"/>
            <wp:effectExtent l="0" t="0" r="12700" b="13335"/>
            <wp:docPr id="130" name="Chart 130">
              <a:extLst xmlns:a="http://schemas.openxmlformats.org/drawingml/2006/main">
                <a:ext uri="{FF2B5EF4-FFF2-40B4-BE49-F238E27FC236}">
                  <a16:creationId xmlns:a16="http://schemas.microsoft.com/office/drawing/2014/main" id="{623DC2EF-561C-4841-AE47-95CAE6749F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29D37FE" w14:textId="4DD98153" w:rsidR="00E0466F" w:rsidRPr="009D6147" w:rsidRDefault="00646D22" w:rsidP="005671EB">
      <w:pPr>
        <w:autoSpaceDE w:val="0"/>
        <w:autoSpaceDN w:val="0"/>
        <w:adjustRightInd w:val="0"/>
        <w:spacing w:after="240" w:line="276" w:lineRule="auto"/>
        <w:jc w:val="center"/>
        <w:rPr>
          <w:rFonts w:asciiTheme="majorHAnsi" w:hAnsiTheme="majorHAnsi" w:cstheme="majorHAnsi"/>
          <w:sz w:val="16"/>
          <w:szCs w:val="16"/>
        </w:rPr>
      </w:pPr>
      <w:bookmarkStart w:id="62" w:name="_Toc130455701"/>
      <w:r w:rsidRPr="009D6147">
        <w:rPr>
          <w:rFonts w:asciiTheme="majorHAnsi" w:hAnsiTheme="majorHAnsi" w:cstheme="majorHAnsi"/>
          <w:i/>
          <w:sz w:val="16"/>
          <w:szCs w:val="16"/>
        </w:rPr>
        <w:t>Fig</w:t>
      </w:r>
      <w:r w:rsidR="00E715E7" w:rsidRPr="009D6147">
        <w:rPr>
          <w:rFonts w:asciiTheme="majorHAnsi" w:hAnsiTheme="majorHAnsi" w:cstheme="majorHAnsi"/>
          <w:i/>
          <w:sz w:val="16"/>
          <w:szCs w:val="16"/>
        </w:rPr>
        <w:t>.</w:t>
      </w:r>
      <w:r w:rsidRPr="009D6147">
        <w:rPr>
          <w:rFonts w:asciiTheme="majorHAnsi" w:hAnsiTheme="majorHAnsi" w:cstheme="majorHAnsi"/>
          <w:i/>
          <w:sz w:val="16"/>
          <w:szCs w:val="16"/>
        </w:rPr>
        <w:t xml:space="preserve"> </w:t>
      </w:r>
      <w:r w:rsidR="001827D4" w:rsidRPr="009D6147">
        <w:rPr>
          <w:rFonts w:asciiTheme="majorHAnsi" w:hAnsiTheme="majorHAnsi" w:cstheme="majorHAnsi"/>
          <w:i/>
          <w:sz w:val="16"/>
          <w:szCs w:val="16"/>
        </w:rPr>
        <w:t>2</w:t>
      </w:r>
      <w:r w:rsidR="005671EB" w:rsidRPr="009D6147">
        <w:rPr>
          <w:rFonts w:asciiTheme="majorHAnsi" w:hAnsiTheme="majorHAnsi" w:cstheme="majorHAnsi"/>
          <w:i/>
          <w:sz w:val="16"/>
          <w:szCs w:val="16"/>
        </w:rPr>
        <w:t>6</w:t>
      </w:r>
      <w:r w:rsidR="006E6D40" w:rsidRPr="009D6147">
        <w:rPr>
          <w:rFonts w:asciiTheme="majorHAnsi" w:hAnsiTheme="majorHAnsi" w:cstheme="majorHAnsi"/>
          <w:i/>
          <w:sz w:val="16"/>
          <w:szCs w:val="16"/>
        </w:rPr>
        <w:t xml:space="preserve"> </w:t>
      </w:r>
      <w:r w:rsidR="00DF3842" w:rsidRPr="009D6147">
        <w:rPr>
          <w:rFonts w:asciiTheme="majorHAnsi" w:hAnsiTheme="majorHAnsi" w:cstheme="majorHAnsi"/>
          <w:i/>
          <w:sz w:val="16"/>
          <w:szCs w:val="16"/>
        </w:rPr>
        <w:t xml:space="preserve">Publikimi i </w:t>
      </w:r>
      <w:r w:rsidR="00361546" w:rsidRPr="009D6147">
        <w:rPr>
          <w:rFonts w:asciiTheme="majorHAnsi" w:hAnsiTheme="majorHAnsi" w:cstheme="majorHAnsi"/>
          <w:i/>
          <w:sz w:val="16"/>
          <w:szCs w:val="16"/>
        </w:rPr>
        <w:t>njoftimeve</w:t>
      </w:r>
      <w:r w:rsidR="007D4ABB" w:rsidRPr="009D6147">
        <w:rPr>
          <w:rFonts w:asciiTheme="majorHAnsi" w:hAnsiTheme="majorHAnsi" w:cstheme="majorHAnsi"/>
          <w:i/>
          <w:sz w:val="16"/>
          <w:szCs w:val="16"/>
        </w:rPr>
        <w:t xml:space="preserve"> për takime buxhetore</w:t>
      </w:r>
      <w:bookmarkStart w:id="63" w:name="_Toc56692989"/>
      <w:bookmarkStart w:id="64" w:name="_Toc81401215"/>
      <w:bookmarkStart w:id="65" w:name="_Toc85812824"/>
      <w:bookmarkEnd w:id="62"/>
    </w:p>
    <w:p w14:paraId="3217181C" w14:textId="77777777" w:rsidR="003A6511" w:rsidRPr="009D6147" w:rsidRDefault="003A6511" w:rsidP="00A70BC5">
      <w:pPr>
        <w:spacing w:line="276" w:lineRule="auto"/>
        <w:rPr>
          <w:rFonts w:asciiTheme="majorHAnsi" w:hAnsiTheme="majorHAnsi" w:cstheme="majorHAnsi"/>
          <w:b/>
          <w:color w:val="2F5496" w:themeColor="accent5" w:themeShade="BF"/>
        </w:rPr>
      </w:pPr>
    </w:p>
    <w:p w14:paraId="7479EBEE" w14:textId="541483F4" w:rsidR="00E0466F" w:rsidRPr="009D6147" w:rsidRDefault="007D4ABB" w:rsidP="00A70BC5">
      <w:pPr>
        <w:spacing w:line="276" w:lineRule="auto"/>
        <w:rPr>
          <w:rFonts w:asciiTheme="majorHAnsi" w:hAnsiTheme="majorHAnsi" w:cstheme="majorHAnsi"/>
          <w:b/>
          <w:color w:val="2F5496" w:themeColor="accent5" w:themeShade="BF"/>
        </w:rPr>
      </w:pPr>
      <w:r w:rsidRPr="009D6147">
        <w:rPr>
          <w:rFonts w:asciiTheme="majorHAnsi" w:hAnsiTheme="majorHAnsi" w:cstheme="majorHAnsi"/>
          <w:b/>
          <w:color w:val="2F5496" w:themeColor="accent5" w:themeShade="BF"/>
        </w:rPr>
        <w:t xml:space="preserve">RAPORTI I AUDITORIT TË JASHTËM </w:t>
      </w:r>
    </w:p>
    <w:p w14:paraId="045CEF71" w14:textId="77777777" w:rsidR="009040E1" w:rsidRPr="009D6147" w:rsidRDefault="007D4ABB" w:rsidP="004D17CD">
      <w:pPr>
        <w:autoSpaceDE w:val="0"/>
        <w:autoSpaceDN w:val="0"/>
        <w:adjustRightInd w:val="0"/>
        <w:spacing w:after="240" w:line="276" w:lineRule="auto"/>
        <w:jc w:val="left"/>
        <w:rPr>
          <w:rFonts w:asciiTheme="majorHAnsi" w:hAnsiTheme="majorHAnsi" w:cstheme="majorHAnsi"/>
        </w:rPr>
      </w:pPr>
      <w:r w:rsidRPr="009D6147">
        <w:rPr>
          <w:rFonts w:asciiTheme="majorHAnsi" w:hAnsiTheme="majorHAnsi" w:cstheme="majorHAnsi"/>
        </w:rPr>
        <w:t>Bazuar në nenin 27</w:t>
      </w:r>
      <w:r w:rsidR="00822470" w:rsidRPr="009D6147">
        <w:rPr>
          <w:rFonts w:asciiTheme="majorHAnsi" w:hAnsiTheme="majorHAnsi" w:cstheme="majorHAnsi"/>
        </w:rPr>
        <w:t>,</w:t>
      </w:r>
      <w:r w:rsidRPr="009D6147">
        <w:rPr>
          <w:rFonts w:asciiTheme="majorHAnsi" w:hAnsiTheme="majorHAnsi" w:cstheme="majorHAnsi"/>
        </w:rPr>
        <w:t xml:space="preserve">  paragrafi 27.2 </w:t>
      </w:r>
      <w:r w:rsidR="00822470" w:rsidRPr="009D6147">
        <w:rPr>
          <w:rFonts w:asciiTheme="majorHAnsi" w:hAnsiTheme="majorHAnsi" w:cstheme="majorHAnsi"/>
        </w:rPr>
        <w:t xml:space="preserve"> i</w:t>
      </w:r>
      <w:r w:rsidRPr="009D6147">
        <w:rPr>
          <w:rFonts w:asciiTheme="majorHAnsi" w:hAnsiTheme="majorHAnsi" w:cstheme="majorHAnsi"/>
        </w:rPr>
        <w:t xml:space="preserve"> Ligjit   Nr. 03/L-040  për vetëqeverisje lokale</w:t>
      </w:r>
      <w:r w:rsidR="00822470" w:rsidRPr="009D6147">
        <w:rPr>
          <w:rFonts w:asciiTheme="majorHAnsi" w:hAnsiTheme="majorHAnsi" w:cstheme="majorHAnsi"/>
        </w:rPr>
        <w:t>,</w:t>
      </w:r>
      <w:r w:rsidRPr="009D6147">
        <w:rPr>
          <w:rFonts w:asciiTheme="majorHAnsi" w:hAnsiTheme="majorHAnsi" w:cstheme="majorHAnsi"/>
        </w:rPr>
        <w:t xml:space="preserve">  të gjitha raportet e auditorit dhe përgjigjet e autoriteteve lokale bëhen publike. Publiki</w:t>
      </w:r>
      <w:r w:rsidR="00242137" w:rsidRPr="009D6147">
        <w:rPr>
          <w:rFonts w:asciiTheme="majorHAnsi" w:hAnsiTheme="majorHAnsi" w:cstheme="majorHAnsi"/>
        </w:rPr>
        <w:t xml:space="preserve">mi i raportit të auditorit </w:t>
      </w:r>
      <w:r w:rsidRPr="009D6147">
        <w:rPr>
          <w:rFonts w:asciiTheme="majorHAnsi" w:hAnsiTheme="majorHAnsi" w:cstheme="majorHAnsi"/>
        </w:rPr>
        <w:t>është një tjetër indikator me rëndësi, pasi në këtë formë i ofron publikut të dhëna se si janë menaxhuar paratë publike nën menaxhimin e komunave.</w:t>
      </w:r>
      <w:r w:rsidR="00341E73" w:rsidRPr="009D6147">
        <w:rPr>
          <w:rFonts w:asciiTheme="majorHAnsi" w:hAnsiTheme="majorHAnsi" w:cstheme="majorHAnsi"/>
        </w:rPr>
        <w:t xml:space="preserve"> </w:t>
      </w:r>
    </w:p>
    <w:p w14:paraId="7C5A7DC4" w14:textId="798CC1B3" w:rsidR="001827D4" w:rsidRPr="009D6147" w:rsidRDefault="003D5A22" w:rsidP="00A70BC5">
      <w:pPr>
        <w:spacing w:line="276" w:lineRule="auto"/>
        <w:rPr>
          <w:rFonts w:asciiTheme="majorHAnsi" w:hAnsiTheme="majorHAnsi" w:cstheme="majorHAnsi"/>
          <w:bCs/>
        </w:rPr>
      </w:pPr>
      <w:r w:rsidRPr="009D6147">
        <w:rPr>
          <w:rFonts w:asciiTheme="majorHAnsi" w:hAnsiTheme="majorHAnsi" w:cstheme="majorHAnsi"/>
          <w:bCs/>
        </w:rPr>
        <w:t>Gjatë vitit 2025</w:t>
      </w:r>
      <w:r w:rsidR="009040E1" w:rsidRPr="009D6147">
        <w:rPr>
          <w:rFonts w:asciiTheme="majorHAnsi" w:hAnsiTheme="majorHAnsi" w:cstheme="majorHAnsi"/>
          <w:bCs/>
        </w:rPr>
        <w:t>, Raportin e Auditor</w:t>
      </w:r>
      <w:r w:rsidR="00E715E7" w:rsidRPr="009D6147">
        <w:rPr>
          <w:rFonts w:asciiTheme="majorHAnsi" w:hAnsiTheme="majorHAnsi" w:cstheme="majorHAnsi"/>
          <w:bCs/>
        </w:rPr>
        <w:t xml:space="preserve">it të jashtëm e kanë publikuar </w:t>
      </w:r>
      <w:r w:rsidRPr="009D6147">
        <w:rPr>
          <w:rFonts w:asciiTheme="majorHAnsi" w:hAnsiTheme="majorHAnsi" w:cstheme="majorHAnsi"/>
          <w:bCs/>
        </w:rPr>
        <w:t>1</w:t>
      </w:r>
      <w:r w:rsidR="00337592">
        <w:rPr>
          <w:rFonts w:asciiTheme="majorHAnsi" w:hAnsiTheme="majorHAnsi" w:cstheme="majorHAnsi"/>
          <w:bCs/>
        </w:rPr>
        <w:t>7</w:t>
      </w:r>
      <w:r w:rsidR="009040E1" w:rsidRPr="009D6147">
        <w:rPr>
          <w:rFonts w:asciiTheme="majorHAnsi" w:hAnsiTheme="majorHAnsi" w:cstheme="majorHAnsi"/>
          <w:bCs/>
        </w:rPr>
        <w:t xml:space="preserve"> komuna</w:t>
      </w:r>
      <w:r w:rsidRPr="009D6147">
        <w:rPr>
          <w:rFonts w:asciiTheme="majorHAnsi" w:hAnsiTheme="majorHAnsi" w:cstheme="majorHAnsi"/>
          <w:bCs/>
        </w:rPr>
        <w:t xml:space="preserve"> ose 43% e komunave</w:t>
      </w:r>
      <w:r w:rsidR="009040E1" w:rsidRPr="009D6147">
        <w:rPr>
          <w:rFonts w:asciiTheme="majorHAnsi" w:hAnsiTheme="majorHAnsi" w:cstheme="majorHAnsi"/>
          <w:bCs/>
        </w:rPr>
        <w:t>,</w:t>
      </w:r>
      <w:r w:rsidR="006E6D40" w:rsidRPr="009D6147">
        <w:rPr>
          <w:rFonts w:asciiTheme="majorHAnsi" w:hAnsiTheme="majorHAnsi" w:cstheme="majorHAnsi"/>
          <w:bCs/>
        </w:rPr>
        <w:t xml:space="preserve"> </w:t>
      </w:r>
      <w:r w:rsidR="000702D0" w:rsidRPr="009D6147">
        <w:rPr>
          <w:rFonts w:asciiTheme="majorHAnsi" w:hAnsiTheme="majorHAnsi" w:cstheme="majorHAnsi"/>
          <w:bCs/>
        </w:rPr>
        <w:t xml:space="preserve">ndërsa </w:t>
      </w:r>
      <w:r w:rsidRPr="009D6147">
        <w:rPr>
          <w:rFonts w:asciiTheme="majorHAnsi" w:hAnsiTheme="majorHAnsi" w:cstheme="majorHAnsi"/>
          <w:bCs/>
        </w:rPr>
        <w:t>2</w:t>
      </w:r>
      <w:r w:rsidR="00337592">
        <w:rPr>
          <w:rFonts w:asciiTheme="majorHAnsi" w:hAnsiTheme="majorHAnsi" w:cstheme="majorHAnsi"/>
          <w:bCs/>
        </w:rPr>
        <w:t>1</w:t>
      </w:r>
      <w:r w:rsidR="009040E1" w:rsidRPr="009D6147">
        <w:rPr>
          <w:rFonts w:asciiTheme="majorHAnsi" w:hAnsiTheme="majorHAnsi" w:cstheme="majorHAnsi"/>
          <w:bCs/>
        </w:rPr>
        <w:t xml:space="preserve"> komuna </w:t>
      </w:r>
      <w:r w:rsidRPr="009D6147">
        <w:rPr>
          <w:rFonts w:asciiTheme="majorHAnsi" w:hAnsiTheme="majorHAnsi" w:cstheme="majorHAnsi"/>
          <w:bCs/>
        </w:rPr>
        <w:t xml:space="preserve">ose 57% </w:t>
      </w:r>
      <w:r w:rsidR="009040E1" w:rsidRPr="009D6147">
        <w:rPr>
          <w:rFonts w:asciiTheme="majorHAnsi" w:hAnsiTheme="majorHAnsi" w:cstheme="majorHAnsi"/>
          <w:bCs/>
        </w:rPr>
        <w:t xml:space="preserve">nuk </w:t>
      </w:r>
      <w:r w:rsidR="006F16BF" w:rsidRPr="009D6147">
        <w:rPr>
          <w:rFonts w:asciiTheme="majorHAnsi" w:hAnsiTheme="majorHAnsi" w:cstheme="majorHAnsi"/>
          <w:bCs/>
        </w:rPr>
        <w:t xml:space="preserve">e </w:t>
      </w:r>
      <w:r w:rsidR="009040E1" w:rsidRPr="009D6147">
        <w:rPr>
          <w:rFonts w:asciiTheme="majorHAnsi" w:hAnsiTheme="majorHAnsi" w:cstheme="majorHAnsi"/>
          <w:bCs/>
        </w:rPr>
        <w:t>kanë</w:t>
      </w:r>
      <w:r w:rsidR="00485BBA" w:rsidRPr="009D6147">
        <w:rPr>
          <w:rFonts w:asciiTheme="majorHAnsi" w:hAnsiTheme="majorHAnsi" w:cstheme="majorHAnsi"/>
          <w:bCs/>
        </w:rPr>
        <w:t xml:space="preserve"> përmbushur obligimin ligjore të përcaktuar me nenin 27,  paragrafi 27.2  i</w:t>
      </w:r>
      <w:r w:rsidR="006F16BF" w:rsidRPr="009D6147">
        <w:rPr>
          <w:rFonts w:asciiTheme="majorHAnsi" w:hAnsiTheme="majorHAnsi" w:cstheme="majorHAnsi"/>
          <w:bCs/>
        </w:rPr>
        <w:t xml:space="preserve"> Ligjit   Nr. 03/L-040  për </w:t>
      </w:r>
      <w:r w:rsidR="000702D0" w:rsidRPr="009D6147">
        <w:rPr>
          <w:rFonts w:asciiTheme="majorHAnsi" w:hAnsiTheme="majorHAnsi" w:cstheme="majorHAnsi"/>
          <w:bCs/>
        </w:rPr>
        <w:t>Vetëqeverisje</w:t>
      </w:r>
      <w:r w:rsidR="00485BBA" w:rsidRPr="009D6147">
        <w:rPr>
          <w:rFonts w:asciiTheme="majorHAnsi" w:hAnsiTheme="majorHAnsi" w:cstheme="majorHAnsi"/>
          <w:bCs/>
        </w:rPr>
        <w:t xml:space="preserve"> lokale</w:t>
      </w:r>
      <w:r w:rsidR="001827D4" w:rsidRPr="009D6147">
        <w:rPr>
          <w:rFonts w:asciiTheme="majorHAnsi" w:hAnsiTheme="majorHAnsi" w:cstheme="majorHAnsi"/>
          <w:bCs/>
        </w:rPr>
        <w:t>.</w:t>
      </w:r>
    </w:p>
    <w:p w14:paraId="7699FED7" w14:textId="0D53128E" w:rsidR="00C723A4" w:rsidRPr="009D6147" w:rsidRDefault="006F16BF" w:rsidP="00A70BC5">
      <w:pPr>
        <w:autoSpaceDE w:val="0"/>
        <w:autoSpaceDN w:val="0"/>
        <w:adjustRightInd w:val="0"/>
        <w:spacing w:after="240" w:line="276" w:lineRule="auto"/>
        <w:rPr>
          <w:rFonts w:asciiTheme="majorHAnsi" w:hAnsiTheme="majorHAnsi" w:cstheme="majorHAnsi"/>
        </w:rPr>
      </w:pPr>
      <w:r w:rsidRPr="009D6147">
        <w:rPr>
          <w:rFonts w:asciiTheme="majorHAnsi" w:hAnsiTheme="majorHAnsi" w:cstheme="majorHAnsi"/>
        </w:rPr>
        <w:t xml:space="preserve">Në formë </w:t>
      </w:r>
      <w:r w:rsidR="002C616F" w:rsidRPr="009D6147">
        <w:rPr>
          <w:rFonts w:asciiTheme="majorHAnsi" w:hAnsiTheme="majorHAnsi" w:cstheme="majorHAnsi"/>
        </w:rPr>
        <w:t>tabelore</w:t>
      </w:r>
      <w:r w:rsidR="009040E1" w:rsidRPr="009D6147">
        <w:rPr>
          <w:rFonts w:asciiTheme="majorHAnsi" w:hAnsiTheme="majorHAnsi" w:cstheme="majorHAnsi"/>
        </w:rPr>
        <w:t>, është paraqitur numri i komunave që</w:t>
      </w:r>
      <w:r w:rsidRPr="009D6147">
        <w:rPr>
          <w:rFonts w:asciiTheme="majorHAnsi" w:hAnsiTheme="majorHAnsi" w:cstheme="majorHAnsi"/>
        </w:rPr>
        <w:t xml:space="preserve"> e</w:t>
      </w:r>
      <w:r w:rsidR="009040E1" w:rsidRPr="009D6147">
        <w:rPr>
          <w:rFonts w:asciiTheme="majorHAnsi" w:hAnsiTheme="majorHAnsi" w:cstheme="majorHAnsi"/>
        </w:rPr>
        <w:t xml:space="preserve"> kanë publikuar Raportin e   Auditorit të jashtëm </w:t>
      </w:r>
    </w:p>
    <w:p w14:paraId="0CD2758B" w14:textId="46BD3559" w:rsidR="00C723A4" w:rsidRPr="00654DAB" w:rsidRDefault="003A6511" w:rsidP="005671EB">
      <w:pPr>
        <w:autoSpaceDE w:val="0"/>
        <w:autoSpaceDN w:val="0"/>
        <w:adjustRightInd w:val="0"/>
        <w:spacing w:after="240" w:line="276" w:lineRule="auto"/>
        <w:jc w:val="center"/>
        <w:rPr>
          <w:rFonts w:asciiTheme="majorHAnsi" w:hAnsiTheme="majorHAnsi" w:cstheme="majorHAnsi"/>
          <w:color w:val="C00000"/>
          <w:sz w:val="20"/>
          <w:szCs w:val="20"/>
        </w:rPr>
      </w:pPr>
      <w:r w:rsidRPr="00654DAB">
        <w:rPr>
          <w:rFonts w:asciiTheme="majorHAnsi" w:hAnsiTheme="majorHAnsi" w:cstheme="majorHAnsi"/>
          <w:noProof/>
          <w:sz w:val="20"/>
          <w:szCs w:val="20"/>
          <w:lang w:eastAsia="sq-AL"/>
        </w:rPr>
        <w:drawing>
          <wp:inline distT="0" distB="0" distL="0" distR="0" wp14:anchorId="091431B1" wp14:editId="769989DB">
            <wp:extent cx="5731510" cy="1900505"/>
            <wp:effectExtent l="0" t="0" r="2540" b="5080"/>
            <wp:docPr id="132" name="Chart 132">
              <a:extLst xmlns:a="http://schemas.openxmlformats.org/drawingml/2006/main">
                <a:ext uri="{FF2B5EF4-FFF2-40B4-BE49-F238E27FC236}">
                  <a16:creationId xmlns:a16="http://schemas.microsoft.com/office/drawing/2014/main" id="{67101599-2ABA-4860-9120-039779F89C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0F41DA8" w14:textId="2A18AEF8" w:rsidR="00E0466F" w:rsidRPr="00654DAB" w:rsidRDefault="001827D4" w:rsidP="005671EB">
      <w:pPr>
        <w:autoSpaceDE w:val="0"/>
        <w:autoSpaceDN w:val="0"/>
        <w:adjustRightInd w:val="0"/>
        <w:spacing w:after="240" w:line="276" w:lineRule="auto"/>
        <w:jc w:val="center"/>
        <w:rPr>
          <w:rFonts w:asciiTheme="majorHAnsi" w:hAnsiTheme="majorHAnsi" w:cstheme="majorHAnsi"/>
          <w:szCs w:val="20"/>
        </w:rPr>
      </w:pPr>
      <w:r w:rsidRPr="00654DAB">
        <w:rPr>
          <w:rFonts w:asciiTheme="majorHAnsi" w:hAnsiTheme="majorHAnsi" w:cstheme="majorHAnsi"/>
          <w:i/>
          <w:sz w:val="14"/>
          <w:szCs w:val="14"/>
        </w:rPr>
        <w:t>Fig.2</w:t>
      </w:r>
      <w:r w:rsidR="005671EB" w:rsidRPr="00654DAB">
        <w:rPr>
          <w:rFonts w:asciiTheme="majorHAnsi" w:hAnsiTheme="majorHAnsi" w:cstheme="majorHAnsi"/>
          <w:i/>
          <w:sz w:val="14"/>
          <w:szCs w:val="14"/>
        </w:rPr>
        <w:t>7</w:t>
      </w:r>
      <w:r w:rsidR="00A37463" w:rsidRPr="00654DAB">
        <w:rPr>
          <w:rFonts w:asciiTheme="majorHAnsi" w:hAnsiTheme="majorHAnsi" w:cstheme="majorHAnsi"/>
          <w:i/>
          <w:sz w:val="14"/>
          <w:szCs w:val="14"/>
        </w:rPr>
        <w:t xml:space="preserve">  Raporti i Auditorit të jashtëm</w:t>
      </w:r>
    </w:p>
    <w:p w14:paraId="32C09734" w14:textId="77777777" w:rsidR="008E4619" w:rsidRPr="009D6147" w:rsidRDefault="008E4619" w:rsidP="00A70BC5">
      <w:pPr>
        <w:spacing w:line="276" w:lineRule="auto"/>
        <w:rPr>
          <w:rFonts w:asciiTheme="majorHAnsi" w:hAnsiTheme="majorHAnsi" w:cstheme="majorHAnsi"/>
          <w:i/>
          <w:sz w:val="20"/>
          <w:szCs w:val="18"/>
        </w:rPr>
      </w:pPr>
    </w:p>
    <w:p w14:paraId="31ED3EFA" w14:textId="135A516F" w:rsidR="001827D4" w:rsidRPr="009D6147" w:rsidRDefault="00321158" w:rsidP="005671EB">
      <w:pPr>
        <w:spacing w:line="276" w:lineRule="auto"/>
        <w:jc w:val="left"/>
        <w:rPr>
          <w:rFonts w:asciiTheme="majorHAnsi" w:hAnsiTheme="majorHAnsi" w:cstheme="majorHAnsi"/>
          <w:b/>
          <w:color w:val="2F5496" w:themeColor="accent5" w:themeShade="BF"/>
          <w:sz w:val="24"/>
        </w:rPr>
      </w:pPr>
      <w:r w:rsidRPr="009D6147">
        <w:rPr>
          <w:rFonts w:asciiTheme="majorHAnsi" w:hAnsiTheme="majorHAnsi" w:cstheme="majorHAnsi"/>
          <w:b/>
          <w:color w:val="2F5496" w:themeColor="accent5" w:themeShade="BF"/>
          <w:sz w:val="24"/>
        </w:rPr>
        <w:t>Lista e investimeve kapitale</w:t>
      </w:r>
    </w:p>
    <w:p w14:paraId="7595BFEA" w14:textId="5CFBCC82" w:rsidR="007D4ABB" w:rsidRPr="009D6147" w:rsidRDefault="008E4619" w:rsidP="004D17CD">
      <w:pPr>
        <w:spacing w:line="276" w:lineRule="auto"/>
        <w:rPr>
          <w:rFonts w:asciiTheme="majorHAnsi" w:hAnsiTheme="majorHAnsi" w:cstheme="majorHAnsi"/>
        </w:rPr>
      </w:pPr>
      <w:r w:rsidRPr="009D6147">
        <w:rPr>
          <w:rFonts w:asciiTheme="majorHAnsi" w:hAnsiTheme="majorHAnsi" w:cstheme="majorHAnsi"/>
        </w:rPr>
        <w:t xml:space="preserve">Lista e investimeve </w:t>
      </w:r>
      <w:r w:rsidR="007D4ABB" w:rsidRPr="009D6147">
        <w:rPr>
          <w:rFonts w:asciiTheme="majorHAnsi" w:hAnsiTheme="majorHAnsi" w:cstheme="majorHAnsi"/>
        </w:rPr>
        <w:t xml:space="preserve">kapitale  </w:t>
      </w:r>
      <w:r w:rsidR="00646D22" w:rsidRPr="009D6147">
        <w:rPr>
          <w:rFonts w:asciiTheme="majorHAnsi" w:hAnsiTheme="majorHAnsi" w:cstheme="majorHAnsi"/>
        </w:rPr>
        <w:t>është</w:t>
      </w:r>
      <w:r w:rsidR="007D4ABB" w:rsidRPr="009D6147">
        <w:rPr>
          <w:rFonts w:asciiTheme="majorHAnsi" w:hAnsiTheme="majorHAnsi" w:cstheme="majorHAnsi"/>
        </w:rPr>
        <w:t xml:space="preserve"> një dokument  financiar dhe përcakton  shpenzimet  kapitale që rezultojnë të nevojshme për zbatimin e vendimeve</w:t>
      </w:r>
      <w:r w:rsidR="00822470" w:rsidRPr="009D6147">
        <w:rPr>
          <w:rFonts w:asciiTheme="majorHAnsi" w:hAnsiTheme="majorHAnsi" w:cstheme="majorHAnsi"/>
        </w:rPr>
        <w:t>,</w:t>
      </w:r>
      <w:r w:rsidR="007D4ABB" w:rsidRPr="009D6147">
        <w:rPr>
          <w:rFonts w:asciiTheme="majorHAnsi" w:hAnsiTheme="majorHAnsi" w:cstheme="majorHAnsi"/>
        </w:rPr>
        <w:t xml:space="preserve"> të planeve të  caktuar</w:t>
      </w:r>
      <w:r w:rsidR="00822470" w:rsidRPr="009D6147">
        <w:rPr>
          <w:rFonts w:asciiTheme="majorHAnsi" w:hAnsiTheme="majorHAnsi" w:cstheme="majorHAnsi"/>
        </w:rPr>
        <w:t>a</w:t>
      </w:r>
      <w:r w:rsidR="007D4ABB" w:rsidRPr="009D6147">
        <w:rPr>
          <w:rFonts w:asciiTheme="majorHAnsi" w:hAnsiTheme="majorHAnsi" w:cstheme="majorHAnsi"/>
        </w:rPr>
        <w:t xml:space="preserve"> </w:t>
      </w:r>
      <w:r w:rsidRPr="009D6147">
        <w:rPr>
          <w:rFonts w:asciiTheme="majorHAnsi" w:hAnsiTheme="majorHAnsi" w:cstheme="majorHAnsi"/>
        </w:rPr>
        <w:t xml:space="preserve">në komuna. Lista e investimeve kapitale përcakton </w:t>
      </w:r>
      <w:r w:rsidR="007D4ABB" w:rsidRPr="009D6147">
        <w:rPr>
          <w:rFonts w:asciiTheme="majorHAnsi" w:hAnsiTheme="majorHAnsi" w:cstheme="majorHAnsi"/>
        </w:rPr>
        <w:t>kohën e realizimit, koston, burimet e financimit si dhe informacione të tjera të detajuara.</w:t>
      </w:r>
      <w:r w:rsidR="007D4ABB" w:rsidRPr="009D6147">
        <w:rPr>
          <w:rFonts w:asciiTheme="majorHAnsi" w:hAnsiTheme="majorHAnsi" w:cstheme="majorHAnsi"/>
          <w:u w:val="single"/>
        </w:rPr>
        <w:t xml:space="preserve"> </w:t>
      </w:r>
      <w:r w:rsidR="001B399B">
        <w:rPr>
          <w:rFonts w:asciiTheme="majorHAnsi" w:hAnsiTheme="majorHAnsi" w:cstheme="majorHAnsi"/>
        </w:rPr>
        <w:t xml:space="preserve">Publikimi i Listës </w:t>
      </w:r>
      <w:r w:rsidR="001B399B" w:rsidRPr="00D85621">
        <w:rPr>
          <w:rFonts w:asciiTheme="majorHAnsi" w:hAnsiTheme="majorHAnsi" w:cstheme="majorHAnsi"/>
        </w:rPr>
        <w:t>së</w:t>
      </w:r>
      <w:r w:rsidR="007D4ABB" w:rsidRPr="009D6147">
        <w:rPr>
          <w:rFonts w:asciiTheme="majorHAnsi" w:hAnsiTheme="majorHAnsi" w:cstheme="majorHAnsi"/>
        </w:rPr>
        <w:t xml:space="preserve"> shpenzimeve kapitale është pjesë e transparencës financiare dhe përcakton prioritetin më të lartë të sigurimit të fondeve</w:t>
      </w:r>
      <w:r w:rsidR="00822470" w:rsidRPr="009D6147">
        <w:rPr>
          <w:rFonts w:asciiTheme="majorHAnsi" w:hAnsiTheme="majorHAnsi" w:cstheme="majorHAnsi"/>
        </w:rPr>
        <w:t>,</w:t>
      </w:r>
      <w:r w:rsidR="007D4ABB" w:rsidRPr="009D6147">
        <w:rPr>
          <w:rFonts w:asciiTheme="majorHAnsi" w:hAnsiTheme="majorHAnsi" w:cstheme="majorHAnsi"/>
        </w:rPr>
        <w:t xml:space="preserve"> si dhe ndarjes buxhetore të nevojshme për financimin e rregullt  të projektit kapital gjatë përgatitjes dhe miratimit të Buxhetit të Konsoliduar të Kosovës.</w:t>
      </w:r>
    </w:p>
    <w:p w14:paraId="555F3291" w14:textId="77777777" w:rsidR="00475484" w:rsidRDefault="006868ED" w:rsidP="004D17CD">
      <w:pPr>
        <w:spacing w:before="100" w:beforeAutospacing="1" w:after="100" w:afterAutospacing="1" w:line="276" w:lineRule="auto"/>
      </w:pPr>
      <w:r w:rsidRPr="009D6147">
        <w:rPr>
          <w:rFonts w:asciiTheme="majorHAnsi" w:eastAsia="Times New Roman" w:hAnsiTheme="majorHAnsi" w:cstheme="majorHAnsi"/>
          <w:lang w:eastAsia="en-GB"/>
        </w:rPr>
        <w:t>Sa i përket kategorisë së Investimeve Kapitale, gjatë periudhës 2025, 15 komuna ose 40% kanë publikuar listën e investimeve kapitale, ndërsa 23 komuna ose 60% nuk e kanë përmbushur këtë obligim ligjor.</w:t>
      </w:r>
      <w:r w:rsidR="00475484" w:rsidRPr="00475484">
        <w:t xml:space="preserve"> </w:t>
      </w:r>
    </w:p>
    <w:p w14:paraId="124B363E" w14:textId="60742025" w:rsidR="006868ED" w:rsidRPr="00475484" w:rsidRDefault="00475484" w:rsidP="004D17CD">
      <w:pPr>
        <w:spacing w:before="100" w:beforeAutospacing="1" w:after="100" w:afterAutospacing="1" w:line="276" w:lineRule="auto"/>
        <w:rPr>
          <w:rFonts w:asciiTheme="majorHAnsi" w:eastAsia="Times New Roman" w:hAnsiTheme="majorHAnsi" w:cstheme="majorHAnsi"/>
          <w:lang w:eastAsia="en-GB"/>
        </w:rPr>
      </w:pPr>
      <w:r w:rsidRPr="00475484">
        <w:rPr>
          <w:rFonts w:asciiTheme="majorHAnsi" w:hAnsiTheme="majorHAnsi" w:cstheme="majorHAnsi"/>
        </w:rPr>
        <w:t xml:space="preserve">Krahasuar me të dhënat e Raportit të Transparencës për vitin 2024, në vitin 2025 vërehet një rënie prej 7 komunash </w:t>
      </w:r>
      <w:r>
        <w:rPr>
          <w:rFonts w:asciiTheme="majorHAnsi" w:hAnsiTheme="majorHAnsi" w:cstheme="majorHAnsi"/>
        </w:rPr>
        <w:t xml:space="preserve">më pak </w:t>
      </w:r>
      <w:r w:rsidRPr="00475484">
        <w:rPr>
          <w:rFonts w:asciiTheme="majorHAnsi" w:hAnsiTheme="majorHAnsi" w:cstheme="majorHAnsi"/>
        </w:rPr>
        <w:t>që kanë publikuar listën e investimeve kapitale, nga 22 në 15 komuna. Kjo pasqyron një ulje të nivelit të transparencës së komunave në këtë kategori gjatë vitit 2025.</w:t>
      </w:r>
    </w:p>
    <w:p w14:paraId="6224AF2A" w14:textId="1BE23C9C" w:rsidR="006A4954" w:rsidRPr="009D6147" w:rsidRDefault="00B47A7F" w:rsidP="004D17CD">
      <w:pPr>
        <w:autoSpaceDE w:val="0"/>
        <w:autoSpaceDN w:val="0"/>
        <w:adjustRightInd w:val="0"/>
        <w:spacing w:after="240" w:line="276" w:lineRule="auto"/>
        <w:rPr>
          <w:rFonts w:asciiTheme="majorHAnsi" w:hAnsiTheme="majorHAnsi" w:cstheme="majorHAnsi"/>
        </w:rPr>
      </w:pPr>
      <w:r w:rsidRPr="009D6147">
        <w:rPr>
          <w:rFonts w:asciiTheme="majorHAnsi" w:hAnsiTheme="majorHAnsi" w:cstheme="majorHAnsi"/>
        </w:rPr>
        <w:t xml:space="preserve">Në formë </w:t>
      </w:r>
      <w:r w:rsidR="002C616F" w:rsidRPr="009D6147">
        <w:rPr>
          <w:rFonts w:asciiTheme="majorHAnsi" w:hAnsiTheme="majorHAnsi" w:cstheme="majorHAnsi"/>
        </w:rPr>
        <w:t>tabelore</w:t>
      </w:r>
      <w:r w:rsidR="00FB6031" w:rsidRPr="009D6147">
        <w:rPr>
          <w:rFonts w:asciiTheme="majorHAnsi" w:hAnsiTheme="majorHAnsi" w:cstheme="majorHAnsi"/>
        </w:rPr>
        <w:t xml:space="preserve">, është paraqitur numri i komunave që </w:t>
      </w:r>
      <w:r w:rsidRPr="009D6147">
        <w:rPr>
          <w:rFonts w:asciiTheme="majorHAnsi" w:hAnsiTheme="majorHAnsi" w:cstheme="majorHAnsi"/>
        </w:rPr>
        <w:t xml:space="preserve">e </w:t>
      </w:r>
      <w:r w:rsidR="00FB6031" w:rsidRPr="009D6147">
        <w:rPr>
          <w:rFonts w:asciiTheme="majorHAnsi" w:hAnsiTheme="majorHAnsi" w:cstheme="majorHAnsi"/>
        </w:rPr>
        <w:t>kanë publikuar</w:t>
      </w:r>
      <w:r w:rsidR="006A4954" w:rsidRPr="009D6147">
        <w:rPr>
          <w:rFonts w:asciiTheme="majorHAnsi" w:hAnsiTheme="majorHAnsi" w:cstheme="majorHAnsi"/>
        </w:rPr>
        <w:t xml:space="preserve"> e </w:t>
      </w:r>
      <w:r w:rsidR="00E715E7" w:rsidRPr="009D6147">
        <w:rPr>
          <w:rFonts w:asciiTheme="majorHAnsi" w:hAnsiTheme="majorHAnsi" w:cstheme="majorHAnsi"/>
        </w:rPr>
        <w:t>Listën</w:t>
      </w:r>
      <w:r w:rsidR="006A4954" w:rsidRPr="009D6147">
        <w:rPr>
          <w:rFonts w:asciiTheme="majorHAnsi" w:hAnsiTheme="majorHAnsi" w:cstheme="majorHAnsi"/>
        </w:rPr>
        <w:t xml:space="preserve"> e  Investimeve Kapitale </w:t>
      </w:r>
    </w:p>
    <w:p w14:paraId="3460D805" w14:textId="52CE8224" w:rsidR="000B2571" w:rsidRPr="009D6147" w:rsidRDefault="003A6511" w:rsidP="00A70BC5">
      <w:pPr>
        <w:autoSpaceDE w:val="0"/>
        <w:autoSpaceDN w:val="0"/>
        <w:adjustRightInd w:val="0"/>
        <w:spacing w:after="240" w:line="276" w:lineRule="auto"/>
        <w:rPr>
          <w:rFonts w:asciiTheme="majorHAnsi" w:hAnsiTheme="majorHAnsi" w:cstheme="majorHAnsi"/>
          <w:color w:val="C00000"/>
        </w:rPr>
      </w:pPr>
      <w:r w:rsidRPr="009D6147">
        <w:rPr>
          <w:rFonts w:asciiTheme="majorHAnsi" w:hAnsiTheme="majorHAnsi" w:cstheme="majorHAnsi"/>
          <w:noProof/>
          <w:lang w:eastAsia="sq-AL"/>
        </w:rPr>
        <w:drawing>
          <wp:inline distT="0" distB="0" distL="0" distR="0" wp14:anchorId="3C6494A8" wp14:editId="55A75D73">
            <wp:extent cx="5990400" cy="1814195"/>
            <wp:effectExtent l="0" t="0" r="10795" b="14605"/>
            <wp:docPr id="133" name="Chart 133">
              <a:extLst xmlns:a="http://schemas.openxmlformats.org/drawingml/2006/main">
                <a:ext uri="{FF2B5EF4-FFF2-40B4-BE49-F238E27FC236}">
                  <a16:creationId xmlns:a16="http://schemas.microsoft.com/office/drawing/2014/main" id="{FB6FA4ED-3054-4DE1-98A3-09582091EE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93F4044" w14:textId="0D60BFAC" w:rsidR="00A70FDB" w:rsidRPr="00475484" w:rsidRDefault="006A4954" w:rsidP="004D17CD">
      <w:pPr>
        <w:autoSpaceDE w:val="0"/>
        <w:autoSpaceDN w:val="0"/>
        <w:adjustRightInd w:val="0"/>
        <w:spacing w:after="240" w:line="276" w:lineRule="auto"/>
        <w:jc w:val="center"/>
        <w:rPr>
          <w:rFonts w:asciiTheme="majorHAnsi" w:hAnsiTheme="majorHAnsi" w:cstheme="majorHAnsi"/>
          <w:i/>
          <w:sz w:val="14"/>
          <w:szCs w:val="14"/>
        </w:rPr>
      </w:pPr>
      <w:proofErr w:type="spellStart"/>
      <w:r w:rsidRPr="00475484">
        <w:rPr>
          <w:rFonts w:asciiTheme="majorHAnsi" w:hAnsiTheme="majorHAnsi" w:cstheme="majorHAnsi"/>
          <w:i/>
          <w:sz w:val="14"/>
          <w:szCs w:val="14"/>
        </w:rPr>
        <w:t>Fig</w:t>
      </w:r>
      <w:proofErr w:type="spellEnd"/>
      <w:r w:rsidRPr="00475484">
        <w:rPr>
          <w:rFonts w:asciiTheme="majorHAnsi" w:hAnsiTheme="majorHAnsi" w:cstheme="majorHAnsi"/>
          <w:i/>
          <w:sz w:val="14"/>
          <w:szCs w:val="14"/>
        </w:rPr>
        <w:t xml:space="preserve"> </w:t>
      </w:r>
      <w:r w:rsidR="001827D4" w:rsidRPr="00475484">
        <w:rPr>
          <w:rFonts w:asciiTheme="majorHAnsi" w:hAnsiTheme="majorHAnsi" w:cstheme="majorHAnsi"/>
          <w:i/>
          <w:sz w:val="14"/>
          <w:szCs w:val="14"/>
        </w:rPr>
        <w:t>2</w:t>
      </w:r>
      <w:r w:rsidR="005671EB" w:rsidRPr="00475484">
        <w:rPr>
          <w:rFonts w:asciiTheme="majorHAnsi" w:hAnsiTheme="majorHAnsi" w:cstheme="majorHAnsi"/>
          <w:i/>
          <w:sz w:val="14"/>
          <w:szCs w:val="14"/>
        </w:rPr>
        <w:t>8</w:t>
      </w:r>
      <w:r w:rsidRPr="00475484">
        <w:rPr>
          <w:rFonts w:asciiTheme="majorHAnsi" w:hAnsiTheme="majorHAnsi" w:cstheme="majorHAnsi"/>
          <w:i/>
          <w:sz w:val="14"/>
          <w:szCs w:val="14"/>
        </w:rPr>
        <w:t xml:space="preserve"> Publikimi i </w:t>
      </w:r>
      <w:r w:rsidR="006E6D40" w:rsidRPr="00475484">
        <w:rPr>
          <w:rFonts w:asciiTheme="majorHAnsi" w:hAnsiTheme="majorHAnsi" w:cstheme="majorHAnsi"/>
          <w:i/>
          <w:sz w:val="14"/>
          <w:szCs w:val="14"/>
        </w:rPr>
        <w:t>listës</w:t>
      </w:r>
      <w:r w:rsidRPr="00475484">
        <w:rPr>
          <w:rFonts w:asciiTheme="majorHAnsi" w:hAnsiTheme="majorHAnsi" w:cstheme="majorHAnsi"/>
          <w:i/>
          <w:sz w:val="14"/>
          <w:szCs w:val="14"/>
        </w:rPr>
        <w:t xml:space="preserve"> së </w:t>
      </w:r>
      <w:r w:rsidR="006E6D40" w:rsidRPr="00475484">
        <w:rPr>
          <w:rFonts w:asciiTheme="majorHAnsi" w:hAnsiTheme="majorHAnsi" w:cstheme="majorHAnsi"/>
          <w:i/>
          <w:sz w:val="14"/>
          <w:szCs w:val="14"/>
        </w:rPr>
        <w:t>investimeve</w:t>
      </w:r>
      <w:r w:rsidRPr="00475484">
        <w:rPr>
          <w:rFonts w:asciiTheme="majorHAnsi" w:hAnsiTheme="majorHAnsi" w:cstheme="majorHAnsi"/>
          <w:i/>
          <w:sz w:val="14"/>
          <w:szCs w:val="14"/>
        </w:rPr>
        <w:t xml:space="preserve"> kapitale</w:t>
      </w:r>
    </w:p>
    <w:p w14:paraId="53A5D9E3" w14:textId="1152346C" w:rsidR="00A70FDB" w:rsidRPr="009D6147" w:rsidRDefault="00A70FDB" w:rsidP="004D17CD">
      <w:pPr>
        <w:autoSpaceDE w:val="0"/>
        <w:autoSpaceDN w:val="0"/>
        <w:adjustRightInd w:val="0"/>
        <w:spacing w:after="240" w:line="276" w:lineRule="auto"/>
        <w:rPr>
          <w:rFonts w:asciiTheme="majorHAnsi" w:hAnsiTheme="majorHAnsi" w:cstheme="majorHAnsi"/>
          <w:i/>
          <w:color w:val="1F3864" w:themeColor="accent5" w:themeShade="80"/>
        </w:rPr>
      </w:pPr>
    </w:p>
    <w:p w14:paraId="19B1BFD2" w14:textId="21928E69" w:rsidR="00A70FDB" w:rsidRPr="009D6147" w:rsidRDefault="00A70FDB" w:rsidP="004D17CD">
      <w:pPr>
        <w:pStyle w:val="Style2"/>
        <w:spacing w:line="276" w:lineRule="auto"/>
        <w:rPr>
          <w:rFonts w:asciiTheme="majorHAnsi" w:hAnsiTheme="majorHAnsi" w:cstheme="majorHAnsi"/>
          <w:color w:val="1F3864" w:themeColor="accent5" w:themeShade="80"/>
          <w:sz w:val="22"/>
          <w:szCs w:val="22"/>
        </w:rPr>
      </w:pPr>
      <w:bookmarkStart w:id="66" w:name="_Toc227827184"/>
      <w:r w:rsidRPr="009D6147">
        <w:rPr>
          <w:rFonts w:asciiTheme="majorHAnsi" w:hAnsiTheme="majorHAnsi" w:cstheme="majorHAnsi"/>
          <w:color w:val="1F3864" w:themeColor="accent5" w:themeShade="80"/>
          <w:sz w:val="22"/>
          <w:szCs w:val="22"/>
        </w:rPr>
        <w:t>Buxhetimi me pjesëmarrje</w:t>
      </w:r>
      <w:bookmarkEnd w:id="66"/>
      <w:r w:rsidRPr="009D6147">
        <w:rPr>
          <w:rFonts w:asciiTheme="majorHAnsi" w:hAnsiTheme="majorHAnsi" w:cstheme="majorHAnsi"/>
          <w:color w:val="1F3864" w:themeColor="accent5" w:themeShade="80"/>
          <w:sz w:val="22"/>
          <w:szCs w:val="22"/>
        </w:rPr>
        <w:t xml:space="preserve"> </w:t>
      </w:r>
    </w:p>
    <w:p w14:paraId="5C53ECA3" w14:textId="77777777" w:rsidR="00A70FDB" w:rsidRPr="009D6147" w:rsidRDefault="00A70FDB" w:rsidP="004D17CD">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eastAsia="Times New Roman" w:hAnsiTheme="majorHAnsi" w:cstheme="majorHAnsi"/>
          <w:lang w:eastAsia="en-GB"/>
        </w:rPr>
        <w:t xml:space="preserve">Bazuar në nenin 31 të Udhëzimit Administrativ Nr. 04/2023 për Administratë të Hapur në Komuna, me qëllim të rritjes së përfshirjes së qytetarëve në proceset vendimmarrëse, veçanërisht në procesin e </w:t>
      </w:r>
      <w:proofErr w:type="spellStart"/>
      <w:r w:rsidRPr="009D6147">
        <w:rPr>
          <w:rFonts w:asciiTheme="majorHAnsi" w:eastAsia="Times New Roman" w:hAnsiTheme="majorHAnsi" w:cstheme="majorHAnsi"/>
          <w:lang w:eastAsia="en-GB"/>
        </w:rPr>
        <w:t>buxhetimit</w:t>
      </w:r>
      <w:proofErr w:type="spellEnd"/>
      <w:r w:rsidRPr="009D6147">
        <w:rPr>
          <w:rFonts w:asciiTheme="majorHAnsi" w:eastAsia="Times New Roman" w:hAnsiTheme="majorHAnsi" w:cstheme="majorHAnsi"/>
          <w:lang w:eastAsia="en-GB"/>
        </w:rPr>
        <w:t xml:space="preserve">, komunat mund të aplikojnë metodologjinë e </w:t>
      </w:r>
      <w:proofErr w:type="spellStart"/>
      <w:r w:rsidRPr="009D6147">
        <w:rPr>
          <w:rFonts w:asciiTheme="majorHAnsi" w:eastAsia="Times New Roman" w:hAnsiTheme="majorHAnsi" w:cstheme="majorHAnsi"/>
          <w:lang w:eastAsia="en-GB"/>
        </w:rPr>
        <w:t>buxhetimit</w:t>
      </w:r>
      <w:proofErr w:type="spellEnd"/>
      <w:r w:rsidRPr="009D6147">
        <w:rPr>
          <w:rFonts w:asciiTheme="majorHAnsi" w:eastAsia="Times New Roman" w:hAnsiTheme="majorHAnsi" w:cstheme="majorHAnsi"/>
          <w:lang w:eastAsia="en-GB"/>
        </w:rPr>
        <w:t xml:space="preserve"> me pjesëmarrje.</w:t>
      </w:r>
    </w:p>
    <w:p w14:paraId="1AAA0BD3" w14:textId="77777777" w:rsidR="00A70FDB" w:rsidRPr="009D6147" w:rsidRDefault="00A70FDB" w:rsidP="004D17CD">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eastAsia="Times New Roman" w:hAnsiTheme="majorHAnsi" w:cstheme="majorHAnsi"/>
          <w:lang w:eastAsia="en-GB"/>
        </w:rPr>
        <w:t xml:space="preserve">Në këtë drejtim, Kryetari i Komunës ka rol kyç në inicimin dhe menaxhimin e procesit të </w:t>
      </w:r>
      <w:proofErr w:type="spellStart"/>
      <w:r w:rsidRPr="009D6147">
        <w:rPr>
          <w:rFonts w:asciiTheme="majorHAnsi" w:eastAsia="Times New Roman" w:hAnsiTheme="majorHAnsi" w:cstheme="majorHAnsi"/>
          <w:lang w:eastAsia="en-GB"/>
        </w:rPr>
        <w:t>buxhetimit</w:t>
      </w:r>
      <w:proofErr w:type="spellEnd"/>
      <w:r w:rsidRPr="009D6147">
        <w:rPr>
          <w:rFonts w:asciiTheme="majorHAnsi" w:eastAsia="Times New Roman" w:hAnsiTheme="majorHAnsi" w:cstheme="majorHAnsi"/>
          <w:lang w:eastAsia="en-GB"/>
        </w:rPr>
        <w:t xml:space="preserve"> me pjesëmarrje, në bashkëpunim me Kuvendin Komunal dhe me një gamë të gjerë </w:t>
      </w:r>
      <w:proofErr w:type="spellStart"/>
      <w:r w:rsidRPr="009D6147">
        <w:rPr>
          <w:rFonts w:asciiTheme="majorHAnsi" w:eastAsia="Times New Roman" w:hAnsiTheme="majorHAnsi" w:cstheme="majorHAnsi"/>
          <w:lang w:eastAsia="en-GB"/>
        </w:rPr>
        <w:t>akterësh</w:t>
      </w:r>
      <w:proofErr w:type="spellEnd"/>
      <w:r w:rsidRPr="009D6147">
        <w:rPr>
          <w:rFonts w:asciiTheme="majorHAnsi" w:eastAsia="Times New Roman" w:hAnsiTheme="majorHAnsi" w:cstheme="majorHAnsi"/>
          <w:lang w:eastAsia="en-GB"/>
        </w:rPr>
        <w:t xml:space="preserve">, përfshirë qytetarët, aktivistët lokalë, përfaqësuesit e shoqërisë civile, grupet joformale të qytetarëve, organizatat e bizneseve, grupet e </w:t>
      </w:r>
      <w:proofErr w:type="spellStart"/>
      <w:r w:rsidRPr="009D6147">
        <w:rPr>
          <w:rFonts w:asciiTheme="majorHAnsi" w:eastAsia="Times New Roman" w:hAnsiTheme="majorHAnsi" w:cstheme="majorHAnsi"/>
          <w:lang w:eastAsia="en-GB"/>
        </w:rPr>
        <w:t>margjinalizuara</w:t>
      </w:r>
      <w:proofErr w:type="spellEnd"/>
      <w:r w:rsidRPr="009D6147">
        <w:rPr>
          <w:rFonts w:asciiTheme="majorHAnsi" w:eastAsia="Times New Roman" w:hAnsiTheme="majorHAnsi" w:cstheme="majorHAnsi"/>
          <w:lang w:eastAsia="en-GB"/>
        </w:rPr>
        <w:t>, këshillat lokale dhe palë të tjera të interesit.</w:t>
      </w:r>
    </w:p>
    <w:p w14:paraId="089452A1" w14:textId="7ECD6B7D" w:rsidR="00A70FDB" w:rsidRDefault="00A70FDB" w:rsidP="004D17CD">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eastAsia="Times New Roman" w:hAnsiTheme="majorHAnsi" w:cstheme="majorHAnsi"/>
          <w:lang w:eastAsia="en-GB"/>
        </w:rPr>
        <w:t xml:space="preserve">Me qëllim të mbështetjes së komunave në zbatimin e kësaj praktike të mirë për rritjen e pjesëmarrjes qytetare në vendimmarrje, Ministria e Administrimit të Pushtetit Lokal ka hartuar dhe u ka shpërndarë komunave Manualin shpjegues për kriteret dhe procedurat e realizimit të </w:t>
      </w:r>
      <w:proofErr w:type="spellStart"/>
      <w:r w:rsidRPr="009D6147">
        <w:rPr>
          <w:rFonts w:asciiTheme="majorHAnsi" w:eastAsia="Times New Roman" w:hAnsiTheme="majorHAnsi" w:cstheme="majorHAnsi"/>
          <w:lang w:eastAsia="en-GB"/>
        </w:rPr>
        <w:t>buxhetimit</w:t>
      </w:r>
      <w:proofErr w:type="spellEnd"/>
      <w:r w:rsidRPr="009D6147">
        <w:rPr>
          <w:rFonts w:asciiTheme="majorHAnsi" w:eastAsia="Times New Roman" w:hAnsiTheme="majorHAnsi" w:cstheme="majorHAnsi"/>
          <w:lang w:eastAsia="en-GB"/>
        </w:rPr>
        <w:t xml:space="preserve"> me pjesëmarrje</w:t>
      </w:r>
      <w:r w:rsidR="00475484">
        <w:rPr>
          <w:rFonts w:asciiTheme="majorHAnsi" w:eastAsia="Times New Roman" w:hAnsiTheme="majorHAnsi" w:cstheme="majorHAnsi"/>
          <w:lang w:eastAsia="en-GB"/>
        </w:rPr>
        <w:t>.</w:t>
      </w:r>
    </w:p>
    <w:p w14:paraId="29A1A57B" w14:textId="308C87FA" w:rsidR="00475484" w:rsidRPr="00475484" w:rsidRDefault="00475484" w:rsidP="004D17CD">
      <w:pPr>
        <w:spacing w:before="100" w:beforeAutospacing="1" w:after="100" w:afterAutospacing="1" w:line="276" w:lineRule="auto"/>
        <w:rPr>
          <w:rFonts w:asciiTheme="majorHAnsi" w:eastAsia="Times New Roman" w:hAnsiTheme="majorHAnsi" w:cstheme="majorHAnsi"/>
          <w:lang w:eastAsia="en-GB"/>
        </w:rPr>
      </w:pPr>
      <w:r w:rsidRPr="00475484">
        <w:rPr>
          <w:rFonts w:asciiTheme="majorHAnsi" w:hAnsiTheme="majorHAnsi" w:cstheme="majorHAnsi"/>
        </w:rPr>
        <w:t xml:space="preserve">Duke pasur parasysh se </w:t>
      </w:r>
      <w:proofErr w:type="spellStart"/>
      <w:r w:rsidRPr="00475484">
        <w:rPr>
          <w:rFonts w:asciiTheme="majorHAnsi" w:hAnsiTheme="majorHAnsi" w:cstheme="majorHAnsi"/>
        </w:rPr>
        <w:t>buxhetimi</w:t>
      </w:r>
      <w:proofErr w:type="spellEnd"/>
      <w:r w:rsidRPr="00475484">
        <w:rPr>
          <w:rFonts w:asciiTheme="majorHAnsi" w:hAnsiTheme="majorHAnsi" w:cstheme="majorHAnsi"/>
        </w:rPr>
        <w:t xml:space="preserve"> me pjesëmarrje ka filluar të zbatohet vetëm në dy vitet e fundit, në nivel komunal vërehet progres gradual në këtë drejtim. Një numër i konsiderueshëm i komunave kanë krijuar hapësira të dedikuara në ueb-faqet zyrtare përmes </w:t>
      </w:r>
      <w:proofErr w:type="spellStart"/>
      <w:r w:rsidRPr="00475484">
        <w:rPr>
          <w:rFonts w:asciiTheme="majorHAnsi" w:hAnsiTheme="majorHAnsi" w:cstheme="majorHAnsi"/>
        </w:rPr>
        <w:t>linkeve</w:t>
      </w:r>
      <w:proofErr w:type="spellEnd"/>
      <w:r w:rsidRPr="00475484">
        <w:rPr>
          <w:rFonts w:asciiTheme="majorHAnsi" w:hAnsiTheme="majorHAnsi" w:cstheme="majorHAnsi"/>
        </w:rPr>
        <w:t xml:space="preserve"> specifike për </w:t>
      </w:r>
      <w:proofErr w:type="spellStart"/>
      <w:r w:rsidRPr="00475484">
        <w:rPr>
          <w:rFonts w:asciiTheme="majorHAnsi" w:hAnsiTheme="majorHAnsi" w:cstheme="majorHAnsi"/>
        </w:rPr>
        <w:t>buxhetimin</w:t>
      </w:r>
      <w:proofErr w:type="spellEnd"/>
      <w:r w:rsidRPr="00475484">
        <w:rPr>
          <w:rFonts w:asciiTheme="majorHAnsi" w:hAnsiTheme="majorHAnsi" w:cstheme="majorHAnsi"/>
        </w:rPr>
        <w:t xml:space="preserve"> me pjesëmarrje, duke u mundësuar qytetarëve të përfshihen në përzgjedhjen e projekteve me interes publik. Kjo praktikë kontribuon në rritjen e transparencës, llogaridhënies dhe pjesëmarrjes qytetare në proceset vendimmarrëse lokale.</w:t>
      </w:r>
    </w:p>
    <w:p w14:paraId="4CAA2F26" w14:textId="055F5581" w:rsidR="005B0653" w:rsidRPr="009D6147" w:rsidRDefault="007527F0" w:rsidP="004D17CD">
      <w:pPr>
        <w:autoSpaceDE w:val="0"/>
        <w:autoSpaceDN w:val="0"/>
        <w:adjustRightInd w:val="0"/>
        <w:spacing w:after="240" w:line="276" w:lineRule="auto"/>
        <w:rPr>
          <w:rFonts w:asciiTheme="majorHAnsi" w:eastAsia="Times New Roman" w:hAnsiTheme="majorHAnsi" w:cstheme="majorHAnsi"/>
          <w:lang w:eastAsia="en-GB"/>
        </w:rPr>
      </w:pPr>
      <w:r w:rsidRPr="009D6147">
        <w:rPr>
          <w:rFonts w:asciiTheme="majorHAnsi" w:hAnsiTheme="majorHAnsi" w:cstheme="majorHAnsi"/>
        </w:rPr>
        <w:t xml:space="preserve">Në formë tabelore, është paraqitur numri i komunave </w:t>
      </w:r>
      <w:r w:rsidR="00E94AC7">
        <w:rPr>
          <w:rFonts w:asciiTheme="majorHAnsi" w:hAnsiTheme="majorHAnsi" w:cstheme="majorHAnsi"/>
        </w:rPr>
        <w:t xml:space="preserve">që kanë </w:t>
      </w:r>
      <w:r w:rsidR="00E94AC7">
        <w:rPr>
          <w:rFonts w:asciiTheme="majorHAnsi" w:eastAsia="Times New Roman" w:hAnsiTheme="majorHAnsi" w:cstheme="majorHAnsi"/>
          <w:lang w:eastAsia="en-GB"/>
        </w:rPr>
        <w:t>dedikuar</w:t>
      </w:r>
      <w:r w:rsidRPr="009D6147">
        <w:rPr>
          <w:rFonts w:asciiTheme="majorHAnsi" w:eastAsia="Times New Roman" w:hAnsiTheme="majorHAnsi" w:cstheme="majorHAnsi"/>
          <w:lang w:eastAsia="en-GB"/>
        </w:rPr>
        <w:t xml:space="preserve"> në u</w:t>
      </w:r>
      <w:r w:rsidR="00535B9B">
        <w:rPr>
          <w:rFonts w:asciiTheme="majorHAnsi" w:eastAsia="Times New Roman" w:hAnsiTheme="majorHAnsi" w:cstheme="majorHAnsi"/>
          <w:lang w:eastAsia="en-GB"/>
        </w:rPr>
        <w:t xml:space="preserve">eb-faqet e tyre zyrtare  </w:t>
      </w:r>
      <w:proofErr w:type="spellStart"/>
      <w:r w:rsidR="00535B9B">
        <w:rPr>
          <w:rFonts w:asciiTheme="majorHAnsi" w:eastAsia="Times New Roman" w:hAnsiTheme="majorHAnsi" w:cstheme="majorHAnsi"/>
          <w:lang w:eastAsia="en-GB"/>
        </w:rPr>
        <w:t>link</w:t>
      </w:r>
      <w:r w:rsidR="00E94AC7">
        <w:rPr>
          <w:rFonts w:asciiTheme="majorHAnsi" w:eastAsia="Times New Roman" w:hAnsiTheme="majorHAnsi" w:cstheme="majorHAnsi"/>
          <w:lang w:eastAsia="en-GB"/>
        </w:rPr>
        <w:t>e</w:t>
      </w:r>
      <w:proofErr w:type="spellEnd"/>
      <w:r w:rsidRPr="009D6147">
        <w:rPr>
          <w:rFonts w:asciiTheme="majorHAnsi" w:eastAsia="Times New Roman" w:hAnsiTheme="majorHAnsi" w:cstheme="majorHAnsi"/>
          <w:lang w:eastAsia="en-GB"/>
        </w:rPr>
        <w:t xml:space="preserve"> specifike për </w:t>
      </w:r>
      <w:proofErr w:type="spellStart"/>
      <w:r w:rsidRPr="009D6147">
        <w:rPr>
          <w:rFonts w:asciiTheme="majorHAnsi" w:eastAsia="Times New Roman" w:hAnsiTheme="majorHAnsi" w:cstheme="majorHAnsi"/>
          <w:lang w:eastAsia="en-GB"/>
        </w:rPr>
        <w:t>buxhetimin</w:t>
      </w:r>
      <w:proofErr w:type="spellEnd"/>
      <w:r w:rsidRPr="009D6147">
        <w:rPr>
          <w:rFonts w:asciiTheme="majorHAnsi" w:eastAsia="Times New Roman" w:hAnsiTheme="majorHAnsi" w:cstheme="majorHAnsi"/>
          <w:lang w:eastAsia="en-GB"/>
        </w:rPr>
        <w:t xml:space="preserve"> me pjesëmarrje</w:t>
      </w:r>
      <w:r w:rsidR="00535B9B">
        <w:rPr>
          <w:rFonts w:asciiTheme="majorHAnsi" w:eastAsia="Times New Roman" w:hAnsiTheme="majorHAnsi" w:cstheme="majorHAnsi"/>
          <w:lang w:eastAsia="en-GB"/>
        </w:rPr>
        <w:t>.</w:t>
      </w:r>
    </w:p>
    <w:p w14:paraId="4C57928B" w14:textId="0DE7242F" w:rsidR="00A70FDB" w:rsidRPr="009D6147" w:rsidRDefault="00A70FDB" w:rsidP="005671EB">
      <w:pPr>
        <w:pStyle w:val="Style2"/>
        <w:rPr>
          <w:rFonts w:asciiTheme="majorHAnsi" w:hAnsiTheme="majorHAnsi" w:cstheme="majorHAnsi"/>
        </w:rPr>
      </w:pPr>
      <w:bookmarkStart w:id="67" w:name="_Toc227827185"/>
      <w:r w:rsidRPr="009D6147">
        <w:rPr>
          <w:rFonts w:asciiTheme="majorHAnsi" w:hAnsiTheme="majorHAnsi" w:cstheme="majorHAnsi"/>
          <w:noProof/>
          <w:lang w:eastAsia="sq-AL"/>
        </w:rPr>
        <w:drawing>
          <wp:inline distT="0" distB="0" distL="0" distR="0" wp14:anchorId="24238DE0" wp14:editId="4DE9C3D1">
            <wp:extent cx="5975985" cy="1772816"/>
            <wp:effectExtent l="0" t="0" r="5715" b="18415"/>
            <wp:docPr id="128" name="Chart 128">
              <a:extLst xmlns:a="http://schemas.openxmlformats.org/drawingml/2006/main">
                <a:ext uri="{FF2B5EF4-FFF2-40B4-BE49-F238E27FC236}">
                  <a16:creationId xmlns:a16="http://schemas.microsoft.com/office/drawing/2014/main" id="{3583960F-B539-4800-BAC8-682D01D643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bookmarkEnd w:id="67"/>
    </w:p>
    <w:p w14:paraId="44D7FAFB" w14:textId="74B79CB8" w:rsidR="007A53C4" w:rsidRPr="00475484" w:rsidRDefault="007A53C4" w:rsidP="007A53C4">
      <w:pPr>
        <w:autoSpaceDE w:val="0"/>
        <w:autoSpaceDN w:val="0"/>
        <w:adjustRightInd w:val="0"/>
        <w:spacing w:after="240" w:line="276" w:lineRule="auto"/>
        <w:jc w:val="center"/>
        <w:rPr>
          <w:rFonts w:asciiTheme="majorHAnsi" w:hAnsiTheme="majorHAnsi" w:cstheme="majorHAnsi"/>
          <w:i/>
          <w:sz w:val="14"/>
          <w:szCs w:val="14"/>
        </w:rPr>
      </w:pPr>
      <w:proofErr w:type="spellStart"/>
      <w:r w:rsidRPr="00475484">
        <w:rPr>
          <w:rFonts w:asciiTheme="majorHAnsi" w:hAnsiTheme="majorHAnsi" w:cstheme="majorHAnsi"/>
          <w:i/>
          <w:sz w:val="14"/>
          <w:szCs w:val="14"/>
        </w:rPr>
        <w:t>Fig</w:t>
      </w:r>
      <w:proofErr w:type="spellEnd"/>
      <w:r w:rsidRPr="00475484">
        <w:rPr>
          <w:rFonts w:asciiTheme="majorHAnsi" w:hAnsiTheme="majorHAnsi" w:cstheme="majorHAnsi"/>
          <w:i/>
          <w:sz w:val="14"/>
          <w:szCs w:val="14"/>
        </w:rPr>
        <w:t xml:space="preserve"> 29  </w:t>
      </w:r>
      <w:proofErr w:type="spellStart"/>
      <w:r w:rsidRPr="00475484">
        <w:rPr>
          <w:rFonts w:asciiTheme="majorHAnsi" w:eastAsia="Times New Roman" w:hAnsiTheme="majorHAnsi" w:cstheme="majorHAnsi"/>
          <w:sz w:val="14"/>
          <w:szCs w:val="14"/>
          <w:lang w:eastAsia="en-GB"/>
        </w:rPr>
        <w:t>linke</w:t>
      </w:r>
      <w:proofErr w:type="spellEnd"/>
      <w:r w:rsidRPr="00475484">
        <w:rPr>
          <w:rFonts w:asciiTheme="majorHAnsi" w:eastAsia="Times New Roman" w:hAnsiTheme="majorHAnsi" w:cstheme="majorHAnsi"/>
          <w:sz w:val="14"/>
          <w:szCs w:val="14"/>
          <w:lang w:eastAsia="en-GB"/>
        </w:rPr>
        <w:t xml:space="preserve"> specifike për </w:t>
      </w:r>
      <w:proofErr w:type="spellStart"/>
      <w:r w:rsidRPr="00475484">
        <w:rPr>
          <w:rFonts w:asciiTheme="majorHAnsi" w:eastAsia="Times New Roman" w:hAnsiTheme="majorHAnsi" w:cstheme="majorHAnsi"/>
          <w:sz w:val="14"/>
          <w:szCs w:val="14"/>
          <w:lang w:eastAsia="en-GB"/>
        </w:rPr>
        <w:t>buxhetimin</w:t>
      </w:r>
      <w:proofErr w:type="spellEnd"/>
      <w:r w:rsidRPr="00475484">
        <w:rPr>
          <w:rFonts w:asciiTheme="majorHAnsi" w:eastAsia="Times New Roman" w:hAnsiTheme="majorHAnsi" w:cstheme="majorHAnsi"/>
          <w:sz w:val="14"/>
          <w:szCs w:val="14"/>
          <w:lang w:eastAsia="en-GB"/>
        </w:rPr>
        <w:t xml:space="preserve"> me pjesëmarrje</w:t>
      </w:r>
    </w:p>
    <w:p w14:paraId="61E52116" w14:textId="075B38D2" w:rsidR="00A01FBB" w:rsidRPr="00475484" w:rsidRDefault="00475484" w:rsidP="00A01FBB">
      <w:pPr>
        <w:spacing w:line="276" w:lineRule="auto"/>
        <w:jc w:val="left"/>
        <w:rPr>
          <w:rFonts w:asciiTheme="majorHAnsi" w:hAnsiTheme="majorHAnsi" w:cstheme="majorHAnsi"/>
        </w:rPr>
      </w:pPr>
      <w:r w:rsidRPr="00475484">
        <w:rPr>
          <w:rFonts w:asciiTheme="majorHAnsi" w:hAnsiTheme="majorHAnsi" w:cstheme="majorHAnsi"/>
        </w:rPr>
        <w:t xml:space="preserve">Pas përmbledhjes së të dhënave nga segmenti i transparencës buxhetore, të siguruara nga ueb-faqet zyrtare të komunave, në formë </w:t>
      </w:r>
      <w:proofErr w:type="spellStart"/>
      <w:r w:rsidRPr="00475484">
        <w:rPr>
          <w:rFonts w:asciiTheme="majorHAnsi" w:hAnsiTheme="majorHAnsi" w:cstheme="majorHAnsi"/>
        </w:rPr>
        <w:t>tabelare</w:t>
      </w:r>
      <w:proofErr w:type="spellEnd"/>
      <w:r w:rsidRPr="00475484">
        <w:rPr>
          <w:rFonts w:asciiTheme="majorHAnsi" w:hAnsiTheme="majorHAnsi" w:cstheme="majorHAnsi"/>
        </w:rPr>
        <w:t xml:space="preserve"> është paraqitur figura që pasqyron </w:t>
      </w:r>
      <w:proofErr w:type="spellStart"/>
      <w:r w:rsidRPr="00475484">
        <w:rPr>
          <w:rFonts w:asciiTheme="majorHAnsi" w:hAnsiTheme="majorHAnsi" w:cstheme="majorHAnsi"/>
        </w:rPr>
        <w:t>performancën</w:t>
      </w:r>
      <w:proofErr w:type="spellEnd"/>
      <w:r w:rsidRPr="00475484">
        <w:rPr>
          <w:rFonts w:asciiTheme="majorHAnsi" w:hAnsiTheme="majorHAnsi" w:cstheme="majorHAnsi"/>
        </w:rPr>
        <w:t xml:space="preserve"> e komunave në indikatorët e transparencës buxhetore gjatë vitit 2025</w:t>
      </w:r>
    </w:p>
    <w:p w14:paraId="48524C8B" w14:textId="1A28FDEC" w:rsidR="00A01FBB" w:rsidRPr="009D6147" w:rsidRDefault="00A01FBB" w:rsidP="005671EB">
      <w:pPr>
        <w:pStyle w:val="Style2"/>
        <w:rPr>
          <w:rFonts w:asciiTheme="majorHAnsi" w:hAnsiTheme="majorHAnsi" w:cstheme="majorHAnsi"/>
        </w:rPr>
      </w:pPr>
      <w:r w:rsidRPr="009D6147">
        <w:rPr>
          <w:rFonts w:asciiTheme="majorHAnsi" w:hAnsiTheme="majorHAnsi" w:cstheme="majorHAnsi"/>
          <w:noProof/>
          <w:lang w:eastAsia="sq-AL"/>
        </w:rPr>
        <w:drawing>
          <wp:inline distT="0" distB="0" distL="0" distR="0" wp14:anchorId="31A2012E" wp14:editId="7271C833">
            <wp:extent cx="5731510" cy="2114115"/>
            <wp:effectExtent l="0" t="0" r="2540" b="635"/>
            <wp:docPr id="139" name="Chart 139">
              <a:extLst xmlns:a="http://schemas.openxmlformats.org/drawingml/2006/main">
                <a:ext uri="{FF2B5EF4-FFF2-40B4-BE49-F238E27FC236}">
                  <a16:creationId xmlns:a16="http://schemas.microsoft.com/office/drawing/2014/main" id="{18FF6978-B2F5-41C3-88B4-2A6301CFE7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F397ADB" w14:textId="2597A2EB" w:rsidR="00A01FBB" w:rsidRPr="009D6147" w:rsidRDefault="00A01FBB" w:rsidP="00173A2F">
      <w:pPr>
        <w:jc w:val="center"/>
        <w:rPr>
          <w:rFonts w:asciiTheme="majorHAnsi" w:hAnsiTheme="majorHAnsi" w:cstheme="majorHAnsi"/>
          <w:sz w:val="16"/>
          <w:szCs w:val="16"/>
        </w:rPr>
      </w:pPr>
      <w:r w:rsidRPr="009D6147">
        <w:rPr>
          <w:rFonts w:asciiTheme="majorHAnsi" w:hAnsiTheme="majorHAnsi" w:cstheme="majorHAnsi"/>
          <w:sz w:val="16"/>
          <w:szCs w:val="16"/>
        </w:rPr>
        <w:t>Fig. 30 transparenca buxhetore</w:t>
      </w:r>
    </w:p>
    <w:p w14:paraId="13387F44" w14:textId="77777777" w:rsidR="00FD544E" w:rsidRPr="009D6147" w:rsidRDefault="00FD544E" w:rsidP="005671EB">
      <w:pPr>
        <w:pStyle w:val="Style2"/>
        <w:rPr>
          <w:rFonts w:asciiTheme="majorHAnsi" w:hAnsiTheme="majorHAnsi" w:cstheme="majorHAnsi"/>
        </w:rPr>
      </w:pPr>
      <w:bookmarkStart w:id="68" w:name="_Toc163220247"/>
      <w:bookmarkStart w:id="69" w:name="_Toc227827186"/>
    </w:p>
    <w:p w14:paraId="39921BBE" w14:textId="48AC40A3" w:rsidR="004057E0" w:rsidRPr="009D6147" w:rsidRDefault="1CFF27B5" w:rsidP="00173A2F">
      <w:pPr>
        <w:pStyle w:val="Style2"/>
        <w:spacing w:line="276" w:lineRule="auto"/>
        <w:rPr>
          <w:rFonts w:asciiTheme="majorHAnsi" w:hAnsiTheme="majorHAnsi" w:cstheme="majorHAnsi"/>
          <w:sz w:val="22"/>
          <w:szCs w:val="22"/>
        </w:rPr>
      </w:pPr>
      <w:r w:rsidRPr="009D6147">
        <w:rPr>
          <w:rFonts w:asciiTheme="majorHAnsi" w:hAnsiTheme="majorHAnsi" w:cstheme="majorHAnsi"/>
          <w:sz w:val="22"/>
          <w:szCs w:val="22"/>
        </w:rPr>
        <w:t>Transparenca n</w:t>
      </w:r>
      <w:r w:rsidR="007D4ABB" w:rsidRPr="009D6147">
        <w:rPr>
          <w:rFonts w:asciiTheme="majorHAnsi" w:hAnsiTheme="majorHAnsi" w:cstheme="majorHAnsi"/>
          <w:sz w:val="22"/>
          <w:szCs w:val="22"/>
        </w:rPr>
        <w:t>Ë</w:t>
      </w:r>
      <w:r w:rsidR="0009413B" w:rsidRPr="009D6147">
        <w:rPr>
          <w:rFonts w:asciiTheme="majorHAnsi" w:hAnsiTheme="majorHAnsi" w:cstheme="majorHAnsi"/>
          <w:sz w:val="22"/>
          <w:szCs w:val="22"/>
        </w:rPr>
        <w:t xml:space="preserve"> pr</w:t>
      </w:r>
      <w:r w:rsidRPr="009D6147">
        <w:rPr>
          <w:rFonts w:asciiTheme="majorHAnsi" w:hAnsiTheme="majorHAnsi" w:cstheme="majorHAnsi"/>
          <w:sz w:val="22"/>
          <w:szCs w:val="22"/>
        </w:rPr>
        <w:t>okurimin publik</w:t>
      </w:r>
      <w:bookmarkEnd w:id="63"/>
      <w:bookmarkEnd w:id="64"/>
      <w:bookmarkEnd w:id="65"/>
      <w:bookmarkEnd w:id="68"/>
      <w:bookmarkEnd w:id="69"/>
    </w:p>
    <w:p w14:paraId="353F1354" w14:textId="77777777" w:rsidR="00A90247" w:rsidRPr="009D6147" w:rsidRDefault="00A90247" w:rsidP="00173A2F">
      <w:pPr>
        <w:spacing w:line="276" w:lineRule="auto"/>
        <w:rPr>
          <w:rFonts w:asciiTheme="majorHAnsi" w:hAnsiTheme="majorHAnsi" w:cstheme="majorHAnsi"/>
          <w:color w:val="000000" w:themeColor="text1"/>
        </w:rPr>
      </w:pPr>
    </w:p>
    <w:p w14:paraId="43ED0D9B" w14:textId="3A4B4FC0" w:rsidR="00322A5F" w:rsidRPr="009D6147" w:rsidRDefault="1CFF27B5" w:rsidP="00173A2F">
      <w:pPr>
        <w:spacing w:line="276" w:lineRule="auto"/>
        <w:rPr>
          <w:rFonts w:asciiTheme="majorHAnsi" w:hAnsiTheme="majorHAnsi" w:cstheme="majorHAnsi"/>
        </w:rPr>
      </w:pPr>
      <w:r w:rsidRPr="009D6147">
        <w:rPr>
          <w:rFonts w:asciiTheme="majorHAnsi" w:hAnsiTheme="majorHAnsi" w:cstheme="majorHAnsi"/>
          <w:color w:val="000000" w:themeColor="text1"/>
        </w:rPr>
        <w:t xml:space="preserve">Prokurimi publik </w:t>
      </w:r>
      <w:r w:rsidR="2F0F97E2" w:rsidRPr="009D6147">
        <w:rPr>
          <w:rFonts w:asciiTheme="majorHAnsi" w:hAnsiTheme="majorHAnsi" w:cstheme="majorHAnsi"/>
          <w:color w:val="000000" w:themeColor="text1"/>
        </w:rPr>
        <w:t>ë</w:t>
      </w:r>
      <w:r w:rsidRPr="009D6147">
        <w:rPr>
          <w:rFonts w:asciiTheme="majorHAnsi" w:hAnsiTheme="majorHAnsi" w:cstheme="majorHAnsi"/>
          <w:color w:val="000000" w:themeColor="text1"/>
        </w:rPr>
        <w:t>sht</w:t>
      </w:r>
      <w:r w:rsidR="2F0F97E2" w:rsidRPr="009D6147">
        <w:rPr>
          <w:rFonts w:asciiTheme="majorHAnsi" w:hAnsiTheme="majorHAnsi" w:cstheme="majorHAnsi"/>
          <w:color w:val="000000" w:themeColor="text1"/>
        </w:rPr>
        <w:t>ë</w:t>
      </w:r>
      <w:r w:rsidRPr="009D6147">
        <w:rPr>
          <w:rFonts w:asciiTheme="majorHAnsi" w:hAnsiTheme="majorHAnsi" w:cstheme="majorHAnsi"/>
          <w:color w:val="000000" w:themeColor="text1"/>
        </w:rPr>
        <w:t xml:space="preserve"> nd</w:t>
      </w:r>
      <w:r w:rsidR="2F0F97E2" w:rsidRPr="009D6147">
        <w:rPr>
          <w:rFonts w:asciiTheme="majorHAnsi" w:hAnsiTheme="majorHAnsi" w:cstheme="majorHAnsi"/>
          <w:color w:val="000000" w:themeColor="text1"/>
        </w:rPr>
        <w:t>ë</w:t>
      </w:r>
      <w:r w:rsidRPr="009D6147">
        <w:rPr>
          <w:rFonts w:asciiTheme="majorHAnsi" w:hAnsiTheme="majorHAnsi" w:cstheme="majorHAnsi"/>
          <w:color w:val="000000" w:themeColor="text1"/>
        </w:rPr>
        <w:t>r proceset m</w:t>
      </w:r>
      <w:r w:rsidR="2F0F97E2" w:rsidRPr="009D6147">
        <w:rPr>
          <w:rFonts w:asciiTheme="majorHAnsi" w:hAnsiTheme="majorHAnsi" w:cstheme="majorHAnsi"/>
          <w:color w:val="000000" w:themeColor="text1"/>
        </w:rPr>
        <w:t>ë</w:t>
      </w:r>
      <w:r w:rsidRPr="009D6147">
        <w:rPr>
          <w:rFonts w:asciiTheme="majorHAnsi" w:hAnsiTheme="majorHAnsi" w:cstheme="majorHAnsi"/>
          <w:color w:val="000000" w:themeColor="text1"/>
        </w:rPr>
        <w:t xml:space="preserve"> t</w:t>
      </w:r>
      <w:r w:rsidR="2F0F97E2" w:rsidRPr="009D6147">
        <w:rPr>
          <w:rFonts w:asciiTheme="majorHAnsi" w:hAnsiTheme="majorHAnsi" w:cstheme="majorHAnsi"/>
          <w:color w:val="000000" w:themeColor="text1"/>
        </w:rPr>
        <w:t>ë</w:t>
      </w:r>
      <w:r w:rsidRPr="009D6147">
        <w:rPr>
          <w:rFonts w:asciiTheme="majorHAnsi" w:hAnsiTheme="majorHAnsi" w:cstheme="majorHAnsi"/>
          <w:color w:val="000000" w:themeColor="text1"/>
        </w:rPr>
        <w:t xml:space="preserve"> ndjeshme p</w:t>
      </w:r>
      <w:r w:rsidR="2F0F97E2" w:rsidRPr="009D6147">
        <w:rPr>
          <w:rFonts w:asciiTheme="majorHAnsi" w:hAnsiTheme="majorHAnsi" w:cstheme="majorHAnsi"/>
          <w:color w:val="000000" w:themeColor="text1"/>
        </w:rPr>
        <w:t>ë</w:t>
      </w:r>
      <w:r w:rsidRPr="009D6147">
        <w:rPr>
          <w:rFonts w:asciiTheme="majorHAnsi" w:hAnsiTheme="majorHAnsi" w:cstheme="majorHAnsi"/>
          <w:color w:val="000000" w:themeColor="text1"/>
        </w:rPr>
        <w:t>r secil</w:t>
      </w:r>
      <w:r w:rsidR="2F0F97E2" w:rsidRPr="009D6147">
        <w:rPr>
          <w:rFonts w:asciiTheme="majorHAnsi" w:hAnsiTheme="majorHAnsi" w:cstheme="majorHAnsi"/>
          <w:color w:val="000000" w:themeColor="text1"/>
        </w:rPr>
        <w:t>ë</w:t>
      </w:r>
      <w:r w:rsidRPr="009D6147">
        <w:rPr>
          <w:rFonts w:asciiTheme="majorHAnsi" w:hAnsiTheme="majorHAnsi" w:cstheme="majorHAnsi"/>
          <w:color w:val="000000" w:themeColor="text1"/>
        </w:rPr>
        <w:t>n organizat</w:t>
      </w:r>
      <w:r w:rsidR="2F0F97E2" w:rsidRPr="009D6147">
        <w:rPr>
          <w:rFonts w:asciiTheme="majorHAnsi" w:hAnsiTheme="majorHAnsi" w:cstheme="majorHAnsi"/>
          <w:color w:val="000000" w:themeColor="text1"/>
        </w:rPr>
        <w:t>ë</w:t>
      </w:r>
      <w:r w:rsidRPr="009D6147">
        <w:rPr>
          <w:rFonts w:asciiTheme="majorHAnsi" w:hAnsiTheme="majorHAnsi" w:cstheme="majorHAnsi"/>
          <w:color w:val="000000" w:themeColor="text1"/>
        </w:rPr>
        <w:t xml:space="preserve"> buxhetore</w:t>
      </w:r>
      <w:r w:rsidR="52CC01F1" w:rsidRPr="009D6147">
        <w:rPr>
          <w:rFonts w:asciiTheme="majorHAnsi" w:hAnsiTheme="majorHAnsi" w:cstheme="majorHAnsi"/>
          <w:color w:val="000000" w:themeColor="text1"/>
        </w:rPr>
        <w:t>,</w:t>
      </w:r>
      <w:r w:rsidRPr="009D6147">
        <w:rPr>
          <w:rFonts w:asciiTheme="majorHAnsi" w:hAnsiTheme="majorHAnsi" w:cstheme="majorHAnsi"/>
          <w:color w:val="000000" w:themeColor="text1"/>
        </w:rPr>
        <w:t xml:space="preserve"> p</w:t>
      </w:r>
      <w:r w:rsidR="2F0F97E2" w:rsidRPr="009D6147">
        <w:rPr>
          <w:rFonts w:asciiTheme="majorHAnsi" w:hAnsiTheme="majorHAnsi" w:cstheme="majorHAnsi"/>
          <w:color w:val="000000" w:themeColor="text1"/>
        </w:rPr>
        <w:t>ë</w:t>
      </w:r>
      <w:r w:rsidRPr="009D6147">
        <w:rPr>
          <w:rFonts w:asciiTheme="majorHAnsi" w:hAnsiTheme="majorHAnsi" w:cstheme="majorHAnsi"/>
          <w:color w:val="000000" w:themeColor="text1"/>
        </w:rPr>
        <w:t>r t</w:t>
      </w:r>
      <w:r w:rsidR="2F0F97E2" w:rsidRPr="009D6147">
        <w:rPr>
          <w:rFonts w:asciiTheme="majorHAnsi" w:hAnsiTheme="majorHAnsi" w:cstheme="majorHAnsi"/>
          <w:color w:val="000000" w:themeColor="text1"/>
        </w:rPr>
        <w:t>ë</w:t>
      </w:r>
      <w:r w:rsidRPr="009D6147">
        <w:rPr>
          <w:rFonts w:asciiTheme="majorHAnsi" w:hAnsiTheme="majorHAnsi" w:cstheme="majorHAnsi"/>
          <w:color w:val="000000" w:themeColor="text1"/>
        </w:rPr>
        <w:t xml:space="preserve"> cil</w:t>
      </w:r>
      <w:r w:rsidR="2F0F97E2" w:rsidRPr="009D6147">
        <w:rPr>
          <w:rFonts w:asciiTheme="majorHAnsi" w:hAnsiTheme="majorHAnsi" w:cstheme="majorHAnsi"/>
          <w:color w:val="000000" w:themeColor="text1"/>
        </w:rPr>
        <w:t>ë</w:t>
      </w:r>
      <w:r w:rsidRPr="009D6147">
        <w:rPr>
          <w:rFonts w:asciiTheme="majorHAnsi" w:hAnsiTheme="majorHAnsi" w:cstheme="majorHAnsi"/>
          <w:color w:val="000000" w:themeColor="text1"/>
        </w:rPr>
        <w:t>n k</w:t>
      </w:r>
      <w:r w:rsidR="2F0F97E2" w:rsidRPr="009D6147">
        <w:rPr>
          <w:rFonts w:asciiTheme="majorHAnsi" w:hAnsiTheme="majorHAnsi" w:cstheme="majorHAnsi"/>
          <w:color w:val="000000" w:themeColor="text1"/>
        </w:rPr>
        <w:t>ë</w:t>
      </w:r>
      <w:r w:rsidRPr="009D6147">
        <w:rPr>
          <w:rFonts w:asciiTheme="majorHAnsi" w:hAnsiTheme="majorHAnsi" w:cstheme="majorHAnsi"/>
          <w:color w:val="000000" w:themeColor="text1"/>
        </w:rPr>
        <w:t>rkohet transparenc</w:t>
      </w:r>
      <w:r w:rsidR="2F0F97E2" w:rsidRPr="009D6147">
        <w:rPr>
          <w:rFonts w:asciiTheme="majorHAnsi" w:hAnsiTheme="majorHAnsi" w:cstheme="majorHAnsi"/>
          <w:color w:val="000000" w:themeColor="text1"/>
        </w:rPr>
        <w:t>ë</w:t>
      </w:r>
      <w:r w:rsidRPr="009D6147">
        <w:rPr>
          <w:rFonts w:asciiTheme="majorHAnsi" w:hAnsiTheme="majorHAnsi" w:cstheme="majorHAnsi"/>
          <w:color w:val="000000" w:themeColor="text1"/>
        </w:rPr>
        <w:t xml:space="preserve"> dhe llogaridh</w:t>
      </w:r>
      <w:r w:rsidR="2F0F97E2" w:rsidRPr="009D6147">
        <w:rPr>
          <w:rFonts w:asciiTheme="majorHAnsi" w:hAnsiTheme="majorHAnsi" w:cstheme="majorHAnsi"/>
          <w:color w:val="000000" w:themeColor="text1"/>
        </w:rPr>
        <w:t>ë</w:t>
      </w:r>
      <w:r w:rsidRPr="009D6147">
        <w:rPr>
          <w:rFonts w:asciiTheme="majorHAnsi" w:hAnsiTheme="majorHAnsi" w:cstheme="majorHAnsi"/>
          <w:color w:val="000000" w:themeColor="text1"/>
        </w:rPr>
        <w:t>nie e plot</w:t>
      </w:r>
      <w:r w:rsidR="2F0F97E2" w:rsidRPr="009D6147">
        <w:rPr>
          <w:rFonts w:asciiTheme="majorHAnsi" w:hAnsiTheme="majorHAnsi" w:cstheme="majorHAnsi"/>
          <w:color w:val="000000" w:themeColor="text1"/>
        </w:rPr>
        <w:t>ë</w:t>
      </w:r>
      <w:r w:rsidRPr="009D6147">
        <w:rPr>
          <w:rFonts w:asciiTheme="majorHAnsi" w:hAnsiTheme="majorHAnsi" w:cstheme="majorHAnsi"/>
          <w:color w:val="000000" w:themeColor="text1"/>
        </w:rPr>
        <w:t xml:space="preserve"> sipas rregullave ligjore. Autoritetet komunale janë të obliguara me ligj që të përpilojnë një plan të prokurimit ku duhet të planifikojnë projektet, shërbimet si dhe kostot </w:t>
      </w:r>
      <w:r w:rsidR="00D60AF1" w:rsidRPr="009D6147">
        <w:rPr>
          <w:rFonts w:asciiTheme="majorHAnsi" w:hAnsiTheme="majorHAnsi" w:cstheme="majorHAnsi"/>
          <w:color w:val="000000" w:themeColor="text1"/>
        </w:rPr>
        <w:t xml:space="preserve">për </w:t>
      </w:r>
      <w:r w:rsidRPr="009D6147">
        <w:rPr>
          <w:rFonts w:asciiTheme="majorHAnsi" w:hAnsiTheme="majorHAnsi" w:cstheme="majorHAnsi"/>
          <w:color w:val="000000" w:themeColor="text1"/>
        </w:rPr>
        <w:t xml:space="preserve"> secilin projekt e shërbim në këtë plan.</w:t>
      </w:r>
      <w:r w:rsidR="4C38FB8C" w:rsidRPr="009D6147">
        <w:rPr>
          <w:rFonts w:asciiTheme="majorHAnsi" w:hAnsiTheme="majorHAnsi" w:cstheme="majorHAnsi"/>
          <w:color w:val="000000" w:themeColor="text1"/>
        </w:rPr>
        <w:t xml:space="preserve"> </w:t>
      </w:r>
      <w:r w:rsidRPr="009D6147">
        <w:rPr>
          <w:rFonts w:asciiTheme="majorHAnsi" w:hAnsiTheme="majorHAnsi" w:cstheme="majorHAnsi"/>
        </w:rPr>
        <w:t xml:space="preserve">Plani i prokurimit komunal duhet të përpilohet dhe publikohet në tre muajt e parë të vitit. </w:t>
      </w:r>
      <w:r w:rsidR="4C38FB8C" w:rsidRPr="009D6147">
        <w:rPr>
          <w:rFonts w:asciiTheme="majorHAnsi" w:hAnsiTheme="majorHAnsi" w:cstheme="majorHAnsi"/>
        </w:rPr>
        <w:t>Po ashtu</w:t>
      </w:r>
      <w:r w:rsidR="0AA8C777" w:rsidRPr="009D6147">
        <w:rPr>
          <w:rFonts w:asciiTheme="majorHAnsi" w:hAnsiTheme="majorHAnsi" w:cstheme="majorHAnsi"/>
        </w:rPr>
        <w:t>,</w:t>
      </w:r>
      <w:r w:rsidR="4C38FB8C" w:rsidRPr="009D6147">
        <w:rPr>
          <w:rFonts w:asciiTheme="majorHAnsi" w:hAnsiTheme="majorHAnsi" w:cstheme="majorHAnsi"/>
        </w:rPr>
        <w:t xml:space="preserve"> komunat </w:t>
      </w:r>
      <w:r w:rsidR="00B47A7F" w:rsidRPr="009D6147">
        <w:rPr>
          <w:rFonts w:asciiTheme="majorHAnsi" w:hAnsiTheme="majorHAnsi" w:cstheme="majorHAnsi"/>
        </w:rPr>
        <w:t>si autoritet</w:t>
      </w:r>
      <w:r w:rsidR="0AA8C777" w:rsidRPr="009D6147">
        <w:rPr>
          <w:rFonts w:asciiTheme="majorHAnsi" w:hAnsiTheme="majorHAnsi" w:cstheme="majorHAnsi"/>
        </w:rPr>
        <w:t xml:space="preserve"> kontraktuese</w:t>
      </w:r>
      <w:r w:rsidR="00B47A7F" w:rsidRPr="009D6147">
        <w:rPr>
          <w:rFonts w:asciiTheme="majorHAnsi" w:hAnsiTheme="majorHAnsi" w:cstheme="majorHAnsi"/>
        </w:rPr>
        <w:t>,</w:t>
      </w:r>
      <w:r w:rsidR="0AA8C777" w:rsidRPr="009D6147">
        <w:rPr>
          <w:rFonts w:asciiTheme="majorHAnsi" w:hAnsiTheme="majorHAnsi" w:cstheme="majorHAnsi"/>
        </w:rPr>
        <w:t xml:space="preserve"> n</w:t>
      </w:r>
      <w:r w:rsidR="2F0F97E2" w:rsidRPr="009D6147">
        <w:rPr>
          <w:rFonts w:asciiTheme="majorHAnsi" w:hAnsiTheme="majorHAnsi" w:cstheme="majorHAnsi"/>
        </w:rPr>
        <w:t>ë</w:t>
      </w:r>
      <w:r w:rsidR="0AA8C777" w:rsidRPr="009D6147">
        <w:rPr>
          <w:rFonts w:asciiTheme="majorHAnsi" w:hAnsiTheme="majorHAnsi" w:cstheme="majorHAnsi"/>
        </w:rPr>
        <w:t xml:space="preserve"> baz</w:t>
      </w:r>
      <w:r w:rsidR="2F0F97E2" w:rsidRPr="009D6147">
        <w:rPr>
          <w:rFonts w:asciiTheme="majorHAnsi" w:hAnsiTheme="majorHAnsi" w:cstheme="majorHAnsi"/>
        </w:rPr>
        <w:t>ë</w:t>
      </w:r>
      <w:r w:rsidR="0AA8C777" w:rsidRPr="009D6147">
        <w:rPr>
          <w:rFonts w:asciiTheme="majorHAnsi" w:hAnsiTheme="majorHAnsi" w:cstheme="majorHAnsi"/>
        </w:rPr>
        <w:t xml:space="preserve"> t</w:t>
      </w:r>
      <w:r w:rsidR="2F0F97E2" w:rsidRPr="009D6147">
        <w:rPr>
          <w:rFonts w:asciiTheme="majorHAnsi" w:hAnsiTheme="majorHAnsi" w:cstheme="majorHAnsi"/>
        </w:rPr>
        <w:t>ë</w:t>
      </w:r>
      <w:r w:rsidR="0AA8C777" w:rsidRPr="009D6147">
        <w:rPr>
          <w:rFonts w:asciiTheme="majorHAnsi" w:hAnsiTheme="majorHAnsi" w:cstheme="majorHAnsi"/>
        </w:rPr>
        <w:t xml:space="preserve">  Rregullave dhe Udhëzuesit Operativ për Prokurim Publik nga KRPP</w:t>
      </w:r>
      <w:r w:rsidR="00B47A7F" w:rsidRPr="009D6147">
        <w:rPr>
          <w:rFonts w:asciiTheme="majorHAnsi" w:hAnsiTheme="majorHAnsi" w:cstheme="majorHAnsi"/>
        </w:rPr>
        <w:t>,</w:t>
      </w:r>
      <w:r w:rsidR="0AA8C777" w:rsidRPr="009D6147">
        <w:rPr>
          <w:rFonts w:asciiTheme="majorHAnsi" w:hAnsiTheme="majorHAnsi" w:cstheme="majorHAnsi"/>
        </w:rPr>
        <w:t xml:space="preserve"> </w:t>
      </w:r>
      <w:r w:rsidR="4C38FB8C" w:rsidRPr="009D6147">
        <w:rPr>
          <w:rFonts w:asciiTheme="majorHAnsi" w:hAnsiTheme="majorHAnsi" w:cstheme="majorHAnsi"/>
        </w:rPr>
        <w:t>duhet t</w:t>
      </w:r>
      <w:r w:rsidR="2F0F97E2" w:rsidRPr="009D6147">
        <w:rPr>
          <w:rFonts w:asciiTheme="majorHAnsi" w:hAnsiTheme="majorHAnsi" w:cstheme="majorHAnsi"/>
        </w:rPr>
        <w:t>ë</w:t>
      </w:r>
      <w:r w:rsidR="4C38FB8C" w:rsidRPr="009D6147">
        <w:rPr>
          <w:rFonts w:asciiTheme="majorHAnsi" w:hAnsiTheme="majorHAnsi" w:cstheme="majorHAnsi"/>
        </w:rPr>
        <w:t xml:space="preserve"> ofrojn</w:t>
      </w:r>
      <w:r w:rsidR="2F0F97E2" w:rsidRPr="009D6147">
        <w:rPr>
          <w:rFonts w:asciiTheme="majorHAnsi" w:hAnsiTheme="majorHAnsi" w:cstheme="majorHAnsi"/>
        </w:rPr>
        <w:t>ë</w:t>
      </w:r>
      <w:r w:rsidR="00B47A7F" w:rsidRPr="009D6147">
        <w:rPr>
          <w:rFonts w:asciiTheme="majorHAnsi" w:hAnsiTheme="majorHAnsi" w:cstheme="majorHAnsi"/>
        </w:rPr>
        <w:t xml:space="preserve"> informata lidhur me</w:t>
      </w:r>
      <w:r w:rsidR="4C38FB8C" w:rsidRPr="009D6147">
        <w:rPr>
          <w:rFonts w:asciiTheme="majorHAnsi" w:hAnsiTheme="majorHAnsi" w:cstheme="majorHAnsi"/>
        </w:rPr>
        <w:t xml:space="preserve"> </w:t>
      </w:r>
      <w:r w:rsidR="00D60AF1" w:rsidRPr="009D6147">
        <w:rPr>
          <w:rFonts w:asciiTheme="majorHAnsi" w:hAnsiTheme="majorHAnsi" w:cstheme="majorHAnsi"/>
        </w:rPr>
        <w:t>n</w:t>
      </w:r>
      <w:r w:rsidR="0AA8C777" w:rsidRPr="009D6147">
        <w:rPr>
          <w:rFonts w:asciiTheme="majorHAnsi" w:hAnsiTheme="majorHAnsi" w:cstheme="majorHAnsi"/>
        </w:rPr>
        <w:t>joftimet p</w:t>
      </w:r>
      <w:r w:rsidR="2F0F97E2" w:rsidRPr="009D6147">
        <w:rPr>
          <w:rFonts w:asciiTheme="majorHAnsi" w:hAnsiTheme="majorHAnsi" w:cstheme="majorHAnsi"/>
        </w:rPr>
        <w:t>ë</w:t>
      </w:r>
      <w:r w:rsidR="0AA8C777" w:rsidRPr="009D6147">
        <w:rPr>
          <w:rFonts w:asciiTheme="majorHAnsi" w:hAnsiTheme="majorHAnsi" w:cstheme="majorHAnsi"/>
        </w:rPr>
        <w:t>r kontrat</w:t>
      </w:r>
      <w:r w:rsidR="2F0F97E2" w:rsidRPr="009D6147">
        <w:rPr>
          <w:rFonts w:asciiTheme="majorHAnsi" w:hAnsiTheme="majorHAnsi" w:cstheme="majorHAnsi"/>
        </w:rPr>
        <w:t>ë</w:t>
      </w:r>
      <w:r w:rsidR="0AA8C777" w:rsidRPr="009D6147">
        <w:rPr>
          <w:rFonts w:asciiTheme="majorHAnsi" w:hAnsiTheme="majorHAnsi" w:cstheme="majorHAnsi"/>
        </w:rPr>
        <w:t>, njoftimet p</w:t>
      </w:r>
      <w:r w:rsidR="2F0F97E2" w:rsidRPr="009D6147">
        <w:rPr>
          <w:rFonts w:asciiTheme="majorHAnsi" w:hAnsiTheme="majorHAnsi" w:cstheme="majorHAnsi"/>
        </w:rPr>
        <w:t>ë</w:t>
      </w:r>
      <w:r w:rsidR="0AA8C777" w:rsidRPr="009D6147">
        <w:rPr>
          <w:rFonts w:asciiTheme="majorHAnsi" w:hAnsiTheme="majorHAnsi" w:cstheme="majorHAnsi"/>
        </w:rPr>
        <w:t>r anulime t</w:t>
      </w:r>
      <w:r w:rsidR="2F0F97E2" w:rsidRPr="009D6147">
        <w:rPr>
          <w:rFonts w:asciiTheme="majorHAnsi" w:hAnsiTheme="majorHAnsi" w:cstheme="majorHAnsi"/>
        </w:rPr>
        <w:t>ë</w:t>
      </w:r>
      <w:r w:rsidR="0AA8C777" w:rsidRPr="009D6147">
        <w:rPr>
          <w:rFonts w:asciiTheme="majorHAnsi" w:hAnsiTheme="majorHAnsi" w:cstheme="majorHAnsi"/>
        </w:rPr>
        <w:t xml:space="preserve"> aktiviteteve t</w:t>
      </w:r>
      <w:r w:rsidR="2F0F97E2" w:rsidRPr="009D6147">
        <w:rPr>
          <w:rFonts w:asciiTheme="majorHAnsi" w:hAnsiTheme="majorHAnsi" w:cstheme="majorHAnsi"/>
        </w:rPr>
        <w:t>ë</w:t>
      </w:r>
      <w:r w:rsidR="0AA8C777" w:rsidRPr="009D6147">
        <w:rPr>
          <w:rFonts w:asciiTheme="majorHAnsi" w:hAnsiTheme="majorHAnsi" w:cstheme="majorHAnsi"/>
        </w:rPr>
        <w:t xml:space="preserve"> prokurimit si dhe  </w:t>
      </w:r>
      <w:r w:rsidR="00AB0F88" w:rsidRPr="009D6147">
        <w:rPr>
          <w:rFonts w:asciiTheme="majorHAnsi" w:hAnsiTheme="majorHAnsi" w:cstheme="majorHAnsi"/>
        </w:rPr>
        <w:t>n</w:t>
      </w:r>
      <w:r w:rsidR="0AA8C777" w:rsidRPr="009D6147">
        <w:rPr>
          <w:rFonts w:asciiTheme="majorHAnsi" w:hAnsiTheme="majorHAnsi" w:cstheme="majorHAnsi"/>
        </w:rPr>
        <w:t xml:space="preserve">joftimet e </w:t>
      </w:r>
      <w:r w:rsidR="00AB0F88" w:rsidRPr="009D6147">
        <w:rPr>
          <w:rFonts w:asciiTheme="majorHAnsi" w:hAnsiTheme="majorHAnsi" w:cstheme="majorHAnsi"/>
        </w:rPr>
        <w:t>d</w:t>
      </w:r>
      <w:r w:rsidR="0AA8C777" w:rsidRPr="009D6147">
        <w:rPr>
          <w:rFonts w:asciiTheme="majorHAnsi" w:hAnsiTheme="majorHAnsi" w:cstheme="majorHAnsi"/>
        </w:rPr>
        <w:t xml:space="preserve">hënies së </w:t>
      </w:r>
      <w:r w:rsidR="00AB0F88" w:rsidRPr="009D6147">
        <w:rPr>
          <w:rFonts w:asciiTheme="majorHAnsi" w:hAnsiTheme="majorHAnsi" w:cstheme="majorHAnsi"/>
        </w:rPr>
        <w:t>k</w:t>
      </w:r>
      <w:r w:rsidR="0AA8C777" w:rsidRPr="009D6147">
        <w:rPr>
          <w:rFonts w:asciiTheme="majorHAnsi" w:hAnsiTheme="majorHAnsi" w:cstheme="majorHAnsi"/>
        </w:rPr>
        <w:t>ontratave/</w:t>
      </w:r>
      <w:r w:rsidR="00AB0F88" w:rsidRPr="009D6147">
        <w:rPr>
          <w:rFonts w:asciiTheme="majorHAnsi" w:hAnsiTheme="majorHAnsi" w:cstheme="majorHAnsi"/>
        </w:rPr>
        <w:t>n</w:t>
      </w:r>
      <w:r w:rsidR="0AA8C777" w:rsidRPr="009D6147">
        <w:rPr>
          <w:rFonts w:asciiTheme="majorHAnsi" w:hAnsiTheme="majorHAnsi" w:cstheme="majorHAnsi"/>
        </w:rPr>
        <w:t xml:space="preserve">joftimet e </w:t>
      </w:r>
      <w:r w:rsidR="00AB0F88" w:rsidRPr="009D6147">
        <w:rPr>
          <w:rFonts w:asciiTheme="majorHAnsi" w:hAnsiTheme="majorHAnsi" w:cstheme="majorHAnsi"/>
        </w:rPr>
        <w:t>r</w:t>
      </w:r>
      <w:r w:rsidR="0AA8C777" w:rsidRPr="009D6147">
        <w:rPr>
          <w:rFonts w:asciiTheme="majorHAnsi" w:hAnsiTheme="majorHAnsi" w:cstheme="majorHAnsi"/>
        </w:rPr>
        <w:t xml:space="preserve">ezultateve të </w:t>
      </w:r>
      <w:r w:rsidR="00AB0F88" w:rsidRPr="009D6147">
        <w:rPr>
          <w:rFonts w:asciiTheme="majorHAnsi" w:hAnsiTheme="majorHAnsi" w:cstheme="majorHAnsi"/>
        </w:rPr>
        <w:t>k</w:t>
      </w:r>
      <w:r w:rsidR="0AA8C777" w:rsidRPr="009D6147">
        <w:rPr>
          <w:rFonts w:asciiTheme="majorHAnsi" w:hAnsiTheme="majorHAnsi" w:cstheme="majorHAnsi"/>
        </w:rPr>
        <w:t xml:space="preserve">onkursit të </w:t>
      </w:r>
      <w:r w:rsidR="00AB0F88" w:rsidRPr="009D6147">
        <w:rPr>
          <w:rFonts w:asciiTheme="majorHAnsi" w:hAnsiTheme="majorHAnsi" w:cstheme="majorHAnsi"/>
        </w:rPr>
        <w:t>p</w:t>
      </w:r>
      <w:r w:rsidR="0AA8C777" w:rsidRPr="009D6147">
        <w:rPr>
          <w:rFonts w:asciiTheme="majorHAnsi" w:hAnsiTheme="majorHAnsi" w:cstheme="majorHAnsi"/>
        </w:rPr>
        <w:t>rojektimit</w:t>
      </w:r>
      <w:r w:rsidR="00AB0F88" w:rsidRPr="009D6147">
        <w:rPr>
          <w:rFonts w:asciiTheme="majorHAnsi" w:hAnsiTheme="majorHAnsi" w:cstheme="majorHAnsi"/>
        </w:rPr>
        <w:t xml:space="preserve">, </w:t>
      </w:r>
      <w:r w:rsidR="0AA8C777" w:rsidRPr="009D6147">
        <w:rPr>
          <w:rFonts w:asciiTheme="majorHAnsi" w:hAnsiTheme="majorHAnsi" w:cstheme="majorHAnsi"/>
        </w:rPr>
        <w:t>pavarësisht nga lloji apo vlera e parashik</w:t>
      </w:r>
      <w:r w:rsidR="00D60AF1" w:rsidRPr="009D6147">
        <w:rPr>
          <w:rFonts w:asciiTheme="majorHAnsi" w:hAnsiTheme="majorHAnsi" w:cstheme="majorHAnsi"/>
        </w:rPr>
        <w:t xml:space="preserve">uar. </w:t>
      </w:r>
      <w:bookmarkStart w:id="70" w:name="_Toc85812825"/>
    </w:p>
    <w:p w14:paraId="782FC594" w14:textId="77777777" w:rsidR="007D4ABB" w:rsidRPr="009D6147" w:rsidRDefault="007D4ABB" w:rsidP="00173A2F">
      <w:pPr>
        <w:pStyle w:val="Style2"/>
        <w:spacing w:line="276" w:lineRule="auto"/>
        <w:rPr>
          <w:rFonts w:asciiTheme="majorHAnsi" w:hAnsiTheme="majorHAnsi" w:cstheme="majorHAnsi"/>
          <w:color w:val="1F3864" w:themeColor="accent5" w:themeShade="80"/>
          <w:sz w:val="22"/>
          <w:szCs w:val="22"/>
        </w:rPr>
      </w:pPr>
      <w:bookmarkStart w:id="71" w:name="_Toc227827187"/>
      <w:r w:rsidRPr="009D6147">
        <w:rPr>
          <w:rFonts w:asciiTheme="majorHAnsi" w:hAnsiTheme="majorHAnsi" w:cstheme="majorHAnsi"/>
          <w:color w:val="1F3864" w:themeColor="accent5" w:themeShade="80"/>
          <w:sz w:val="22"/>
          <w:szCs w:val="22"/>
        </w:rPr>
        <w:t>PUBLIKIMI I PLANIT TË PROKURIMIT</w:t>
      </w:r>
      <w:bookmarkEnd w:id="71"/>
    </w:p>
    <w:p w14:paraId="3968287B" w14:textId="77777777" w:rsidR="00173A2F" w:rsidRPr="009D6147" w:rsidRDefault="00173A2F" w:rsidP="00173A2F">
      <w:pPr>
        <w:spacing w:line="276" w:lineRule="auto"/>
        <w:rPr>
          <w:rFonts w:asciiTheme="majorHAnsi" w:hAnsiTheme="majorHAnsi" w:cstheme="majorHAnsi"/>
        </w:rPr>
      </w:pPr>
    </w:p>
    <w:p w14:paraId="74AC8F68" w14:textId="3BCD2057" w:rsidR="005671EB" w:rsidRDefault="007D4ABB" w:rsidP="00173A2F">
      <w:pPr>
        <w:spacing w:line="276" w:lineRule="auto"/>
        <w:rPr>
          <w:rFonts w:asciiTheme="majorHAnsi" w:hAnsiTheme="majorHAnsi" w:cstheme="majorHAnsi"/>
        </w:rPr>
      </w:pPr>
      <w:r w:rsidRPr="009D6147">
        <w:rPr>
          <w:rFonts w:asciiTheme="majorHAnsi" w:hAnsiTheme="majorHAnsi" w:cstheme="majorHAnsi"/>
        </w:rPr>
        <w:t>Ligji Nr.04/L-042 për prokurimin publik ka përcaktuar se jo më pak se gjashtëdhjetë (60) ditë para fillimit të çdo viti fiskal, secili autoritet kontraktues duhet të përgatis, planifikimin paraprak të prokurimit, me shkrim, në të cilat identifikohen  deta</w:t>
      </w:r>
      <w:r w:rsidR="00F8319A" w:rsidRPr="009D6147">
        <w:rPr>
          <w:rFonts w:asciiTheme="majorHAnsi" w:hAnsiTheme="majorHAnsi" w:cstheme="majorHAnsi"/>
        </w:rPr>
        <w:t>j</w:t>
      </w:r>
      <w:r w:rsidRPr="009D6147">
        <w:rPr>
          <w:rFonts w:asciiTheme="majorHAnsi" w:hAnsiTheme="majorHAnsi" w:cstheme="majorHAnsi"/>
        </w:rPr>
        <w:t xml:space="preserve">e të arsyeshme të </w:t>
      </w:r>
      <w:proofErr w:type="spellStart"/>
      <w:r w:rsidR="00F8319A" w:rsidRPr="009D6147">
        <w:rPr>
          <w:rFonts w:asciiTheme="majorHAnsi" w:hAnsiTheme="majorHAnsi" w:cstheme="majorHAnsi"/>
        </w:rPr>
        <w:t>t</w:t>
      </w:r>
      <w:r w:rsidR="00500112" w:rsidRPr="009D6147">
        <w:rPr>
          <w:rFonts w:asciiTheme="majorHAnsi" w:hAnsiTheme="majorHAnsi" w:cstheme="majorHAnsi"/>
        </w:rPr>
        <w:t>ë</w:t>
      </w:r>
      <w:proofErr w:type="spellEnd"/>
      <w:r w:rsidR="00F8319A" w:rsidRPr="009D6147">
        <w:rPr>
          <w:rFonts w:asciiTheme="majorHAnsi" w:hAnsiTheme="majorHAnsi" w:cstheme="majorHAnsi"/>
        </w:rPr>
        <w:t xml:space="preserve"> </w:t>
      </w:r>
      <w:r w:rsidRPr="009D6147">
        <w:rPr>
          <w:rFonts w:asciiTheme="majorHAnsi" w:hAnsiTheme="majorHAnsi" w:cstheme="majorHAnsi"/>
        </w:rPr>
        <w:t>gjitha furnizime</w:t>
      </w:r>
      <w:r w:rsidR="00F8319A" w:rsidRPr="009D6147">
        <w:rPr>
          <w:rFonts w:asciiTheme="majorHAnsi" w:hAnsiTheme="majorHAnsi" w:cstheme="majorHAnsi"/>
        </w:rPr>
        <w:t>ve</w:t>
      </w:r>
      <w:r w:rsidRPr="009D6147">
        <w:rPr>
          <w:rFonts w:asciiTheme="majorHAnsi" w:hAnsiTheme="majorHAnsi" w:cstheme="majorHAnsi"/>
        </w:rPr>
        <w:t>, shërbime</w:t>
      </w:r>
      <w:r w:rsidR="00F8319A" w:rsidRPr="009D6147">
        <w:rPr>
          <w:rFonts w:asciiTheme="majorHAnsi" w:hAnsiTheme="majorHAnsi" w:cstheme="majorHAnsi"/>
        </w:rPr>
        <w:t>ve</w:t>
      </w:r>
      <w:r w:rsidRPr="009D6147">
        <w:rPr>
          <w:rFonts w:asciiTheme="majorHAnsi" w:hAnsiTheme="majorHAnsi" w:cstheme="majorHAnsi"/>
        </w:rPr>
        <w:t xml:space="preserve"> dhe punë</w:t>
      </w:r>
      <w:r w:rsidR="00F8319A" w:rsidRPr="009D6147">
        <w:rPr>
          <w:rFonts w:asciiTheme="majorHAnsi" w:hAnsiTheme="majorHAnsi" w:cstheme="majorHAnsi"/>
        </w:rPr>
        <w:t>ve</w:t>
      </w:r>
      <w:r w:rsidRPr="009D6147">
        <w:rPr>
          <w:rFonts w:asciiTheme="majorHAnsi" w:hAnsiTheme="majorHAnsi" w:cstheme="majorHAnsi"/>
        </w:rPr>
        <w:t xml:space="preserve"> që autoriteti ko</w:t>
      </w:r>
      <w:r w:rsidR="00B47A7F" w:rsidRPr="009D6147">
        <w:rPr>
          <w:rFonts w:asciiTheme="majorHAnsi" w:hAnsiTheme="majorHAnsi" w:cstheme="majorHAnsi"/>
        </w:rPr>
        <w:t>ntraktues parasheh t’i prokuroj</w:t>
      </w:r>
      <w:r w:rsidRPr="009D6147">
        <w:rPr>
          <w:rFonts w:asciiTheme="majorHAnsi" w:hAnsiTheme="majorHAnsi" w:cstheme="majorHAnsi"/>
        </w:rPr>
        <w:t xml:space="preserve"> gjatë vitit fiskal</w:t>
      </w:r>
      <w:r w:rsidR="00F8319A" w:rsidRPr="009D6147">
        <w:rPr>
          <w:rFonts w:asciiTheme="majorHAnsi" w:hAnsiTheme="majorHAnsi" w:cstheme="majorHAnsi"/>
        </w:rPr>
        <w:t xml:space="preserve">, </w:t>
      </w:r>
      <w:r w:rsidRPr="009D6147">
        <w:rPr>
          <w:rFonts w:asciiTheme="majorHAnsi" w:hAnsiTheme="majorHAnsi" w:cstheme="majorHAnsi"/>
        </w:rPr>
        <w:t xml:space="preserve">në fjalë. Planifikimet e prokurimit janë të </w:t>
      </w:r>
      <w:r w:rsidR="004D56AA" w:rsidRPr="009D6147">
        <w:rPr>
          <w:rFonts w:asciiTheme="majorHAnsi" w:hAnsiTheme="majorHAnsi" w:cstheme="majorHAnsi"/>
        </w:rPr>
        <w:t>rëndësishme</w:t>
      </w:r>
      <w:r w:rsidRPr="009D6147">
        <w:rPr>
          <w:rFonts w:asciiTheme="majorHAnsi" w:hAnsiTheme="majorHAnsi" w:cstheme="majorHAnsi"/>
        </w:rPr>
        <w:t xml:space="preserve"> se</w:t>
      </w:r>
      <w:r w:rsidR="00F8319A" w:rsidRPr="009D6147">
        <w:rPr>
          <w:rFonts w:asciiTheme="majorHAnsi" w:hAnsiTheme="majorHAnsi" w:cstheme="majorHAnsi"/>
        </w:rPr>
        <w:t>pse</w:t>
      </w:r>
      <w:r w:rsidRPr="009D6147">
        <w:rPr>
          <w:rFonts w:asciiTheme="majorHAnsi" w:hAnsiTheme="majorHAnsi" w:cstheme="majorHAnsi"/>
        </w:rPr>
        <w:t xml:space="preserve"> përcaktojnë të gjitha kërkesat e pritshme që do të prokurohen gjatë një periudhe, jep një afat kohor të realizimit të këtyre kërkesave, si dhe parashi</w:t>
      </w:r>
      <w:r w:rsidR="00F8319A" w:rsidRPr="009D6147">
        <w:rPr>
          <w:rFonts w:asciiTheme="majorHAnsi" w:hAnsiTheme="majorHAnsi" w:cstheme="majorHAnsi"/>
        </w:rPr>
        <w:t>kon</w:t>
      </w:r>
      <w:r w:rsidRPr="009D6147">
        <w:rPr>
          <w:rFonts w:asciiTheme="majorHAnsi" w:hAnsiTheme="majorHAnsi" w:cstheme="majorHAnsi"/>
        </w:rPr>
        <w:t xml:space="preserve"> </w:t>
      </w:r>
      <w:r w:rsidR="006E6D40" w:rsidRPr="009D6147">
        <w:rPr>
          <w:rFonts w:asciiTheme="majorHAnsi" w:hAnsiTheme="majorHAnsi" w:cstheme="majorHAnsi"/>
        </w:rPr>
        <w:t>vlerën</w:t>
      </w:r>
      <w:r w:rsidR="00F8319A" w:rsidRPr="009D6147">
        <w:rPr>
          <w:rFonts w:asciiTheme="majorHAnsi" w:hAnsiTheme="majorHAnsi" w:cstheme="majorHAnsi"/>
        </w:rPr>
        <w:t xml:space="preserve"> e </w:t>
      </w:r>
      <w:r w:rsidRPr="009D6147">
        <w:rPr>
          <w:rFonts w:asciiTheme="majorHAnsi" w:hAnsiTheme="majorHAnsi" w:cstheme="majorHAnsi"/>
        </w:rPr>
        <w:t>prokurimit.</w:t>
      </w:r>
      <w:bookmarkStart w:id="72" w:name="_Toc130455706"/>
      <w:r w:rsidR="00435A34" w:rsidRPr="009D6147">
        <w:rPr>
          <w:rFonts w:asciiTheme="majorHAnsi" w:hAnsiTheme="majorHAnsi" w:cstheme="majorHAnsi"/>
        </w:rPr>
        <w:t xml:space="preserve"> </w:t>
      </w:r>
    </w:p>
    <w:p w14:paraId="475E8564" w14:textId="28A68D69" w:rsidR="00454D44" w:rsidRDefault="00454D44" w:rsidP="00454D44">
      <w:pPr>
        <w:spacing w:line="276" w:lineRule="auto"/>
      </w:pPr>
      <w:r w:rsidRPr="00454D44">
        <w:rPr>
          <w:rFonts w:asciiTheme="majorHAnsi" w:hAnsiTheme="majorHAnsi" w:cstheme="majorHAnsi"/>
        </w:rPr>
        <w:t>Sipas të dhënave të Raportit për Vlerësimin e Transparencës në Komuna për periudhën raportuese të vitit 2025, planin e prokurimit publik e kanë publikuar 27 komuna (71%), ndërsa 11 komuna (29%) nuk e kanë publikuar atë</w:t>
      </w:r>
      <w:r>
        <w:t>.</w:t>
      </w:r>
    </w:p>
    <w:p w14:paraId="188BBF7A" w14:textId="003E172F" w:rsidR="00454D44" w:rsidRPr="00454D44" w:rsidRDefault="00454D44" w:rsidP="00454D44">
      <w:pPr>
        <w:spacing w:line="276" w:lineRule="auto"/>
        <w:rPr>
          <w:rFonts w:asciiTheme="majorHAnsi" w:hAnsiTheme="majorHAnsi" w:cstheme="majorHAnsi"/>
        </w:rPr>
      </w:pPr>
      <w:r w:rsidRPr="00454D44">
        <w:rPr>
          <w:rFonts w:asciiTheme="majorHAnsi" w:hAnsiTheme="majorHAnsi" w:cstheme="majorHAnsi"/>
        </w:rPr>
        <w:t>Krahasuar me vitin 2024, kur planin e prokurimit publik e kishin publikuar 29 komuna, ndërsa 9 komuna nuk e kishin publikuar, në vitin 2025 vërehet një rënie prej 2 komunash në numrin e komunave që e kanë publikuar këtë dokument (nga 29 në 27). Kjo paraqet një rënie të lehtë të nivelit të transparencës në këtë fushë.</w:t>
      </w:r>
    </w:p>
    <w:p w14:paraId="450CB3D6" w14:textId="77777777" w:rsidR="00A91F70" w:rsidRPr="009D6147" w:rsidRDefault="00B47A7F" w:rsidP="00173A2F">
      <w:pPr>
        <w:autoSpaceDE w:val="0"/>
        <w:autoSpaceDN w:val="0"/>
        <w:adjustRightInd w:val="0"/>
        <w:spacing w:after="240" w:line="276" w:lineRule="auto"/>
        <w:rPr>
          <w:rFonts w:asciiTheme="majorHAnsi" w:hAnsiTheme="majorHAnsi" w:cstheme="majorHAnsi"/>
        </w:rPr>
      </w:pPr>
      <w:r w:rsidRPr="009D6147">
        <w:rPr>
          <w:rFonts w:asciiTheme="majorHAnsi" w:hAnsiTheme="majorHAnsi" w:cstheme="majorHAnsi"/>
        </w:rPr>
        <w:t xml:space="preserve">Në formë </w:t>
      </w:r>
      <w:r w:rsidR="002C616F" w:rsidRPr="009D6147">
        <w:rPr>
          <w:rFonts w:asciiTheme="majorHAnsi" w:hAnsiTheme="majorHAnsi" w:cstheme="majorHAnsi"/>
        </w:rPr>
        <w:t>tabelore</w:t>
      </w:r>
      <w:r w:rsidR="006A4954" w:rsidRPr="009D6147">
        <w:rPr>
          <w:rFonts w:asciiTheme="majorHAnsi" w:hAnsiTheme="majorHAnsi" w:cstheme="majorHAnsi"/>
        </w:rPr>
        <w:t>, është paraqitur numri i komunave që kanë publikuar Planin e Prokurimit</w:t>
      </w:r>
      <w:r w:rsidRPr="009D6147">
        <w:rPr>
          <w:rFonts w:asciiTheme="majorHAnsi" w:hAnsiTheme="majorHAnsi" w:cstheme="majorHAnsi"/>
        </w:rPr>
        <w:t>.</w:t>
      </w:r>
    </w:p>
    <w:p w14:paraId="34855351" w14:textId="47F45A47" w:rsidR="003A6511" w:rsidRPr="009D6147" w:rsidRDefault="003A6511" w:rsidP="00A70BC5">
      <w:pPr>
        <w:autoSpaceDE w:val="0"/>
        <w:autoSpaceDN w:val="0"/>
        <w:adjustRightInd w:val="0"/>
        <w:spacing w:after="240" w:line="276" w:lineRule="auto"/>
        <w:rPr>
          <w:rFonts w:asciiTheme="majorHAnsi" w:hAnsiTheme="majorHAnsi" w:cstheme="majorHAnsi"/>
          <w:noProof/>
        </w:rPr>
      </w:pPr>
      <w:r w:rsidRPr="009D6147">
        <w:rPr>
          <w:rFonts w:asciiTheme="majorHAnsi" w:hAnsiTheme="majorHAnsi" w:cstheme="majorHAnsi"/>
          <w:noProof/>
          <w:lang w:eastAsia="sq-AL"/>
        </w:rPr>
        <mc:AlternateContent>
          <mc:Choice Requires="cx1">
            <w:drawing>
              <wp:inline distT="0" distB="0" distL="0" distR="0" wp14:anchorId="40FA62BB" wp14:editId="06F8CD22">
                <wp:extent cx="5731510" cy="1872000"/>
                <wp:effectExtent l="0" t="0" r="2540" b="13970"/>
                <wp:docPr id="136" name="Chart 136">
                  <a:extLst xmlns:a="http://schemas.openxmlformats.org/drawingml/2006/main">
                    <a:ext uri="{FF2B5EF4-FFF2-40B4-BE49-F238E27FC236}">
                      <a16:creationId xmlns:a16="http://schemas.microsoft.com/office/drawing/2014/main" id="{0C3E606A-41E9-4726-BA4C-60EF413BAC9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3"/>
                  </a:graphicData>
                </a:graphic>
              </wp:inline>
            </w:drawing>
          </mc:Choice>
          <mc:Fallback>
            <w:drawing>
              <wp:inline distT="0" distB="0" distL="0" distR="0" wp14:anchorId="40FA62BB" wp14:editId="06F8CD22">
                <wp:extent cx="5731510" cy="1872000"/>
                <wp:effectExtent l="0" t="0" r="2540" b="13970"/>
                <wp:docPr id="136" name="Chart 13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C3E606A-41E9-4726-BA4C-60EF413BAC9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6" name="Chart 13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C3E606A-41E9-4726-BA4C-60EF413BAC9E}"/>
                            </a:ext>
                          </a:extLst>
                        </pic:cNvPr>
                        <pic:cNvPicPr>
                          <a:picLocks noGrp="1" noRot="1" noChangeAspect="1" noMove="1" noResize="1" noEditPoints="1" noAdjustHandles="1" noChangeArrowheads="1" noChangeShapeType="1"/>
                        </pic:cNvPicPr>
                      </pic:nvPicPr>
                      <pic:blipFill>
                        <a:blip r:embed="rId44"/>
                        <a:stretch>
                          <a:fillRect/>
                        </a:stretch>
                      </pic:blipFill>
                      <pic:spPr>
                        <a:xfrm>
                          <a:off x="0" y="0"/>
                          <a:ext cx="5731510" cy="1871980"/>
                        </a:xfrm>
                        <a:prstGeom prst="rect">
                          <a:avLst/>
                        </a:prstGeom>
                      </pic:spPr>
                    </pic:pic>
                  </a:graphicData>
                </a:graphic>
              </wp:inline>
            </w:drawing>
          </mc:Fallback>
        </mc:AlternateContent>
      </w:r>
    </w:p>
    <w:p w14:paraId="4A61C532" w14:textId="749BDB0B" w:rsidR="00FA731B" w:rsidRPr="00454D44" w:rsidRDefault="001827D4" w:rsidP="005671EB">
      <w:pPr>
        <w:autoSpaceDE w:val="0"/>
        <w:autoSpaceDN w:val="0"/>
        <w:adjustRightInd w:val="0"/>
        <w:spacing w:after="240" w:line="276" w:lineRule="auto"/>
        <w:jc w:val="center"/>
        <w:rPr>
          <w:rFonts w:asciiTheme="majorHAnsi" w:hAnsiTheme="majorHAnsi" w:cstheme="majorHAnsi"/>
          <w:szCs w:val="20"/>
        </w:rPr>
      </w:pPr>
      <w:r w:rsidRPr="00454D44">
        <w:rPr>
          <w:rFonts w:asciiTheme="majorHAnsi" w:hAnsiTheme="majorHAnsi" w:cstheme="majorHAnsi"/>
          <w:i/>
          <w:sz w:val="14"/>
          <w:szCs w:val="14"/>
        </w:rPr>
        <w:t>Fig.</w:t>
      </w:r>
      <w:r w:rsidR="006C1F9D" w:rsidRPr="00454D44">
        <w:rPr>
          <w:rFonts w:asciiTheme="majorHAnsi" w:hAnsiTheme="majorHAnsi" w:cstheme="majorHAnsi"/>
          <w:i/>
          <w:sz w:val="14"/>
          <w:szCs w:val="14"/>
        </w:rPr>
        <w:t>31</w:t>
      </w:r>
      <w:r w:rsidR="00FA731B" w:rsidRPr="00454D44">
        <w:rPr>
          <w:rFonts w:asciiTheme="majorHAnsi" w:hAnsiTheme="majorHAnsi" w:cstheme="majorHAnsi"/>
          <w:i/>
          <w:sz w:val="14"/>
          <w:szCs w:val="14"/>
        </w:rPr>
        <w:t xml:space="preserve">   Publikimi i Planit të Prokurimit</w:t>
      </w:r>
    </w:p>
    <w:bookmarkEnd w:id="72"/>
    <w:p w14:paraId="21A4499A" w14:textId="77777777" w:rsidR="008E4619" w:rsidRPr="009D6147" w:rsidRDefault="008E4619" w:rsidP="00A70BC5">
      <w:pPr>
        <w:autoSpaceDE w:val="0"/>
        <w:autoSpaceDN w:val="0"/>
        <w:adjustRightInd w:val="0"/>
        <w:spacing w:after="240" w:line="276" w:lineRule="auto"/>
        <w:rPr>
          <w:rFonts w:asciiTheme="majorHAnsi" w:hAnsiTheme="majorHAnsi" w:cstheme="majorHAnsi"/>
        </w:rPr>
      </w:pPr>
    </w:p>
    <w:p w14:paraId="36A86346" w14:textId="3581509B" w:rsidR="00240E19" w:rsidRPr="009D6147" w:rsidRDefault="007D4ABB" w:rsidP="00173A2F">
      <w:pPr>
        <w:pStyle w:val="Style2"/>
        <w:spacing w:line="276" w:lineRule="auto"/>
        <w:rPr>
          <w:rFonts w:asciiTheme="majorHAnsi" w:hAnsiTheme="majorHAnsi" w:cstheme="majorHAnsi"/>
        </w:rPr>
      </w:pPr>
      <w:bookmarkStart w:id="73" w:name="_Toc227827188"/>
      <w:r w:rsidRPr="009D6147">
        <w:rPr>
          <w:rFonts w:asciiTheme="majorHAnsi" w:hAnsiTheme="majorHAnsi" w:cstheme="majorHAnsi"/>
        </w:rPr>
        <w:t>PUBLIKIMI I RAPORTIT TË PROKURIMIT</w:t>
      </w:r>
      <w:bookmarkEnd w:id="73"/>
    </w:p>
    <w:p w14:paraId="3CFE1D54" w14:textId="77777777" w:rsidR="00832088" w:rsidRPr="009D6147" w:rsidRDefault="00832088" w:rsidP="00173A2F">
      <w:pPr>
        <w:pStyle w:val="Style2"/>
        <w:spacing w:line="276" w:lineRule="auto"/>
        <w:rPr>
          <w:rFonts w:asciiTheme="majorHAnsi" w:hAnsiTheme="majorHAnsi" w:cstheme="majorHAnsi"/>
        </w:rPr>
      </w:pPr>
    </w:p>
    <w:p w14:paraId="570064B9" w14:textId="77777777" w:rsidR="004E5C48" w:rsidRPr="009D6147" w:rsidRDefault="007D4ABB" w:rsidP="00173A2F">
      <w:pPr>
        <w:spacing w:line="276" w:lineRule="auto"/>
        <w:rPr>
          <w:rFonts w:asciiTheme="majorHAnsi" w:hAnsiTheme="majorHAnsi" w:cstheme="majorHAnsi"/>
        </w:rPr>
      </w:pPr>
      <w:r w:rsidRPr="009D6147">
        <w:rPr>
          <w:rFonts w:asciiTheme="majorHAnsi" w:hAnsiTheme="majorHAnsi" w:cstheme="majorHAnsi"/>
          <w:bCs/>
        </w:rPr>
        <w:t>Për çdo kontratë ose marrëveshje</w:t>
      </w:r>
      <w:r w:rsidR="00F8319A" w:rsidRPr="009D6147">
        <w:rPr>
          <w:rFonts w:asciiTheme="majorHAnsi" w:hAnsiTheme="majorHAnsi" w:cstheme="majorHAnsi"/>
          <w:bCs/>
        </w:rPr>
        <w:t xml:space="preserve"> kuad</w:t>
      </w:r>
      <w:r w:rsidR="00500112" w:rsidRPr="009D6147">
        <w:rPr>
          <w:rFonts w:asciiTheme="majorHAnsi" w:hAnsiTheme="majorHAnsi" w:cstheme="majorHAnsi"/>
          <w:bCs/>
        </w:rPr>
        <w:t>ë</w:t>
      </w:r>
      <w:r w:rsidR="00F8319A" w:rsidRPr="009D6147">
        <w:rPr>
          <w:rFonts w:asciiTheme="majorHAnsi" w:hAnsiTheme="majorHAnsi" w:cstheme="majorHAnsi"/>
          <w:bCs/>
        </w:rPr>
        <w:t xml:space="preserve">r </w:t>
      </w:r>
      <w:r w:rsidRPr="009D6147">
        <w:rPr>
          <w:rFonts w:asciiTheme="majorHAnsi" w:hAnsiTheme="majorHAnsi" w:cstheme="majorHAnsi"/>
          <w:bCs/>
        </w:rPr>
        <w:t>që mbulohet nga ligj</w:t>
      </w:r>
      <w:r w:rsidR="00F8319A" w:rsidRPr="009D6147">
        <w:rPr>
          <w:rFonts w:asciiTheme="majorHAnsi" w:hAnsiTheme="majorHAnsi" w:cstheme="majorHAnsi"/>
          <w:bCs/>
        </w:rPr>
        <w:t>i</w:t>
      </w:r>
      <w:r w:rsidR="004D56AA" w:rsidRPr="009D6147">
        <w:rPr>
          <w:rFonts w:asciiTheme="majorHAnsi" w:hAnsiTheme="majorHAnsi" w:cstheme="majorHAnsi"/>
          <w:bCs/>
        </w:rPr>
        <w:t xml:space="preserve"> në fuqi</w:t>
      </w:r>
      <w:r w:rsidR="00F8319A" w:rsidRPr="009D6147">
        <w:rPr>
          <w:rFonts w:asciiTheme="majorHAnsi" w:hAnsiTheme="majorHAnsi" w:cstheme="majorHAnsi"/>
          <w:bCs/>
        </w:rPr>
        <w:t>,</w:t>
      </w:r>
      <w:r w:rsidRPr="009D6147">
        <w:rPr>
          <w:rFonts w:asciiTheme="majorHAnsi" w:hAnsiTheme="majorHAnsi" w:cstheme="majorHAnsi"/>
          <w:bCs/>
        </w:rPr>
        <w:t xml:space="preserve"> dhe sa herë që krijohet një sistem dinamik blerjeje, autoriteti ose enti </w:t>
      </w:r>
      <w:proofErr w:type="spellStart"/>
      <w:r w:rsidRPr="009D6147">
        <w:rPr>
          <w:rFonts w:asciiTheme="majorHAnsi" w:hAnsiTheme="majorHAnsi" w:cstheme="majorHAnsi"/>
          <w:bCs/>
        </w:rPr>
        <w:t>kontraktor</w:t>
      </w:r>
      <w:proofErr w:type="spellEnd"/>
      <w:r w:rsidRPr="009D6147">
        <w:rPr>
          <w:rFonts w:asciiTheme="majorHAnsi" w:hAnsiTheme="majorHAnsi" w:cstheme="majorHAnsi"/>
          <w:bCs/>
        </w:rPr>
        <w:t xml:space="preserve"> harton një raport me shkrim, që përcakton emrin dhe adresën e autoritetit ose enti</w:t>
      </w:r>
      <w:r w:rsidR="00F8319A" w:rsidRPr="009D6147">
        <w:rPr>
          <w:rFonts w:asciiTheme="majorHAnsi" w:hAnsiTheme="majorHAnsi" w:cstheme="majorHAnsi"/>
          <w:bCs/>
        </w:rPr>
        <w:t>t</w:t>
      </w:r>
      <w:r w:rsidRPr="009D6147">
        <w:rPr>
          <w:rFonts w:asciiTheme="majorHAnsi" w:hAnsiTheme="majorHAnsi" w:cstheme="majorHAnsi"/>
          <w:bCs/>
        </w:rPr>
        <w:t xml:space="preserve"> </w:t>
      </w:r>
      <w:proofErr w:type="spellStart"/>
      <w:r w:rsidRPr="009D6147">
        <w:rPr>
          <w:rFonts w:asciiTheme="majorHAnsi" w:hAnsiTheme="majorHAnsi" w:cstheme="majorHAnsi"/>
          <w:bCs/>
        </w:rPr>
        <w:t>kontraktor</w:t>
      </w:r>
      <w:proofErr w:type="spellEnd"/>
      <w:r w:rsidRPr="009D6147">
        <w:rPr>
          <w:rFonts w:asciiTheme="majorHAnsi" w:hAnsiTheme="majorHAnsi" w:cstheme="majorHAnsi"/>
          <w:bCs/>
        </w:rPr>
        <w:t>, objektin dhe vlerën e përllogaritur të kontratës, të marrëveshjes kuadër ose sistemit dinamik të blerjes sipas rastit</w:t>
      </w:r>
      <w:r w:rsidR="00F8319A" w:rsidRPr="009D6147">
        <w:rPr>
          <w:rFonts w:asciiTheme="majorHAnsi" w:hAnsiTheme="majorHAnsi" w:cstheme="majorHAnsi"/>
          <w:bCs/>
        </w:rPr>
        <w:t>.</w:t>
      </w:r>
      <w:r w:rsidR="004D56AA" w:rsidRPr="009D6147">
        <w:rPr>
          <w:rFonts w:asciiTheme="majorHAnsi" w:hAnsiTheme="majorHAnsi" w:cstheme="majorHAnsi"/>
          <w:bCs/>
        </w:rPr>
        <w:t xml:space="preserve"> </w:t>
      </w:r>
      <w:r w:rsidRPr="009D6147">
        <w:rPr>
          <w:rFonts w:asciiTheme="majorHAnsi" w:hAnsiTheme="majorHAnsi" w:cstheme="majorHAnsi"/>
        </w:rPr>
        <w:t xml:space="preserve">Raportet  e prokurimit </w:t>
      </w:r>
      <w:r w:rsidR="00F15DB0" w:rsidRPr="009D6147">
        <w:rPr>
          <w:rFonts w:asciiTheme="majorHAnsi" w:hAnsiTheme="majorHAnsi" w:cstheme="majorHAnsi"/>
        </w:rPr>
        <w:t>pasqyrojnë</w:t>
      </w:r>
      <w:r w:rsidRPr="009D6147">
        <w:rPr>
          <w:rFonts w:asciiTheme="majorHAnsi" w:hAnsiTheme="majorHAnsi" w:cstheme="majorHAnsi"/>
        </w:rPr>
        <w:t xml:space="preserve"> shpenzimet e parasë publike përmes prokurimit publik.</w:t>
      </w:r>
      <w:r w:rsidR="006A4954" w:rsidRPr="009D6147">
        <w:rPr>
          <w:rFonts w:asciiTheme="majorHAnsi" w:hAnsiTheme="majorHAnsi" w:cstheme="majorHAnsi"/>
        </w:rPr>
        <w:t xml:space="preserve"> </w:t>
      </w:r>
    </w:p>
    <w:p w14:paraId="7F6205BE" w14:textId="77777777" w:rsidR="00454D44" w:rsidRPr="00454D44" w:rsidRDefault="00454D44" w:rsidP="00454D44">
      <w:pPr>
        <w:spacing w:before="100" w:beforeAutospacing="1" w:after="100" w:afterAutospacing="1" w:line="240" w:lineRule="auto"/>
        <w:jc w:val="left"/>
        <w:rPr>
          <w:rFonts w:ascii="Times New Roman" w:eastAsia="Times New Roman" w:hAnsi="Times New Roman" w:cs="Times New Roman"/>
          <w:lang w:eastAsia="en-GB"/>
        </w:rPr>
      </w:pPr>
      <w:r w:rsidRPr="00454D44">
        <w:rPr>
          <w:rFonts w:ascii="Times New Roman" w:eastAsia="Times New Roman" w:hAnsi="Times New Roman" w:cs="Times New Roman"/>
          <w:lang w:eastAsia="en-GB"/>
        </w:rPr>
        <w:t>Sipas të dhënave nga Raporti për Vlerësimin e Transparencës në Komuna për periudhën raportuese të vitit 2025, 19 komuna (50%) e kanë publikuar raportin vjetor të prokurimit publik, ndërsa 19 komuna të tjera (50%) nuk e kanë publikuar atë.</w:t>
      </w:r>
    </w:p>
    <w:p w14:paraId="0129A020" w14:textId="0DDAFCB5" w:rsidR="00454D44" w:rsidRPr="00454D44" w:rsidRDefault="00454D44" w:rsidP="00454D44">
      <w:pPr>
        <w:pStyle w:val="NormalWeb"/>
        <w:rPr>
          <w:rFonts w:eastAsia="Times New Roman"/>
          <w:sz w:val="22"/>
          <w:szCs w:val="22"/>
          <w:lang w:eastAsia="en-GB"/>
        </w:rPr>
      </w:pPr>
      <w:r w:rsidRPr="00454D44">
        <w:rPr>
          <w:rFonts w:eastAsia="Times New Roman"/>
          <w:sz w:val="22"/>
          <w:szCs w:val="22"/>
          <w:lang w:eastAsia="en-GB"/>
        </w:rPr>
        <w:t>Krahasuar me të dhënat e Raportit të Transparencës për vitin 2024, në vitin 2025 vërehet një rënie prej 4 komunash në numrin e komunave që kanë publikuar Kjo tregon një rënie të lehtë të nivelit të transparencës në këtë fushë.</w:t>
      </w:r>
    </w:p>
    <w:p w14:paraId="5E1AA7B4" w14:textId="04382479" w:rsidR="00DF3842" w:rsidRPr="009D6147" w:rsidRDefault="007D4ABB" w:rsidP="00173A2F">
      <w:pPr>
        <w:autoSpaceDE w:val="0"/>
        <w:autoSpaceDN w:val="0"/>
        <w:adjustRightInd w:val="0"/>
        <w:spacing w:after="240" w:line="276" w:lineRule="auto"/>
        <w:rPr>
          <w:rFonts w:asciiTheme="majorHAnsi" w:hAnsiTheme="majorHAnsi" w:cstheme="majorHAnsi"/>
          <w:sz w:val="24"/>
          <w:szCs w:val="24"/>
        </w:rPr>
      </w:pPr>
      <w:r w:rsidRPr="009D6147">
        <w:rPr>
          <w:rFonts w:asciiTheme="majorHAnsi" w:hAnsiTheme="majorHAnsi" w:cstheme="majorHAnsi"/>
        </w:rPr>
        <w:t>Në vijim</w:t>
      </w:r>
      <w:r w:rsidR="00F8319A" w:rsidRPr="009D6147">
        <w:rPr>
          <w:rFonts w:asciiTheme="majorHAnsi" w:hAnsiTheme="majorHAnsi" w:cstheme="majorHAnsi"/>
        </w:rPr>
        <w:t>,</w:t>
      </w:r>
      <w:r w:rsidRPr="009D6147">
        <w:rPr>
          <w:rFonts w:asciiTheme="majorHAnsi" w:hAnsiTheme="majorHAnsi" w:cstheme="majorHAnsi"/>
        </w:rPr>
        <w:t xml:space="preserve"> në formë tabelore është paraqitur numri i komunave që kanë publikuar Raportin e prokurimit</w:t>
      </w:r>
      <w:r w:rsidRPr="009D6147">
        <w:rPr>
          <w:rFonts w:asciiTheme="majorHAnsi" w:hAnsiTheme="majorHAnsi" w:cstheme="majorHAnsi"/>
          <w:sz w:val="24"/>
          <w:szCs w:val="24"/>
        </w:rPr>
        <w:t xml:space="preserve">. </w:t>
      </w:r>
    </w:p>
    <w:p w14:paraId="3FA07E28" w14:textId="1464884B" w:rsidR="00DB7181" w:rsidRPr="009D6147" w:rsidRDefault="00F249E4" w:rsidP="00454D44">
      <w:pPr>
        <w:autoSpaceDE w:val="0"/>
        <w:autoSpaceDN w:val="0"/>
        <w:adjustRightInd w:val="0"/>
        <w:spacing w:after="240" w:line="276" w:lineRule="auto"/>
        <w:jc w:val="center"/>
        <w:rPr>
          <w:rFonts w:asciiTheme="majorHAnsi" w:hAnsiTheme="majorHAnsi" w:cstheme="majorHAnsi"/>
        </w:rPr>
      </w:pPr>
      <w:r w:rsidRPr="009D6147">
        <w:rPr>
          <w:rFonts w:asciiTheme="majorHAnsi" w:hAnsiTheme="majorHAnsi" w:cstheme="majorHAnsi"/>
          <w:noProof/>
          <w:lang w:eastAsia="sq-AL"/>
        </w:rPr>
        <w:drawing>
          <wp:inline distT="0" distB="0" distL="0" distR="0" wp14:anchorId="252B14F0" wp14:editId="201462C8">
            <wp:extent cx="5918200" cy="1726164"/>
            <wp:effectExtent l="0" t="0" r="6350" b="7620"/>
            <wp:docPr id="137" name="Chart 137">
              <a:extLst xmlns:a="http://schemas.openxmlformats.org/drawingml/2006/main">
                <a:ext uri="{FF2B5EF4-FFF2-40B4-BE49-F238E27FC236}">
                  <a16:creationId xmlns:a16="http://schemas.microsoft.com/office/drawing/2014/main" id="{7B0E41D4-4181-45F1-87A6-4599BFA9CF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B14A63E" w14:textId="1D35F897" w:rsidR="00DF3842" w:rsidRPr="00454D44" w:rsidRDefault="001827D4" w:rsidP="00454D44">
      <w:pPr>
        <w:spacing w:line="276" w:lineRule="auto"/>
        <w:jc w:val="center"/>
        <w:rPr>
          <w:rFonts w:asciiTheme="majorHAnsi" w:hAnsiTheme="majorHAnsi" w:cstheme="majorHAnsi"/>
          <w:i/>
          <w:sz w:val="14"/>
          <w:szCs w:val="14"/>
        </w:rPr>
      </w:pPr>
      <w:proofErr w:type="spellStart"/>
      <w:r w:rsidRPr="00454D44">
        <w:rPr>
          <w:rFonts w:asciiTheme="majorHAnsi" w:hAnsiTheme="majorHAnsi" w:cstheme="majorHAnsi"/>
          <w:i/>
          <w:sz w:val="14"/>
          <w:szCs w:val="14"/>
        </w:rPr>
        <w:t>Fig</w:t>
      </w:r>
      <w:proofErr w:type="spellEnd"/>
      <w:r w:rsidRPr="00454D44">
        <w:rPr>
          <w:rFonts w:asciiTheme="majorHAnsi" w:hAnsiTheme="majorHAnsi" w:cstheme="majorHAnsi"/>
          <w:i/>
          <w:sz w:val="14"/>
          <w:szCs w:val="14"/>
        </w:rPr>
        <w:t xml:space="preserve"> </w:t>
      </w:r>
      <w:r w:rsidR="005671EB" w:rsidRPr="00454D44">
        <w:rPr>
          <w:rFonts w:asciiTheme="majorHAnsi" w:hAnsiTheme="majorHAnsi" w:cstheme="majorHAnsi"/>
          <w:i/>
          <w:sz w:val="14"/>
          <w:szCs w:val="14"/>
        </w:rPr>
        <w:t>3</w:t>
      </w:r>
      <w:r w:rsidR="006C1F9D" w:rsidRPr="00454D44">
        <w:rPr>
          <w:rFonts w:asciiTheme="majorHAnsi" w:hAnsiTheme="majorHAnsi" w:cstheme="majorHAnsi"/>
          <w:i/>
          <w:sz w:val="14"/>
          <w:szCs w:val="14"/>
        </w:rPr>
        <w:t>2</w:t>
      </w:r>
      <w:r w:rsidR="00DF3842" w:rsidRPr="00454D44">
        <w:rPr>
          <w:rFonts w:asciiTheme="majorHAnsi" w:hAnsiTheme="majorHAnsi" w:cstheme="majorHAnsi"/>
          <w:i/>
          <w:sz w:val="14"/>
          <w:szCs w:val="14"/>
        </w:rPr>
        <w:t>. Publikimi i raporti</w:t>
      </w:r>
      <w:r w:rsidR="00F8319A" w:rsidRPr="00454D44">
        <w:rPr>
          <w:rFonts w:asciiTheme="majorHAnsi" w:hAnsiTheme="majorHAnsi" w:cstheme="majorHAnsi"/>
          <w:i/>
          <w:sz w:val="14"/>
          <w:szCs w:val="14"/>
        </w:rPr>
        <w:t>t</w:t>
      </w:r>
      <w:r w:rsidR="00DF3842" w:rsidRPr="00454D44">
        <w:rPr>
          <w:rFonts w:asciiTheme="majorHAnsi" w:hAnsiTheme="majorHAnsi" w:cstheme="majorHAnsi"/>
          <w:i/>
          <w:sz w:val="14"/>
          <w:szCs w:val="14"/>
        </w:rPr>
        <w:t xml:space="preserve"> </w:t>
      </w:r>
      <w:r w:rsidR="00F8319A" w:rsidRPr="00454D44">
        <w:rPr>
          <w:rFonts w:asciiTheme="majorHAnsi" w:hAnsiTheme="majorHAnsi" w:cstheme="majorHAnsi"/>
          <w:i/>
          <w:sz w:val="14"/>
          <w:szCs w:val="14"/>
        </w:rPr>
        <w:t>t</w:t>
      </w:r>
      <w:r w:rsidR="00500112" w:rsidRPr="00454D44">
        <w:rPr>
          <w:rFonts w:asciiTheme="majorHAnsi" w:hAnsiTheme="majorHAnsi" w:cstheme="majorHAnsi"/>
          <w:i/>
          <w:sz w:val="14"/>
          <w:szCs w:val="14"/>
        </w:rPr>
        <w:t>ë</w:t>
      </w:r>
      <w:r w:rsidR="00F8319A" w:rsidRPr="00454D44">
        <w:rPr>
          <w:rFonts w:asciiTheme="majorHAnsi" w:hAnsiTheme="majorHAnsi" w:cstheme="majorHAnsi"/>
          <w:i/>
          <w:sz w:val="14"/>
          <w:szCs w:val="14"/>
        </w:rPr>
        <w:t xml:space="preserve"> </w:t>
      </w:r>
      <w:r w:rsidR="00DF3842" w:rsidRPr="00454D44">
        <w:rPr>
          <w:rFonts w:asciiTheme="majorHAnsi" w:hAnsiTheme="majorHAnsi" w:cstheme="majorHAnsi"/>
          <w:i/>
          <w:sz w:val="14"/>
          <w:szCs w:val="14"/>
        </w:rPr>
        <w:t>prokurimit</w:t>
      </w:r>
    </w:p>
    <w:p w14:paraId="323A469B" w14:textId="77777777" w:rsidR="004D56AA" w:rsidRPr="009D6147" w:rsidRDefault="004D56AA" w:rsidP="00173A2F">
      <w:pPr>
        <w:pStyle w:val="Style1"/>
        <w:spacing w:line="276" w:lineRule="auto"/>
        <w:rPr>
          <w:rFonts w:cstheme="majorHAnsi"/>
        </w:rPr>
      </w:pPr>
    </w:p>
    <w:p w14:paraId="00B376FD" w14:textId="77777777" w:rsidR="007D4ABB" w:rsidRPr="009D6147" w:rsidRDefault="007D4ABB" w:rsidP="00173A2F">
      <w:pPr>
        <w:pStyle w:val="Style2"/>
        <w:spacing w:line="276" w:lineRule="auto"/>
        <w:rPr>
          <w:rFonts w:asciiTheme="majorHAnsi" w:hAnsiTheme="majorHAnsi" w:cstheme="majorHAnsi"/>
        </w:rPr>
      </w:pPr>
      <w:bookmarkStart w:id="74" w:name="_Toc163220248"/>
      <w:bookmarkStart w:id="75" w:name="_Toc227827189"/>
      <w:r w:rsidRPr="009D6147">
        <w:rPr>
          <w:rFonts w:asciiTheme="majorHAnsi" w:hAnsiTheme="majorHAnsi" w:cstheme="majorHAnsi"/>
        </w:rPr>
        <w:t>ZBATIMI I STANDARDEVE MINIMALE TË KONUSULTIMEVE PUBLIKE</w:t>
      </w:r>
      <w:bookmarkEnd w:id="74"/>
      <w:bookmarkEnd w:id="75"/>
      <w:r w:rsidRPr="009D6147">
        <w:rPr>
          <w:rFonts w:asciiTheme="majorHAnsi" w:hAnsiTheme="majorHAnsi" w:cstheme="majorHAnsi"/>
        </w:rPr>
        <w:t xml:space="preserve"> </w:t>
      </w:r>
    </w:p>
    <w:p w14:paraId="7FE870BE" w14:textId="77777777" w:rsidR="007D4ABB" w:rsidRPr="009D6147" w:rsidRDefault="007D4ABB" w:rsidP="00173A2F">
      <w:pPr>
        <w:spacing w:line="276" w:lineRule="auto"/>
        <w:rPr>
          <w:rFonts w:asciiTheme="majorHAnsi" w:hAnsiTheme="majorHAnsi" w:cstheme="majorHAnsi"/>
          <w:sz w:val="24"/>
          <w:szCs w:val="24"/>
        </w:rPr>
      </w:pPr>
    </w:p>
    <w:p w14:paraId="133A2901" w14:textId="77777777" w:rsidR="007D4ABB" w:rsidRPr="009D6147" w:rsidRDefault="007D4ABB" w:rsidP="00173A2F">
      <w:pPr>
        <w:spacing w:after="240" w:line="276" w:lineRule="auto"/>
        <w:rPr>
          <w:rFonts w:asciiTheme="majorHAnsi" w:hAnsiTheme="majorHAnsi" w:cstheme="majorHAnsi"/>
        </w:rPr>
      </w:pPr>
      <w:r w:rsidRPr="009D6147">
        <w:rPr>
          <w:rFonts w:asciiTheme="majorHAnsi" w:hAnsiTheme="majorHAnsi" w:cstheme="majorHAnsi"/>
        </w:rPr>
        <w:t>Ud</w:t>
      </w:r>
      <w:r w:rsidR="001F07FE" w:rsidRPr="009D6147">
        <w:rPr>
          <w:rFonts w:asciiTheme="majorHAnsi" w:hAnsiTheme="majorHAnsi" w:cstheme="majorHAnsi"/>
        </w:rPr>
        <w:t>hëzimi administrativ Nr. 04/2023</w:t>
      </w:r>
      <w:r w:rsidRPr="009D6147">
        <w:rPr>
          <w:rFonts w:asciiTheme="majorHAnsi" w:hAnsiTheme="majorHAnsi" w:cstheme="majorHAnsi"/>
        </w:rPr>
        <w:t xml:space="preserve">  për </w:t>
      </w:r>
      <w:r w:rsidR="001F07FE" w:rsidRPr="009D6147">
        <w:rPr>
          <w:rFonts w:asciiTheme="majorHAnsi" w:hAnsiTheme="majorHAnsi" w:cstheme="majorHAnsi"/>
        </w:rPr>
        <w:t xml:space="preserve"> </w:t>
      </w:r>
      <w:r w:rsidR="00517ECE" w:rsidRPr="009D6147">
        <w:rPr>
          <w:rFonts w:asciiTheme="majorHAnsi" w:hAnsiTheme="majorHAnsi" w:cstheme="majorHAnsi"/>
        </w:rPr>
        <w:t>Administratë</w:t>
      </w:r>
      <w:r w:rsidR="001F07FE" w:rsidRPr="009D6147">
        <w:rPr>
          <w:rFonts w:asciiTheme="majorHAnsi" w:hAnsiTheme="majorHAnsi" w:cstheme="majorHAnsi"/>
        </w:rPr>
        <w:t xml:space="preserve"> të hapur në komuna ka </w:t>
      </w:r>
      <w:r w:rsidR="00517ECE" w:rsidRPr="009D6147">
        <w:rPr>
          <w:rFonts w:asciiTheme="majorHAnsi" w:hAnsiTheme="majorHAnsi" w:cstheme="majorHAnsi"/>
        </w:rPr>
        <w:t>pacaktuar</w:t>
      </w:r>
      <w:r w:rsidR="001F07FE" w:rsidRPr="009D6147">
        <w:rPr>
          <w:rFonts w:asciiTheme="majorHAnsi" w:hAnsiTheme="majorHAnsi" w:cstheme="majorHAnsi"/>
        </w:rPr>
        <w:t xml:space="preserve"> </w:t>
      </w:r>
      <w:r w:rsidRPr="009D6147">
        <w:rPr>
          <w:rFonts w:asciiTheme="majorHAnsi" w:hAnsiTheme="majorHAnsi" w:cstheme="majorHAnsi"/>
        </w:rPr>
        <w:t>standarde minimale  të konsultimit publik</w:t>
      </w:r>
      <w:r w:rsidR="001F07FE" w:rsidRPr="009D6147">
        <w:rPr>
          <w:rFonts w:asciiTheme="majorHAnsi" w:hAnsiTheme="majorHAnsi" w:cstheme="majorHAnsi"/>
        </w:rPr>
        <w:t xml:space="preserve">, </w:t>
      </w:r>
      <w:r w:rsidR="008E4619" w:rsidRPr="009D6147">
        <w:rPr>
          <w:rFonts w:asciiTheme="majorHAnsi" w:hAnsiTheme="majorHAnsi" w:cstheme="majorHAnsi"/>
        </w:rPr>
        <w:t xml:space="preserve">obligon autoritetet lokale </w:t>
      </w:r>
      <w:r w:rsidRPr="009D6147">
        <w:rPr>
          <w:rFonts w:asciiTheme="majorHAnsi" w:hAnsiTheme="majorHAnsi" w:cstheme="majorHAnsi"/>
        </w:rPr>
        <w:t xml:space="preserve">që të sigurojnë pjesëmarrjen e  qytetarëve dhe palëve të tjera të interesuara gjatë procesit të </w:t>
      </w:r>
      <w:proofErr w:type="spellStart"/>
      <w:r w:rsidR="00B47A7F" w:rsidRPr="009D6147">
        <w:rPr>
          <w:rFonts w:asciiTheme="majorHAnsi" w:hAnsiTheme="majorHAnsi" w:cstheme="majorHAnsi"/>
        </w:rPr>
        <w:t>politik</w:t>
      </w:r>
      <w:r w:rsidR="00517ECE" w:rsidRPr="009D6147">
        <w:rPr>
          <w:rFonts w:asciiTheme="majorHAnsi" w:hAnsiTheme="majorHAnsi" w:cstheme="majorHAnsi"/>
        </w:rPr>
        <w:t>bërjes</w:t>
      </w:r>
      <w:proofErr w:type="spellEnd"/>
      <w:r w:rsidRPr="009D6147">
        <w:rPr>
          <w:rFonts w:asciiTheme="majorHAnsi" w:hAnsiTheme="majorHAnsi" w:cstheme="majorHAnsi"/>
        </w:rPr>
        <w:t xml:space="preserve"> dhe </w:t>
      </w:r>
      <w:r w:rsidR="00B47A7F" w:rsidRPr="009D6147">
        <w:rPr>
          <w:rFonts w:asciiTheme="majorHAnsi" w:hAnsiTheme="majorHAnsi" w:cstheme="majorHAnsi"/>
        </w:rPr>
        <w:t>vendimmarrjes në nivel lokal, promovon</w:t>
      </w:r>
      <w:r w:rsidRPr="009D6147">
        <w:rPr>
          <w:rFonts w:asciiTheme="majorHAnsi" w:hAnsiTheme="majorHAnsi" w:cstheme="majorHAnsi"/>
        </w:rPr>
        <w:t xml:space="preserve"> t</w:t>
      </w:r>
      <w:r w:rsidR="008E4619" w:rsidRPr="009D6147">
        <w:rPr>
          <w:rFonts w:asciiTheme="majorHAnsi" w:hAnsiTheme="majorHAnsi" w:cstheme="majorHAnsi"/>
        </w:rPr>
        <w:t>ransparencën komunale, si dhe ndikon</w:t>
      </w:r>
      <w:r w:rsidRPr="009D6147">
        <w:rPr>
          <w:rFonts w:asciiTheme="majorHAnsi" w:hAnsiTheme="majorHAnsi" w:cstheme="majorHAnsi"/>
        </w:rPr>
        <w:t xml:space="preserve"> në zhvillimin e politikave të qëndrueshme në </w:t>
      </w:r>
      <w:r w:rsidR="00D677F2" w:rsidRPr="009D6147">
        <w:rPr>
          <w:rFonts w:asciiTheme="majorHAnsi" w:hAnsiTheme="majorHAnsi" w:cstheme="majorHAnsi"/>
        </w:rPr>
        <w:t>interes</w:t>
      </w:r>
      <w:r w:rsidRPr="009D6147">
        <w:rPr>
          <w:rFonts w:asciiTheme="majorHAnsi" w:hAnsiTheme="majorHAnsi" w:cstheme="majorHAnsi"/>
        </w:rPr>
        <w:t xml:space="preserve"> të përgjithshëm. </w:t>
      </w:r>
    </w:p>
    <w:p w14:paraId="3943D3AB" w14:textId="77777777" w:rsidR="007D4ABB" w:rsidRPr="009D6147" w:rsidRDefault="007D4ABB" w:rsidP="00173A2F">
      <w:pPr>
        <w:spacing w:after="240" w:line="276" w:lineRule="auto"/>
        <w:rPr>
          <w:rFonts w:asciiTheme="majorHAnsi" w:hAnsiTheme="majorHAnsi" w:cstheme="majorHAnsi"/>
        </w:rPr>
      </w:pPr>
      <w:r w:rsidRPr="009D6147">
        <w:rPr>
          <w:rFonts w:asciiTheme="majorHAnsi" w:hAnsiTheme="majorHAnsi" w:cstheme="majorHAnsi"/>
        </w:rPr>
        <w:t>Ky udhëzim administrativ përcakton rregullat, parimet, format, procedurat dhe standardet minimale të konsultimit publik në komuna me rastin e zhvillimit të politikave dhe akteve nënligjore të komunës. Komuna është e obliguar të ofroj konsultim publik për të gjitha dokumentet e politikave lokale</w:t>
      </w:r>
      <w:r w:rsidR="002E1DBC" w:rsidRPr="009D6147">
        <w:rPr>
          <w:rFonts w:asciiTheme="majorHAnsi" w:hAnsiTheme="majorHAnsi" w:cstheme="majorHAnsi"/>
        </w:rPr>
        <w:t>,</w:t>
      </w:r>
      <w:r w:rsidRPr="009D6147">
        <w:rPr>
          <w:rFonts w:asciiTheme="majorHAnsi" w:hAnsiTheme="majorHAnsi" w:cstheme="majorHAnsi"/>
        </w:rPr>
        <w:t xml:space="preserve"> si në vijim: </w:t>
      </w:r>
    </w:p>
    <w:p w14:paraId="7A1C2BD2" w14:textId="77777777" w:rsidR="008C688F" w:rsidRPr="009D6147" w:rsidRDefault="007D4ABB" w:rsidP="00173A2F">
      <w:pPr>
        <w:spacing w:after="240" w:line="276" w:lineRule="auto"/>
        <w:rPr>
          <w:rFonts w:asciiTheme="majorHAnsi" w:hAnsiTheme="majorHAnsi" w:cstheme="majorHAnsi"/>
        </w:rPr>
      </w:pPr>
      <w:r w:rsidRPr="009D6147">
        <w:rPr>
          <w:rFonts w:asciiTheme="majorHAnsi" w:hAnsiTheme="majorHAnsi" w:cstheme="majorHAnsi"/>
        </w:rPr>
        <w:t>1.</w:t>
      </w:r>
      <w:r w:rsidR="008C688F" w:rsidRPr="009D6147">
        <w:rPr>
          <w:rFonts w:asciiTheme="majorHAnsi" w:hAnsiTheme="majorHAnsi" w:cstheme="majorHAnsi"/>
        </w:rPr>
        <w:t xml:space="preserve">Aktet e komunës që i </w:t>
      </w:r>
      <w:r w:rsidR="00517ECE" w:rsidRPr="009D6147">
        <w:rPr>
          <w:rFonts w:asciiTheme="majorHAnsi" w:hAnsiTheme="majorHAnsi" w:cstheme="majorHAnsi"/>
        </w:rPr>
        <w:t>nënshtrohen</w:t>
      </w:r>
      <w:r w:rsidR="008C688F" w:rsidRPr="009D6147">
        <w:rPr>
          <w:rFonts w:asciiTheme="majorHAnsi" w:hAnsiTheme="majorHAnsi" w:cstheme="majorHAnsi"/>
        </w:rPr>
        <w:t xml:space="preserve"> procesit të konsultimit publike</w:t>
      </w:r>
      <w:r w:rsidRPr="009D6147">
        <w:rPr>
          <w:rFonts w:asciiTheme="majorHAnsi" w:hAnsiTheme="majorHAnsi" w:cstheme="majorHAnsi"/>
        </w:rPr>
        <w:t>;</w:t>
      </w:r>
    </w:p>
    <w:p w14:paraId="25CA1C4A" w14:textId="77777777" w:rsidR="008C688F" w:rsidRPr="009D6147" w:rsidRDefault="008C688F" w:rsidP="00173A2F">
      <w:pPr>
        <w:spacing w:after="240" w:line="276" w:lineRule="auto"/>
        <w:rPr>
          <w:rFonts w:asciiTheme="majorHAnsi" w:hAnsiTheme="majorHAnsi" w:cstheme="majorHAnsi"/>
        </w:rPr>
      </w:pPr>
      <w:r w:rsidRPr="009D6147">
        <w:rPr>
          <w:rFonts w:asciiTheme="majorHAnsi" w:hAnsiTheme="majorHAnsi" w:cstheme="majorHAnsi"/>
        </w:rPr>
        <w:t xml:space="preserve">2.Draft –Statuti  i </w:t>
      </w:r>
      <w:proofErr w:type="spellStart"/>
      <w:r w:rsidRPr="009D6147">
        <w:rPr>
          <w:rFonts w:asciiTheme="majorHAnsi" w:hAnsiTheme="majorHAnsi" w:cstheme="majorHAnsi"/>
        </w:rPr>
        <w:t>Komunes</w:t>
      </w:r>
      <w:proofErr w:type="spellEnd"/>
      <w:r w:rsidRPr="009D6147">
        <w:rPr>
          <w:rFonts w:asciiTheme="majorHAnsi" w:hAnsiTheme="majorHAnsi" w:cstheme="majorHAnsi"/>
        </w:rPr>
        <w:t>;</w:t>
      </w:r>
    </w:p>
    <w:p w14:paraId="55AC063E" w14:textId="77777777" w:rsidR="007D4ABB" w:rsidRPr="009D6147" w:rsidRDefault="008C688F" w:rsidP="00173A2F">
      <w:pPr>
        <w:spacing w:after="240" w:line="276" w:lineRule="auto"/>
        <w:rPr>
          <w:rFonts w:asciiTheme="majorHAnsi" w:hAnsiTheme="majorHAnsi" w:cstheme="majorHAnsi"/>
        </w:rPr>
      </w:pPr>
      <w:r w:rsidRPr="009D6147">
        <w:rPr>
          <w:rFonts w:asciiTheme="majorHAnsi" w:hAnsiTheme="majorHAnsi" w:cstheme="majorHAnsi"/>
        </w:rPr>
        <w:t>3.Projekt-rregulloret komunale;</w:t>
      </w:r>
      <w:r w:rsidR="007D4ABB" w:rsidRPr="009D6147">
        <w:rPr>
          <w:rFonts w:asciiTheme="majorHAnsi" w:hAnsiTheme="majorHAnsi" w:cstheme="majorHAnsi"/>
        </w:rPr>
        <w:t xml:space="preserve"> </w:t>
      </w:r>
    </w:p>
    <w:p w14:paraId="43785DAD" w14:textId="77777777" w:rsidR="007D4ABB" w:rsidRPr="009D6147" w:rsidRDefault="008C688F" w:rsidP="00173A2F">
      <w:pPr>
        <w:spacing w:after="240" w:line="276" w:lineRule="auto"/>
        <w:rPr>
          <w:rFonts w:asciiTheme="majorHAnsi" w:hAnsiTheme="majorHAnsi" w:cstheme="majorHAnsi"/>
        </w:rPr>
      </w:pPr>
      <w:r w:rsidRPr="009D6147">
        <w:rPr>
          <w:rFonts w:asciiTheme="majorHAnsi" w:hAnsiTheme="majorHAnsi" w:cstheme="majorHAnsi"/>
        </w:rPr>
        <w:t>4</w:t>
      </w:r>
      <w:r w:rsidR="007D4ABB" w:rsidRPr="009D6147">
        <w:rPr>
          <w:rFonts w:asciiTheme="majorHAnsi" w:hAnsiTheme="majorHAnsi" w:cstheme="majorHAnsi"/>
        </w:rPr>
        <w:t xml:space="preserve">. Projekt-buxhetin e komunës për vitin vijues, si dhe rishikimin buxhetor; </w:t>
      </w:r>
    </w:p>
    <w:p w14:paraId="7BAE97ED" w14:textId="77777777" w:rsidR="007D4ABB" w:rsidRPr="003A4180" w:rsidRDefault="008C688F" w:rsidP="00173A2F">
      <w:pPr>
        <w:spacing w:after="240" w:line="276" w:lineRule="auto"/>
        <w:rPr>
          <w:rFonts w:asciiTheme="majorHAnsi" w:hAnsiTheme="majorHAnsi" w:cstheme="majorHAnsi"/>
        </w:rPr>
      </w:pPr>
      <w:r w:rsidRPr="003A4180">
        <w:rPr>
          <w:rFonts w:asciiTheme="majorHAnsi" w:hAnsiTheme="majorHAnsi" w:cstheme="majorHAnsi"/>
        </w:rPr>
        <w:t>5</w:t>
      </w:r>
      <w:r w:rsidR="007D4ABB" w:rsidRPr="003A4180">
        <w:rPr>
          <w:rFonts w:asciiTheme="majorHAnsi" w:hAnsiTheme="majorHAnsi" w:cstheme="majorHAnsi"/>
        </w:rPr>
        <w:t xml:space="preserve">. Kornizën afatmesme buxhetore për 3 vitet e ardhshme; </w:t>
      </w:r>
    </w:p>
    <w:p w14:paraId="74075661" w14:textId="77777777" w:rsidR="007D4ABB" w:rsidRPr="003A4180" w:rsidRDefault="008C688F" w:rsidP="00173A2F">
      <w:pPr>
        <w:spacing w:after="240" w:line="276" w:lineRule="auto"/>
        <w:rPr>
          <w:rFonts w:asciiTheme="majorHAnsi" w:hAnsiTheme="majorHAnsi" w:cstheme="majorHAnsi"/>
        </w:rPr>
      </w:pPr>
      <w:r w:rsidRPr="003A4180">
        <w:rPr>
          <w:rFonts w:asciiTheme="majorHAnsi" w:hAnsiTheme="majorHAnsi" w:cstheme="majorHAnsi"/>
        </w:rPr>
        <w:t>6</w:t>
      </w:r>
      <w:r w:rsidR="007D4ABB" w:rsidRPr="003A4180">
        <w:rPr>
          <w:rFonts w:asciiTheme="majorHAnsi" w:hAnsiTheme="majorHAnsi" w:cstheme="majorHAnsi"/>
        </w:rPr>
        <w:t xml:space="preserve">. Strategjitë zhvillimore dhe planet e veprimit në nivel lokal në kuadër të fushave sektoriale; </w:t>
      </w:r>
    </w:p>
    <w:p w14:paraId="5889CE08" w14:textId="77777777" w:rsidR="007D4ABB" w:rsidRPr="003A4180" w:rsidRDefault="008C688F" w:rsidP="00173A2F">
      <w:pPr>
        <w:spacing w:after="240" w:line="276" w:lineRule="auto"/>
        <w:rPr>
          <w:rFonts w:asciiTheme="majorHAnsi" w:hAnsiTheme="majorHAnsi" w:cstheme="majorHAnsi"/>
        </w:rPr>
      </w:pPr>
      <w:r w:rsidRPr="003A4180">
        <w:rPr>
          <w:rFonts w:asciiTheme="majorHAnsi" w:hAnsiTheme="majorHAnsi" w:cstheme="majorHAnsi"/>
        </w:rPr>
        <w:t>7.</w:t>
      </w:r>
      <w:r w:rsidR="007D4ABB" w:rsidRPr="003A4180">
        <w:rPr>
          <w:rFonts w:asciiTheme="majorHAnsi" w:hAnsiTheme="majorHAnsi" w:cstheme="majorHAnsi"/>
        </w:rPr>
        <w:t xml:space="preserve"> Të gjitha projekt-planet hapësinore në nivel lokal, </w:t>
      </w:r>
      <w:proofErr w:type="spellStart"/>
      <w:r w:rsidR="007D4ABB" w:rsidRPr="003A4180">
        <w:rPr>
          <w:rFonts w:asciiTheme="majorHAnsi" w:hAnsiTheme="majorHAnsi" w:cstheme="majorHAnsi"/>
        </w:rPr>
        <w:t>konform</w:t>
      </w:r>
      <w:proofErr w:type="spellEnd"/>
      <w:r w:rsidR="007D4ABB" w:rsidRPr="003A4180">
        <w:rPr>
          <w:rFonts w:asciiTheme="majorHAnsi" w:hAnsiTheme="majorHAnsi" w:cstheme="majorHAnsi"/>
        </w:rPr>
        <w:t xml:space="preserve"> legjislacionit për planifikim hapësinor; </w:t>
      </w:r>
    </w:p>
    <w:p w14:paraId="39B2006B" w14:textId="77777777" w:rsidR="007D4ABB" w:rsidRPr="003A4180" w:rsidRDefault="008C688F" w:rsidP="00173A2F">
      <w:pPr>
        <w:spacing w:after="240" w:line="276" w:lineRule="auto"/>
        <w:rPr>
          <w:rFonts w:asciiTheme="majorHAnsi" w:hAnsiTheme="majorHAnsi" w:cstheme="majorHAnsi"/>
        </w:rPr>
      </w:pPr>
      <w:r w:rsidRPr="003A4180">
        <w:rPr>
          <w:rFonts w:asciiTheme="majorHAnsi" w:hAnsiTheme="majorHAnsi" w:cstheme="majorHAnsi"/>
        </w:rPr>
        <w:t>8</w:t>
      </w:r>
      <w:r w:rsidR="007D4ABB" w:rsidRPr="003A4180">
        <w:rPr>
          <w:rFonts w:asciiTheme="majorHAnsi" w:hAnsiTheme="majorHAnsi" w:cstheme="majorHAnsi"/>
        </w:rPr>
        <w:t>. Të gjitha dokumentet tjera</w:t>
      </w:r>
      <w:r w:rsidR="009E04BB" w:rsidRPr="003A4180">
        <w:rPr>
          <w:rFonts w:asciiTheme="majorHAnsi" w:hAnsiTheme="majorHAnsi" w:cstheme="majorHAnsi"/>
        </w:rPr>
        <w:t>,</w:t>
      </w:r>
      <w:r w:rsidR="007D4ABB" w:rsidRPr="003A4180">
        <w:rPr>
          <w:rFonts w:asciiTheme="majorHAnsi" w:hAnsiTheme="majorHAnsi" w:cstheme="majorHAnsi"/>
        </w:rPr>
        <w:t xml:space="preserve"> për të cilat komuna</w:t>
      </w:r>
      <w:r w:rsidR="00B47A7F" w:rsidRPr="003A4180">
        <w:rPr>
          <w:rFonts w:asciiTheme="majorHAnsi" w:hAnsiTheme="majorHAnsi" w:cstheme="majorHAnsi"/>
        </w:rPr>
        <w:t>t i</w:t>
      </w:r>
      <w:r w:rsidR="007D4ABB" w:rsidRPr="003A4180">
        <w:rPr>
          <w:rFonts w:asciiTheme="majorHAnsi" w:hAnsiTheme="majorHAnsi" w:cstheme="majorHAnsi"/>
        </w:rPr>
        <w:t xml:space="preserve"> vlerëso</w:t>
      </w:r>
      <w:r w:rsidR="009E04BB" w:rsidRPr="003A4180">
        <w:rPr>
          <w:rFonts w:asciiTheme="majorHAnsi" w:hAnsiTheme="majorHAnsi" w:cstheme="majorHAnsi"/>
        </w:rPr>
        <w:t>j</w:t>
      </w:r>
      <w:r w:rsidR="007D4ABB" w:rsidRPr="003A4180">
        <w:rPr>
          <w:rFonts w:asciiTheme="majorHAnsi" w:hAnsiTheme="majorHAnsi" w:cstheme="majorHAnsi"/>
        </w:rPr>
        <w:t>n</w:t>
      </w:r>
      <w:r w:rsidR="00500112" w:rsidRPr="003A4180">
        <w:rPr>
          <w:rFonts w:asciiTheme="majorHAnsi" w:hAnsiTheme="majorHAnsi" w:cstheme="majorHAnsi"/>
        </w:rPr>
        <w:t>ë</w:t>
      </w:r>
      <w:r w:rsidR="007D4ABB" w:rsidRPr="003A4180">
        <w:rPr>
          <w:rFonts w:asciiTheme="majorHAnsi" w:hAnsiTheme="majorHAnsi" w:cstheme="majorHAnsi"/>
        </w:rPr>
        <w:t xml:space="preserve"> se janë të nevojshme të kalojnë në konsultim publik</w:t>
      </w:r>
      <w:r w:rsidR="009E04BB" w:rsidRPr="003A4180">
        <w:rPr>
          <w:rFonts w:asciiTheme="majorHAnsi" w:hAnsiTheme="majorHAnsi" w:cstheme="majorHAnsi"/>
        </w:rPr>
        <w:t>;</w:t>
      </w:r>
    </w:p>
    <w:p w14:paraId="7CC6D7D8" w14:textId="2A43D32A" w:rsidR="007D4ABB" w:rsidRDefault="00E0466F" w:rsidP="00173A2F">
      <w:pPr>
        <w:pStyle w:val="Style2"/>
        <w:spacing w:line="276" w:lineRule="auto"/>
        <w:rPr>
          <w:rFonts w:asciiTheme="majorHAnsi" w:hAnsiTheme="majorHAnsi" w:cstheme="majorHAnsi"/>
        </w:rPr>
      </w:pPr>
      <w:bookmarkStart w:id="76" w:name="_Toc227827190"/>
      <w:r w:rsidRPr="009D6147">
        <w:rPr>
          <w:rFonts w:asciiTheme="majorHAnsi" w:hAnsiTheme="majorHAnsi" w:cstheme="majorHAnsi"/>
        </w:rPr>
        <w:t>PLANI I KONSULTIMEVE  PUBLIKE</w:t>
      </w:r>
      <w:bookmarkEnd w:id="76"/>
      <w:r w:rsidRPr="009D6147">
        <w:rPr>
          <w:rFonts w:asciiTheme="majorHAnsi" w:hAnsiTheme="majorHAnsi" w:cstheme="majorHAnsi"/>
        </w:rPr>
        <w:t xml:space="preserve"> </w:t>
      </w:r>
    </w:p>
    <w:p w14:paraId="0708C236" w14:textId="77777777" w:rsidR="00275069" w:rsidRPr="009D6147" w:rsidRDefault="00275069" w:rsidP="00173A2F">
      <w:pPr>
        <w:pStyle w:val="Style2"/>
        <w:spacing w:line="276" w:lineRule="auto"/>
        <w:rPr>
          <w:rFonts w:asciiTheme="majorHAnsi" w:hAnsiTheme="majorHAnsi" w:cstheme="majorHAnsi"/>
        </w:rPr>
      </w:pPr>
    </w:p>
    <w:p w14:paraId="7353648A" w14:textId="5F196C1B" w:rsidR="003357C4" w:rsidRPr="009D6147" w:rsidRDefault="008C688F" w:rsidP="00173A2F">
      <w:pPr>
        <w:spacing w:after="240" w:line="276" w:lineRule="auto"/>
        <w:rPr>
          <w:rFonts w:asciiTheme="majorHAnsi" w:hAnsiTheme="majorHAnsi" w:cstheme="majorHAnsi"/>
        </w:rPr>
      </w:pPr>
      <w:r w:rsidRPr="009D6147">
        <w:rPr>
          <w:rFonts w:asciiTheme="majorHAnsi" w:hAnsiTheme="majorHAnsi" w:cstheme="majorHAnsi"/>
        </w:rPr>
        <w:t>Bazuar në nenin 20</w:t>
      </w:r>
      <w:r w:rsidR="007D4ABB" w:rsidRPr="009D6147">
        <w:rPr>
          <w:rFonts w:asciiTheme="majorHAnsi" w:hAnsiTheme="majorHAnsi" w:cstheme="majorHAnsi"/>
        </w:rPr>
        <w:t xml:space="preserve"> </w:t>
      </w:r>
      <w:r w:rsidR="009E04BB" w:rsidRPr="009D6147">
        <w:rPr>
          <w:rFonts w:asciiTheme="majorHAnsi" w:hAnsiTheme="majorHAnsi" w:cstheme="majorHAnsi"/>
        </w:rPr>
        <w:t>t</w:t>
      </w:r>
      <w:r w:rsidR="00500112" w:rsidRPr="009D6147">
        <w:rPr>
          <w:rFonts w:asciiTheme="majorHAnsi" w:hAnsiTheme="majorHAnsi" w:cstheme="majorHAnsi"/>
        </w:rPr>
        <w:t>ë</w:t>
      </w:r>
      <w:r w:rsidR="009E04BB" w:rsidRPr="009D6147">
        <w:rPr>
          <w:rFonts w:asciiTheme="majorHAnsi" w:hAnsiTheme="majorHAnsi" w:cstheme="majorHAnsi"/>
        </w:rPr>
        <w:t xml:space="preserve"> U</w:t>
      </w:r>
      <w:r w:rsidR="007D4ABB" w:rsidRPr="009D6147">
        <w:rPr>
          <w:rFonts w:asciiTheme="majorHAnsi" w:hAnsiTheme="majorHAnsi" w:cstheme="majorHAnsi"/>
        </w:rPr>
        <w:t>dhëzimi</w:t>
      </w:r>
      <w:r w:rsidR="009E04BB" w:rsidRPr="009D6147">
        <w:rPr>
          <w:rFonts w:asciiTheme="majorHAnsi" w:hAnsiTheme="majorHAnsi" w:cstheme="majorHAnsi"/>
        </w:rPr>
        <w:t>t</w:t>
      </w:r>
      <w:r w:rsidR="007D4ABB" w:rsidRPr="009D6147">
        <w:rPr>
          <w:rFonts w:asciiTheme="majorHAnsi" w:hAnsiTheme="majorHAnsi" w:cstheme="majorHAnsi"/>
        </w:rPr>
        <w:t xml:space="preserve"> </w:t>
      </w:r>
      <w:r w:rsidR="009E04BB" w:rsidRPr="009D6147">
        <w:rPr>
          <w:rFonts w:asciiTheme="majorHAnsi" w:hAnsiTheme="majorHAnsi" w:cstheme="majorHAnsi"/>
        </w:rPr>
        <w:t>A</w:t>
      </w:r>
      <w:r w:rsidRPr="009D6147">
        <w:rPr>
          <w:rFonts w:asciiTheme="majorHAnsi" w:hAnsiTheme="majorHAnsi" w:cstheme="majorHAnsi"/>
        </w:rPr>
        <w:t>dministrativ Nr. 04/2023</w:t>
      </w:r>
      <w:r w:rsidR="00D677F2" w:rsidRPr="009D6147">
        <w:rPr>
          <w:rFonts w:asciiTheme="majorHAnsi" w:hAnsiTheme="majorHAnsi" w:cstheme="majorHAnsi"/>
        </w:rPr>
        <w:t xml:space="preserve">  për </w:t>
      </w:r>
      <w:r w:rsidRPr="009D6147">
        <w:rPr>
          <w:rFonts w:asciiTheme="majorHAnsi" w:hAnsiTheme="majorHAnsi" w:cstheme="majorHAnsi"/>
        </w:rPr>
        <w:t xml:space="preserve"> Administratë të hapur në komuna</w:t>
      </w:r>
      <w:r w:rsidR="007D4ABB" w:rsidRPr="009D6147">
        <w:rPr>
          <w:rFonts w:asciiTheme="majorHAnsi" w:hAnsiTheme="majorHAnsi" w:cstheme="majorHAnsi"/>
        </w:rPr>
        <w:t xml:space="preserve">, </w:t>
      </w:r>
      <w:r w:rsidRPr="009D6147">
        <w:rPr>
          <w:rFonts w:asciiTheme="majorHAnsi" w:hAnsiTheme="majorHAnsi" w:cstheme="majorHAnsi"/>
        </w:rPr>
        <w:t xml:space="preserve">Plani i konsultimeve publike duhet të publikohet në ueb faqen zyrtare të </w:t>
      </w:r>
      <w:r w:rsidR="00A55517" w:rsidRPr="009D6147">
        <w:rPr>
          <w:rFonts w:asciiTheme="majorHAnsi" w:hAnsiTheme="majorHAnsi" w:cstheme="majorHAnsi"/>
        </w:rPr>
        <w:t>komunës</w:t>
      </w:r>
      <w:r w:rsidR="003357C4" w:rsidRPr="009D6147">
        <w:rPr>
          <w:rFonts w:asciiTheme="majorHAnsi" w:hAnsiTheme="majorHAnsi" w:cstheme="majorHAnsi"/>
        </w:rPr>
        <w:t>.</w:t>
      </w:r>
      <w:r w:rsidRPr="009D6147">
        <w:rPr>
          <w:rFonts w:asciiTheme="majorHAnsi" w:hAnsiTheme="majorHAnsi" w:cstheme="majorHAnsi"/>
        </w:rPr>
        <w:t xml:space="preserve"> </w:t>
      </w:r>
      <w:r w:rsidR="003357C4" w:rsidRPr="009D6147">
        <w:rPr>
          <w:rFonts w:asciiTheme="majorHAnsi" w:hAnsiTheme="majorHAnsi" w:cstheme="majorHAnsi"/>
        </w:rPr>
        <w:t>Planifikimi i përgjithshëm i konsultimeve publike bëhet që në fazën e hershme gjatë hartimit të planit të punës së komunës për vitin e ardhshëm kalendarik, si dhe me rastin e hartimit të planit për komunikim me publikun</w:t>
      </w:r>
      <w:r w:rsidR="003447FA" w:rsidRPr="009D6147">
        <w:rPr>
          <w:rFonts w:asciiTheme="majorHAnsi" w:hAnsiTheme="majorHAnsi" w:cstheme="majorHAnsi"/>
        </w:rPr>
        <w:t>.</w:t>
      </w:r>
    </w:p>
    <w:p w14:paraId="45DB7E9C" w14:textId="77777777" w:rsidR="003C6E3C" w:rsidRPr="009D6147" w:rsidRDefault="003C6E3C" w:rsidP="00173A2F">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eastAsia="Times New Roman" w:hAnsiTheme="majorHAnsi" w:cstheme="majorHAnsi"/>
          <w:lang w:eastAsia="en-GB"/>
        </w:rPr>
        <w:t>Sipas të dhënave nga monitorimi i ueb-faqeve të komunave, 17 komuna ose 45% e tyre kanë publikuar planifikimin e konsultimeve publike, ndërsa 21 komuna ose 55% nuk e kanë publikuar atë.</w:t>
      </w:r>
    </w:p>
    <w:p w14:paraId="3E7B1C30" w14:textId="2A5B4DAE" w:rsidR="003C6E3C" w:rsidRPr="009D6147" w:rsidRDefault="003C6E3C" w:rsidP="00173A2F">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eastAsia="Times New Roman" w:hAnsiTheme="majorHAnsi" w:cstheme="majorHAnsi"/>
          <w:lang w:eastAsia="en-GB"/>
        </w:rPr>
        <w:t>Në vitin 2024, planifikimin e konsultimeve publike e kanë publikuar 23 komuna, ndërsa në vitin 2025 ky numër ka rënë në 17 komuna. Kjo paraqet rënie prej 6 komunash në vitin 2025 krahasuar me vitin 2024.</w:t>
      </w:r>
      <w:r w:rsidR="00454D44">
        <w:rPr>
          <w:rFonts w:asciiTheme="majorHAnsi" w:eastAsia="Times New Roman" w:hAnsiTheme="majorHAnsi" w:cstheme="majorHAnsi"/>
          <w:lang w:eastAsia="en-GB"/>
        </w:rPr>
        <w:t xml:space="preserve"> </w:t>
      </w:r>
      <w:r w:rsidRPr="009D6147">
        <w:rPr>
          <w:rFonts w:asciiTheme="majorHAnsi" w:eastAsia="Times New Roman" w:hAnsiTheme="majorHAnsi" w:cstheme="majorHAnsi"/>
          <w:lang w:eastAsia="en-GB"/>
        </w:rPr>
        <w:t>Kjo tregon ulje të nivelit të transparencës në publikimin e planifikimit të konsultimeve publike</w:t>
      </w:r>
    </w:p>
    <w:p w14:paraId="4DCE5D69" w14:textId="2864E6C7" w:rsidR="00FD544E" w:rsidRPr="009D6147" w:rsidRDefault="00FD544E" w:rsidP="00173A2F">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hAnsiTheme="majorHAnsi" w:cstheme="majorHAnsi"/>
        </w:rPr>
        <w:t>Në formë tabelore paraqitet publikimi i planifikimit të konsultimeve publike nga komunat që kanë përmbushur obligimet ligjore</w:t>
      </w:r>
    </w:p>
    <w:p w14:paraId="14B437A3" w14:textId="6112DF85" w:rsidR="001219BA" w:rsidRPr="009D6147" w:rsidRDefault="00FD544E" w:rsidP="00173A2F">
      <w:pPr>
        <w:spacing w:line="276" w:lineRule="auto"/>
        <w:rPr>
          <w:rFonts w:asciiTheme="majorHAnsi" w:hAnsiTheme="majorHAnsi" w:cstheme="majorHAnsi"/>
          <w:color w:val="C00000"/>
        </w:rPr>
      </w:pPr>
      <w:r w:rsidRPr="009D6147">
        <w:rPr>
          <w:rFonts w:asciiTheme="majorHAnsi" w:hAnsiTheme="majorHAnsi" w:cstheme="majorHAnsi"/>
          <w:noProof/>
          <w:lang w:eastAsia="sq-AL"/>
        </w:rPr>
        <mc:AlternateContent>
          <mc:Choice Requires="cx1">
            <w:drawing>
              <wp:inline distT="0" distB="0" distL="0" distR="0" wp14:anchorId="2C15E71B" wp14:editId="7DDA1E28">
                <wp:extent cx="5731510" cy="1738630"/>
                <wp:effectExtent l="0" t="0" r="2540" b="13970"/>
                <wp:docPr id="135" name="Chart 135">
                  <a:extLst xmlns:a="http://schemas.openxmlformats.org/drawingml/2006/main">
                    <a:ext uri="{FF2B5EF4-FFF2-40B4-BE49-F238E27FC236}">
                      <a16:creationId xmlns:a16="http://schemas.microsoft.com/office/drawing/2014/main" id="{886AEE3E-DD2B-4E94-8291-17E033EC091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6"/>
                  </a:graphicData>
                </a:graphic>
              </wp:inline>
            </w:drawing>
          </mc:Choice>
          <mc:Fallback>
            <w:drawing>
              <wp:inline distT="0" distB="0" distL="0" distR="0" wp14:anchorId="2C15E71B" wp14:editId="7DDA1E28">
                <wp:extent cx="5731510" cy="1738630"/>
                <wp:effectExtent l="0" t="0" r="2540" b="13970"/>
                <wp:docPr id="135" name="Chart 1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86AEE3E-DD2B-4E94-8291-17E033EC091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5" name="Chart 13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86AEE3E-DD2B-4E94-8291-17E033EC0919}"/>
                            </a:ext>
                          </a:extLst>
                        </pic:cNvPr>
                        <pic:cNvPicPr>
                          <a:picLocks noGrp="1" noRot="1" noChangeAspect="1" noMove="1" noResize="1" noEditPoints="1" noAdjustHandles="1" noChangeArrowheads="1" noChangeShapeType="1"/>
                        </pic:cNvPicPr>
                      </pic:nvPicPr>
                      <pic:blipFill>
                        <a:blip r:embed="rId47"/>
                        <a:stretch>
                          <a:fillRect/>
                        </a:stretch>
                      </pic:blipFill>
                      <pic:spPr>
                        <a:xfrm>
                          <a:off x="0" y="0"/>
                          <a:ext cx="5731510" cy="1738630"/>
                        </a:xfrm>
                        <a:prstGeom prst="rect">
                          <a:avLst/>
                        </a:prstGeom>
                      </pic:spPr>
                    </pic:pic>
                  </a:graphicData>
                </a:graphic>
              </wp:inline>
            </w:drawing>
          </mc:Fallback>
        </mc:AlternateContent>
      </w:r>
    </w:p>
    <w:p w14:paraId="72D9EC8A" w14:textId="04A26D45" w:rsidR="003379CB" w:rsidRPr="00454D44" w:rsidRDefault="003B4239" w:rsidP="00173A2F">
      <w:pPr>
        <w:spacing w:after="240" w:line="276" w:lineRule="auto"/>
        <w:rPr>
          <w:rFonts w:asciiTheme="majorHAnsi" w:hAnsiTheme="majorHAnsi" w:cstheme="majorHAnsi"/>
          <w:sz w:val="20"/>
          <w:szCs w:val="20"/>
        </w:rPr>
      </w:pPr>
      <w:r w:rsidRPr="00454D44">
        <w:rPr>
          <w:rFonts w:asciiTheme="majorHAnsi" w:hAnsiTheme="majorHAnsi" w:cstheme="majorHAnsi"/>
          <w:sz w:val="20"/>
          <w:szCs w:val="20"/>
        </w:rPr>
        <w:t xml:space="preserve">                                                        </w:t>
      </w:r>
      <w:r w:rsidR="00517ECE" w:rsidRPr="00454D44">
        <w:rPr>
          <w:rFonts w:asciiTheme="majorHAnsi" w:hAnsiTheme="majorHAnsi" w:cstheme="majorHAnsi"/>
          <w:i/>
          <w:color w:val="000000" w:themeColor="text1"/>
          <w:sz w:val="14"/>
          <w:szCs w:val="16"/>
        </w:rPr>
        <w:t>Fig</w:t>
      </w:r>
      <w:r w:rsidR="00094A9B" w:rsidRPr="00454D44">
        <w:rPr>
          <w:rFonts w:asciiTheme="majorHAnsi" w:hAnsiTheme="majorHAnsi" w:cstheme="majorHAnsi"/>
          <w:i/>
          <w:color w:val="000000" w:themeColor="text1"/>
          <w:sz w:val="14"/>
          <w:szCs w:val="16"/>
        </w:rPr>
        <w:t>.</w:t>
      </w:r>
      <w:r w:rsidR="00A475ED" w:rsidRPr="00454D44">
        <w:rPr>
          <w:rFonts w:asciiTheme="majorHAnsi" w:hAnsiTheme="majorHAnsi" w:cstheme="majorHAnsi"/>
          <w:i/>
          <w:color w:val="000000" w:themeColor="text1"/>
          <w:sz w:val="14"/>
          <w:szCs w:val="16"/>
        </w:rPr>
        <w:t>3</w:t>
      </w:r>
      <w:r w:rsidR="006C1F9D" w:rsidRPr="00454D44">
        <w:rPr>
          <w:rFonts w:asciiTheme="majorHAnsi" w:hAnsiTheme="majorHAnsi" w:cstheme="majorHAnsi"/>
          <w:i/>
          <w:color w:val="000000" w:themeColor="text1"/>
          <w:sz w:val="14"/>
          <w:szCs w:val="16"/>
        </w:rPr>
        <w:t>3</w:t>
      </w:r>
      <w:r w:rsidR="003379CB" w:rsidRPr="00454D44">
        <w:rPr>
          <w:rFonts w:asciiTheme="majorHAnsi" w:hAnsiTheme="majorHAnsi" w:cstheme="majorHAnsi"/>
          <w:i/>
          <w:color w:val="000000" w:themeColor="text1"/>
          <w:sz w:val="14"/>
          <w:szCs w:val="16"/>
        </w:rPr>
        <w:t xml:space="preserve"> Planifikimi i planit të konsultimeve publike</w:t>
      </w:r>
    </w:p>
    <w:p w14:paraId="0FB439F0" w14:textId="77777777" w:rsidR="00832088" w:rsidRPr="009D6147" w:rsidRDefault="00832088" w:rsidP="00691961">
      <w:pPr>
        <w:pStyle w:val="Style3"/>
      </w:pPr>
    </w:p>
    <w:p w14:paraId="1EE50B96" w14:textId="20B8A26D" w:rsidR="00832088" w:rsidRDefault="00B87205" w:rsidP="00691961">
      <w:pPr>
        <w:pStyle w:val="Style3"/>
      </w:pPr>
      <w:bookmarkStart w:id="77" w:name="_Toc227827191"/>
      <w:r w:rsidRPr="009D6147">
        <w:t>Njoftime për konsultime publike</w:t>
      </w:r>
      <w:bookmarkEnd w:id="77"/>
      <w:r w:rsidRPr="009D6147">
        <w:t xml:space="preserve">  </w:t>
      </w:r>
    </w:p>
    <w:p w14:paraId="663C0431" w14:textId="77777777" w:rsidR="00691961" w:rsidRPr="009D6147" w:rsidRDefault="00691961" w:rsidP="00691961">
      <w:pPr>
        <w:pStyle w:val="Style3"/>
      </w:pPr>
    </w:p>
    <w:p w14:paraId="172D5D46" w14:textId="77777777" w:rsidR="00B87205" w:rsidRPr="009D6147" w:rsidRDefault="00B87205" w:rsidP="00173A2F">
      <w:pPr>
        <w:spacing w:after="240" w:line="276" w:lineRule="auto"/>
        <w:rPr>
          <w:rFonts w:asciiTheme="majorHAnsi" w:hAnsiTheme="majorHAnsi" w:cstheme="majorHAnsi"/>
        </w:rPr>
      </w:pPr>
      <w:r w:rsidRPr="009D6147">
        <w:rPr>
          <w:rFonts w:asciiTheme="majorHAnsi" w:hAnsiTheme="majorHAnsi" w:cstheme="majorHAnsi"/>
        </w:rPr>
        <w:t>Bazuar në neni 27 Udhëzimin Administrativ Nr.04/2023 për Administratë të hapur në komuna,  Organi propozues siguron kushte për zhvillimin e konsultimit me shkrim dhe në formë elektronike, duke përfshirë informimin me kohë për mënyrat dhe afatet e konsultimit publik.</w:t>
      </w:r>
    </w:p>
    <w:p w14:paraId="425FF8A2" w14:textId="2C85C564" w:rsidR="00B87205" w:rsidRPr="00691961" w:rsidRDefault="00B87205" w:rsidP="00173A2F">
      <w:pPr>
        <w:spacing w:after="240" w:line="276" w:lineRule="auto"/>
        <w:rPr>
          <w:rFonts w:asciiTheme="majorHAnsi" w:hAnsiTheme="majorHAnsi" w:cstheme="majorHAnsi"/>
        </w:rPr>
      </w:pPr>
      <w:r w:rsidRPr="00691961">
        <w:rPr>
          <w:rFonts w:asciiTheme="majorHAnsi" w:hAnsiTheme="majorHAnsi" w:cstheme="majorHAnsi"/>
        </w:rPr>
        <w:t>Njoftimi me shkrim dhe elektronik, përmban: Projekt propozimin p</w:t>
      </w:r>
      <w:r w:rsidR="003447FA" w:rsidRPr="00691961">
        <w:rPr>
          <w:rFonts w:asciiTheme="majorHAnsi" w:hAnsiTheme="majorHAnsi" w:cstheme="majorHAnsi"/>
        </w:rPr>
        <w:t>ër të cilin kërkohen komentet, a</w:t>
      </w:r>
      <w:r w:rsidRPr="00691961">
        <w:rPr>
          <w:rFonts w:asciiTheme="majorHAnsi" w:hAnsiTheme="majorHAnsi" w:cstheme="majorHAnsi"/>
        </w:rPr>
        <w:t>dresën e saktë ku duhet të dërgohen komentet me shkrim dhe</w:t>
      </w:r>
      <w:r w:rsidR="003447FA" w:rsidRPr="00691961">
        <w:rPr>
          <w:rFonts w:asciiTheme="majorHAnsi" w:hAnsiTheme="majorHAnsi" w:cstheme="majorHAnsi"/>
        </w:rPr>
        <w:t xml:space="preserve"> ato</w:t>
      </w:r>
      <w:r w:rsidRPr="00691961">
        <w:rPr>
          <w:rFonts w:asciiTheme="majorHAnsi" w:hAnsiTheme="majorHAnsi" w:cstheme="majorHAnsi"/>
        </w:rPr>
        <w:t xml:space="preserve"> elektronike</w:t>
      </w:r>
      <w:r w:rsidR="003447FA" w:rsidRPr="00691961">
        <w:rPr>
          <w:rFonts w:asciiTheme="majorHAnsi" w:hAnsiTheme="majorHAnsi" w:cstheme="majorHAnsi"/>
        </w:rPr>
        <w:t>, i</w:t>
      </w:r>
      <w:r w:rsidRPr="00691961">
        <w:rPr>
          <w:rFonts w:asciiTheme="majorHAnsi" w:hAnsiTheme="majorHAnsi" w:cstheme="majorHAnsi"/>
        </w:rPr>
        <w:t>nformatat (emrin, mbiemrin dhe e-</w:t>
      </w:r>
      <w:proofErr w:type="spellStart"/>
      <w:r w:rsidRPr="00691961">
        <w:rPr>
          <w:rFonts w:asciiTheme="majorHAnsi" w:hAnsiTheme="majorHAnsi" w:cstheme="majorHAnsi"/>
        </w:rPr>
        <w:t>mailin</w:t>
      </w:r>
      <w:proofErr w:type="spellEnd"/>
      <w:r w:rsidRPr="00691961">
        <w:rPr>
          <w:rFonts w:asciiTheme="majorHAnsi" w:hAnsiTheme="majorHAnsi" w:cstheme="majorHAnsi"/>
        </w:rPr>
        <w:t>) për personin përgjegjë</w:t>
      </w:r>
      <w:r w:rsidR="003447FA" w:rsidRPr="00691961">
        <w:rPr>
          <w:rFonts w:asciiTheme="majorHAnsi" w:hAnsiTheme="majorHAnsi" w:cstheme="majorHAnsi"/>
        </w:rPr>
        <w:t>s për pranimin e komenteve dhe a</w:t>
      </w:r>
      <w:r w:rsidRPr="00691961">
        <w:rPr>
          <w:rFonts w:asciiTheme="majorHAnsi" w:hAnsiTheme="majorHAnsi" w:cstheme="majorHAnsi"/>
        </w:rPr>
        <w:t>fatin për dorëzimin e komenteve.</w:t>
      </w:r>
    </w:p>
    <w:p w14:paraId="1B9C20C2" w14:textId="48DB84A9" w:rsidR="00691961" w:rsidRPr="00691961" w:rsidRDefault="00691961" w:rsidP="00691961">
      <w:pPr>
        <w:spacing w:before="100" w:beforeAutospacing="1" w:after="100" w:afterAutospacing="1" w:line="276" w:lineRule="auto"/>
        <w:rPr>
          <w:rFonts w:ascii="Times New Roman" w:eastAsia="Times New Roman" w:hAnsi="Times New Roman" w:cs="Times New Roman"/>
          <w:lang w:eastAsia="en-GB"/>
        </w:rPr>
      </w:pPr>
      <w:r w:rsidRPr="00691961">
        <w:rPr>
          <w:rFonts w:ascii="Times New Roman" w:eastAsia="Times New Roman" w:hAnsi="Times New Roman" w:cs="Times New Roman"/>
          <w:lang w:eastAsia="en-GB"/>
        </w:rPr>
        <w:t>Njoftimet për konsultime publike gjatë periudhës janar–dhjetor 2025 janë publikuar nga 27 komuna (71%), ndërsa 11 komuna (29%) nuk kanë publikuar asnjë njoftim. Krahasimi ndërmjet komunave që kanë publikuar njoftime për konsultime publike (27) dhe atyre që kanë publikuar planin e konsultimeve (17), tregon se një pjesë e komunave nuk i kanë përmbushur plotësisht obligimet ligjore në këtë drejtim</w:t>
      </w:r>
    </w:p>
    <w:p w14:paraId="4FA17D54" w14:textId="774FCB83" w:rsidR="00691961" w:rsidRPr="00691961" w:rsidRDefault="002F0EED" w:rsidP="00691961">
      <w:pPr>
        <w:spacing w:before="100" w:beforeAutospacing="1" w:after="100" w:afterAutospacing="1" w:line="276" w:lineRule="auto"/>
        <w:rPr>
          <w:rFonts w:ascii="Times New Roman" w:eastAsia="Times New Roman" w:hAnsi="Times New Roman" w:cs="Times New Roman"/>
          <w:lang w:eastAsia="en-GB"/>
        </w:rPr>
      </w:pPr>
      <w:r>
        <w:rPr>
          <w:rFonts w:ascii="Times New Roman" w:eastAsia="Times New Roman" w:hAnsi="Times New Roman" w:cs="Times New Roman"/>
          <w:lang w:eastAsia="en-GB"/>
        </w:rPr>
        <w:t>Gjithashtu, k</w:t>
      </w:r>
      <w:r w:rsidR="00691961" w:rsidRPr="00691961">
        <w:rPr>
          <w:rFonts w:ascii="Times New Roman" w:eastAsia="Times New Roman" w:hAnsi="Times New Roman" w:cs="Times New Roman"/>
          <w:lang w:eastAsia="en-GB"/>
        </w:rPr>
        <w:t>rahasuar me të dhënat e Raportit për Vlerësimin e Transparencës për vitin 2024, niveli i publikimit të njoftimeve për konsultime publike mbetet i njëjtë, pa ndryshime në numrin e komunave që i kanë publikuar ato.</w:t>
      </w:r>
    </w:p>
    <w:p w14:paraId="6686AABD" w14:textId="66728069" w:rsidR="008940A2" w:rsidRPr="00691961" w:rsidRDefault="008940A2" w:rsidP="00173A2F">
      <w:pPr>
        <w:spacing w:before="100" w:beforeAutospacing="1" w:after="100" w:afterAutospacing="1" w:line="276" w:lineRule="auto"/>
        <w:rPr>
          <w:rFonts w:asciiTheme="majorHAnsi" w:eastAsia="Times New Roman" w:hAnsiTheme="majorHAnsi" w:cstheme="majorHAnsi"/>
          <w:lang w:eastAsia="en-GB"/>
        </w:rPr>
      </w:pPr>
      <w:r w:rsidRPr="00691961">
        <w:rPr>
          <w:rFonts w:asciiTheme="majorHAnsi" w:hAnsiTheme="majorHAnsi" w:cstheme="majorHAnsi"/>
        </w:rPr>
        <w:t>Në formë tabelore është paraqitur numri i njoftimeve nga komunat që kanë publikuar njoftime për konsultime publike.</w:t>
      </w:r>
    </w:p>
    <w:p w14:paraId="116B833D" w14:textId="5C339F1E" w:rsidR="00C6232D" w:rsidRPr="009D6147" w:rsidRDefault="008940A2" w:rsidP="00173A2F">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hAnsiTheme="majorHAnsi" w:cstheme="majorHAnsi"/>
          <w:noProof/>
          <w:lang w:eastAsia="sq-AL"/>
        </w:rPr>
        <mc:AlternateContent>
          <mc:Choice Requires="cx1">
            <w:drawing>
              <wp:inline distT="0" distB="0" distL="0" distR="0" wp14:anchorId="55941363" wp14:editId="323544B4">
                <wp:extent cx="5731510" cy="1850400"/>
                <wp:effectExtent l="0" t="0" r="2540" b="16510"/>
                <wp:docPr id="138" name="Chart 138">
                  <a:extLst xmlns:a="http://schemas.openxmlformats.org/drawingml/2006/main">
                    <a:ext uri="{FF2B5EF4-FFF2-40B4-BE49-F238E27FC236}">
                      <a16:creationId xmlns:a16="http://schemas.microsoft.com/office/drawing/2014/main" id="{ACAFF5AA-A46D-4123-A3F5-EAE44BF3D60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8"/>
                  </a:graphicData>
                </a:graphic>
              </wp:inline>
            </w:drawing>
          </mc:Choice>
          <mc:Fallback>
            <w:drawing>
              <wp:inline distT="0" distB="0" distL="0" distR="0" wp14:anchorId="55941363" wp14:editId="323544B4">
                <wp:extent cx="5731510" cy="1850400"/>
                <wp:effectExtent l="0" t="0" r="2540" b="16510"/>
                <wp:docPr id="138" name="Chart 1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AFF5AA-A46D-4123-A3F5-EAE44BF3D6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8" name="Chart 13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AFF5AA-A46D-4123-A3F5-EAE44BF3D600}"/>
                            </a:ext>
                          </a:extLst>
                        </pic:cNvPr>
                        <pic:cNvPicPr>
                          <a:picLocks noGrp="1" noRot="1" noChangeAspect="1" noMove="1" noResize="1" noEditPoints="1" noAdjustHandles="1" noChangeArrowheads="1" noChangeShapeType="1"/>
                        </pic:cNvPicPr>
                      </pic:nvPicPr>
                      <pic:blipFill>
                        <a:blip r:embed="rId49"/>
                        <a:stretch>
                          <a:fillRect/>
                        </a:stretch>
                      </pic:blipFill>
                      <pic:spPr>
                        <a:xfrm>
                          <a:off x="0" y="0"/>
                          <a:ext cx="5731510" cy="1850390"/>
                        </a:xfrm>
                        <a:prstGeom prst="rect">
                          <a:avLst/>
                        </a:prstGeom>
                      </pic:spPr>
                    </pic:pic>
                  </a:graphicData>
                </a:graphic>
              </wp:inline>
            </w:drawing>
          </mc:Fallback>
        </mc:AlternateContent>
      </w:r>
    </w:p>
    <w:p w14:paraId="40A51F3F" w14:textId="40642D01" w:rsidR="00B87205" w:rsidRPr="00691961" w:rsidRDefault="00B87205" w:rsidP="00691961">
      <w:pPr>
        <w:spacing w:after="240" w:line="276" w:lineRule="auto"/>
        <w:jc w:val="center"/>
        <w:rPr>
          <w:rFonts w:asciiTheme="majorHAnsi" w:hAnsiTheme="majorHAnsi" w:cstheme="majorHAnsi"/>
          <w:b/>
          <w:i/>
          <w:color w:val="000000" w:themeColor="text1"/>
          <w:sz w:val="12"/>
          <w:szCs w:val="16"/>
        </w:rPr>
      </w:pPr>
      <w:r w:rsidRPr="00691961">
        <w:rPr>
          <w:rFonts w:asciiTheme="majorHAnsi" w:hAnsiTheme="majorHAnsi" w:cstheme="majorHAnsi"/>
          <w:i/>
          <w:sz w:val="14"/>
          <w:szCs w:val="14"/>
        </w:rPr>
        <w:t xml:space="preserve">Fig. </w:t>
      </w:r>
      <w:r w:rsidR="00A475ED" w:rsidRPr="00691961">
        <w:rPr>
          <w:rFonts w:asciiTheme="majorHAnsi" w:hAnsiTheme="majorHAnsi" w:cstheme="majorHAnsi"/>
          <w:i/>
          <w:sz w:val="14"/>
          <w:szCs w:val="14"/>
        </w:rPr>
        <w:t>3</w:t>
      </w:r>
      <w:r w:rsidR="006C1F9D" w:rsidRPr="00691961">
        <w:rPr>
          <w:rFonts w:asciiTheme="majorHAnsi" w:hAnsiTheme="majorHAnsi" w:cstheme="majorHAnsi"/>
          <w:i/>
          <w:sz w:val="14"/>
          <w:szCs w:val="14"/>
        </w:rPr>
        <w:t>4</w:t>
      </w:r>
      <w:r w:rsidR="00A475ED" w:rsidRPr="00691961">
        <w:rPr>
          <w:rFonts w:asciiTheme="majorHAnsi" w:hAnsiTheme="majorHAnsi" w:cstheme="majorHAnsi"/>
          <w:i/>
          <w:sz w:val="14"/>
          <w:szCs w:val="14"/>
        </w:rPr>
        <w:t>.</w:t>
      </w:r>
      <w:r w:rsidRPr="00691961">
        <w:rPr>
          <w:rFonts w:asciiTheme="majorHAnsi" w:hAnsiTheme="majorHAnsi" w:cstheme="majorHAnsi"/>
          <w:i/>
          <w:sz w:val="14"/>
          <w:szCs w:val="14"/>
        </w:rPr>
        <w:t xml:space="preserve"> Njoftimet për konsultime publike</w:t>
      </w:r>
    </w:p>
    <w:p w14:paraId="0D35D9B1" w14:textId="469DB1A3" w:rsidR="003357C4" w:rsidRPr="009D6147" w:rsidRDefault="003357C4" w:rsidP="00691961">
      <w:pPr>
        <w:pStyle w:val="Style3"/>
      </w:pPr>
      <w:bookmarkStart w:id="78" w:name="_Toc227827192"/>
      <w:r w:rsidRPr="009D6147">
        <w:t>Pr</w:t>
      </w:r>
      <w:r w:rsidR="003447FA" w:rsidRPr="009D6147">
        <w:t>ojekt-propozimet për konsultime</w:t>
      </w:r>
      <w:r w:rsidRPr="009D6147">
        <w:t xml:space="preserve"> publik</w:t>
      </w:r>
      <w:r w:rsidR="003447FA" w:rsidRPr="009D6147">
        <w:t>e</w:t>
      </w:r>
      <w:r w:rsidR="000E478E" w:rsidRPr="009D6147">
        <w:t xml:space="preserve"> dhe memorandume shpjegues</w:t>
      </w:r>
      <w:bookmarkEnd w:id="78"/>
    </w:p>
    <w:p w14:paraId="01534B29" w14:textId="77777777" w:rsidR="000E478E" w:rsidRPr="009D6147" w:rsidRDefault="000E478E" w:rsidP="00173A2F">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eastAsia="Times New Roman" w:hAnsiTheme="majorHAnsi" w:cstheme="majorHAnsi"/>
          <w:lang w:eastAsia="en-GB"/>
        </w:rPr>
        <w:t xml:space="preserve">Bazuar në Udhëzimin Administrativ për Administratë të Hapur, komunat kanë obligim që përmes zyrtarit përgjegjës për konsultime publike, në koordinim me zyrtarin përgjegjës për hartimin e projekt-propozimit, të njoftojnë palët e interesuara për: datën, vendin dhe kohën e mbajtjes së takimit publik; </w:t>
      </w:r>
      <w:r w:rsidRPr="009D6147">
        <w:rPr>
          <w:rFonts w:asciiTheme="majorHAnsi" w:eastAsia="Times New Roman" w:hAnsiTheme="majorHAnsi" w:cstheme="majorHAnsi"/>
          <w:b/>
          <w:bCs/>
          <w:u w:val="single"/>
          <w:lang w:eastAsia="en-GB"/>
        </w:rPr>
        <w:t>projekt-propozimin që është objekt i konsultimit publik</w:t>
      </w:r>
      <w:r w:rsidRPr="009D6147">
        <w:rPr>
          <w:rFonts w:asciiTheme="majorHAnsi" w:eastAsia="Times New Roman" w:hAnsiTheme="majorHAnsi" w:cstheme="majorHAnsi"/>
          <w:b/>
          <w:bCs/>
          <w:lang w:eastAsia="en-GB"/>
        </w:rPr>
        <w:t xml:space="preserve">; </w:t>
      </w:r>
      <w:r w:rsidRPr="009D6147">
        <w:rPr>
          <w:rFonts w:asciiTheme="majorHAnsi" w:eastAsia="Times New Roman" w:hAnsiTheme="majorHAnsi" w:cstheme="majorHAnsi"/>
          <w:b/>
          <w:bCs/>
          <w:u w:val="single"/>
          <w:lang w:eastAsia="en-GB"/>
        </w:rPr>
        <w:t>memorandumin shpjegues për përmbajtjen e projekt-propozimit</w:t>
      </w:r>
      <w:r w:rsidRPr="009D6147">
        <w:rPr>
          <w:rFonts w:asciiTheme="majorHAnsi" w:eastAsia="Times New Roman" w:hAnsiTheme="majorHAnsi" w:cstheme="majorHAnsi"/>
          <w:lang w:eastAsia="en-GB"/>
        </w:rPr>
        <w:t xml:space="preserve">; si dhe informacionet kontaktuese (emri, mbiemri dhe </w:t>
      </w:r>
      <w:proofErr w:type="spellStart"/>
      <w:r w:rsidRPr="009D6147">
        <w:rPr>
          <w:rFonts w:asciiTheme="majorHAnsi" w:eastAsia="Times New Roman" w:hAnsiTheme="majorHAnsi" w:cstheme="majorHAnsi"/>
          <w:lang w:eastAsia="en-GB"/>
        </w:rPr>
        <w:t>emaili</w:t>
      </w:r>
      <w:proofErr w:type="spellEnd"/>
      <w:r w:rsidRPr="009D6147">
        <w:rPr>
          <w:rFonts w:asciiTheme="majorHAnsi" w:eastAsia="Times New Roman" w:hAnsiTheme="majorHAnsi" w:cstheme="majorHAnsi"/>
          <w:lang w:eastAsia="en-GB"/>
        </w:rPr>
        <w:t>) të personit përgjegjës për pranimin e komenteve, së bashku me dokumentet përcjellëse.</w:t>
      </w:r>
    </w:p>
    <w:p w14:paraId="73771C50" w14:textId="77777777" w:rsidR="000E478E" w:rsidRPr="009D6147" w:rsidRDefault="000E478E" w:rsidP="00173A2F">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eastAsia="Times New Roman" w:hAnsiTheme="majorHAnsi" w:cstheme="majorHAnsi"/>
          <w:lang w:eastAsia="en-GB"/>
        </w:rPr>
        <w:t>Përmes ueb-faqes zyrtare dhe Platformës së Qeverisë për Konsultime Publike, komuna siguron publikimin e njoftimeve për konsultime mbi projekt-propozimet, afatet e konsultimit, memorandumet shpjeguese, projekt-propozimet, adresën për pranimin e komenteve, si dhe publikimin e raporteve/rezultateve të konsultimit publik.</w:t>
      </w:r>
    </w:p>
    <w:p w14:paraId="3B8620A6" w14:textId="39A30B66" w:rsidR="000E478E" w:rsidRPr="009D6147" w:rsidRDefault="000E478E" w:rsidP="00173A2F">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eastAsia="Times New Roman" w:hAnsiTheme="majorHAnsi" w:cstheme="majorHAnsi"/>
          <w:lang w:eastAsia="en-GB"/>
        </w:rPr>
        <w:t>Sipas të dhënave nga monitorimi i ueb-faqeve zyrtare të komunave për periudhën janar–dhjetor 2025, 19 komuna ose 50% kanë publikuar gjithsej 74 projekt-propozime, ndërsa 19 komuna ose 50% nuk kanë publikuar asnjë projekt-propozim.</w:t>
      </w:r>
    </w:p>
    <w:p w14:paraId="3EF919E0" w14:textId="3E0791AC" w:rsidR="00832088" w:rsidRPr="009D6147" w:rsidRDefault="00832088" w:rsidP="00173A2F">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hAnsiTheme="majorHAnsi" w:cstheme="majorHAnsi"/>
        </w:rPr>
        <w:t>Ndërsa sa i përket memorandumit shpjegues, vetëm dy komuna kanë publikuar memorandumin shpjegues, ndërsa 26 komuna nuk kanë publikuar asnjë memorandum shpjegues. Bazuar në të dhënat e Raportit për Vlerësimin e Transparencës për vitin 2024, kur nuk ishte publikuar asnjë memorandum shpjegues, vërehet një përmirësim i lehtë në vitin 2025, megjithëse niveli i përmbushjes mbetet shumë i ulët.</w:t>
      </w:r>
    </w:p>
    <w:p w14:paraId="347741EC" w14:textId="77777777" w:rsidR="000E478E" w:rsidRPr="009D6147" w:rsidRDefault="000E478E" w:rsidP="00173A2F">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eastAsia="Times New Roman" w:hAnsiTheme="majorHAnsi" w:cstheme="majorHAnsi"/>
          <w:lang w:eastAsia="en-GB"/>
        </w:rPr>
        <w:t>Në përgjithësi vlerësohet se komunat duhet të rrisin angazhimin në përmbushjen e plotë të indikatorëve të konsultimit publik, duke filluar nga planifikimi i konsultimeve, njoftimet publike, memorandumet shpjeguese dhe projekt-propozimet, pasi këto dokumente përbëjnë parakusht për konsultim efektiv dhe transparent. Mungesa e memorandumit shpjegues, në veçanti, ndikon negativisht në cilësinë e procesit të konsultimeve publike dhe në kuptueshmërinë e dokumenteve strategjike nga qytetarët.”</w:t>
      </w:r>
    </w:p>
    <w:p w14:paraId="44D6132E" w14:textId="6CC7F812" w:rsidR="009B3FE4" w:rsidRPr="009D6147" w:rsidRDefault="00030BA0" w:rsidP="00173A2F">
      <w:pPr>
        <w:spacing w:after="240" w:line="276" w:lineRule="auto"/>
        <w:rPr>
          <w:rFonts w:asciiTheme="majorHAnsi" w:hAnsiTheme="majorHAnsi" w:cstheme="majorHAnsi"/>
        </w:rPr>
      </w:pPr>
      <w:r w:rsidRPr="009D6147">
        <w:rPr>
          <w:rFonts w:asciiTheme="majorHAnsi" w:hAnsiTheme="majorHAnsi" w:cstheme="majorHAnsi"/>
        </w:rPr>
        <w:t>Në vijim, në formë tabelore është paraqitur numri i komunave që kanë publikuar Pr</w:t>
      </w:r>
      <w:r w:rsidR="003447FA" w:rsidRPr="009D6147">
        <w:rPr>
          <w:rFonts w:asciiTheme="majorHAnsi" w:hAnsiTheme="majorHAnsi" w:cstheme="majorHAnsi"/>
        </w:rPr>
        <w:t>ojekt-</w:t>
      </w:r>
      <w:r w:rsidR="008E4619" w:rsidRPr="009D6147">
        <w:rPr>
          <w:rFonts w:asciiTheme="majorHAnsi" w:hAnsiTheme="majorHAnsi" w:cstheme="majorHAnsi"/>
        </w:rPr>
        <w:t>aktet/</w:t>
      </w:r>
      <w:r w:rsidR="003447FA" w:rsidRPr="009D6147">
        <w:rPr>
          <w:rFonts w:asciiTheme="majorHAnsi" w:hAnsiTheme="majorHAnsi" w:cstheme="majorHAnsi"/>
        </w:rPr>
        <w:t>propozimet për konsultime</w:t>
      </w:r>
      <w:r w:rsidRPr="009D6147">
        <w:rPr>
          <w:rFonts w:asciiTheme="majorHAnsi" w:hAnsiTheme="majorHAnsi" w:cstheme="majorHAnsi"/>
        </w:rPr>
        <w:t xml:space="preserve"> publik</w:t>
      </w:r>
      <w:r w:rsidR="003447FA" w:rsidRPr="009D6147">
        <w:rPr>
          <w:rFonts w:asciiTheme="majorHAnsi" w:hAnsiTheme="majorHAnsi" w:cstheme="majorHAnsi"/>
        </w:rPr>
        <w:t>e</w:t>
      </w:r>
      <w:r w:rsidRPr="009D6147">
        <w:rPr>
          <w:rFonts w:asciiTheme="majorHAnsi" w:hAnsiTheme="majorHAnsi" w:cstheme="majorHAnsi"/>
        </w:rPr>
        <w:t xml:space="preserve"> </w:t>
      </w:r>
      <w:r w:rsidR="00832088" w:rsidRPr="009D6147">
        <w:rPr>
          <w:rFonts w:asciiTheme="majorHAnsi" w:hAnsiTheme="majorHAnsi" w:cstheme="majorHAnsi"/>
        </w:rPr>
        <w:t xml:space="preserve">dhe memorandumit shpjegues </w:t>
      </w:r>
    </w:p>
    <w:p w14:paraId="63AAA9D2" w14:textId="025E360D" w:rsidR="00322A5F" w:rsidRPr="009D6147" w:rsidRDefault="00C6232D" w:rsidP="00173A2F">
      <w:pPr>
        <w:spacing w:after="240" w:line="276" w:lineRule="auto"/>
        <w:rPr>
          <w:rFonts w:asciiTheme="majorHAnsi" w:hAnsiTheme="majorHAnsi" w:cstheme="majorHAnsi"/>
          <w:color w:val="C00000"/>
        </w:rPr>
      </w:pPr>
      <w:r w:rsidRPr="009D6147">
        <w:rPr>
          <w:rFonts w:asciiTheme="majorHAnsi" w:hAnsiTheme="majorHAnsi" w:cstheme="majorHAnsi"/>
          <w:noProof/>
          <w:lang w:eastAsia="sq-AL"/>
        </w:rPr>
        <w:drawing>
          <wp:inline distT="0" distB="0" distL="0" distR="0" wp14:anchorId="32DE30B4" wp14:editId="65A760FF">
            <wp:extent cx="6112305" cy="2433320"/>
            <wp:effectExtent l="0" t="0" r="3175" b="5080"/>
            <wp:docPr id="147" name="Chart 147">
              <a:extLst xmlns:a="http://schemas.openxmlformats.org/drawingml/2006/main">
                <a:ext uri="{FF2B5EF4-FFF2-40B4-BE49-F238E27FC236}">
                  <a16:creationId xmlns:a16="http://schemas.microsoft.com/office/drawing/2014/main" id="{EE584A14-1CE6-43C0-A7E0-7EBECDAF05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541BC86" w14:textId="71272EA8" w:rsidR="009F64FE" w:rsidRPr="00691961" w:rsidRDefault="00333275" w:rsidP="00691961">
      <w:pPr>
        <w:autoSpaceDE w:val="0"/>
        <w:autoSpaceDN w:val="0"/>
        <w:adjustRightInd w:val="0"/>
        <w:spacing w:after="240" w:line="276" w:lineRule="auto"/>
        <w:jc w:val="center"/>
        <w:rPr>
          <w:rFonts w:asciiTheme="majorHAnsi" w:hAnsiTheme="majorHAnsi" w:cstheme="majorHAnsi"/>
          <w:sz w:val="24"/>
        </w:rPr>
      </w:pPr>
      <w:r w:rsidRPr="00691961">
        <w:rPr>
          <w:rFonts w:asciiTheme="majorHAnsi" w:hAnsiTheme="majorHAnsi" w:cstheme="majorHAnsi"/>
          <w:i/>
          <w:sz w:val="14"/>
          <w:szCs w:val="16"/>
        </w:rPr>
        <w:t>Fig3</w:t>
      </w:r>
      <w:r w:rsidR="006C1F9D" w:rsidRPr="00691961">
        <w:rPr>
          <w:rFonts w:asciiTheme="majorHAnsi" w:hAnsiTheme="majorHAnsi" w:cstheme="majorHAnsi"/>
          <w:i/>
          <w:sz w:val="14"/>
          <w:szCs w:val="16"/>
        </w:rPr>
        <w:t>5</w:t>
      </w:r>
      <w:r w:rsidR="00E800E7" w:rsidRPr="00691961">
        <w:rPr>
          <w:rFonts w:asciiTheme="majorHAnsi" w:hAnsiTheme="majorHAnsi" w:cstheme="majorHAnsi"/>
          <w:i/>
          <w:sz w:val="14"/>
          <w:szCs w:val="16"/>
        </w:rPr>
        <w:t xml:space="preserve">. Publikimi i </w:t>
      </w:r>
      <w:r w:rsidR="009F64FE" w:rsidRPr="00691961">
        <w:rPr>
          <w:rFonts w:asciiTheme="majorHAnsi" w:hAnsiTheme="majorHAnsi" w:cstheme="majorHAnsi"/>
          <w:i/>
          <w:sz w:val="14"/>
          <w:szCs w:val="16"/>
        </w:rPr>
        <w:t xml:space="preserve"> </w:t>
      </w:r>
      <w:r w:rsidR="00E800E7" w:rsidRPr="00691961">
        <w:rPr>
          <w:rFonts w:asciiTheme="majorHAnsi" w:hAnsiTheme="majorHAnsi" w:cstheme="majorHAnsi"/>
          <w:i/>
          <w:sz w:val="14"/>
          <w:szCs w:val="16"/>
        </w:rPr>
        <w:t xml:space="preserve">projekt-propozimeve </w:t>
      </w:r>
      <w:r w:rsidR="009F64FE" w:rsidRPr="00691961">
        <w:rPr>
          <w:rFonts w:asciiTheme="majorHAnsi" w:hAnsiTheme="majorHAnsi" w:cstheme="majorHAnsi"/>
          <w:i/>
          <w:sz w:val="14"/>
          <w:szCs w:val="16"/>
        </w:rPr>
        <w:t xml:space="preserve"> për konsultime publike</w:t>
      </w:r>
    </w:p>
    <w:p w14:paraId="4F76CEFC" w14:textId="77777777" w:rsidR="00832088" w:rsidRPr="009D6147" w:rsidRDefault="00832088" w:rsidP="00173A2F">
      <w:pPr>
        <w:pStyle w:val="Style2"/>
        <w:spacing w:line="276" w:lineRule="auto"/>
        <w:rPr>
          <w:rFonts w:asciiTheme="majorHAnsi" w:hAnsiTheme="majorHAnsi" w:cstheme="majorHAnsi"/>
        </w:rPr>
      </w:pPr>
      <w:bookmarkStart w:id="79" w:name="_Toc130455711"/>
    </w:p>
    <w:p w14:paraId="4F664964" w14:textId="212B81CC" w:rsidR="00832088" w:rsidRPr="009D6147" w:rsidRDefault="00322A5F" w:rsidP="00691961">
      <w:pPr>
        <w:pStyle w:val="Style3"/>
      </w:pPr>
      <w:bookmarkStart w:id="80" w:name="_Toc227827193"/>
      <w:r w:rsidRPr="009D6147">
        <w:t xml:space="preserve">Publikimi </w:t>
      </w:r>
      <w:r w:rsidR="00094A9B" w:rsidRPr="009D6147">
        <w:t xml:space="preserve"> i raporteve për konsultime publike</w:t>
      </w:r>
      <w:bookmarkEnd w:id="80"/>
      <w:r w:rsidR="00094A9B" w:rsidRPr="009D6147">
        <w:t xml:space="preserve">  </w:t>
      </w:r>
    </w:p>
    <w:p w14:paraId="15F2E154" w14:textId="67A9475A" w:rsidR="00A70B8E" w:rsidRPr="009D6147" w:rsidRDefault="00A70B8E" w:rsidP="00173A2F">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eastAsia="Times New Roman" w:hAnsiTheme="majorHAnsi" w:cstheme="majorHAnsi"/>
          <w:lang w:eastAsia="en-GB"/>
        </w:rPr>
        <w:t>Sipas Udhëzimit Administrativ Nr. 04/2023 për Administratë të Hapur në Komuna, zyrtari përgjegjës për hartimin e projekt-propozimit, gjatë zhvillimit të konsultimit publik, mbledh komentet dhe përgatit raportin për rezultatet e konsultimit publik. Komuna siguron gjithashtu ofrimin e përgjigjeve lidhur me statusin e propozimeve të pranuara gjatë diskutimeve publike, përmes një raporti të veçantë, i cili publikohet në ueb-faqen zyrtare të komunës dhe në Platformën e Qeverisë për Konsultime Publike.</w:t>
      </w:r>
    </w:p>
    <w:p w14:paraId="286BA2C4" w14:textId="741AE584" w:rsidR="00A70B8E" w:rsidRDefault="00A70B8E" w:rsidP="00173A2F">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eastAsia="Times New Roman" w:hAnsiTheme="majorHAnsi" w:cstheme="majorHAnsi"/>
          <w:lang w:eastAsia="en-GB"/>
        </w:rPr>
        <w:t>Brenda pesë (5) ditëve kalendarike pas përfundimit të raportit nga grupi punues për shqyrtimin publik, raporti i dërgohet zyrtarit përgjegjës për konsultime publike, i cili obligohet të sigurojë publikimin e tij në ueb-faqen zyrtare të komunës dhe në Platformën për Konsultime Publike të Qeverisë.</w:t>
      </w:r>
    </w:p>
    <w:p w14:paraId="629C3728" w14:textId="74FFB0E5" w:rsidR="00823035" w:rsidRPr="00823035" w:rsidRDefault="00823035" w:rsidP="00823035">
      <w:pPr>
        <w:spacing w:before="100" w:beforeAutospacing="1" w:after="100" w:afterAutospacing="1" w:line="276" w:lineRule="auto"/>
        <w:rPr>
          <w:rFonts w:ascii="Times New Roman" w:eastAsia="Times New Roman" w:hAnsi="Times New Roman" w:cs="Times New Roman"/>
          <w:sz w:val="20"/>
          <w:szCs w:val="20"/>
          <w:lang w:eastAsia="en-GB"/>
        </w:rPr>
      </w:pPr>
      <w:r w:rsidRPr="00823035">
        <w:rPr>
          <w:rFonts w:ascii="Times New Roman" w:eastAsia="Times New Roman" w:hAnsi="Times New Roman" w:cs="Times New Roman"/>
          <w:lang w:eastAsia="en-GB"/>
        </w:rPr>
        <w:t xml:space="preserve">Gjatë vitit 2025, janë publikuar gjithsej 64 raporte për konsultime publike nga 18 komuna, ndërsa 20 komuna nuk kanë publikuar asnjë raport të konsultimeve publike. Krahasuar me vitin 2024, në vitin 2025 vërehet rënie si në numrin e komunave që publikojnë raportet e konsultimeve publike (nga 20 në 18 komuna), ashtu edhe në numrin e përgjithshëm të raporteve të publikuara (nga 119 në 64). </w:t>
      </w:r>
      <w:r w:rsidRPr="00823035">
        <w:rPr>
          <w:rFonts w:ascii="Times New Roman" w:eastAsia="Times New Roman" w:hAnsi="Times New Roman" w:cs="Times New Roman"/>
          <w:sz w:val="20"/>
          <w:szCs w:val="20"/>
          <w:lang w:eastAsia="en-GB"/>
        </w:rPr>
        <w:t xml:space="preserve">Kjo tregon  </w:t>
      </w:r>
      <w:r w:rsidRPr="00823035">
        <w:rPr>
          <w:rFonts w:ascii="Times New Roman" w:eastAsia="Times New Roman" w:hAnsi="Times New Roman" w:cs="Times New Roman"/>
          <w:lang w:eastAsia="en-GB"/>
        </w:rPr>
        <w:t>ulje të nivelit të përmbushjes së obligimeve për transparencë në procesin e konsultimeve publike</w:t>
      </w:r>
    </w:p>
    <w:p w14:paraId="0FE32E0E" w14:textId="77777777" w:rsidR="00823035" w:rsidRPr="00823035" w:rsidRDefault="00823035" w:rsidP="00823035">
      <w:pPr>
        <w:spacing w:before="100" w:beforeAutospacing="1" w:after="100" w:afterAutospacing="1" w:line="276" w:lineRule="auto"/>
        <w:rPr>
          <w:rFonts w:ascii="Times New Roman" w:eastAsia="Times New Roman" w:hAnsi="Times New Roman" w:cs="Times New Roman"/>
          <w:lang w:eastAsia="en-GB"/>
        </w:rPr>
      </w:pPr>
    </w:p>
    <w:p w14:paraId="22BF8D2B" w14:textId="41C3A7EF" w:rsidR="00823035" w:rsidRPr="00823035" w:rsidRDefault="00823035" w:rsidP="00823035">
      <w:pPr>
        <w:spacing w:before="100" w:beforeAutospacing="1" w:after="100" w:afterAutospacing="1" w:line="276" w:lineRule="auto"/>
        <w:rPr>
          <w:rFonts w:ascii="Times New Roman" w:eastAsia="Times New Roman" w:hAnsi="Times New Roman" w:cs="Times New Roman"/>
          <w:lang w:eastAsia="en-GB"/>
        </w:rPr>
      </w:pPr>
      <w:r w:rsidRPr="00823035">
        <w:rPr>
          <w:rFonts w:ascii="Times New Roman" w:eastAsia="Times New Roman" w:hAnsi="Times New Roman" w:cs="Times New Roman"/>
          <w:lang w:eastAsia="en-GB"/>
        </w:rPr>
        <w:t xml:space="preserve">Sa i përket </w:t>
      </w:r>
      <w:r>
        <w:rPr>
          <w:rFonts w:ascii="Times New Roman" w:eastAsia="Times New Roman" w:hAnsi="Times New Roman" w:cs="Times New Roman"/>
          <w:b/>
          <w:bCs/>
          <w:lang w:eastAsia="en-GB"/>
        </w:rPr>
        <w:t>R</w:t>
      </w:r>
      <w:r w:rsidRPr="00823035">
        <w:rPr>
          <w:rFonts w:ascii="Times New Roman" w:eastAsia="Times New Roman" w:hAnsi="Times New Roman" w:cs="Times New Roman"/>
          <w:b/>
          <w:bCs/>
          <w:lang w:eastAsia="en-GB"/>
        </w:rPr>
        <w:t>aportit vjetor për konsultime publike</w:t>
      </w:r>
      <w:r w:rsidRPr="00823035">
        <w:rPr>
          <w:rFonts w:ascii="Times New Roman" w:eastAsia="Times New Roman" w:hAnsi="Times New Roman" w:cs="Times New Roman"/>
          <w:lang w:eastAsia="en-GB"/>
        </w:rPr>
        <w:t xml:space="preserve"> për periudhën janar–dhjetor 2025, atë e kanë publikuar 18 komuna, ndërsa 20 komuna nuk e kanë publikuar. Bazuar në të dhënat e Raportit për Vlerësimin e Transparencës për vitin 2024, raportin </w:t>
      </w:r>
      <w:r w:rsidRPr="00823035">
        <w:rPr>
          <w:rFonts w:ascii="Times New Roman" w:eastAsia="Times New Roman" w:hAnsi="Times New Roman" w:cs="Times New Roman"/>
          <w:b/>
          <w:bCs/>
          <w:lang w:eastAsia="en-GB"/>
        </w:rPr>
        <w:t>vjetor</w:t>
      </w:r>
      <w:r w:rsidRPr="00823035">
        <w:rPr>
          <w:rFonts w:ascii="Times New Roman" w:eastAsia="Times New Roman" w:hAnsi="Times New Roman" w:cs="Times New Roman"/>
          <w:lang w:eastAsia="en-GB"/>
        </w:rPr>
        <w:t xml:space="preserve"> për konsultime publike e kishin publikuar 15 komuna, ndërsa 23 komuna nuk e kishin publikuar atë. Ky indikator tregon një rritje të lehtë në vitin 2025, me 3 komuna më shumë që kanë publikuar raportin vjetor të konsultimeve publike, duke reflektuar një përmirësim të kufizuar në këtë fushë të transparencës.</w:t>
      </w:r>
    </w:p>
    <w:p w14:paraId="2016E2AC" w14:textId="78EE486F" w:rsidR="00823035" w:rsidRPr="00823035" w:rsidRDefault="00823035" w:rsidP="00173A2F">
      <w:pPr>
        <w:spacing w:before="100" w:beforeAutospacing="1" w:after="100" w:afterAutospacing="1" w:line="276" w:lineRule="auto"/>
        <w:rPr>
          <w:rFonts w:ascii="Times New Roman" w:eastAsia="Times New Roman" w:hAnsi="Times New Roman" w:cs="Times New Roman"/>
          <w:lang w:eastAsia="en-GB"/>
        </w:rPr>
      </w:pPr>
      <w:r w:rsidRPr="00823035">
        <w:rPr>
          <w:rFonts w:ascii="Times New Roman" w:eastAsia="Times New Roman" w:hAnsi="Times New Roman" w:cs="Times New Roman"/>
          <w:lang w:eastAsia="en-GB"/>
        </w:rPr>
        <w:t xml:space="preserve">Në vijim, në formë </w:t>
      </w:r>
      <w:proofErr w:type="spellStart"/>
      <w:r w:rsidRPr="00823035">
        <w:rPr>
          <w:rFonts w:ascii="Times New Roman" w:eastAsia="Times New Roman" w:hAnsi="Times New Roman" w:cs="Times New Roman"/>
          <w:lang w:eastAsia="en-GB"/>
        </w:rPr>
        <w:t>tabelare</w:t>
      </w:r>
      <w:proofErr w:type="spellEnd"/>
      <w:r w:rsidRPr="00823035">
        <w:rPr>
          <w:rFonts w:ascii="Times New Roman" w:eastAsia="Times New Roman" w:hAnsi="Times New Roman" w:cs="Times New Roman"/>
          <w:lang w:eastAsia="en-GB"/>
        </w:rPr>
        <w:t xml:space="preserve"> paraqitet numri i komunave që kanë publikuar raportet për konsultime publike dhe raportet vjetore për konsultime publike.</w:t>
      </w:r>
    </w:p>
    <w:bookmarkEnd w:id="79"/>
    <w:p w14:paraId="1E6FB639" w14:textId="5B9ED406" w:rsidR="00916677" w:rsidRPr="009D6147" w:rsidRDefault="00916677" w:rsidP="00173A2F">
      <w:pPr>
        <w:spacing w:after="240" w:line="276" w:lineRule="auto"/>
        <w:rPr>
          <w:rFonts w:asciiTheme="majorHAnsi" w:hAnsiTheme="majorHAnsi" w:cstheme="majorHAnsi"/>
          <w:i/>
          <w:sz w:val="16"/>
          <w:szCs w:val="16"/>
        </w:rPr>
      </w:pPr>
      <w:r w:rsidRPr="009D6147">
        <w:rPr>
          <w:rFonts w:asciiTheme="majorHAnsi" w:hAnsiTheme="majorHAnsi" w:cstheme="majorHAnsi"/>
          <w:b/>
          <w:bCs/>
          <w:noProof/>
          <w:lang w:eastAsia="sq-AL"/>
        </w:rPr>
        <w:drawing>
          <wp:inline distT="0" distB="0" distL="0" distR="0" wp14:anchorId="5BDE2382" wp14:editId="0B906ABE">
            <wp:extent cx="6062345" cy="1828800"/>
            <wp:effectExtent l="0" t="0" r="14605" b="0"/>
            <wp:docPr id="149" name="Chart 149">
              <a:extLst xmlns:a="http://schemas.openxmlformats.org/drawingml/2006/main">
                <a:ext uri="{FF2B5EF4-FFF2-40B4-BE49-F238E27FC236}">
                  <a16:creationId xmlns:a16="http://schemas.microsoft.com/office/drawing/2014/main" id="{73486D36-8981-4FF5-8D00-591C584E09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27C699F" w14:textId="0C73EBF9" w:rsidR="00380BBA" w:rsidRPr="00691961" w:rsidRDefault="00517ECE" w:rsidP="009D6147">
      <w:pPr>
        <w:spacing w:after="240" w:line="276" w:lineRule="auto"/>
        <w:jc w:val="center"/>
        <w:rPr>
          <w:rFonts w:asciiTheme="majorHAnsi" w:hAnsiTheme="majorHAnsi" w:cstheme="majorHAnsi"/>
          <w:i/>
          <w:sz w:val="14"/>
          <w:szCs w:val="14"/>
        </w:rPr>
      </w:pPr>
      <w:r w:rsidRPr="00691961">
        <w:rPr>
          <w:rFonts w:asciiTheme="majorHAnsi" w:hAnsiTheme="majorHAnsi" w:cstheme="majorHAnsi"/>
          <w:i/>
          <w:sz w:val="14"/>
          <w:szCs w:val="14"/>
        </w:rPr>
        <w:t xml:space="preserve">Fig. </w:t>
      </w:r>
      <w:r w:rsidR="00F2395A" w:rsidRPr="00691961">
        <w:rPr>
          <w:rFonts w:asciiTheme="majorHAnsi" w:hAnsiTheme="majorHAnsi" w:cstheme="majorHAnsi"/>
          <w:i/>
          <w:sz w:val="14"/>
          <w:szCs w:val="14"/>
        </w:rPr>
        <w:t>36</w:t>
      </w:r>
      <w:r w:rsidR="00360B20" w:rsidRPr="00691961">
        <w:rPr>
          <w:rFonts w:asciiTheme="majorHAnsi" w:hAnsiTheme="majorHAnsi" w:cstheme="majorHAnsi"/>
          <w:i/>
          <w:sz w:val="14"/>
          <w:szCs w:val="14"/>
        </w:rPr>
        <w:t xml:space="preserve"> Numrin e raporteve  për  konsultime  publike</w:t>
      </w:r>
    </w:p>
    <w:p w14:paraId="013C2C9D" w14:textId="2B9521BF" w:rsidR="0011684F" w:rsidRPr="009D6147" w:rsidRDefault="0011684F" w:rsidP="00173A2F">
      <w:pPr>
        <w:spacing w:after="240" w:line="276" w:lineRule="auto"/>
        <w:rPr>
          <w:rFonts w:asciiTheme="majorHAnsi" w:hAnsiTheme="majorHAnsi" w:cstheme="majorHAnsi"/>
          <w:i/>
          <w:sz w:val="16"/>
          <w:szCs w:val="16"/>
        </w:rPr>
      </w:pPr>
    </w:p>
    <w:p w14:paraId="5AFEF36F" w14:textId="1BBBB017" w:rsidR="008940A2" w:rsidRPr="009D6147" w:rsidRDefault="008940A2" w:rsidP="00173A2F">
      <w:pPr>
        <w:pStyle w:val="Style3"/>
        <w:spacing w:line="276" w:lineRule="auto"/>
        <w:rPr>
          <w:rFonts w:eastAsia="Times New Roman" w:cstheme="majorHAnsi"/>
          <w:lang w:eastAsia="en-GB"/>
        </w:rPr>
      </w:pPr>
      <w:r w:rsidRPr="009D6147">
        <w:rPr>
          <w:rFonts w:eastAsia="Times New Roman" w:cstheme="majorHAnsi"/>
          <w:lang w:eastAsia="en-GB"/>
        </w:rPr>
        <w:t>Njoftimit për ofrimin e shërbimeve komunale</w:t>
      </w:r>
    </w:p>
    <w:p w14:paraId="21ACA2FC" w14:textId="6863E2C1" w:rsidR="008940A2" w:rsidRPr="009D6147" w:rsidRDefault="008940A2" w:rsidP="00173A2F">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eastAsia="Times New Roman" w:hAnsiTheme="majorHAnsi" w:cstheme="majorHAnsi"/>
          <w:lang w:eastAsia="en-GB"/>
        </w:rPr>
        <w:t>Në kuadër të publikimit dhe njoftimit për ofrimin e shërbimeve komunale, bazuar në të dhënat e mbledhura nga monitorimi i ueb-faqeve zyrtare të komunave, vërehet se të gjitha komunat kanë krijuar seksione apo lidhje (</w:t>
      </w:r>
      <w:proofErr w:type="spellStart"/>
      <w:r w:rsidRPr="009D6147">
        <w:rPr>
          <w:rFonts w:asciiTheme="majorHAnsi" w:eastAsia="Times New Roman" w:hAnsiTheme="majorHAnsi" w:cstheme="majorHAnsi"/>
          <w:lang w:eastAsia="en-GB"/>
        </w:rPr>
        <w:t>linke</w:t>
      </w:r>
      <w:proofErr w:type="spellEnd"/>
      <w:r w:rsidRPr="009D6147">
        <w:rPr>
          <w:rFonts w:asciiTheme="majorHAnsi" w:eastAsia="Times New Roman" w:hAnsiTheme="majorHAnsi" w:cstheme="majorHAnsi"/>
          <w:lang w:eastAsia="en-GB"/>
        </w:rPr>
        <w:t>) të dedikuara për shërbimet komunale. Kjo tregon një nivel bazik të përmbushjes së obligimeve për transparencë dhe informim të qytetarëve.</w:t>
      </w:r>
    </w:p>
    <w:p w14:paraId="76F55511" w14:textId="77777777" w:rsidR="008940A2" w:rsidRPr="009D6147" w:rsidRDefault="008940A2" w:rsidP="00173A2F">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eastAsia="Times New Roman" w:hAnsiTheme="majorHAnsi" w:cstheme="majorHAnsi"/>
          <w:lang w:eastAsia="en-GB"/>
        </w:rPr>
        <w:t>Megjithatë, niveli i zhvillimit dhe funksionalitetit të këtyre seksioneve ndryshon nga një komunë në tjetrën. Në disa komuna, informacioni është i paraqitur në mënyrë të strukturuar, të detajuar dhe lehtësisht të qasshme për qytetarët, duke përfshirë përshkrimin e shërbimeve, procedurat e aplikimit, dokumentacionin e nevojshëm dhe afatet kohore. Ndërsa në komuna të tjera, informacioni është më i kufizuar, më pak i strukturuar dhe me qasje më të vështirë për përdoruesit.</w:t>
      </w:r>
    </w:p>
    <w:p w14:paraId="3CCD5DDE" w14:textId="77777777" w:rsidR="008940A2" w:rsidRPr="009D6147" w:rsidRDefault="008940A2" w:rsidP="00173A2F">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eastAsia="Times New Roman" w:hAnsiTheme="majorHAnsi" w:cstheme="majorHAnsi"/>
          <w:lang w:eastAsia="en-GB"/>
        </w:rPr>
        <w:t>Pavarësisht këtyre dallimeve në cilësi dhe nivel të avancimit, konstatohet se njoftimi për shërbimet që ofrohen nga komunat është i pranishëm në të gjitha ueb-faqet zyrtare. Kjo përbën një hap të rëndësishëm drejt rritjes së transparencës dhe përmirësimit të komunikimit me qytetarët, megjithëse mbetet nevoja për standardizim dhe përmirësim të mëtejmë të përmbajtjes dhe qasjes në këto informacione.</w:t>
      </w:r>
    </w:p>
    <w:p w14:paraId="133C5FAD" w14:textId="0E2F27AC" w:rsidR="00A549DB" w:rsidRPr="009D6147" w:rsidRDefault="00A549DB" w:rsidP="00173A2F">
      <w:pPr>
        <w:spacing w:after="240" w:line="276" w:lineRule="auto"/>
        <w:rPr>
          <w:rFonts w:asciiTheme="majorHAnsi" w:hAnsiTheme="majorHAnsi" w:cstheme="majorHAnsi"/>
          <w:i/>
          <w:sz w:val="16"/>
          <w:szCs w:val="16"/>
        </w:rPr>
      </w:pPr>
    </w:p>
    <w:p w14:paraId="3164EFFC" w14:textId="77777777" w:rsidR="00A549DB" w:rsidRPr="009D6147" w:rsidRDefault="00A549DB" w:rsidP="00173A2F">
      <w:pPr>
        <w:spacing w:after="240" w:line="276" w:lineRule="auto"/>
        <w:rPr>
          <w:rFonts w:asciiTheme="majorHAnsi" w:hAnsiTheme="majorHAnsi" w:cstheme="majorHAnsi"/>
          <w:i/>
          <w:sz w:val="16"/>
          <w:szCs w:val="16"/>
        </w:rPr>
      </w:pPr>
    </w:p>
    <w:p w14:paraId="3A05362B" w14:textId="77777777" w:rsidR="00A475ED" w:rsidRPr="009D6147" w:rsidRDefault="00A475ED" w:rsidP="00173A2F">
      <w:pPr>
        <w:pStyle w:val="Style2"/>
        <w:spacing w:line="276" w:lineRule="auto"/>
        <w:rPr>
          <w:rFonts w:asciiTheme="majorHAnsi" w:eastAsia="Times New Roman" w:hAnsiTheme="majorHAnsi" w:cstheme="majorHAnsi"/>
          <w:lang w:eastAsia="en-GB"/>
        </w:rPr>
      </w:pPr>
      <w:bookmarkStart w:id="81" w:name="_Toc227827194"/>
      <w:r w:rsidRPr="009D6147">
        <w:rPr>
          <w:rFonts w:asciiTheme="majorHAnsi" w:eastAsia="Times New Roman" w:hAnsiTheme="majorHAnsi" w:cstheme="majorHAnsi"/>
          <w:lang w:eastAsia="en-GB"/>
        </w:rPr>
        <w:t>Rekomandime</w:t>
      </w:r>
      <w:bookmarkEnd w:id="81"/>
    </w:p>
    <w:p w14:paraId="74FBCF9C" w14:textId="77777777" w:rsidR="00A475ED" w:rsidRPr="009D6147" w:rsidRDefault="00A475ED" w:rsidP="00173A2F">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eastAsia="Times New Roman" w:hAnsiTheme="majorHAnsi" w:cstheme="majorHAnsi"/>
          <w:lang w:eastAsia="en-GB"/>
        </w:rPr>
        <w:t>Bazuar në gjetjet e raportit për vitin 2025, rekomandohet që komunat të ndërmarrin masa konkrete për përmirësimin e nivelit të transparencës dhe përmbushjen e obligimeve ligjore në këtë fushë.</w:t>
      </w:r>
    </w:p>
    <w:p w14:paraId="7B588928" w14:textId="77777777" w:rsidR="00A475ED" w:rsidRPr="009D6147" w:rsidRDefault="00A475ED" w:rsidP="00173A2F">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eastAsia="Times New Roman" w:hAnsiTheme="majorHAnsi" w:cstheme="majorHAnsi"/>
          <w:lang w:eastAsia="en-GB"/>
        </w:rPr>
        <w:t>Në radhë të parë, komunat duhet të sigurojnë zbatimin e plotë dhe në kohë të obligimeve ligjore për publikimin e dokumenteve dhe aktiviteteve, në përputhje me legjislacionin në fuqi, përfshirë Ligjin për Vetëqeverisje Lokale, Ligjin për Qasje në Dokumente Publike, Ligjin për Menaxhimin e Financave Publike, Ligjin për Prokurimin Publik dhe Udhëzimin Administrativ për Administratë të Hapur.</w:t>
      </w:r>
    </w:p>
    <w:p w14:paraId="0E92BC8B" w14:textId="77777777" w:rsidR="00A475ED" w:rsidRPr="009D6147" w:rsidRDefault="00A475ED" w:rsidP="00173A2F">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eastAsia="Times New Roman" w:hAnsiTheme="majorHAnsi" w:cstheme="majorHAnsi"/>
          <w:lang w:eastAsia="en-GB"/>
        </w:rPr>
        <w:t>Në funksion të rritjes së transparencës institucionale, është e domosdoshme që komunat të publikojnë në mënyrë të rregullt dhe të plotë të gjitha dokumentet e Kuvendit Komunal dhe komiteteve, përfshirë ftesat, rendin e ditës, procesverbalet, vendimet dhe aktet komunale, duke eliminuar hendekun ndërmjet akteve të miratuara dhe atyre të publikuara.</w:t>
      </w:r>
    </w:p>
    <w:p w14:paraId="2E57E176" w14:textId="367045D2" w:rsidR="00A475ED" w:rsidRPr="009D6147" w:rsidRDefault="00A475ED" w:rsidP="00173A2F">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eastAsia="Times New Roman" w:hAnsiTheme="majorHAnsi" w:cstheme="majorHAnsi"/>
          <w:lang w:eastAsia="en-GB"/>
        </w:rPr>
        <w:t>Njëkohësisht, kërkohet përmirësim i dukshëm në transparencën financiare, përmes publikimit të rregullt të dokumenteve buxhetore dhe fi</w:t>
      </w:r>
      <w:r w:rsidR="00A3226E">
        <w:rPr>
          <w:rFonts w:asciiTheme="majorHAnsi" w:eastAsia="Times New Roman" w:hAnsiTheme="majorHAnsi" w:cstheme="majorHAnsi"/>
          <w:lang w:eastAsia="en-GB"/>
        </w:rPr>
        <w:t>nanciare, si plani i buxhetit, korniza afatmesme b</w:t>
      </w:r>
      <w:r w:rsidRPr="009D6147">
        <w:rPr>
          <w:rFonts w:asciiTheme="majorHAnsi" w:eastAsia="Times New Roman" w:hAnsiTheme="majorHAnsi" w:cstheme="majorHAnsi"/>
          <w:lang w:eastAsia="en-GB"/>
        </w:rPr>
        <w:t xml:space="preserve">uxhetore, raportet financiare periodike dhe vjetore, raportet e </w:t>
      </w:r>
      <w:proofErr w:type="spellStart"/>
      <w:r w:rsidRPr="009D6147">
        <w:rPr>
          <w:rFonts w:asciiTheme="majorHAnsi" w:eastAsia="Times New Roman" w:hAnsiTheme="majorHAnsi" w:cstheme="majorHAnsi"/>
          <w:lang w:eastAsia="en-GB"/>
        </w:rPr>
        <w:t>auditimit</w:t>
      </w:r>
      <w:proofErr w:type="spellEnd"/>
      <w:r w:rsidRPr="009D6147">
        <w:rPr>
          <w:rFonts w:asciiTheme="majorHAnsi" w:eastAsia="Times New Roman" w:hAnsiTheme="majorHAnsi" w:cstheme="majorHAnsi"/>
          <w:lang w:eastAsia="en-GB"/>
        </w:rPr>
        <w:t xml:space="preserve"> dhe listat e investimeve kapitale.</w:t>
      </w:r>
    </w:p>
    <w:p w14:paraId="7C7131D9" w14:textId="77777777" w:rsidR="00A475ED" w:rsidRPr="009D6147" w:rsidRDefault="00A475ED" w:rsidP="00173A2F">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eastAsia="Times New Roman" w:hAnsiTheme="majorHAnsi" w:cstheme="majorHAnsi"/>
          <w:lang w:eastAsia="en-GB"/>
        </w:rPr>
        <w:t>Në fushën e prokurimit publik, komunat duhet të garantojnë publikimin e plotë të planit dhe raportit vjetor të prokurimit, si një element kyç për sigurimin e menaxhimit transparent të fondeve publike.</w:t>
      </w:r>
    </w:p>
    <w:p w14:paraId="1D9244B3" w14:textId="77777777" w:rsidR="00A475ED" w:rsidRPr="009D6147" w:rsidRDefault="00A475ED" w:rsidP="00173A2F">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eastAsia="Times New Roman" w:hAnsiTheme="majorHAnsi" w:cstheme="majorHAnsi"/>
          <w:lang w:eastAsia="en-GB"/>
        </w:rPr>
        <w:t>Po ashtu, është e nevojshme të forcohet procesi i konsultimeve publike, duke siguruar publikimin e planeve të konsultimeve, njoftimeve, projekt-akteve, raporteve përkatëse dhe dokumenteve mbështetëse, në mënyrë që të rritet përfshirja e qytetarëve në vendimmarrje.</w:t>
      </w:r>
    </w:p>
    <w:p w14:paraId="0F624C0A" w14:textId="28FBEB58" w:rsidR="00A475ED" w:rsidRPr="009D6147" w:rsidRDefault="00A475ED" w:rsidP="00173A2F">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eastAsia="Times New Roman" w:hAnsiTheme="majorHAnsi" w:cstheme="majorHAnsi"/>
          <w:lang w:eastAsia="en-GB"/>
        </w:rPr>
        <w:t>Në drejtim të rritjes së llogaridhënies, komunat duhet të publikojnë në mënyrë të rregullt vendimet, planet dhe raportet e punës së kryetarit, si dhe nj</w:t>
      </w:r>
      <w:r w:rsidR="00A3226E">
        <w:rPr>
          <w:rFonts w:asciiTheme="majorHAnsi" w:eastAsia="Times New Roman" w:hAnsiTheme="majorHAnsi" w:cstheme="majorHAnsi"/>
          <w:lang w:eastAsia="en-GB"/>
        </w:rPr>
        <w:t>oftimet për takimet me qytetarë</w:t>
      </w:r>
      <w:r w:rsidRPr="009D6147">
        <w:rPr>
          <w:rFonts w:asciiTheme="majorHAnsi" w:eastAsia="Times New Roman" w:hAnsiTheme="majorHAnsi" w:cstheme="majorHAnsi"/>
          <w:lang w:eastAsia="en-GB"/>
        </w:rPr>
        <w:t>.</w:t>
      </w:r>
    </w:p>
    <w:p w14:paraId="490BDA46" w14:textId="77777777" w:rsidR="00A475ED" w:rsidRPr="009D6147" w:rsidRDefault="00A475ED" w:rsidP="00173A2F">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eastAsia="Times New Roman" w:hAnsiTheme="majorHAnsi" w:cstheme="majorHAnsi"/>
          <w:lang w:eastAsia="en-GB"/>
        </w:rPr>
        <w:t>Gjithashtu, është e domosdoshme që të gjitha komunat të publikojnë raportin vjetor për qasje në dokumente publike, në përputhje me kërkesat ligjore, duke adresuar rënien e evidentuar në këtë indikator gjatë vitit 2025.</w:t>
      </w:r>
    </w:p>
    <w:p w14:paraId="66C18392" w14:textId="18991B42" w:rsidR="00A475ED" w:rsidRDefault="00A475ED" w:rsidP="00173A2F">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eastAsia="Times New Roman" w:hAnsiTheme="majorHAnsi" w:cstheme="majorHAnsi"/>
          <w:lang w:eastAsia="en-GB"/>
        </w:rPr>
        <w:t>Për të siguruar qëndrueshmëri në transparencë, rekomandohet vendosja e mekanizmave të brendshëm për kontrollin e publikimit të dokumenteve, standardizimin e formateve dhe përcaktimin e përgjegjësive të qarta për zyrtarët përgjegjës për transparencë.</w:t>
      </w:r>
      <w:r w:rsidR="005069AA">
        <w:rPr>
          <w:rFonts w:asciiTheme="majorHAnsi" w:eastAsia="Times New Roman" w:hAnsiTheme="majorHAnsi" w:cstheme="majorHAnsi"/>
          <w:lang w:eastAsia="en-GB"/>
        </w:rPr>
        <w:t>\</w:t>
      </w:r>
    </w:p>
    <w:p w14:paraId="2D290124" w14:textId="77777777" w:rsidR="005069AA" w:rsidRPr="003A4180" w:rsidRDefault="005069AA" w:rsidP="005069AA">
      <w:pPr>
        <w:spacing w:before="100" w:beforeAutospacing="1" w:after="100" w:afterAutospacing="1"/>
        <w:rPr>
          <w:rFonts w:asciiTheme="majorHAnsi" w:eastAsia="Times New Roman" w:hAnsiTheme="majorHAnsi" w:cstheme="majorHAnsi"/>
          <w:lang w:eastAsia="sq-AL"/>
        </w:rPr>
      </w:pPr>
      <w:r w:rsidRPr="003A4180">
        <w:rPr>
          <w:rFonts w:asciiTheme="majorHAnsi" w:eastAsia="Times New Roman" w:hAnsiTheme="majorHAnsi" w:cstheme="majorHAnsi"/>
          <w:lang w:eastAsia="sq-AL"/>
        </w:rPr>
        <w:t>Gjithsej, shumica e indikatorëve të transparencës kanë shënuar rënie gjatë vitit 2025 krahasuar me vitin 2024. Indikatorët me ulje janë:</w:t>
      </w:r>
    </w:p>
    <w:p w14:paraId="191D7EFF" w14:textId="77777777" w:rsidR="005069AA" w:rsidRPr="003A4180" w:rsidRDefault="005069AA" w:rsidP="005069AA">
      <w:pPr>
        <w:numPr>
          <w:ilvl w:val="0"/>
          <w:numId w:val="46"/>
        </w:numPr>
        <w:spacing w:before="100" w:beforeAutospacing="1" w:after="100" w:afterAutospacing="1" w:line="240" w:lineRule="auto"/>
        <w:jc w:val="left"/>
        <w:rPr>
          <w:rFonts w:asciiTheme="majorHAnsi" w:eastAsia="Times New Roman" w:hAnsiTheme="majorHAnsi" w:cstheme="majorHAnsi"/>
          <w:lang w:eastAsia="sq-AL"/>
        </w:rPr>
      </w:pPr>
      <w:r w:rsidRPr="003A4180">
        <w:rPr>
          <w:rFonts w:asciiTheme="majorHAnsi" w:eastAsia="Times New Roman" w:hAnsiTheme="majorHAnsi" w:cstheme="majorHAnsi"/>
          <w:lang w:eastAsia="sq-AL"/>
        </w:rPr>
        <w:t xml:space="preserve">Ftesat për Komitetin për Politikë dhe Financa </w:t>
      </w:r>
    </w:p>
    <w:p w14:paraId="1B9DC9F7" w14:textId="77777777" w:rsidR="005069AA" w:rsidRPr="003A4180" w:rsidRDefault="005069AA" w:rsidP="005069AA">
      <w:pPr>
        <w:numPr>
          <w:ilvl w:val="0"/>
          <w:numId w:val="46"/>
        </w:numPr>
        <w:spacing w:before="100" w:beforeAutospacing="1" w:after="100" w:afterAutospacing="1" w:line="240" w:lineRule="auto"/>
        <w:jc w:val="left"/>
        <w:rPr>
          <w:rFonts w:asciiTheme="majorHAnsi" w:eastAsia="Times New Roman" w:hAnsiTheme="majorHAnsi" w:cstheme="majorHAnsi"/>
          <w:lang w:eastAsia="sq-AL"/>
        </w:rPr>
      </w:pPr>
      <w:r w:rsidRPr="003A4180">
        <w:rPr>
          <w:rFonts w:asciiTheme="majorHAnsi" w:eastAsia="Times New Roman" w:hAnsiTheme="majorHAnsi" w:cstheme="majorHAnsi"/>
          <w:lang w:eastAsia="sq-AL"/>
        </w:rPr>
        <w:t xml:space="preserve">Ftesat për Komitetin për Komunitete </w:t>
      </w:r>
    </w:p>
    <w:p w14:paraId="0F59CD98" w14:textId="77777777" w:rsidR="005069AA" w:rsidRPr="003A4180" w:rsidRDefault="005069AA" w:rsidP="005069AA">
      <w:pPr>
        <w:numPr>
          <w:ilvl w:val="0"/>
          <w:numId w:val="46"/>
        </w:numPr>
        <w:spacing w:before="100" w:beforeAutospacing="1" w:after="100" w:afterAutospacing="1" w:line="240" w:lineRule="auto"/>
        <w:jc w:val="left"/>
        <w:rPr>
          <w:rFonts w:asciiTheme="majorHAnsi" w:eastAsia="Times New Roman" w:hAnsiTheme="majorHAnsi" w:cstheme="majorHAnsi"/>
          <w:lang w:eastAsia="sq-AL"/>
        </w:rPr>
      </w:pPr>
      <w:r w:rsidRPr="003A4180">
        <w:rPr>
          <w:rFonts w:asciiTheme="majorHAnsi" w:eastAsia="Times New Roman" w:hAnsiTheme="majorHAnsi" w:cstheme="majorHAnsi"/>
          <w:lang w:eastAsia="sq-AL"/>
        </w:rPr>
        <w:t xml:space="preserve">Procesverbalet e Kuvendit Komunal </w:t>
      </w:r>
    </w:p>
    <w:p w14:paraId="0330F0ED" w14:textId="77777777" w:rsidR="005069AA" w:rsidRPr="003A4180" w:rsidRDefault="005069AA" w:rsidP="005069AA">
      <w:pPr>
        <w:numPr>
          <w:ilvl w:val="0"/>
          <w:numId w:val="46"/>
        </w:numPr>
        <w:spacing w:before="100" w:beforeAutospacing="1" w:after="100" w:afterAutospacing="1" w:line="240" w:lineRule="auto"/>
        <w:jc w:val="left"/>
        <w:rPr>
          <w:rFonts w:asciiTheme="majorHAnsi" w:eastAsia="Times New Roman" w:hAnsiTheme="majorHAnsi" w:cstheme="majorHAnsi"/>
          <w:lang w:eastAsia="sq-AL"/>
        </w:rPr>
      </w:pPr>
      <w:r w:rsidRPr="003A4180">
        <w:rPr>
          <w:rFonts w:asciiTheme="majorHAnsi" w:eastAsia="Times New Roman" w:hAnsiTheme="majorHAnsi" w:cstheme="majorHAnsi"/>
          <w:lang w:eastAsia="sq-AL"/>
        </w:rPr>
        <w:t xml:space="preserve">Procesverbalet e Komitetit për Politikë dhe Financa </w:t>
      </w:r>
    </w:p>
    <w:p w14:paraId="07976A20" w14:textId="77777777" w:rsidR="005069AA" w:rsidRPr="003A4180" w:rsidRDefault="005069AA" w:rsidP="005069AA">
      <w:pPr>
        <w:numPr>
          <w:ilvl w:val="0"/>
          <w:numId w:val="46"/>
        </w:numPr>
        <w:spacing w:before="100" w:beforeAutospacing="1" w:after="100" w:afterAutospacing="1" w:line="240" w:lineRule="auto"/>
        <w:jc w:val="left"/>
        <w:rPr>
          <w:rFonts w:asciiTheme="majorHAnsi" w:eastAsia="Times New Roman" w:hAnsiTheme="majorHAnsi" w:cstheme="majorHAnsi"/>
          <w:lang w:eastAsia="sq-AL"/>
        </w:rPr>
      </w:pPr>
      <w:r w:rsidRPr="003A4180">
        <w:rPr>
          <w:rFonts w:asciiTheme="majorHAnsi" w:eastAsia="Times New Roman" w:hAnsiTheme="majorHAnsi" w:cstheme="majorHAnsi"/>
          <w:lang w:eastAsia="sq-AL"/>
        </w:rPr>
        <w:t xml:space="preserve">Procesverbalet e Komitetit për Komunitete </w:t>
      </w:r>
    </w:p>
    <w:p w14:paraId="56CEFFAE" w14:textId="77777777" w:rsidR="005069AA" w:rsidRPr="003A4180" w:rsidRDefault="005069AA" w:rsidP="005069AA">
      <w:pPr>
        <w:numPr>
          <w:ilvl w:val="0"/>
          <w:numId w:val="46"/>
        </w:numPr>
        <w:spacing w:before="100" w:beforeAutospacing="1" w:after="100" w:afterAutospacing="1" w:line="240" w:lineRule="auto"/>
        <w:jc w:val="left"/>
        <w:rPr>
          <w:rFonts w:asciiTheme="majorHAnsi" w:eastAsia="Times New Roman" w:hAnsiTheme="majorHAnsi" w:cstheme="majorHAnsi"/>
          <w:lang w:eastAsia="sq-AL"/>
        </w:rPr>
      </w:pPr>
      <w:r w:rsidRPr="003A4180">
        <w:rPr>
          <w:rFonts w:asciiTheme="majorHAnsi" w:eastAsia="Times New Roman" w:hAnsiTheme="majorHAnsi" w:cstheme="majorHAnsi"/>
          <w:lang w:eastAsia="sq-AL"/>
        </w:rPr>
        <w:t xml:space="preserve">Transmetimi </w:t>
      </w:r>
      <w:proofErr w:type="spellStart"/>
      <w:r w:rsidRPr="003A4180">
        <w:rPr>
          <w:rFonts w:asciiTheme="majorHAnsi" w:eastAsia="Times New Roman" w:hAnsiTheme="majorHAnsi" w:cstheme="majorHAnsi"/>
          <w:lang w:eastAsia="sq-AL"/>
        </w:rPr>
        <w:t>online</w:t>
      </w:r>
      <w:proofErr w:type="spellEnd"/>
      <w:r w:rsidRPr="003A4180">
        <w:rPr>
          <w:rFonts w:asciiTheme="majorHAnsi" w:eastAsia="Times New Roman" w:hAnsiTheme="majorHAnsi" w:cstheme="majorHAnsi"/>
          <w:lang w:eastAsia="sq-AL"/>
        </w:rPr>
        <w:t xml:space="preserve"> i mbledhjeve </w:t>
      </w:r>
    </w:p>
    <w:p w14:paraId="5E338D91" w14:textId="77777777" w:rsidR="005069AA" w:rsidRPr="003A4180" w:rsidRDefault="005069AA" w:rsidP="005069AA">
      <w:pPr>
        <w:numPr>
          <w:ilvl w:val="0"/>
          <w:numId w:val="46"/>
        </w:numPr>
        <w:spacing w:before="100" w:beforeAutospacing="1" w:after="100" w:afterAutospacing="1" w:line="240" w:lineRule="auto"/>
        <w:jc w:val="left"/>
        <w:rPr>
          <w:rFonts w:asciiTheme="majorHAnsi" w:eastAsia="Times New Roman" w:hAnsiTheme="majorHAnsi" w:cstheme="majorHAnsi"/>
          <w:lang w:eastAsia="sq-AL"/>
        </w:rPr>
      </w:pPr>
      <w:r w:rsidRPr="003A4180">
        <w:rPr>
          <w:rFonts w:asciiTheme="majorHAnsi" w:eastAsia="Times New Roman" w:hAnsiTheme="majorHAnsi" w:cstheme="majorHAnsi"/>
          <w:lang w:eastAsia="sq-AL"/>
        </w:rPr>
        <w:t xml:space="preserve">Plani i Punës së Kuvendit Komunal </w:t>
      </w:r>
    </w:p>
    <w:p w14:paraId="7ACADCA6" w14:textId="77777777" w:rsidR="005069AA" w:rsidRPr="003A4180" w:rsidRDefault="005069AA" w:rsidP="005069AA">
      <w:pPr>
        <w:numPr>
          <w:ilvl w:val="0"/>
          <w:numId w:val="46"/>
        </w:numPr>
        <w:spacing w:before="100" w:beforeAutospacing="1" w:after="100" w:afterAutospacing="1" w:line="240" w:lineRule="auto"/>
        <w:jc w:val="left"/>
        <w:rPr>
          <w:rFonts w:asciiTheme="majorHAnsi" w:eastAsia="Times New Roman" w:hAnsiTheme="majorHAnsi" w:cstheme="majorHAnsi"/>
          <w:lang w:eastAsia="sq-AL"/>
        </w:rPr>
      </w:pPr>
      <w:r w:rsidRPr="003A4180">
        <w:rPr>
          <w:rFonts w:asciiTheme="majorHAnsi" w:eastAsia="Times New Roman" w:hAnsiTheme="majorHAnsi" w:cstheme="majorHAnsi"/>
          <w:lang w:eastAsia="sq-AL"/>
        </w:rPr>
        <w:t xml:space="preserve">Plani vjetor i kryetarit </w:t>
      </w:r>
    </w:p>
    <w:p w14:paraId="537FB880" w14:textId="77777777" w:rsidR="005069AA" w:rsidRPr="003A4180" w:rsidRDefault="005069AA" w:rsidP="005069AA">
      <w:pPr>
        <w:numPr>
          <w:ilvl w:val="0"/>
          <w:numId w:val="46"/>
        </w:numPr>
        <w:spacing w:before="100" w:beforeAutospacing="1" w:after="100" w:afterAutospacing="1" w:line="240" w:lineRule="auto"/>
        <w:jc w:val="left"/>
        <w:rPr>
          <w:rFonts w:asciiTheme="majorHAnsi" w:eastAsia="Times New Roman" w:hAnsiTheme="majorHAnsi" w:cstheme="majorHAnsi"/>
          <w:lang w:eastAsia="sq-AL"/>
        </w:rPr>
      </w:pPr>
      <w:r w:rsidRPr="003A4180">
        <w:rPr>
          <w:rFonts w:asciiTheme="majorHAnsi" w:eastAsia="Times New Roman" w:hAnsiTheme="majorHAnsi" w:cstheme="majorHAnsi"/>
          <w:lang w:eastAsia="sq-AL"/>
        </w:rPr>
        <w:t xml:space="preserve">Raporti i kryetarit </w:t>
      </w:r>
    </w:p>
    <w:p w14:paraId="65D5EB6D" w14:textId="77777777" w:rsidR="005069AA" w:rsidRPr="003A4180" w:rsidRDefault="005069AA" w:rsidP="005069AA">
      <w:pPr>
        <w:numPr>
          <w:ilvl w:val="0"/>
          <w:numId w:val="46"/>
        </w:numPr>
        <w:spacing w:before="100" w:beforeAutospacing="1" w:after="100" w:afterAutospacing="1" w:line="240" w:lineRule="auto"/>
        <w:jc w:val="left"/>
        <w:rPr>
          <w:rFonts w:asciiTheme="majorHAnsi" w:eastAsia="Times New Roman" w:hAnsiTheme="majorHAnsi" w:cstheme="majorHAnsi"/>
          <w:lang w:eastAsia="sq-AL"/>
        </w:rPr>
      </w:pPr>
      <w:r w:rsidRPr="003A4180">
        <w:rPr>
          <w:rFonts w:asciiTheme="majorHAnsi" w:eastAsia="Times New Roman" w:hAnsiTheme="majorHAnsi" w:cstheme="majorHAnsi"/>
          <w:lang w:eastAsia="sq-AL"/>
        </w:rPr>
        <w:t xml:space="preserve">Raporti për qasje në dokumente publike </w:t>
      </w:r>
    </w:p>
    <w:p w14:paraId="5AB5A823" w14:textId="77777777" w:rsidR="005069AA" w:rsidRPr="003A4180" w:rsidRDefault="005069AA" w:rsidP="005069AA">
      <w:pPr>
        <w:numPr>
          <w:ilvl w:val="0"/>
          <w:numId w:val="46"/>
        </w:numPr>
        <w:spacing w:before="100" w:beforeAutospacing="1" w:after="100" w:afterAutospacing="1" w:line="240" w:lineRule="auto"/>
        <w:jc w:val="left"/>
        <w:rPr>
          <w:rFonts w:asciiTheme="majorHAnsi" w:eastAsia="Times New Roman" w:hAnsiTheme="majorHAnsi" w:cstheme="majorHAnsi"/>
          <w:lang w:eastAsia="sq-AL"/>
        </w:rPr>
      </w:pPr>
      <w:r w:rsidRPr="003A4180">
        <w:rPr>
          <w:rFonts w:asciiTheme="majorHAnsi" w:eastAsia="Times New Roman" w:hAnsiTheme="majorHAnsi" w:cstheme="majorHAnsi"/>
          <w:lang w:eastAsia="sq-AL"/>
        </w:rPr>
        <w:t xml:space="preserve">Plani i buxhetit </w:t>
      </w:r>
    </w:p>
    <w:p w14:paraId="06002401" w14:textId="77777777" w:rsidR="005069AA" w:rsidRPr="003A4180" w:rsidRDefault="005069AA" w:rsidP="005069AA">
      <w:pPr>
        <w:numPr>
          <w:ilvl w:val="0"/>
          <w:numId w:val="46"/>
        </w:numPr>
        <w:spacing w:before="100" w:beforeAutospacing="1" w:after="100" w:afterAutospacing="1" w:line="240" w:lineRule="auto"/>
        <w:jc w:val="left"/>
        <w:rPr>
          <w:rFonts w:asciiTheme="majorHAnsi" w:eastAsia="Times New Roman" w:hAnsiTheme="majorHAnsi" w:cstheme="majorHAnsi"/>
          <w:lang w:eastAsia="sq-AL"/>
        </w:rPr>
      </w:pPr>
      <w:r w:rsidRPr="003A4180">
        <w:rPr>
          <w:rFonts w:asciiTheme="majorHAnsi" w:eastAsia="Times New Roman" w:hAnsiTheme="majorHAnsi" w:cstheme="majorHAnsi"/>
          <w:lang w:eastAsia="sq-AL"/>
        </w:rPr>
        <w:t xml:space="preserve">KAB (Korniza Afatmesme Buxhetore) </w:t>
      </w:r>
    </w:p>
    <w:p w14:paraId="4E71F34F" w14:textId="77777777" w:rsidR="005069AA" w:rsidRPr="003A4180" w:rsidRDefault="005069AA" w:rsidP="005069AA">
      <w:pPr>
        <w:numPr>
          <w:ilvl w:val="0"/>
          <w:numId w:val="46"/>
        </w:numPr>
        <w:spacing w:before="100" w:beforeAutospacing="1" w:after="100" w:afterAutospacing="1" w:line="240" w:lineRule="auto"/>
        <w:jc w:val="left"/>
        <w:rPr>
          <w:rFonts w:asciiTheme="majorHAnsi" w:eastAsia="Times New Roman" w:hAnsiTheme="majorHAnsi" w:cstheme="majorHAnsi"/>
          <w:lang w:eastAsia="sq-AL"/>
        </w:rPr>
      </w:pPr>
      <w:r w:rsidRPr="003A4180">
        <w:rPr>
          <w:rFonts w:asciiTheme="majorHAnsi" w:eastAsia="Times New Roman" w:hAnsiTheme="majorHAnsi" w:cstheme="majorHAnsi"/>
          <w:lang w:eastAsia="sq-AL"/>
        </w:rPr>
        <w:t xml:space="preserve">Raportet periodike financiare </w:t>
      </w:r>
    </w:p>
    <w:p w14:paraId="048FF957" w14:textId="77777777" w:rsidR="005069AA" w:rsidRPr="003A4180" w:rsidRDefault="005069AA" w:rsidP="005069AA">
      <w:pPr>
        <w:numPr>
          <w:ilvl w:val="0"/>
          <w:numId w:val="46"/>
        </w:numPr>
        <w:spacing w:before="100" w:beforeAutospacing="1" w:after="100" w:afterAutospacing="1" w:line="240" w:lineRule="auto"/>
        <w:jc w:val="left"/>
        <w:rPr>
          <w:rFonts w:asciiTheme="majorHAnsi" w:eastAsia="Times New Roman" w:hAnsiTheme="majorHAnsi" w:cstheme="majorHAnsi"/>
          <w:lang w:eastAsia="sq-AL"/>
        </w:rPr>
      </w:pPr>
      <w:r w:rsidRPr="003A4180">
        <w:rPr>
          <w:rFonts w:asciiTheme="majorHAnsi" w:eastAsia="Times New Roman" w:hAnsiTheme="majorHAnsi" w:cstheme="majorHAnsi"/>
          <w:lang w:eastAsia="sq-AL"/>
        </w:rPr>
        <w:t xml:space="preserve">Raporti vjetor financiar </w:t>
      </w:r>
    </w:p>
    <w:p w14:paraId="225D37B4" w14:textId="77777777" w:rsidR="005069AA" w:rsidRPr="003A4180" w:rsidRDefault="005069AA" w:rsidP="005069AA">
      <w:pPr>
        <w:numPr>
          <w:ilvl w:val="0"/>
          <w:numId w:val="46"/>
        </w:numPr>
        <w:spacing w:before="100" w:beforeAutospacing="1" w:after="100" w:afterAutospacing="1" w:line="240" w:lineRule="auto"/>
        <w:jc w:val="left"/>
        <w:rPr>
          <w:rFonts w:asciiTheme="majorHAnsi" w:eastAsia="Times New Roman" w:hAnsiTheme="majorHAnsi" w:cstheme="majorHAnsi"/>
          <w:lang w:eastAsia="sq-AL"/>
        </w:rPr>
      </w:pPr>
      <w:r w:rsidRPr="003A4180">
        <w:rPr>
          <w:rFonts w:asciiTheme="majorHAnsi" w:eastAsia="Times New Roman" w:hAnsiTheme="majorHAnsi" w:cstheme="majorHAnsi"/>
          <w:lang w:eastAsia="sq-AL"/>
        </w:rPr>
        <w:t xml:space="preserve">Investimet kapitale </w:t>
      </w:r>
    </w:p>
    <w:p w14:paraId="6D2EB799" w14:textId="77777777" w:rsidR="005069AA" w:rsidRPr="003A4180" w:rsidRDefault="005069AA" w:rsidP="005069AA">
      <w:pPr>
        <w:numPr>
          <w:ilvl w:val="0"/>
          <w:numId w:val="46"/>
        </w:numPr>
        <w:spacing w:before="100" w:beforeAutospacing="1" w:after="100" w:afterAutospacing="1" w:line="240" w:lineRule="auto"/>
        <w:jc w:val="left"/>
        <w:rPr>
          <w:rFonts w:asciiTheme="majorHAnsi" w:eastAsia="Times New Roman" w:hAnsiTheme="majorHAnsi" w:cstheme="majorHAnsi"/>
          <w:lang w:eastAsia="sq-AL"/>
        </w:rPr>
      </w:pPr>
      <w:r w:rsidRPr="003A4180">
        <w:rPr>
          <w:rFonts w:asciiTheme="majorHAnsi" w:eastAsia="Times New Roman" w:hAnsiTheme="majorHAnsi" w:cstheme="majorHAnsi"/>
          <w:lang w:eastAsia="sq-AL"/>
        </w:rPr>
        <w:t xml:space="preserve">Plani i prokurimit publik </w:t>
      </w:r>
    </w:p>
    <w:p w14:paraId="3446662A" w14:textId="77777777" w:rsidR="005069AA" w:rsidRPr="003A4180" w:rsidRDefault="005069AA" w:rsidP="005069AA">
      <w:pPr>
        <w:numPr>
          <w:ilvl w:val="0"/>
          <w:numId w:val="46"/>
        </w:numPr>
        <w:spacing w:before="100" w:beforeAutospacing="1" w:after="100" w:afterAutospacing="1" w:line="240" w:lineRule="auto"/>
        <w:jc w:val="left"/>
        <w:rPr>
          <w:rFonts w:asciiTheme="majorHAnsi" w:eastAsia="Times New Roman" w:hAnsiTheme="majorHAnsi" w:cstheme="majorHAnsi"/>
          <w:lang w:eastAsia="sq-AL"/>
        </w:rPr>
      </w:pPr>
      <w:r w:rsidRPr="003A4180">
        <w:rPr>
          <w:rFonts w:asciiTheme="majorHAnsi" w:eastAsia="Times New Roman" w:hAnsiTheme="majorHAnsi" w:cstheme="majorHAnsi"/>
          <w:lang w:eastAsia="sq-AL"/>
        </w:rPr>
        <w:t xml:space="preserve">Raporti i prokurimit publik </w:t>
      </w:r>
    </w:p>
    <w:p w14:paraId="0BCA1D39" w14:textId="77777777" w:rsidR="005069AA" w:rsidRPr="003A4180" w:rsidRDefault="005069AA" w:rsidP="005069AA">
      <w:pPr>
        <w:numPr>
          <w:ilvl w:val="0"/>
          <w:numId w:val="46"/>
        </w:numPr>
        <w:spacing w:before="100" w:beforeAutospacing="1" w:after="100" w:afterAutospacing="1" w:line="240" w:lineRule="auto"/>
        <w:jc w:val="left"/>
        <w:rPr>
          <w:rFonts w:asciiTheme="majorHAnsi" w:eastAsia="Times New Roman" w:hAnsiTheme="majorHAnsi" w:cstheme="majorHAnsi"/>
          <w:lang w:eastAsia="sq-AL"/>
        </w:rPr>
      </w:pPr>
      <w:r w:rsidRPr="003A4180">
        <w:rPr>
          <w:rFonts w:asciiTheme="majorHAnsi" w:eastAsia="Times New Roman" w:hAnsiTheme="majorHAnsi" w:cstheme="majorHAnsi"/>
          <w:lang w:eastAsia="sq-AL"/>
        </w:rPr>
        <w:t xml:space="preserve">Planifikimi i konsultimeve publike </w:t>
      </w:r>
    </w:p>
    <w:p w14:paraId="44B76867" w14:textId="3A5A78D0" w:rsidR="005069AA" w:rsidRPr="005069AA" w:rsidRDefault="005069AA" w:rsidP="005069AA">
      <w:pPr>
        <w:numPr>
          <w:ilvl w:val="0"/>
          <w:numId w:val="46"/>
        </w:numPr>
        <w:spacing w:before="100" w:beforeAutospacing="1" w:after="100" w:afterAutospacing="1" w:line="240" w:lineRule="auto"/>
        <w:jc w:val="left"/>
        <w:rPr>
          <w:rFonts w:ascii="Times New Roman" w:eastAsia="Times New Roman" w:hAnsi="Times New Roman" w:cs="Times New Roman"/>
          <w:sz w:val="24"/>
          <w:szCs w:val="24"/>
          <w:lang w:eastAsia="sq-AL"/>
        </w:rPr>
      </w:pPr>
      <w:r w:rsidRPr="003A4180">
        <w:rPr>
          <w:rFonts w:asciiTheme="majorHAnsi" w:eastAsia="Times New Roman" w:hAnsiTheme="majorHAnsi" w:cstheme="majorHAnsi"/>
          <w:lang w:eastAsia="sq-AL"/>
        </w:rPr>
        <w:t>Raporti për konsultime publike</w:t>
      </w:r>
      <w:r w:rsidRPr="003A4180">
        <w:rPr>
          <w:rFonts w:ascii="Times New Roman" w:eastAsia="Times New Roman" w:hAnsi="Times New Roman" w:cs="Times New Roman"/>
          <w:lang w:eastAsia="sq-AL"/>
        </w:rPr>
        <w:t xml:space="preserve"> </w:t>
      </w:r>
    </w:p>
    <w:p w14:paraId="28E17792" w14:textId="77777777" w:rsidR="00A475ED" w:rsidRPr="009D6147" w:rsidRDefault="00A475ED" w:rsidP="00173A2F">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eastAsia="Times New Roman" w:hAnsiTheme="majorHAnsi" w:cstheme="majorHAnsi"/>
          <w:lang w:eastAsia="en-GB"/>
        </w:rPr>
        <w:t xml:space="preserve">Në përfundim, pavarësisht përmirësimeve në infrastrukturën digjitale, përfshirë </w:t>
      </w:r>
      <w:proofErr w:type="spellStart"/>
      <w:r w:rsidRPr="009D6147">
        <w:rPr>
          <w:rFonts w:asciiTheme="majorHAnsi" w:eastAsia="Times New Roman" w:hAnsiTheme="majorHAnsi" w:cstheme="majorHAnsi"/>
          <w:lang w:eastAsia="en-GB"/>
        </w:rPr>
        <w:t>lansimin</w:t>
      </w:r>
      <w:proofErr w:type="spellEnd"/>
      <w:r w:rsidRPr="009D6147">
        <w:rPr>
          <w:rFonts w:asciiTheme="majorHAnsi" w:eastAsia="Times New Roman" w:hAnsiTheme="majorHAnsi" w:cstheme="majorHAnsi"/>
          <w:lang w:eastAsia="en-GB"/>
        </w:rPr>
        <w:t xml:space="preserve"> e ueb-faqeve të reja komunale, të dhënat për vitin 2025 tregojnë se niveli i transparencës mbetet i pamjaftueshëm. Kjo kërkon angazhim më të madh institucional dhe zbatim më rigoroz të legjislacionit në fuqi, me qëllim të garantimit të qasjes së qytetarëve në informacion publik dhe rritjes së llogaridhënies në nivel lokal.</w:t>
      </w:r>
    </w:p>
    <w:p w14:paraId="0AA93F4C" w14:textId="4DE88B5B" w:rsidR="0011684F" w:rsidRPr="009D6147" w:rsidRDefault="0011684F" w:rsidP="00173A2F">
      <w:pPr>
        <w:spacing w:after="240" w:line="276" w:lineRule="auto"/>
        <w:rPr>
          <w:rFonts w:asciiTheme="majorHAnsi" w:hAnsiTheme="majorHAnsi" w:cstheme="majorHAnsi"/>
          <w:i/>
        </w:rPr>
      </w:pPr>
    </w:p>
    <w:p w14:paraId="143E45AE" w14:textId="2363C761" w:rsidR="0011684F" w:rsidRPr="009D6147" w:rsidRDefault="0011684F" w:rsidP="00173A2F">
      <w:pPr>
        <w:spacing w:before="100" w:beforeAutospacing="1" w:after="100" w:afterAutospacing="1" w:line="276" w:lineRule="auto"/>
        <w:rPr>
          <w:rFonts w:asciiTheme="majorHAnsi" w:eastAsia="Times New Roman" w:hAnsiTheme="majorHAnsi" w:cstheme="majorHAnsi"/>
          <w:lang w:eastAsia="en-GB"/>
        </w:rPr>
      </w:pPr>
    </w:p>
    <w:p w14:paraId="6D36F5C0" w14:textId="5E4C3ECD" w:rsidR="0011684F" w:rsidRPr="009D6147" w:rsidRDefault="0011684F" w:rsidP="00173A2F">
      <w:pPr>
        <w:spacing w:after="240" w:line="276" w:lineRule="auto"/>
        <w:rPr>
          <w:rFonts w:asciiTheme="majorHAnsi" w:hAnsiTheme="majorHAnsi" w:cstheme="majorHAnsi"/>
          <w:i/>
        </w:rPr>
      </w:pPr>
    </w:p>
    <w:p w14:paraId="2E121AF0" w14:textId="77777777" w:rsidR="00A475ED" w:rsidRPr="009D6147" w:rsidRDefault="00A475ED" w:rsidP="00173A2F">
      <w:pPr>
        <w:spacing w:after="240" w:line="276" w:lineRule="auto"/>
        <w:rPr>
          <w:rFonts w:asciiTheme="majorHAnsi" w:hAnsiTheme="majorHAnsi" w:cstheme="majorHAnsi"/>
          <w:i/>
        </w:rPr>
      </w:pPr>
    </w:p>
    <w:p w14:paraId="49CF6316" w14:textId="0BCA44F3" w:rsidR="0011684F" w:rsidRPr="009D6147" w:rsidRDefault="0011684F" w:rsidP="00173A2F">
      <w:pPr>
        <w:spacing w:after="240" w:line="276" w:lineRule="auto"/>
        <w:rPr>
          <w:rFonts w:asciiTheme="majorHAnsi" w:hAnsiTheme="majorHAnsi" w:cstheme="majorHAnsi"/>
          <w:i/>
        </w:rPr>
      </w:pPr>
    </w:p>
    <w:p w14:paraId="69C3E78E" w14:textId="10B14761" w:rsidR="0011684F" w:rsidRPr="009D6147" w:rsidRDefault="0011684F" w:rsidP="0011684F">
      <w:pPr>
        <w:spacing w:after="240" w:line="276" w:lineRule="auto"/>
        <w:rPr>
          <w:rFonts w:asciiTheme="majorHAnsi" w:hAnsiTheme="majorHAnsi" w:cstheme="majorHAnsi"/>
          <w:i/>
        </w:rPr>
      </w:pPr>
    </w:p>
    <w:p w14:paraId="7C0C04A3" w14:textId="110F61CF" w:rsidR="0011684F" w:rsidRPr="009D6147" w:rsidRDefault="0011684F" w:rsidP="00A70BC5">
      <w:pPr>
        <w:spacing w:after="240" w:line="276" w:lineRule="auto"/>
        <w:rPr>
          <w:rFonts w:asciiTheme="majorHAnsi" w:hAnsiTheme="majorHAnsi" w:cstheme="majorHAnsi"/>
          <w:i/>
          <w:sz w:val="16"/>
          <w:szCs w:val="16"/>
        </w:rPr>
      </w:pPr>
    </w:p>
    <w:bookmarkEnd w:id="70"/>
    <w:p w14:paraId="0D5DB719" w14:textId="77777777" w:rsidR="00AA12E0" w:rsidRPr="009D6147" w:rsidRDefault="00AA12E0" w:rsidP="00A70BC5">
      <w:pPr>
        <w:pStyle w:val="Style3"/>
        <w:spacing w:line="276" w:lineRule="auto"/>
        <w:rPr>
          <w:rFonts w:cstheme="majorHAnsi"/>
          <w:color w:val="auto"/>
          <w:sz w:val="22"/>
          <w:szCs w:val="22"/>
        </w:rPr>
      </w:pPr>
    </w:p>
    <w:bookmarkEnd w:id="0"/>
    <w:p w14:paraId="5F45F5B9" w14:textId="77777777" w:rsidR="00026342" w:rsidRPr="009D6147" w:rsidRDefault="00026342" w:rsidP="00A70BC5">
      <w:pPr>
        <w:spacing w:after="0" w:line="276" w:lineRule="auto"/>
        <w:rPr>
          <w:rFonts w:asciiTheme="majorHAnsi" w:eastAsia="MS Mincho" w:hAnsiTheme="majorHAnsi" w:cstheme="majorHAnsi"/>
        </w:rPr>
      </w:pPr>
    </w:p>
    <w:p w14:paraId="01D58497" w14:textId="77777777" w:rsidR="00A433A2" w:rsidRPr="009D6147" w:rsidRDefault="00A433A2">
      <w:pPr>
        <w:spacing w:after="0" w:line="276" w:lineRule="auto"/>
        <w:rPr>
          <w:rFonts w:asciiTheme="majorHAnsi" w:eastAsia="MS Mincho" w:hAnsiTheme="majorHAnsi" w:cstheme="majorHAnsi"/>
        </w:rPr>
      </w:pPr>
    </w:p>
    <w:sectPr w:rsidR="00A433A2" w:rsidRPr="009D6147" w:rsidSect="00D85874">
      <w:type w:val="continuous"/>
      <w:pgSz w:w="11906" w:h="16838"/>
      <w:pgMar w:top="1920" w:right="1440" w:bottom="1710" w:left="1440" w:header="720" w:footer="1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58A71" w14:textId="77777777" w:rsidR="00D04369" w:rsidRDefault="00D04369" w:rsidP="00455D29">
      <w:pPr>
        <w:spacing w:after="0" w:line="240" w:lineRule="auto"/>
      </w:pPr>
      <w:r>
        <w:separator/>
      </w:r>
    </w:p>
  </w:endnote>
  <w:endnote w:type="continuationSeparator" w:id="0">
    <w:p w14:paraId="57A958F1" w14:textId="77777777" w:rsidR="00D04369" w:rsidRDefault="00D04369" w:rsidP="00455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eXGyrePagella">
    <w:altName w:val="Times New Roman"/>
    <w:charset w:val="00"/>
    <w:family w:val="auto"/>
    <w:pitch w:val="variable"/>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ntenna Light">
    <w:panose1 w:val="00000000000000000000"/>
    <w:charset w:val="00"/>
    <w:family w:val="modern"/>
    <w:notTrueType/>
    <w:pitch w:val="variable"/>
    <w:sig w:usb0="800000AF" w:usb1="5000204A"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B2109" w14:textId="77777777" w:rsidR="00141440" w:rsidRDefault="00141440">
    <w:pPr>
      <w:pStyle w:val="Footer"/>
      <w:rPr>
        <w:lang w:val="en-US"/>
      </w:rPr>
    </w:pPr>
  </w:p>
  <w:p w14:paraId="17CF38CE" w14:textId="77777777" w:rsidR="00141440" w:rsidRDefault="00141440">
    <w:pPr>
      <w:pStyle w:val="Footer"/>
    </w:pPr>
    <w:r>
      <w:rPr>
        <w:noProof/>
        <w:lang w:eastAsia="sq-AL"/>
      </w:rPr>
      <mc:AlternateContent>
        <mc:Choice Requires="wpg">
          <w:drawing>
            <wp:anchor distT="0" distB="0" distL="114300" distR="114300" simplePos="0" relativeHeight="251661312" behindDoc="0" locked="0" layoutInCell="1" allowOverlap="1" wp14:anchorId="2CDE6013" wp14:editId="6A188CE5">
              <wp:simplePos x="0" y="0"/>
              <wp:positionH relativeFrom="margin">
                <wp:posOffset>4767920</wp:posOffset>
              </wp:positionH>
              <wp:positionV relativeFrom="paragraph">
                <wp:posOffset>98425</wp:posOffset>
              </wp:positionV>
              <wp:extent cx="894907" cy="361507"/>
              <wp:effectExtent l="0" t="0" r="635" b="635"/>
              <wp:wrapNone/>
              <wp:docPr id="22" name="Group 22"/>
              <wp:cNvGraphicFramePr/>
              <a:graphic xmlns:a="http://schemas.openxmlformats.org/drawingml/2006/main">
                <a:graphicData uri="http://schemas.microsoft.com/office/word/2010/wordprocessingGroup">
                  <wpg:wgp>
                    <wpg:cNvGrpSpPr/>
                    <wpg:grpSpPr>
                      <a:xfrm>
                        <a:off x="0" y="0"/>
                        <a:ext cx="894907" cy="361507"/>
                        <a:chOff x="0" y="0"/>
                        <a:chExt cx="1282804" cy="518615"/>
                      </a:xfrm>
                    </wpg:grpSpPr>
                    <wps:wsp>
                      <wps:cNvPr id="23" name="Oval 13"/>
                      <wps:cNvSpPr/>
                      <wps:spPr>
                        <a:xfrm>
                          <a:off x="1071349" y="307075"/>
                          <a:ext cx="211455" cy="211455"/>
                        </a:xfrm>
                        <a:prstGeom prst="ellips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14"/>
                      <wps:cNvSpPr/>
                      <wps:spPr>
                        <a:xfrm>
                          <a:off x="723331" y="307075"/>
                          <a:ext cx="211540" cy="21154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368489" y="307075"/>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0" y="307075"/>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0" y="6824"/>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361666" y="6824"/>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723331" y="0"/>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1071349" y="0"/>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1C98D4" id="Group 22" o:spid="_x0000_s1026" style="position:absolute;margin-left:375.45pt;margin-top:7.75pt;width:70.45pt;height:28.45pt;z-index:251661312;mso-position-horizontal-relative:margin;mso-width-relative:margin;mso-height-relative:margin" coordsize="12828,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">
              <v:oval id="Oval 13" o:spid="_x0000_s1027" style="position:absolute;left:10713;top:3070;width:2115;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" fillcolor="#1f3763 [1608]" stroked="f" strokeweight="1pt">
                <v:stroke joinstyle="miter"/>
              </v:oval>
              <v:oval id="Oval 14" o:spid="_x0000_s1028" style="position:absolute;left:7233;top:3070;width:2115;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" fillcolor="#ffc000" stroked="f" strokeweight="1pt">
                <v:stroke joinstyle="miter"/>
              </v:oval>
              <v:oval id="Oval 25" o:spid="_x0000_s1029" style="position:absolute;left:3684;top:3070;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" fillcolor="#d8d8d8 [2732]" stroked="f" strokeweight="1pt">
                <v:stroke joinstyle="miter"/>
              </v:oval>
              <v:oval id="Oval 26" o:spid="_x0000_s1030" style="position:absolute;top:3070;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" fillcolor="#d8d8d8 [2732]" stroked="f" strokeweight="1pt">
                <v:stroke joinstyle="miter"/>
              </v:oval>
              <v:oval id="Oval 27" o:spid="_x0000_s1031" style="position:absolute;top:68;width:2114;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" fillcolor="#d8d8d8 [2732]" stroked="f" strokeweight="1pt">
                <v:stroke joinstyle="miter"/>
              </v:oval>
              <v:oval id="Oval 28" o:spid="_x0000_s1032" style="position:absolute;left:3616;top:68;width:2116;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" fillcolor="#d8d8d8 [2732]" stroked="f" strokeweight="1pt">
                <v:stroke joinstyle="miter"/>
              </v:oval>
              <v:oval id="Oval 29" o:spid="_x0000_s1033" style="position:absolute;left:7233;width:2115;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" fillcolor="#d8d8d8 [2732]" stroked="f" strokeweight="1pt">
                <v:stroke joinstyle="miter"/>
              </v:oval>
              <v:oval id="Oval 30" o:spid="_x0000_s1034" style="position:absolute;left:10713;width:2115;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" fillcolor="#d8d8d8 [2732]" stroked="f" strokeweight="1pt">
                <v:stroke joinstyle="miter"/>
              </v:oval>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C3E2D" w14:textId="77777777" w:rsidR="00D04369" w:rsidRDefault="00D04369" w:rsidP="00455D29">
      <w:pPr>
        <w:spacing w:after="0" w:line="240" w:lineRule="auto"/>
      </w:pPr>
      <w:r>
        <w:separator/>
      </w:r>
    </w:p>
  </w:footnote>
  <w:footnote w:type="continuationSeparator" w:id="0">
    <w:p w14:paraId="31350411" w14:textId="77777777" w:rsidR="00D04369" w:rsidRDefault="00D04369" w:rsidP="00455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4461490"/>
      <w:docPartObj>
        <w:docPartGallery w:val="Page Numbers (Top of Page)"/>
        <w:docPartUnique/>
      </w:docPartObj>
    </w:sdtPr>
    <w:sdtEndPr/>
    <w:sdtContent>
      <w:p w14:paraId="3D9BE94F" w14:textId="77777777" w:rsidR="00141440" w:rsidRDefault="00141440">
        <w:pPr>
          <w:pStyle w:val="Header"/>
          <w:jc w:val="center"/>
        </w:pPr>
        <w:r>
          <w:rPr>
            <w:noProof/>
            <w:lang w:eastAsia="sq-AL"/>
          </w:rPr>
          <mc:AlternateContent>
            <mc:Choice Requires="wpg">
              <w:drawing>
                <wp:anchor distT="0" distB="0" distL="114300" distR="114300" simplePos="0" relativeHeight="251659264" behindDoc="0" locked="0" layoutInCell="1" allowOverlap="1" wp14:anchorId="207763AC" wp14:editId="1F37705D">
                  <wp:simplePos x="0" y="0"/>
                  <wp:positionH relativeFrom="column">
                    <wp:posOffset>0</wp:posOffset>
                  </wp:positionH>
                  <wp:positionV relativeFrom="paragraph">
                    <wp:posOffset>0</wp:posOffset>
                  </wp:positionV>
                  <wp:extent cx="1282804" cy="518615"/>
                  <wp:effectExtent l="0" t="0" r="0" b="0"/>
                  <wp:wrapNone/>
                  <wp:docPr id="13" name="Group 13"/>
                  <wp:cNvGraphicFramePr/>
                  <a:graphic xmlns:a="http://schemas.openxmlformats.org/drawingml/2006/main">
                    <a:graphicData uri="http://schemas.microsoft.com/office/word/2010/wordprocessingGroup">
                      <wpg:wgp>
                        <wpg:cNvGrpSpPr/>
                        <wpg:grpSpPr>
                          <a:xfrm>
                            <a:off x="0" y="0"/>
                            <a:ext cx="1282804" cy="518615"/>
                            <a:chOff x="0" y="0"/>
                            <a:chExt cx="1282804" cy="518615"/>
                          </a:xfrm>
                        </wpg:grpSpPr>
                        <wps:wsp>
                          <wps:cNvPr id="14" name="Oval 13"/>
                          <wps:cNvSpPr/>
                          <wps:spPr>
                            <a:xfrm>
                              <a:off x="1071349" y="307075"/>
                              <a:ext cx="211455" cy="211455"/>
                            </a:xfrm>
                            <a:prstGeom prst="ellips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4"/>
                          <wps:cNvSpPr/>
                          <wps:spPr>
                            <a:xfrm>
                              <a:off x="723331" y="307075"/>
                              <a:ext cx="211540" cy="21154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368489" y="307075"/>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0" y="307075"/>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0" y="6824"/>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361666" y="6824"/>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723331" y="0"/>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1071349" y="0"/>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482E8A" id="Group 13" o:spid="_x0000_s1026" style="position:absolute;margin-left:0;margin-top:0;width:101pt;height:40.85pt;z-index:251659264" coordsize="12828,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">
                  <v:oval id="Oval 13" o:spid="_x0000_s1027" style="position:absolute;left:10713;top:3070;width:2115;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" fillcolor="#1f3763 [1608]" stroked="f" strokeweight="1pt">
                    <v:stroke joinstyle="miter"/>
                  </v:oval>
                  <v:oval id="Oval 14" o:spid="_x0000_s1028" style="position:absolute;left:7233;top:3070;width:2115;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" fillcolor="#ffc000" stroked="f" strokeweight="1pt">
                    <v:stroke joinstyle="miter"/>
                  </v:oval>
                  <v:oval id="Oval 16" o:spid="_x0000_s1029" style="position:absolute;left:3684;top:3070;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" fillcolor="#d8d8d8 [2732]" stroked="f" strokeweight="1pt">
                    <v:stroke joinstyle="miter"/>
                  </v:oval>
                  <v:oval id="Oval 17" o:spid="_x0000_s1030" style="position:absolute;top:3070;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" fillcolor="#d8d8d8 [2732]" stroked="f" strokeweight="1pt">
                    <v:stroke joinstyle="miter"/>
                  </v:oval>
                  <v:oval id="Oval 18" o:spid="_x0000_s1031" style="position:absolute;top:68;width:2114;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" fillcolor="#d8d8d8 [2732]" stroked="f" strokeweight="1pt">
                    <v:stroke joinstyle="miter"/>
                  </v:oval>
                  <v:oval id="Oval 19" o:spid="_x0000_s1032" style="position:absolute;left:3616;top:68;width:2116;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" fillcolor="#d8d8d8 [2732]" stroked="f" strokeweight="1pt">
                    <v:stroke joinstyle="miter"/>
                  </v:oval>
                  <v:oval id="Oval 20" o:spid="_x0000_s1033" style="position:absolute;left:7233;width:2115;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" fillcolor="#d8d8d8 [2732]" stroked="f" strokeweight="1pt">
                    <v:stroke joinstyle="miter"/>
                  </v:oval>
                  <v:oval id="Oval 21" o:spid="_x0000_s1034" style="position:absolute;left:10713;width:2115;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" fillcolor="#d8d8d8 [2732]" stroked="f" strokeweight="1pt">
                    <v:stroke joinstyle="miter"/>
                  </v:oval>
                </v:group>
              </w:pict>
            </mc:Fallback>
          </mc:AlternateContent>
        </w:r>
      </w:p>
      <w:p w14:paraId="21525E3B" w14:textId="77777777" w:rsidR="00141440" w:rsidRDefault="00141440">
        <w:pPr>
          <w:pStyle w:val="Header"/>
          <w:jc w:val="center"/>
        </w:pPr>
      </w:p>
      <w:p w14:paraId="6FF5D1CD" w14:textId="77777777" w:rsidR="00141440" w:rsidRDefault="00141440">
        <w:pPr>
          <w:pStyle w:val="Header"/>
          <w:jc w:val="center"/>
        </w:pPr>
        <w:r>
          <w:fldChar w:fldCharType="begin"/>
        </w:r>
        <w:r>
          <w:instrText xml:space="preserve"> PAGE   \* MERGEFORMAT </w:instrText>
        </w:r>
        <w:r>
          <w:fldChar w:fldCharType="separate"/>
        </w:r>
        <w:r w:rsidR="00A3226E">
          <w:rPr>
            <w:noProof/>
          </w:rPr>
          <w:t>39</w:t>
        </w:r>
        <w:r>
          <w:fldChar w:fldCharType="end"/>
        </w:r>
      </w:p>
    </w:sdtContent>
  </w:sdt>
  <w:p w14:paraId="447E938B" w14:textId="77777777" w:rsidR="00141440" w:rsidRDefault="001414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77AB3"/>
    <w:multiLevelType w:val="multilevel"/>
    <w:tmpl w:val="D5A6E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B81C0C"/>
    <w:multiLevelType w:val="multilevel"/>
    <w:tmpl w:val="8208D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A3387"/>
    <w:multiLevelType w:val="multilevel"/>
    <w:tmpl w:val="DFAEB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2F2BF5"/>
    <w:multiLevelType w:val="multilevel"/>
    <w:tmpl w:val="1930C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A561B9"/>
    <w:multiLevelType w:val="multilevel"/>
    <w:tmpl w:val="6686A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EA4270"/>
    <w:multiLevelType w:val="multilevel"/>
    <w:tmpl w:val="58004F7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BA0C98"/>
    <w:multiLevelType w:val="multilevel"/>
    <w:tmpl w:val="B4AA5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F624C0"/>
    <w:multiLevelType w:val="multilevel"/>
    <w:tmpl w:val="1296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9C1E62"/>
    <w:multiLevelType w:val="multilevel"/>
    <w:tmpl w:val="B0066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E95192"/>
    <w:multiLevelType w:val="hybridMultilevel"/>
    <w:tmpl w:val="070CC382"/>
    <w:lvl w:ilvl="0" w:tplc="305EF3F4">
      <w:start w:val="1"/>
      <w:numFmt w:val="bullet"/>
      <w:lvlText w:val="-"/>
      <w:lvlJc w:val="left"/>
      <w:pPr>
        <w:ind w:left="540" w:hanging="360"/>
      </w:pPr>
      <w:rPr>
        <w:rFonts w:ascii="Calibri Light" w:eastAsiaTheme="minorHAnsi" w:hAnsi="Calibri Light" w:cs="Calibri Light"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15:restartNumberingAfterBreak="0">
    <w:nsid w:val="291D6D72"/>
    <w:multiLevelType w:val="multilevel"/>
    <w:tmpl w:val="EF425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B8508D"/>
    <w:multiLevelType w:val="multilevel"/>
    <w:tmpl w:val="DC5E9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F43E56"/>
    <w:multiLevelType w:val="multilevel"/>
    <w:tmpl w:val="49B04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49600E"/>
    <w:multiLevelType w:val="multilevel"/>
    <w:tmpl w:val="A132A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E618D7"/>
    <w:multiLevelType w:val="multilevel"/>
    <w:tmpl w:val="46688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AE609C"/>
    <w:multiLevelType w:val="multilevel"/>
    <w:tmpl w:val="2736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1C3663"/>
    <w:multiLevelType w:val="multilevel"/>
    <w:tmpl w:val="810C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5F3FAB"/>
    <w:multiLevelType w:val="multilevel"/>
    <w:tmpl w:val="7F14C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290236"/>
    <w:multiLevelType w:val="multilevel"/>
    <w:tmpl w:val="F3C43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002506"/>
    <w:multiLevelType w:val="multilevel"/>
    <w:tmpl w:val="1AE8A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D92252"/>
    <w:multiLevelType w:val="hybridMultilevel"/>
    <w:tmpl w:val="B5CA78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AF24CF"/>
    <w:multiLevelType w:val="multilevel"/>
    <w:tmpl w:val="B65A3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4B1D37"/>
    <w:multiLevelType w:val="multilevel"/>
    <w:tmpl w:val="2018B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593797"/>
    <w:multiLevelType w:val="multilevel"/>
    <w:tmpl w:val="A88E0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645A1E"/>
    <w:multiLevelType w:val="multilevel"/>
    <w:tmpl w:val="DF266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B56715"/>
    <w:multiLevelType w:val="multilevel"/>
    <w:tmpl w:val="CF0A7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EE0EB2"/>
    <w:multiLevelType w:val="multilevel"/>
    <w:tmpl w:val="D8B05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330F13"/>
    <w:multiLevelType w:val="multilevel"/>
    <w:tmpl w:val="E0440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DA3264"/>
    <w:multiLevelType w:val="multilevel"/>
    <w:tmpl w:val="B32A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01660A"/>
    <w:multiLevelType w:val="multilevel"/>
    <w:tmpl w:val="A2AE8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0C0465"/>
    <w:multiLevelType w:val="multilevel"/>
    <w:tmpl w:val="9A764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2C5768"/>
    <w:multiLevelType w:val="multilevel"/>
    <w:tmpl w:val="D6D64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AD723D"/>
    <w:multiLevelType w:val="multilevel"/>
    <w:tmpl w:val="AAC82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C63157"/>
    <w:multiLevelType w:val="multilevel"/>
    <w:tmpl w:val="321AA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A26893"/>
    <w:multiLevelType w:val="multilevel"/>
    <w:tmpl w:val="16761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3947C2"/>
    <w:multiLevelType w:val="multilevel"/>
    <w:tmpl w:val="2E0CF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26762DB"/>
    <w:multiLevelType w:val="multilevel"/>
    <w:tmpl w:val="6392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541850"/>
    <w:multiLevelType w:val="multilevel"/>
    <w:tmpl w:val="C08C2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69427C"/>
    <w:multiLevelType w:val="multilevel"/>
    <w:tmpl w:val="C43A7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C326D0"/>
    <w:multiLevelType w:val="multilevel"/>
    <w:tmpl w:val="60762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593EE8"/>
    <w:multiLevelType w:val="hybridMultilevel"/>
    <w:tmpl w:val="EC9A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8373C2"/>
    <w:multiLevelType w:val="multilevel"/>
    <w:tmpl w:val="55E6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EF34EB"/>
    <w:multiLevelType w:val="multilevel"/>
    <w:tmpl w:val="AA52B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66101C"/>
    <w:multiLevelType w:val="multilevel"/>
    <w:tmpl w:val="593A6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273D15"/>
    <w:multiLevelType w:val="hybridMultilevel"/>
    <w:tmpl w:val="FB9C319A"/>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9"/>
  </w:num>
  <w:num w:numId="3">
    <w:abstractNumId w:val="44"/>
  </w:num>
  <w:num w:numId="4">
    <w:abstractNumId w:val="20"/>
  </w:num>
  <w:num w:numId="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8"/>
  </w:num>
  <w:num w:numId="8">
    <w:abstractNumId w:val="12"/>
  </w:num>
  <w:num w:numId="9">
    <w:abstractNumId w:val="1"/>
  </w:num>
  <w:num w:numId="10">
    <w:abstractNumId w:val="7"/>
  </w:num>
  <w:num w:numId="11">
    <w:abstractNumId w:val="38"/>
  </w:num>
  <w:num w:numId="12">
    <w:abstractNumId w:val="3"/>
  </w:num>
  <w:num w:numId="13">
    <w:abstractNumId w:val="30"/>
  </w:num>
  <w:num w:numId="14">
    <w:abstractNumId w:val="31"/>
  </w:num>
  <w:num w:numId="15">
    <w:abstractNumId w:val="0"/>
  </w:num>
  <w:num w:numId="16">
    <w:abstractNumId w:val="25"/>
  </w:num>
  <w:num w:numId="17">
    <w:abstractNumId w:val="19"/>
  </w:num>
  <w:num w:numId="18">
    <w:abstractNumId w:val="33"/>
  </w:num>
  <w:num w:numId="19">
    <w:abstractNumId w:val="4"/>
  </w:num>
  <w:num w:numId="20">
    <w:abstractNumId w:val="39"/>
  </w:num>
  <w:num w:numId="21">
    <w:abstractNumId w:val="36"/>
  </w:num>
  <w:num w:numId="22">
    <w:abstractNumId w:val="22"/>
  </w:num>
  <w:num w:numId="23">
    <w:abstractNumId w:val="24"/>
  </w:num>
  <w:num w:numId="24">
    <w:abstractNumId w:val="37"/>
  </w:num>
  <w:num w:numId="25">
    <w:abstractNumId w:val="42"/>
  </w:num>
  <w:num w:numId="26">
    <w:abstractNumId w:val="13"/>
  </w:num>
  <w:num w:numId="27">
    <w:abstractNumId w:val="29"/>
  </w:num>
  <w:num w:numId="28">
    <w:abstractNumId w:val="17"/>
  </w:num>
  <w:num w:numId="29">
    <w:abstractNumId w:val="28"/>
  </w:num>
  <w:num w:numId="30">
    <w:abstractNumId w:val="16"/>
  </w:num>
  <w:num w:numId="31">
    <w:abstractNumId w:val="14"/>
  </w:num>
  <w:num w:numId="32">
    <w:abstractNumId w:val="26"/>
  </w:num>
  <w:num w:numId="33">
    <w:abstractNumId w:val="23"/>
  </w:num>
  <w:num w:numId="34">
    <w:abstractNumId w:val="41"/>
  </w:num>
  <w:num w:numId="35">
    <w:abstractNumId w:val="43"/>
  </w:num>
  <w:num w:numId="36">
    <w:abstractNumId w:val="5"/>
  </w:num>
  <w:num w:numId="37">
    <w:abstractNumId w:val="2"/>
  </w:num>
  <w:num w:numId="38">
    <w:abstractNumId w:val="21"/>
  </w:num>
  <w:num w:numId="39">
    <w:abstractNumId w:val="11"/>
  </w:num>
  <w:num w:numId="40">
    <w:abstractNumId w:val="15"/>
  </w:num>
  <w:num w:numId="41">
    <w:abstractNumId w:val="18"/>
  </w:num>
  <w:num w:numId="42">
    <w:abstractNumId w:val="34"/>
  </w:num>
  <w:num w:numId="43">
    <w:abstractNumId w:val="6"/>
  </w:num>
  <w:num w:numId="44">
    <w:abstractNumId w:val="10"/>
  </w:num>
  <w:num w:numId="45">
    <w:abstractNumId w:val="27"/>
  </w:num>
  <w:num w:numId="46">
    <w:abstractNumId w:val="3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899"/>
    <w:rsid w:val="00001527"/>
    <w:rsid w:val="000023AA"/>
    <w:rsid w:val="00005AC5"/>
    <w:rsid w:val="00005DCB"/>
    <w:rsid w:val="000073B7"/>
    <w:rsid w:val="00007968"/>
    <w:rsid w:val="00007B6C"/>
    <w:rsid w:val="000113EB"/>
    <w:rsid w:val="00012849"/>
    <w:rsid w:val="000129BF"/>
    <w:rsid w:val="00015432"/>
    <w:rsid w:val="00015A8A"/>
    <w:rsid w:val="0001613F"/>
    <w:rsid w:val="00017BB9"/>
    <w:rsid w:val="00017D98"/>
    <w:rsid w:val="000203CB"/>
    <w:rsid w:val="000207A8"/>
    <w:rsid w:val="00021261"/>
    <w:rsid w:val="00021453"/>
    <w:rsid w:val="00021DC8"/>
    <w:rsid w:val="00022465"/>
    <w:rsid w:val="000229B8"/>
    <w:rsid w:val="00024C00"/>
    <w:rsid w:val="00024E13"/>
    <w:rsid w:val="00025A7B"/>
    <w:rsid w:val="00026342"/>
    <w:rsid w:val="00026B54"/>
    <w:rsid w:val="00027624"/>
    <w:rsid w:val="00027EAE"/>
    <w:rsid w:val="00027EDA"/>
    <w:rsid w:val="00030BA0"/>
    <w:rsid w:val="00031BB6"/>
    <w:rsid w:val="00031D89"/>
    <w:rsid w:val="00032672"/>
    <w:rsid w:val="00034627"/>
    <w:rsid w:val="00035900"/>
    <w:rsid w:val="00036236"/>
    <w:rsid w:val="000372E3"/>
    <w:rsid w:val="00037668"/>
    <w:rsid w:val="00041E24"/>
    <w:rsid w:val="0004252C"/>
    <w:rsid w:val="00042A3B"/>
    <w:rsid w:val="00043AC7"/>
    <w:rsid w:val="00044228"/>
    <w:rsid w:val="00044E4A"/>
    <w:rsid w:val="0004551E"/>
    <w:rsid w:val="00045CFD"/>
    <w:rsid w:val="00047701"/>
    <w:rsid w:val="0005042E"/>
    <w:rsid w:val="00050692"/>
    <w:rsid w:val="00051A5D"/>
    <w:rsid w:val="00051CD5"/>
    <w:rsid w:val="00051D18"/>
    <w:rsid w:val="00052C6C"/>
    <w:rsid w:val="00052DD7"/>
    <w:rsid w:val="0005516F"/>
    <w:rsid w:val="00056088"/>
    <w:rsid w:val="000630F3"/>
    <w:rsid w:val="00063FDD"/>
    <w:rsid w:val="000653E6"/>
    <w:rsid w:val="00065B38"/>
    <w:rsid w:val="0006713F"/>
    <w:rsid w:val="000673C2"/>
    <w:rsid w:val="00067DBB"/>
    <w:rsid w:val="000702D0"/>
    <w:rsid w:val="000754F3"/>
    <w:rsid w:val="0007612D"/>
    <w:rsid w:val="00076CF3"/>
    <w:rsid w:val="00077B71"/>
    <w:rsid w:val="00080477"/>
    <w:rsid w:val="00081A62"/>
    <w:rsid w:val="00082E23"/>
    <w:rsid w:val="000830B7"/>
    <w:rsid w:val="0008345C"/>
    <w:rsid w:val="00083DE0"/>
    <w:rsid w:val="00084448"/>
    <w:rsid w:val="0008465A"/>
    <w:rsid w:val="00084F0F"/>
    <w:rsid w:val="00085112"/>
    <w:rsid w:val="000852D8"/>
    <w:rsid w:val="00085957"/>
    <w:rsid w:val="000875E9"/>
    <w:rsid w:val="00091FF4"/>
    <w:rsid w:val="00092CE5"/>
    <w:rsid w:val="0009413B"/>
    <w:rsid w:val="00094A9B"/>
    <w:rsid w:val="00094CE7"/>
    <w:rsid w:val="00094E1D"/>
    <w:rsid w:val="000968D5"/>
    <w:rsid w:val="000A0988"/>
    <w:rsid w:val="000A284C"/>
    <w:rsid w:val="000A2ADD"/>
    <w:rsid w:val="000A37F2"/>
    <w:rsid w:val="000A4F9C"/>
    <w:rsid w:val="000A664B"/>
    <w:rsid w:val="000A7D95"/>
    <w:rsid w:val="000B2571"/>
    <w:rsid w:val="000B2E29"/>
    <w:rsid w:val="000B6673"/>
    <w:rsid w:val="000B6DA5"/>
    <w:rsid w:val="000B75E4"/>
    <w:rsid w:val="000C5105"/>
    <w:rsid w:val="000C6083"/>
    <w:rsid w:val="000C76B1"/>
    <w:rsid w:val="000D1025"/>
    <w:rsid w:val="000D17E6"/>
    <w:rsid w:val="000D20B3"/>
    <w:rsid w:val="000D4D80"/>
    <w:rsid w:val="000D5572"/>
    <w:rsid w:val="000D6711"/>
    <w:rsid w:val="000D6FE9"/>
    <w:rsid w:val="000E0270"/>
    <w:rsid w:val="000E3E4B"/>
    <w:rsid w:val="000E40FB"/>
    <w:rsid w:val="000E4247"/>
    <w:rsid w:val="000E478E"/>
    <w:rsid w:val="000E558B"/>
    <w:rsid w:val="000E5EAE"/>
    <w:rsid w:val="000E6EA4"/>
    <w:rsid w:val="000F1CCF"/>
    <w:rsid w:val="000F1D0D"/>
    <w:rsid w:val="000F2F08"/>
    <w:rsid w:val="000F35B7"/>
    <w:rsid w:val="000F5C82"/>
    <w:rsid w:val="00100181"/>
    <w:rsid w:val="0010168C"/>
    <w:rsid w:val="001023BA"/>
    <w:rsid w:val="001040CF"/>
    <w:rsid w:val="00104F6B"/>
    <w:rsid w:val="00107F91"/>
    <w:rsid w:val="00111548"/>
    <w:rsid w:val="001117C0"/>
    <w:rsid w:val="001124A0"/>
    <w:rsid w:val="001126CD"/>
    <w:rsid w:val="00112876"/>
    <w:rsid w:val="00113C5A"/>
    <w:rsid w:val="00115295"/>
    <w:rsid w:val="001166F3"/>
    <w:rsid w:val="0011684F"/>
    <w:rsid w:val="00120A60"/>
    <w:rsid w:val="001219BA"/>
    <w:rsid w:val="00121CE8"/>
    <w:rsid w:val="00123388"/>
    <w:rsid w:val="00124082"/>
    <w:rsid w:val="00125F12"/>
    <w:rsid w:val="001261C7"/>
    <w:rsid w:val="00127BC5"/>
    <w:rsid w:val="0013010C"/>
    <w:rsid w:val="0013112C"/>
    <w:rsid w:val="0013165C"/>
    <w:rsid w:val="001322CD"/>
    <w:rsid w:val="001322FF"/>
    <w:rsid w:val="00132BA4"/>
    <w:rsid w:val="00132C1E"/>
    <w:rsid w:val="001330D7"/>
    <w:rsid w:val="001353FB"/>
    <w:rsid w:val="001371D0"/>
    <w:rsid w:val="00137FF6"/>
    <w:rsid w:val="00140E96"/>
    <w:rsid w:val="001410F1"/>
    <w:rsid w:val="00141440"/>
    <w:rsid w:val="00141C52"/>
    <w:rsid w:val="00142E62"/>
    <w:rsid w:val="001441F2"/>
    <w:rsid w:val="00144504"/>
    <w:rsid w:val="0014462B"/>
    <w:rsid w:val="001473FE"/>
    <w:rsid w:val="0015166D"/>
    <w:rsid w:val="00153E14"/>
    <w:rsid w:val="0015480C"/>
    <w:rsid w:val="00155A4C"/>
    <w:rsid w:val="00155DFD"/>
    <w:rsid w:val="00156183"/>
    <w:rsid w:val="00156ED0"/>
    <w:rsid w:val="00157802"/>
    <w:rsid w:val="001613D1"/>
    <w:rsid w:val="0016183D"/>
    <w:rsid w:val="00161E26"/>
    <w:rsid w:val="00162AAD"/>
    <w:rsid w:val="00163655"/>
    <w:rsid w:val="00165088"/>
    <w:rsid w:val="00166777"/>
    <w:rsid w:val="00167E7C"/>
    <w:rsid w:val="001713E3"/>
    <w:rsid w:val="00171697"/>
    <w:rsid w:val="00171DE3"/>
    <w:rsid w:val="00172408"/>
    <w:rsid w:val="001735A8"/>
    <w:rsid w:val="00173A2F"/>
    <w:rsid w:val="00174632"/>
    <w:rsid w:val="00176844"/>
    <w:rsid w:val="001803A3"/>
    <w:rsid w:val="001827D4"/>
    <w:rsid w:val="00184DA7"/>
    <w:rsid w:val="00185A6B"/>
    <w:rsid w:val="0018605B"/>
    <w:rsid w:val="0018704C"/>
    <w:rsid w:val="00187FC3"/>
    <w:rsid w:val="00194855"/>
    <w:rsid w:val="001948F1"/>
    <w:rsid w:val="0019675E"/>
    <w:rsid w:val="00197424"/>
    <w:rsid w:val="001978D6"/>
    <w:rsid w:val="001A0771"/>
    <w:rsid w:val="001A1D56"/>
    <w:rsid w:val="001A4113"/>
    <w:rsid w:val="001A6B2E"/>
    <w:rsid w:val="001A6CA9"/>
    <w:rsid w:val="001A6FD7"/>
    <w:rsid w:val="001B020C"/>
    <w:rsid w:val="001B1A05"/>
    <w:rsid w:val="001B1FAE"/>
    <w:rsid w:val="001B2740"/>
    <w:rsid w:val="001B3758"/>
    <w:rsid w:val="001B399B"/>
    <w:rsid w:val="001B5521"/>
    <w:rsid w:val="001C3D26"/>
    <w:rsid w:val="001C467E"/>
    <w:rsid w:val="001C4762"/>
    <w:rsid w:val="001C4859"/>
    <w:rsid w:val="001C4A1E"/>
    <w:rsid w:val="001C5103"/>
    <w:rsid w:val="001C56B1"/>
    <w:rsid w:val="001C6495"/>
    <w:rsid w:val="001D0A4C"/>
    <w:rsid w:val="001D5577"/>
    <w:rsid w:val="001D6358"/>
    <w:rsid w:val="001D63C0"/>
    <w:rsid w:val="001D691C"/>
    <w:rsid w:val="001E4DD9"/>
    <w:rsid w:val="001E5AAB"/>
    <w:rsid w:val="001E685D"/>
    <w:rsid w:val="001E6F33"/>
    <w:rsid w:val="001F07FE"/>
    <w:rsid w:val="001F2630"/>
    <w:rsid w:val="001F364F"/>
    <w:rsid w:val="001F5C47"/>
    <w:rsid w:val="001F5D80"/>
    <w:rsid w:val="001F5EF1"/>
    <w:rsid w:val="0020023D"/>
    <w:rsid w:val="00201128"/>
    <w:rsid w:val="00201B51"/>
    <w:rsid w:val="002038F3"/>
    <w:rsid w:val="00204FC7"/>
    <w:rsid w:val="00207085"/>
    <w:rsid w:val="002102E3"/>
    <w:rsid w:val="0021168D"/>
    <w:rsid w:val="002125FD"/>
    <w:rsid w:val="00214DCE"/>
    <w:rsid w:val="0021543B"/>
    <w:rsid w:val="002158EF"/>
    <w:rsid w:val="002164DF"/>
    <w:rsid w:val="00216A28"/>
    <w:rsid w:val="002179EF"/>
    <w:rsid w:val="00217C11"/>
    <w:rsid w:val="00221BEB"/>
    <w:rsid w:val="002221E9"/>
    <w:rsid w:val="002227EC"/>
    <w:rsid w:val="00222E8C"/>
    <w:rsid w:val="00224BE6"/>
    <w:rsid w:val="00224FF9"/>
    <w:rsid w:val="002254BD"/>
    <w:rsid w:val="00226442"/>
    <w:rsid w:val="0023050C"/>
    <w:rsid w:val="0023213A"/>
    <w:rsid w:val="00232E62"/>
    <w:rsid w:val="00233A97"/>
    <w:rsid w:val="0023583F"/>
    <w:rsid w:val="00235966"/>
    <w:rsid w:val="00240236"/>
    <w:rsid w:val="00240E19"/>
    <w:rsid w:val="00242137"/>
    <w:rsid w:val="002423B0"/>
    <w:rsid w:val="00242928"/>
    <w:rsid w:val="002436B1"/>
    <w:rsid w:val="00244623"/>
    <w:rsid w:val="00246EDA"/>
    <w:rsid w:val="002514AB"/>
    <w:rsid w:val="00252363"/>
    <w:rsid w:val="002527DC"/>
    <w:rsid w:val="002542E8"/>
    <w:rsid w:val="00255971"/>
    <w:rsid w:val="002569C0"/>
    <w:rsid w:val="00257B52"/>
    <w:rsid w:val="002605FB"/>
    <w:rsid w:val="002617A9"/>
    <w:rsid w:val="00261961"/>
    <w:rsid w:val="00263425"/>
    <w:rsid w:val="002638EB"/>
    <w:rsid w:val="00263A11"/>
    <w:rsid w:val="002643CF"/>
    <w:rsid w:val="00264D23"/>
    <w:rsid w:val="00264E78"/>
    <w:rsid w:val="00265205"/>
    <w:rsid w:val="00265824"/>
    <w:rsid w:val="00267AC7"/>
    <w:rsid w:val="00271E50"/>
    <w:rsid w:val="00272431"/>
    <w:rsid w:val="002739F2"/>
    <w:rsid w:val="00274117"/>
    <w:rsid w:val="00275069"/>
    <w:rsid w:val="00275EF3"/>
    <w:rsid w:val="00276220"/>
    <w:rsid w:val="002803C9"/>
    <w:rsid w:val="00280825"/>
    <w:rsid w:val="00280BB6"/>
    <w:rsid w:val="00281281"/>
    <w:rsid w:val="00282571"/>
    <w:rsid w:val="00282C06"/>
    <w:rsid w:val="00283AA0"/>
    <w:rsid w:val="00283C50"/>
    <w:rsid w:val="00283D63"/>
    <w:rsid w:val="00284065"/>
    <w:rsid w:val="00284AEF"/>
    <w:rsid w:val="00285CEC"/>
    <w:rsid w:val="00290C01"/>
    <w:rsid w:val="00290DE3"/>
    <w:rsid w:val="002923CE"/>
    <w:rsid w:val="00292B39"/>
    <w:rsid w:val="00292BAA"/>
    <w:rsid w:val="00292BE6"/>
    <w:rsid w:val="00293231"/>
    <w:rsid w:val="00293C2A"/>
    <w:rsid w:val="00294F9E"/>
    <w:rsid w:val="00296399"/>
    <w:rsid w:val="00296C7E"/>
    <w:rsid w:val="002972B0"/>
    <w:rsid w:val="002A133F"/>
    <w:rsid w:val="002A19AA"/>
    <w:rsid w:val="002A1FD4"/>
    <w:rsid w:val="002A241C"/>
    <w:rsid w:val="002A362E"/>
    <w:rsid w:val="002A3679"/>
    <w:rsid w:val="002A3940"/>
    <w:rsid w:val="002A46FF"/>
    <w:rsid w:val="002A56C5"/>
    <w:rsid w:val="002B0561"/>
    <w:rsid w:val="002B127D"/>
    <w:rsid w:val="002B302A"/>
    <w:rsid w:val="002B39E9"/>
    <w:rsid w:val="002B46BF"/>
    <w:rsid w:val="002C0069"/>
    <w:rsid w:val="002C1755"/>
    <w:rsid w:val="002C35B2"/>
    <w:rsid w:val="002C3CD2"/>
    <w:rsid w:val="002C5B58"/>
    <w:rsid w:val="002C616F"/>
    <w:rsid w:val="002C6A09"/>
    <w:rsid w:val="002C703B"/>
    <w:rsid w:val="002C70F8"/>
    <w:rsid w:val="002C7A51"/>
    <w:rsid w:val="002C7B8A"/>
    <w:rsid w:val="002C7BD3"/>
    <w:rsid w:val="002C7F6E"/>
    <w:rsid w:val="002D03A6"/>
    <w:rsid w:val="002D069B"/>
    <w:rsid w:val="002D06DF"/>
    <w:rsid w:val="002D0A85"/>
    <w:rsid w:val="002D0B44"/>
    <w:rsid w:val="002D0F75"/>
    <w:rsid w:val="002D2518"/>
    <w:rsid w:val="002D3284"/>
    <w:rsid w:val="002D34C8"/>
    <w:rsid w:val="002D4BA0"/>
    <w:rsid w:val="002D5F59"/>
    <w:rsid w:val="002D627F"/>
    <w:rsid w:val="002E0503"/>
    <w:rsid w:val="002E076B"/>
    <w:rsid w:val="002E0F9F"/>
    <w:rsid w:val="002E1DBC"/>
    <w:rsid w:val="002E3A5B"/>
    <w:rsid w:val="002E4303"/>
    <w:rsid w:val="002E4F8A"/>
    <w:rsid w:val="002E58B5"/>
    <w:rsid w:val="002E6A4A"/>
    <w:rsid w:val="002E6C9F"/>
    <w:rsid w:val="002E6CF5"/>
    <w:rsid w:val="002E7443"/>
    <w:rsid w:val="002E7864"/>
    <w:rsid w:val="002E7F5F"/>
    <w:rsid w:val="002F0EED"/>
    <w:rsid w:val="002F234C"/>
    <w:rsid w:val="002F66C8"/>
    <w:rsid w:val="002F6FA1"/>
    <w:rsid w:val="002F77C7"/>
    <w:rsid w:val="002F7F9D"/>
    <w:rsid w:val="0030067D"/>
    <w:rsid w:val="00307430"/>
    <w:rsid w:val="00312CBE"/>
    <w:rsid w:val="00312D27"/>
    <w:rsid w:val="00315539"/>
    <w:rsid w:val="00315899"/>
    <w:rsid w:val="00315B69"/>
    <w:rsid w:val="00315DCF"/>
    <w:rsid w:val="00316C13"/>
    <w:rsid w:val="00317B12"/>
    <w:rsid w:val="00321158"/>
    <w:rsid w:val="0032123A"/>
    <w:rsid w:val="00321592"/>
    <w:rsid w:val="00322A5F"/>
    <w:rsid w:val="00322AA4"/>
    <w:rsid w:val="00323FCB"/>
    <w:rsid w:val="00325956"/>
    <w:rsid w:val="00325C4E"/>
    <w:rsid w:val="003304F3"/>
    <w:rsid w:val="0033293D"/>
    <w:rsid w:val="00332B26"/>
    <w:rsid w:val="00333275"/>
    <w:rsid w:val="003349E0"/>
    <w:rsid w:val="0033504E"/>
    <w:rsid w:val="003357C4"/>
    <w:rsid w:val="00335BD2"/>
    <w:rsid w:val="003364B8"/>
    <w:rsid w:val="00337592"/>
    <w:rsid w:val="003379CB"/>
    <w:rsid w:val="00337EE8"/>
    <w:rsid w:val="00341E73"/>
    <w:rsid w:val="00342618"/>
    <w:rsid w:val="00343940"/>
    <w:rsid w:val="00343E2C"/>
    <w:rsid w:val="003447FA"/>
    <w:rsid w:val="003455A7"/>
    <w:rsid w:val="00347A02"/>
    <w:rsid w:val="00352B5B"/>
    <w:rsid w:val="00354549"/>
    <w:rsid w:val="003550D3"/>
    <w:rsid w:val="0035531E"/>
    <w:rsid w:val="00355C0D"/>
    <w:rsid w:val="00357C1B"/>
    <w:rsid w:val="00360B20"/>
    <w:rsid w:val="00361175"/>
    <w:rsid w:val="00361546"/>
    <w:rsid w:val="00362184"/>
    <w:rsid w:val="00363405"/>
    <w:rsid w:val="00363E56"/>
    <w:rsid w:val="00364713"/>
    <w:rsid w:val="003662DC"/>
    <w:rsid w:val="003667FA"/>
    <w:rsid w:val="00366A11"/>
    <w:rsid w:val="00366CF9"/>
    <w:rsid w:val="00366D66"/>
    <w:rsid w:val="0036700C"/>
    <w:rsid w:val="0036720E"/>
    <w:rsid w:val="00370D42"/>
    <w:rsid w:val="00372EB9"/>
    <w:rsid w:val="003735C6"/>
    <w:rsid w:val="00375F58"/>
    <w:rsid w:val="00380BBA"/>
    <w:rsid w:val="00381CE8"/>
    <w:rsid w:val="0038325E"/>
    <w:rsid w:val="00390B68"/>
    <w:rsid w:val="00392292"/>
    <w:rsid w:val="00392785"/>
    <w:rsid w:val="00392BF0"/>
    <w:rsid w:val="003931BD"/>
    <w:rsid w:val="00393B6B"/>
    <w:rsid w:val="00395DFC"/>
    <w:rsid w:val="003961D4"/>
    <w:rsid w:val="003965D4"/>
    <w:rsid w:val="00397DD1"/>
    <w:rsid w:val="003A0741"/>
    <w:rsid w:val="003A1C20"/>
    <w:rsid w:val="003A29B0"/>
    <w:rsid w:val="003A3AD8"/>
    <w:rsid w:val="003A4180"/>
    <w:rsid w:val="003A4524"/>
    <w:rsid w:val="003A4A08"/>
    <w:rsid w:val="003A6511"/>
    <w:rsid w:val="003B03C5"/>
    <w:rsid w:val="003B1DE5"/>
    <w:rsid w:val="003B2756"/>
    <w:rsid w:val="003B3A13"/>
    <w:rsid w:val="003B3FF3"/>
    <w:rsid w:val="003B4239"/>
    <w:rsid w:val="003B4F2A"/>
    <w:rsid w:val="003B54D6"/>
    <w:rsid w:val="003B5918"/>
    <w:rsid w:val="003B6AFD"/>
    <w:rsid w:val="003C1DF7"/>
    <w:rsid w:val="003C3841"/>
    <w:rsid w:val="003C391D"/>
    <w:rsid w:val="003C49BE"/>
    <w:rsid w:val="003C6E3C"/>
    <w:rsid w:val="003C6F00"/>
    <w:rsid w:val="003D0140"/>
    <w:rsid w:val="003D07EF"/>
    <w:rsid w:val="003D0D80"/>
    <w:rsid w:val="003D130E"/>
    <w:rsid w:val="003D4122"/>
    <w:rsid w:val="003D4A20"/>
    <w:rsid w:val="003D4CBA"/>
    <w:rsid w:val="003D530C"/>
    <w:rsid w:val="003D5A22"/>
    <w:rsid w:val="003E0490"/>
    <w:rsid w:val="003E075C"/>
    <w:rsid w:val="003E08CD"/>
    <w:rsid w:val="003E1060"/>
    <w:rsid w:val="003E16FF"/>
    <w:rsid w:val="003E19DD"/>
    <w:rsid w:val="003E3D8D"/>
    <w:rsid w:val="003E48C2"/>
    <w:rsid w:val="003E6152"/>
    <w:rsid w:val="003E6716"/>
    <w:rsid w:val="003F02A1"/>
    <w:rsid w:val="003F2D54"/>
    <w:rsid w:val="003F3E26"/>
    <w:rsid w:val="003F57AE"/>
    <w:rsid w:val="003F660B"/>
    <w:rsid w:val="00402450"/>
    <w:rsid w:val="00402E9A"/>
    <w:rsid w:val="00404688"/>
    <w:rsid w:val="004057E0"/>
    <w:rsid w:val="00406284"/>
    <w:rsid w:val="0040755D"/>
    <w:rsid w:val="00407972"/>
    <w:rsid w:val="00410754"/>
    <w:rsid w:val="00411EB4"/>
    <w:rsid w:val="00412376"/>
    <w:rsid w:val="00412485"/>
    <w:rsid w:val="00413C0B"/>
    <w:rsid w:val="0041748B"/>
    <w:rsid w:val="00420BCC"/>
    <w:rsid w:val="00422CE4"/>
    <w:rsid w:val="004234F0"/>
    <w:rsid w:val="004250B9"/>
    <w:rsid w:val="004275FD"/>
    <w:rsid w:val="0043082F"/>
    <w:rsid w:val="004314AE"/>
    <w:rsid w:val="00431AF3"/>
    <w:rsid w:val="00433624"/>
    <w:rsid w:val="004356D9"/>
    <w:rsid w:val="00435A34"/>
    <w:rsid w:val="0043704D"/>
    <w:rsid w:val="00437072"/>
    <w:rsid w:val="0044008D"/>
    <w:rsid w:val="00440A31"/>
    <w:rsid w:val="00441646"/>
    <w:rsid w:val="00441ABA"/>
    <w:rsid w:val="00442085"/>
    <w:rsid w:val="00443E01"/>
    <w:rsid w:val="00443EFA"/>
    <w:rsid w:val="00444CE0"/>
    <w:rsid w:val="0044505B"/>
    <w:rsid w:val="004461DD"/>
    <w:rsid w:val="004469B8"/>
    <w:rsid w:val="004475EB"/>
    <w:rsid w:val="0045012B"/>
    <w:rsid w:val="004507E3"/>
    <w:rsid w:val="0045103A"/>
    <w:rsid w:val="00451E69"/>
    <w:rsid w:val="00452BF7"/>
    <w:rsid w:val="004534DD"/>
    <w:rsid w:val="004549B1"/>
    <w:rsid w:val="00454D44"/>
    <w:rsid w:val="00455197"/>
    <w:rsid w:val="00455D29"/>
    <w:rsid w:val="00460CC0"/>
    <w:rsid w:val="004610F5"/>
    <w:rsid w:val="00462F33"/>
    <w:rsid w:val="00465B84"/>
    <w:rsid w:val="00470E81"/>
    <w:rsid w:val="00471108"/>
    <w:rsid w:val="004729DE"/>
    <w:rsid w:val="0047320B"/>
    <w:rsid w:val="00473A87"/>
    <w:rsid w:val="004747AF"/>
    <w:rsid w:val="00474959"/>
    <w:rsid w:val="00475484"/>
    <w:rsid w:val="00475B59"/>
    <w:rsid w:val="004778C9"/>
    <w:rsid w:val="00477CA0"/>
    <w:rsid w:val="00480119"/>
    <w:rsid w:val="00480C1B"/>
    <w:rsid w:val="004835B6"/>
    <w:rsid w:val="004847AB"/>
    <w:rsid w:val="004856E3"/>
    <w:rsid w:val="00485BBA"/>
    <w:rsid w:val="0048746F"/>
    <w:rsid w:val="00490B90"/>
    <w:rsid w:val="00492B8B"/>
    <w:rsid w:val="00492BD9"/>
    <w:rsid w:val="00493819"/>
    <w:rsid w:val="00495D47"/>
    <w:rsid w:val="00497257"/>
    <w:rsid w:val="00497858"/>
    <w:rsid w:val="004A1667"/>
    <w:rsid w:val="004A2EA5"/>
    <w:rsid w:val="004A37C7"/>
    <w:rsid w:val="004A41D5"/>
    <w:rsid w:val="004A4273"/>
    <w:rsid w:val="004A45B2"/>
    <w:rsid w:val="004A54D5"/>
    <w:rsid w:val="004A7396"/>
    <w:rsid w:val="004B011E"/>
    <w:rsid w:val="004B07EE"/>
    <w:rsid w:val="004B1E79"/>
    <w:rsid w:val="004B2308"/>
    <w:rsid w:val="004B46F9"/>
    <w:rsid w:val="004B594F"/>
    <w:rsid w:val="004B5D1A"/>
    <w:rsid w:val="004B5E70"/>
    <w:rsid w:val="004B74AD"/>
    <w:rsid w:val="004C1B1E"/>
    <w:rsid w:val="004C2A29"/>
    <w:rsid w:val="004C3FE8"/>
    <w:rsid w:val="004C5C7C"/>
    <w:rsid w:val="004C60C1"/>
    <w:rsid w:val="004C637A"/>
    <w:rsid w:val="004C655D"/>
    <w:rsid w:val="004D0F33"/>
    <w:rsid w:val="004D1729"/>
    <w:rsid w:val="004D17CD"/>
    <w:rsid w:val="004D20EB"/>
    <w:rsid w:val="004D227F"/>
    <w:rsid w:val="004D2356"/>
    <w:rsid w:val="004D56AA"/>
    <w:rsid w:val="004D597A"/>
    <w:rsid w:val="004D5B67"/>
    <w:rsid w:val="004D6E28"/>
    <w:rsid w:val="004E035A"/>
    <w:rsid w:val="004E0DA8"/>
    <w:rsid w:val="004E1358"/>
    <w:rsid w:val="004E244E"/>
    <w:rsid w:val="004E26B8"/>
    <w:rsid w:val="004E44DF"/>
    <w:rsid w:val="004E5C48"/>
    <w:rsid w:val="004E5E7F"/>
    <w:rsid w:val="004E7C1D"/>
    <w:rsid w:val="004F0B8B"/>
    <w:rsid w:val="004F2BA4"/>
    <w:rsid w:val="004F395D"/>
    <w:rsid w:val="004F537A"/>
    <w:rsid w:val="004F576B"/>
    <w:rsid w:val="004F6274"/>
    <w:rsid w:val="00500112"/>
    <w:rsid w:val="0050033F"/>
    <w:rsid w:val="0050128A"/>
    <w:rsid w:val="00501CC8"/>
    <w:rsid w:val="005021A1"/>
    <w:rsid w:val="00502296"/>
    <w:rsid w:val="00502FB3"/>
    <w:rsid w:val="00504BF0"/>
    <w:rsid w:val="00505C9A"/>
    <w:rsid w:val="00505CE2"/>
    <w:rsid w:val="00505F27"/>
    <w:rsid w:val="00506886"/>
    <w:rsid w:val="005069AA"/>
    <w:rsid w:val="005102AE"/>
    <w:rsid w:val="00512AB3"/>
    <w:rsid w:val="0051310D"/>
    <w:rsid w:val="0051335B"/>
    <w:rsid w:val="00513883"/>
    <w:rsid w:val="00516726"/>
    <w:rsid w:val="005170F2"/>
    <w:rsid w:val="00517ECE"/>
    <w:rsid w:val="0052060D"/>
    <w:rsid w:val="00521441"/>
    <w:rsid w:val="00522EDC"/>
    <w:rsid w:val="00523B04"/>
    <w:rsid w:val="00524589"/>
    <w:rsid w:val="00524F9B"/>
    <w:rsid w:val="0052621D"/>
    <w:rsid w:val="00526AB1"/>
    <w:rsid w:val="00527355"/>
    <w:rsid w:val="005303BD"/>
    <w:rsid w:val="005315E2"/>
    <w:rsid w:val="005318B0"/>
    <w:rsid w:val="0053193A"/>
    <w:rsid w:val="00532210"/>
    <w:rsid w:val="00532F6D"/>
    <w:rsid w:val="005337B3"/>
    <w:rsid w:val="005347E6"/>
    <w:rsid w:val="00535B9B"/>
    <w:rsid w:val="005366EC"/>
    <w:rsid w:val="00540F9C"/>
    <w:rsid w:val="0054183F"/>
    <w:rsid w:val="0054277E"/>
    <w:rsid w:val="00542C95"/>
    <w:rsid w:val="00544E4D"/>
    <w:rsid w:val="00546048"/>
    <w:rsid w:val="0054789D"/>
    <w:rsid w:val="00552391"/>
    <w:rsid w:val="00553450"/>
    <w:rsid w:val="00554EF8"/>
    <w:rsid w:val="005559DA"/>
    <w:rsid w:val="00555A50"/>
    <w:rsid w:val="005561A4"/>
    <w:rsid w:val="00560906"/>
    <w:rsid w:val="00561953"/>
    <w:rsid w:val="00562E11"/>
    <w:rsid w:val="005641FF"/>
    <w:rsid w:val="00566A61"/>
    <w:rsid w:val="005671EB"/>
    <w:rsid w:val="00570553"/>
    <w:rsid w:val="00572118"/>
    <w:rsid w:val="00573E5A"/>
    <w:rsid w:val="00574D0C"/>
    <w:rsid w:val="005762A5"/>
    <w:rsid w:val="00576775"/>
    <w:rsid w:val="00576B50"/>
    <w:rsid w:val="00577078"/>
    <w:rsid w:val="00582659"/>
    <w:rsid w:val="005828BD"/>
    <w:rsid w:val="00582ECC"/>
    <w:rsid w:val="005852DF"/>
    <w:rsid w:val="005862E7"/>
    <w:rsid w:val="005874C5"/>
    <w:rsid w:val="00587528"/>
    <w:rsid w:val="005902C5"/>
    <w:rsid w:val="00592B83"/>
    <w:rsid w:val="00594B5E"/>
    <w:rsid w:val="00594BD1"/>
    <w:rsid w:val="00595B61"/>
    <w:rsid w:val="00595F19"/>
    <w:rsid w:val="0059617B"/>
    <w:rsid w:val="00597DE7"/>
    <w:rsid w:val="0059F36E"/>
    <w:rsid w:val="005A0A7D"/>
    <w:rsid w:val="005A29EE"/>
    <w:rsid w:val="005A2A89"/>
    <w:rsid w:val="005A3182"/>
    <w:rsid w:val="005A3D00"/>
    <w:rsid w:val="005A4984"/>
    <w:rsid w:val="005A5266"/>
    <w:rsid w:val="005A6819"/>
    <w:rsid w:val="005A7333"/>
    <w:rsid w:val="005B0653"/>
    <w:rsid w:val="005B0D1E"/>
    <w:rsid w:val="005B182A"/>
    <w:rsid w:val="005B1989"/>
    <w:rsid w:val="005B20CF"/>
    <w:rsid w:val="005B5227"/>
    <w:rsid w:val="005B625E"/>
    <w:rsid w:val="005B7DE0"/>
    <w:rsid w:val="005C01EE"/>
    <w:rsid w:val="005C14A6"/>
    <w:rsid w:val="005C2C89"/>
    <w:rsid w:val="005C33D4"/>
    <w:rsid w:val="005C36FC"/>
    <w:rsid w:val="005C3772"/>
    <w:rsid w:val="005C5888"/>
    <w:rsid w:val="005D09E6"/>
    <w:rsid w:val="005D0C2B"/>
    <w:rsid w:val="005D1C05"/>
    <w:rsid w:val="005D28FE"/>
    <w:rsid w:val="005D2C89"/>
    <w:rsid w:val="005D3C72"/>
    <w:rsid w:val="005D57A9"/>
    <w:rsid w:val="005D59E1"/>
    <w:rsid w:val="005D5AD0"/>
    <w:rsid w:val="005D6B56"/>
    <w:rsid w:val="005E0304"/>
    <w:rsid w:val="005E3BC9"/>
    <w:rsid w:val="005F1353"/>
    <w:rsid w:val="005F1EFB"/>
    <w:rsid w:val="005F37AB"/>
    <w:rsid w:val="005F3BD8"/>
    <w:rsid w:val="005F412B"/>
    <w:rsid w:val="005F4480"/>
    <w:rsid w:val="005F4F0F"/>
    <w:rsid w:val="005F5772"/>
    <w:rsid w:val="005F7992"/>
    <w:rsid w:val="00602183"/>
    <w:rsid w:val="00603469"/>
    <w:rsid w:val="00603B62"/>
    <w:rsid w:val="00604582"/>
    <w:rsid w:val="006046AD"/>
    <w:rsid w:val="00605522"/>
    <w:rsid w:val="00605F43"/>
    <w:rsid w:val="00606003"/>
    <w:rsid w:val="00606E78"/>
    <w:rsid w:val="00610277"/>
    <w:rsid w:val="0061079C"/>
    <w:rsid w:val="006128BA"/>
    <w:rsid w:val="00612A78"/>
    <w:rsid w:val="00613CE4"/>
    <w:rsid w:val="00614009"/>
    <w:rsid w:val="0061668C"/>
    <w:rsid w:val="00616A1B"/>
    <w:rsid w:val="00622E9A"/>
    <w:rsid w:val="006232ED"/>
    <w:rsid w:val="00623C77"/>
    <w:rsid w:val="00623F24"/>
    <w:rsid w:val="006257DA"/>
    <w:rsid w:val="0062583A"/>
    <w:rsid w:val="006261E9"/>
    <w:rsid w:val="00626368"/>
    <w:rsid w:val="00627C0D"/>
    <w:rsid w:val="00631FD9"/>
    <w:rsid w:val="0064001C"/>
    <w:rsid w:val="006400B3"/>
    <w:rsid w:val="00640A93"/>
    <w:rsid w:val="00642BCD"/>
    <w:rsid w:val="006440E5"/>
    <w:rsid w:val="00645D14"/>
    <w:rsid w:val="00645DF8"/>
    <w:rsid w:val="00646D22"/>
    <w:rsid w:val="006504CF"/>
    <w:rsid w:val="006507EA"/>
    <w:rsid w:val="00650B5F"/>
    <w:rsid w:val="00650E49"/>
    <w:rsid w:val="00651BF0"/>
    <w:rsid w:val="006525AE"/>
    <w:rsid w:val="00652FD7"/>
    <w:rsid w:val="006532F7"/>
    <w:rsid w:val="00654570"/>
    <w:rsid w:val="00654DAB"/>
    <w:rsid w:val="0065608A"/>
    <w:rsid w:val="0066070E"/>
    <w:rsid w:val="006607AE"/>
    <w:rsid w:val="00661185"/>
    <w:rsid w:val="0066127E"/>
    <w:rsid w:val="006635EA"/>
    <w:rsid w:val="00666BFA"/>
    <w:rsid w:val="00667281"/>
    <w:rsid w:val="00670DD9"/>
    <w:rsid w:val="00671FD9"/>
    <w:rsid w:val="00675993"/>
    <w:rsid w:val="006769E2"/>
    <w:rsid w:val="0068043C"/>
    <w:rsid w:val="006836E2"/>
    <w:rsid w:val="00683E56"/>
    <w:rsid w:val="00684BD0"/>
    <w:rsid w:val="006853DB"/>
    <w:rsid w:val="00686002"/>
    <w:rsid w:val="006868ED"/>
    <w:rsid w:val="00691961"/>
    <w:rsid w:val="00691FA2"/>
    <w:rsid w:val="00692A9A"/>
    <w:rsid w:val="00694332"/>
    <w:rsid w:val="006944A4"/>
    <w:rsid w:val="0069792A"/>
    <w:rsid w:val="006A0A2E"/>
    <w:rsid w:val="006A2006"/>
    <w:rsid w:val="006A2599"/>
    <w:rsid w:val="006A307E"/>
    <w:rsid w:val="006A371C"/>
    <w:rsid w:val="006A4783"/>
    <w:rsid w:val="006A4954"/>
    <w:rsid w:val="006A517A"/>
    <w:rsid w:val="006A6A8F"/>
    <w:rsid w:val="006A6A95"/>
    <w:rsid w:val="006B348C"/>
    <w:rsid w:val="006B4274"/>
    <w:rsid w:val="006B44B1"/>
    <w:rsid w:val="006B6C9D"/>
    <w:rsid w:val="006B7475"/>
    <w:rsid w:val="006C0415"/>
    <w:rsid w:val="006C0675"/>
    <w:rsid w:val="006C0828"/>
    <w:rsid w:val="006C127E"/>
    <w:rsid w:val="006C1F9D"/>
    <w:rsid w:val="006C4416"/>
    <w:rsid w:val="006C4938"/>
    <w:rsid w:val="006C4F48"/>
    <w:rsid w:val="006C5024"/>
    <w:rsid w:val="006C5B6E"/>
    <w:rsid w:val="006D04CC"/>
    <w:rsid w:val="006D19A7"/>
    <w:rsid w:val="006D1D00"/>
    <w:rsid w:val="006D1DED"/>
    <w:rsid w:val="006D2ED2"/>
    <w:rsid w:val="006D362C"/>
    <w:rsid w:val="006D5880"/>
    <w:rsid w:val="006D67B5"/>
    <w:rsid w:val="006D764B"/>
    <w:rsid w:val="006D79A2"/>
    <w:rsid w:val="006E0063"/>
    <w:rsid w:val="006E01A3"/>
    <w:rsid w:val="006E049B"/>
    <w:rsid w:val="006E14ED"/>
    <w:rsid w:val="006E3FC3"/>
    <w:rsid w:val="006E4850"/>
    <w:rsid w:val="006E4F86"/>
    <w:rsid w:val="006E5251"/>
    <w:rsid w:val="006E5A07"/>
    <w:rsid w:val="006E6423"/>
    <w:rsid w:val="006E6AAC"/>
    <w:rsid w:val="006E6D40"/>
    <w:rsid w:val="006E7D0A"/>
    <w:rsid w:val="006E7FF0"/>
    <w:rsid w:val="006F16BF"/>
    <w:rsid w:val="006F1893"/>
    <w:rsid w:val="006F18FF"/>
    <w:rsid w:val="006F2099"/>
    <w:rsid w:val="006F23C2"/>
    <w:rsid w:val="006F4022"/>
    <w:rsid w:val="006F5A72"/>
    <w:rsid w:val="006F6397"/>
    <w:rsid w:val="006F6816"/>
    <w:rsid w:val="006F783B"/>
    <w:rsid w:val="006F7D71"/>
    <w:rsid w:val="006F7F6E"/>
    <w:rsid w:val="00701681"/>
    <w:rsid w:val="0070252D"/>
    <w:rsid w:val="0070449E"/>
    <w:rsid w:val="00705F04"/>
    <w:rsid w:val="00705FF5"/>
    <w:rsid w:val="00706929"/>
    <w:rsid w:val="00707488"/>
    <w:rsid w:val="00707CCC"/>
    <w:rsid w:val="007124C0"/>
    <w:rsid w:val="00714776"/>
    <w:rsid w:val="0071735D"/>
    <w:rsid w:val="00720962"/>
    <w:rsid w:val="00721B43"/>
    <w:rsid w:val="0072305A"/>
    <w:rsid w:val="007238E1"/>
    <w:rsid w:val="00723E53"/>
    <w:rsid w:val="007245B2"/>
    <w:rsid w:val="0072495D"/>
    <w:rsid w:val="00724DB8"/>
    <w:rsid w:val="00727544"/>
    <w:rsid w:val="00727592"/>
    <w:rsid w:val="00727A77"/>
    <w:rsid w:val="00731005"/>
    <w:rsid w:val="007316F6"/>
    <w:rsid w:val="007325E6"/>
    <w:rsid w:val="0073351F"/>
    <w:rsid w:val="00733B42"/>
    <w:rsid w:val="00733F79"/>
    <w:rsid w:val="00735EEC"/>
    <w:rsid w:val="007376E1"/>
    <w:rsid w:val="00737F07"/>
    <w:rsid w:val="00740276"/>
    <w:rsid w:val="00742581"/>
    <w:rsid w:val="007425A6"/>
    <w:rsid w:val="00743163"/>
    <w:rsid w:val="00744E57"/>
    <w:rsid w:val="00745270"/>
    <w:rsid w:val="00745F47"/>
    <w:rsid w:val="00750205"/>
    <w:rsid w:val="00751265"/>
    <w:rsid w:val="007527F0"/>
    <w:rsid w:val="00752EAA"/>
    <w:rsid w:val="007537BB"/>
    <w:rsid w:val="007565D0"/>
    <w:rsid w:val="00761276"/>
    <w:rsid w:val="00762230"/>
    <w:rsid w:val="00764814"/>
    <w:rsid w:val="00764D7D"/>
    <w:rsid w:val="00765A78"/>
    <w:rsid w:val="00766FA9"/>
    <w:rsid w:val="00766FC5"/>
    <w:rsid w:val="007706D3"/>
    <w:rsid w:val="00770BBB"/>
    <w:rsid w:val="00773841"/>
    <w:rsid w:val="00775F5C"/>
    <w:rsid w:val="00777CCD"/>
    <w:rsid w:val="007807BF"/>
    <w:rsid w:val="00781CF0"/>
    <w:rsid w:val="00782656"/>
    <w:rsid w:val="0078279C"/>
    <w:rsid w:val="00784FC3"/>
    <w:rsid w:val="00785FBF"/>
    <w:rsid w:val="00786148"/>
    <w:rsid w:val="00786E99"/>
    <w:rsid w:val="007911EA"/>
    <w:rsid w:val="00791377"/>
    <w:rsid w:val="00791491"/>
    <w:rsid w:val="00791EEA"/>
    <w:rsid w:val="00794A07"/>
    <w:rsid w:val="00794DAC"/>
    <w:rsid w:val="00795A9A"/>
    <w:rsid w:val="00796CA0"/>
    <w:rsid w:val="007974DD"/>
    <w:rsid w:val="007A0C6C"/>
    <w:rsid w:val="007A0CAE"/>
    <w:rsid w:val="007A3C2D"/>
    <w:rsid w:val="007A3FED"/>
    <w:rsid w:val="007A4379"/>
    <w:rsid w:val="007A50F8"/>
    <w:rsid w:val="007A53C4"/>
    <w:rsid w:val="007A5937"/>
    <w:rsid w:val="007A66E6"/>
    <w:rsid w:val="007B25F2"/>
    <w:rsid w:val="007B400F"/>
    <w:rsid w:val="007B4044"/>
    <w:rsid w:val="007C0222"/>
    <w:rsid w:val="007C0F0A"/>
    <w:rsid w:val="007C1CF1"/>
    <w:rsid w:val="007C2F52"/>
    <w:rsid w:val="007C3387"/>
    <w:rsid w:val="007C3D4B"/>
    <w:rsid w:val="007C3EEC"/>
    <w:rsid w:val="007C40E2"/>
    <w:rsid w:val="007C4625"/>
    <w:rsid w:val="007C4844"/>
    <w:rsid w:val="007C4E8C"/>
    <w:rsid w:val="007C5173"/>
    <w:rsid w:val="007C59C6"/>
    <w:rsid w:val="007C6E0F"/>
    <w:rsid w:val="007C77ED"/>
    <w:rsid w:val="007D0FE2"/>
    <w:rsid w:val="007D2BDB"/>
    <w:rsid w:val="007D2EB5"/>
    <w:rsid w:val="007D4ABB"/>
    <w:rsid w:val="007D51FE"/>
    <w:rsid w:val="007D540D"/>
    <w:rsid w:val="007D5840"/>
    <w:rsid w:val="007D6B3A"/>
    <w:rsid w:val="007E06D9"/>
    <w:rsid w:val="007E378D"/>
    <w:rsid w:val="007E421E"/>
    <w:rsid w:val="007E454E"/>
    <w:rsid w:val="007E6839"/>
    <w:rsid w:val="007F1943"/>
    <w:rsid w:val="007F1C85"/>
    <w:rsid w:val="007F204A"/>
    <w:rsid w:val="007F27EE"/>
    <w:rsid w:val="007F2E56"/>
    <w:rsid w:val="007F3EC2"/>
    <w:rsid w:val="007F504A"/>
    <w:rsid w:val="007F581E"/>
    <w:rsid w:val="007F5F90"/>
    <w:rsid w:val="00800779"/>
    <w:rsid w:val="00800C5B"/>
    <w:rsid w:val="00807CD9"/>
    <w:rsid w:val="008108DE"/>
    <w:rsid w:val="0081123D"/>
    <w:rsid w:val="00812757"/>
    <w:rsid w:val="00813007"/>
    <w:rsid w:val="00814692"/>
    <w:rsid w:val="00822470"/>
    <w:rsid w:val="00823035"/>
    <w:rsid w:val="00831698"/>
    <w:rsid w:val="00831C99"/>
    <w:rsid w:val="00831F90"/>
    <w:rsid w:val="00832088"/>
    <w:rsid w:val="00832949"/>
    <w:rsid w:val="00832BD0"/>
    <w:rsid w:val="00833198"/>
    <w:rsid w:val="0083391B"/>
    <w:rsid w:val="00841420"/>
    <w:rsid w:val="00841BBE"/>
    <w:rsid w:val="00841F02"/>
    <w:rsid w:val="00842723"/>
    <w:rsid w:val="00842AD2"/>
    <w:rsid w:val="00843E1E"/>
    <w:rsid w:val="008440DD"/>
    <w:rsid w:val="00844300"/>
    <w:rsid w:val="00845848"/>
    <w:rsid w:val="00847CE2"/>
    <w:rsid w:val="00847E96"/>
    <w:rsid w:val="008504EB"/>
    <w:rsid w:val="00852091"/>
    <w:rsid w:val="008557DC"/>
    <w:rsid w:val="00855C41"/>
    <w:rsid w:val="00855F57"/>
    <w:rsid w:val="008569D5"/>
    <w:rsid w:val="008577F5"/>
    <w:rsid w:val="008578E0"/>
    <w:rsid w:val="00861D48"/>
    <w:rsid w:val="0086223B"/>
    <w:rsid w:val="008628EA"/>
    <w:rsid w:val="008635A3"/>
    <w:rsid w:val="00865992"/>
    <w:rsid w:val="008667A6"/>
    <w:rsid w:val="0086716D"/>
    <w:rsid w:val="00867D09"/>
    <w:rsid w:val="00870127"/>
    <w:rsid w:val="00870D60"/>
    <w:rsid w:val="008718C7"/>
    <w:rsid w:val="00873758"/>
    <w:rsid w:val="0087382C"/>
    <w:rsid w:val="00873E61"/>
    <w:rsid w:val="008748B8"/>
    <w:rsid w:val="00875828"/>
    <w:rsid w:val="00877FF1"/>
    <w:rsid w:val="008839B6"/>
    <w:rsid w:val="00884A92"/>
    <w:rsid w:val="008858FB"/>
    <w:rsid w:val="00887F52"/>
    <w:rsid w:val="00891A1F"/>
    <w:rsid w:val="00893277"/>
    <w:rsid w:val="008935D3"/>
    <w:rsid w:val="008940A2"/>
    <w:rsid w:val="00894608"/>
    <w:rsid w:val="008949E1"/>
    <w:rsid w:val="00896360"/>
    <w:rsid w:val="00896416"/>
    <w:rsid w:val="00896548"/>
    <w:rsid w:val="0089785F"/>
    <w:rsid w:val="008A0055"/>
    <w:rsid w:val="008A25EF"/>
    <w:rsid w:val="008A2C2C"/>
    <w:rsid w:val="008A33B8"/>
    <w:rsid w:val="008A56DD"/>
    <w:rsid w:val="008A5E28"/>
    <w:rsid w:val="008A6891"/>
    <w:rsid w:val="008A7BDC"/>
    <w:rsid w:val="008B189D"/>
    <w:rsid w:val="008B1A9D"/>
    <w:rsid w:val="008B3133"/>
    <w:rsid w:val="008B49F1"/>
    <w:rsid w:val="008B5685"/>
    <w:rsid w:val="008B6146"/>
    <w:rsid w:val="008B6AE1"/>
    <w:rsid w:val="008B7E44"/>
    <w:rsid w:val="008C18E9"/>
    <w:rsid w:val="008C347C"/>
    <w:rsid w:val="008C4A71"/>
    <w:rsid w:val="008C51DB"/>
    <w:rsid w:val="008C66FC"/>
    <w:rsid w:val="008C688F"/>
    <w:rsid w:val="008C7B83"/>
    <w:rsid w:val="008C7F68"/>
    <w:rsid w:val="008D0182"/>
    <w:rsid w:val="008D0CD7"/>
    <w:rsid w:val="008D2A94"/>
    <w:rsid w:val="008D3288"/>
    <w:rsid w:val="008D353F"/>
    <w:rsid w:val="008D370B"/>
    <w:rsid w:val="008D4D88"/>
    <w:rsid w:val="008D4DD4"/>
    <w:rsid w:val="008D5281"/>
    <w:rsid w:val="008D5A35"/>
    <w:rsid w:val="008D7118"/>
    <w:rsid w:val="008D7743"/>
    <w:rsid w:val="008D7937"/>
    <w:rsid w:val="008D799E"/>
    <w:rsid w:val="008D7A1E"/>
    <w:rsid w:val="008E1C5F"/>
    <w:rsid w:val="008E34B5"/>
    <w:rsid w:val="008E3614"/>
    <w:rsid w:val="008E38C6"/>
    <w:rsid w:val="008E44CB"/>
    <w:rsid w:val="008E4619"/>
    <w:rsid w:val="008E4C02"/>
    <w:rsid w:val="008E68AC"/>
    <w:rsid w:val="008F0510"/>
    <w:rsid w:val="008F0879"/>
    <w:rsid w:val="008F2E83"/>
    <w:rsid w:val="008F2F59"/>
    <w:rsid w:val="008F4009"/>
    <w:rsid w:val="008F69A3"/>
    <w:rsid w:val="008F7075"/>
    <w:rsid w:val="009004B9"/>
    <w:rsid w:val="009006A5"/>
    <w:rsid w:val="00902F5D"/>
    <w:rsid w:val="00903597"/>
    <w:rsid w:val="009040E1"/>
    <w:rsid w:val="009044AA"/>
    <w:rsid w:val="00904914"/>
    <w:rsid w:val="00905027"/>
    <w:rsid w:val="00905AB0"/>
    <w:rsid w:val="009066FA"/>
    <w:rsid w:val="00910034"/>
    <w:rsid w:val="00910E6E"/>
    <w:rsid w:val="009114E1"/>
    <w:rsid w:val="0091224D"/>
    <w:rsid w:val="00912F89"/>
    <w:rsid w:val="0091318F"/>
    <w:rsid w:val="009137F7"/>
    <w:rsid w:val="00913CFE"/>
    <w:rsid w:val="00914746"/>
    <w:rsid w:val="0091520C"/>
    <w:rsid w:val="00916677"/>
    <w:rsid w:val="009169A8"/>
    <w:rsid w:val="00916EF2"/>
    <w:rsid w:val="00916F46"/>
    <w:rsid w:val="0092101C"/>
    <w:rsid w:val="00921D1F"/>
    <w:rsid w:val="0092632E"/>
    <w:rsid w:val="00926609"/>
    <w:rsid w:val="00927A52"/>
    <w:rsid w:val="00927EF1"/>
    <w:rsid w:val="00930863"/>
    <w:rsid w:val="00930AD1"/>
    <w:rsid w:val="0093147F"/>
    <w:rsid w:val="0093241D"/>
    <w:rsid w:val="00933746"/>
    <w:rsid w:val="009348B3"/>
    <w:rsid w:val="00936068"/>
    <w:rsid w:val="009363AF"/>
    <w:rsid w:val="0093757D"/>
    <w:rsid w:val="00940EBB"/>
    <w:rsid w:val="00941027"/>
    <w:rsid w:val="00944CD2"/>
    <w:rsid w:val="00946FB7"/>
    <w:rsid w:val="009502BF"/>
    <w:rsid w:val="0095032A"/>
    <w:rsid w:val="00950681"/>
    <w:rsid w:val="00950B95"/>
    <w:rsid w:val="009518A4"/>
    <w:rsid w:val="009518C3"/>
    <w:rsid w:val="00951FAC"/>
    <w:rsid w:val="00953572"/>
    <w:rsid w:val="00954349"/>
    <w:rsid w:val="00955596"/>
    <w:rsid w:val="00956F64"/>
    <w:rsid w:val="00957131"/>
    <w:rsid w:val="00960D99"/>
    <w:rsid w:val="00961756"/>
    <w:rsid w:val="0096180C"/>
    <w:rsid w:val="00961E5B"/>
    <w:rsid w:val="00962AD9"/>
    <w:rsid w:val="00962FB2"/>
    <w:rsid w:val="00963216"/>
    <w:rsid w:val="0096442A"/>
    <w:rsid w:val="0096592A"/>
    <w:rsid w:val="0096649F"/>
    <w:rsid w:val="00966BCD"/>
    <w:rsid w:val="0096784F"/>
    <w:rsid w:val="009703EB"/>
    <w:rsid w:val="009720F3"/>
    <w:rsid w:val="00972A16"/>
    <w:rsid w:val="00974E66"/>
    <w:rsid w:val="00976978"/>
    <w:rsid w:val="009771A7"/>
    <w:rsid w:val="009808CA"/>
    <w:rsid w:val="009810AC"/>
    <w:rsid w:val="00984177"/>
    <w:rsid w:val="00984234"/>
    <w:rsid w:val="0098484A"/>
    <w:rsid w:val="00987029"/>
    <w:rsid w:val="009906F9"/>
    <w:rsid w:val="009910EC"/>
    <w:rsid w:val="00993A69"/>
    <w:rsid w:val="0099457B"/>
    <w:rsid w:val="009956AE"/>
    <w:rsid w:val="009975DC"/>
    <w:rsid w:val="00997BCD"/>
    <w:rsid w:val="009A2770"/>
    <w:rsid w:val="009A2994"/>
    <w:rsid w:val="009A5478"/>
    <w:rsid w:val="009A61B5"/>
    <w:rsid w:val="009A7D4C"/>
    <w:rsid w:val="009B1E26"/>
    <w:rsid w:val="009B23E3"/>
    <w:rsid w:val="009B2FDB"/>
    <w:rsid w:val="009B370A"/>
    <w:rsid w:val="009B3BA4"/>
    <w:rsid w:val="009B3EB2"/>
    <w:rsid w:val="009B3FE4"/>
    <w:rsid w:val="009B46B1"/>
    <w:rsid w:val="009B4A05"/>
    <w:rsid w:val="009B596D"/>
    <w:rsid w:val="009B62E1"/>
    <w:rsid w:val="009C0390"/>
    <w:rsid w:val="009C04AA"/>
    <w:rsid w:val="009C068E"/>
    <w:rsid w:val="009C0A31"/>
    <w:rsid w:val="009C101E"/>
    <w:rsid w:val="009C190C"/>
    <w:rsid w:val="009C3268"/>
    <w:rsid w:val="009C3718"/>
    <w:rsid w:val="009C4BCF"/>
    <w:rsid w:val="009C5C20"/>
    <w:rsid w:val="009D0048"/>
    <w:rsid w:val="009D13CA"/>
    <w:rsid w:val="009D2271"/>
    <w:rsid w:val="009D2811"/>
    <w:rsid w:val="009D3EA3"/>
    <w:rsid w:val="009D6147"/>
    <w:rsid w:val="009E01F2"/>
    <w:rsid w:val="009E04BB"/>
    <w:rsid w:val="009E066D"/>
    <w:rsid w:val="009E0913"/>
    <w:rsid w:val="009E09F3"/>
    <w:rsid w:val="009E19C9"/>
    <w:rsid w:val="009E57EA"/>
    <w:rsid w:val="009E5A8E"/>
    <w:rsid w:val="009E5F8D"/>
    <w:rsid w:val="009E6CCE"/>
    <w:rsid w:val="009E74A1"/>
    <w:rsid w:val="009F05AD"/>
    <w:rsid w:val="009F200A"/>
    <w:rsid w:val="009F2A53"/>
    <w:rsid w:val="009F4BE1"/>
    <w:rsid w:val="009F4E87"/>
    <w:rsid w:val="009F5AA8"/>
    <w:rsid w:val="009F5F54"/>
    <w:rsid w:val="009F64FE"/>
    <w:rsid w:val="009F7131"/>
    <w:rsid w:val="00A0064D"/>
    <w:rsid w:val="00A01FBB"/>
    <w:rsid w:val="00A02552"/>
    <w:rsid w:val="00A02C0A"/>
    <w:rsid w:val="00A04107"/>
    <w:rsid w:val="00A0433F"/>
    <w:rsid w:val="00A0445A"/>
    <w:rsid w:val="00A04A11"/>
    <w:rsid w:val="00A054E3"/>
    <w:rsid w:val="00A06F75"/>
    <w:rsid w:val="00A07BEE"/>
    <w:rsid w:val="00A1058D"/>
    <w:rsid w:val="00A10A26"/>
    <w:rsid w:val="00A11657"/>
    <w:rsid w:val="00A117F6"/>
    <w:rsid w:val="00A13550"/>
    <w:rsid w:val="00A13880"/>
    <w:rsid w:val="00A1405D"/>
    <w:rsid w:val="00A14C3C"/>
    <w:rsid w:val="00A15213"/>
    <w:rsid w:val="00A1726C"/>
    <w:rsid w:val="00A17826"/>
    <w:rsid w:val="00A20DDE"/>
    <w:rsid w:val="00A21B13"/>
    <w:rsid w:val="00A22743"/>
    <w:rsid w:val="00A23D19"/>
    <w:rsid w:val="00A25BFD"/>
    <w:rsid w:val="00A25E01"/>
    <w:rsid w:val="00A26610"/>
    <w:rsid w:val="00A2703A"/>
    <w:rsid w:val="00A27F77"/>
    <w:rsid w:val="00A3128C"/>
    <w:rsid w:val="00A31B18"/>
    <w:rsid w:val="00A31F8B"/>
    <w:rsid w:val="00A32092"/>
    <w:rsid w:val="00A3226E"/>
    <w:rsid w:val="00A322CA"/>
    <w:rsid w:val="00A32E2C"/>
    <w:rsid w:val="00A339A9"/>
    <w:rsid w:val="00A33E97"/>
    <w:rsid w:val="00A35B22"/>
    <w:rsid w:val="00A36808"/>
    <w:rsid w:val="00A37463"/>
    <w:rsid w:val="00A375F6"/>
    <w:rsid w:val="00A37B5C"/>
    <w:rsid w:val="00A433A2"/>
    <w:rsid w:val="00A43EC3"/>
    <w:rsid w:val="00A44E9E"/>
    <w:rsid w:val="00A4548D"/>
    <w:rsid w:val="00A457A3"/>
    <w:rsid w:val="00A475ED"/>
    <w:rsid w:val="00A47839"/>
    <w:rsid w:val="00A50FC7"/>
    <w:rsid w:val="00A5225D"/>
    <w:rsid w:val="00A532FB"/>
    <w:rsid w:val="00A54189"/>
    <w:rsid w:val="00A549DB"/>
    <w:rsid w:val="00A55517"/>
    <w:rsid w:val="00A563A6"/>
    <w:rsid w:val="00A57300"/>
    <w:rsid w:val="00A57330"/>
    <w:rsid w:val="00A6006D"/>
    <w:rsid w:val="00A62179"/>
    <w:rsid w:val="00A63B7B"/>
    <w:rsid w:val="00A6500C"/>
    <w:rsid w:val="00A65032"/>
    <w:rsid w:val="00A65324"/>
    <w:rsid w:val="00A65AE5"/>
    <w:rsid w:val="00A65B77"/>
    <w:rsid w:val="00A65EC3"/>
    <w:rsid w:val="00A676E6"/>
    <w:rsid w:val="00A70B8E"/>
    <w:rsid w:val="00A70BC5"/>
    <w:rsid w:val="00A70C0A"/>
    <w:rsid w:val="00A70FDB"/>
    <w:rsid w:val="00A73E43"/>
    <w:rsid w:val="00A756C2"/>
    <w:rsid w:val="00A75AF2"/>
    <w:rsid w:val="00A76D63"/>
    <w:rsid w:val="00A77AB5"/>
    <w:rsid w:val="00A80473"/>
    <w:rsid w:val="00A809B9"/>
    <w:rsid w:val="00A8123D"/>
    <w:rsid w:val="00A83156"/>
    <w:rsid w:val="00A83537"/>
    <w:rsid w:val="00A83BC0"/>
    <w:rsid w:val="00A85CE9"/>
    <w:rsid w:val="00A862DC"/>
    <w:rsid w:val="00A87E3C"/>
    <w:rsid w:val="00A90247"/>
    <w:rsid w:val="00A91685"/>
    <w:rsid w:val="00A91F70"/>
    <w:rsid w:val="00A93607"/>
    <w:rsid w:val="00A94AC6"/>
    <w:rsid w:val="00A9700A"/>
    <w:rsid w:val="00A975FF"/>
    <w:rsid w:val="00AA12E0"/>
    <w:rsid w:val="00AA30D9"/>
    <w:rsid w:val="00AA32A0"/>
    <w:rsid w:val="00AA40A5"/>
    <w:rsid w:val="00AA47FE"/>
    <w:rsid w:val="00AA480B"/>
    <w:rsid w:val="00AA619A"/>
    <w:rsid w:val="00AA6B74"/>
    <w:rsid w:val="00AB0C24"/>
    <w:rsid w:val="00AB0F88"/>
    <w:rsid w:val="00AB1153"/>
    <w:rsid w:val="00AB1FBA"/>
    <w:rsid w:val="00AB345C"/>
    <w:rsid w:val="00AB3D45"/>
    <w:rsid w:val="00AB531D"/>
    <w:rsid w:val="00AB7322"/>
    <w:rsid w:val="00AC050E"/>
    <w:rsid w:val="00AC09C0"/>
    <w:rsid w:val="00AC1B87"/>
    <w:rsid w:val="00AC278E"/>
    <w:rsid w:val="00AC2B1C"/>
    <w:rsid w:val="00AC37E1"/>
    <w:rsid w:val="00AC5592"/>
    <w:rsid w:val="00AC55FD"/>
    <w:rsid w:val="00AC5F64"/>
    <w:rsid w:val="00AC73AF"/>
    <w:rsid w:val="00AC75DA"/>
    <w:rsid w:val="00AC7AA3"/>
    <w:rsid w:val="00AC7F86"/>
    <w:rsid w:val="00AD0288"/>
    <w:rsid w:val="00AD046E"/>
    <w:rsid w:val="00AD06D8"/>
    <w:rsid w:val="00AD1F99"/>
    <w:rsid w:val="00AD217D"/>
    <w:rsid w:val="00AD2659"/>
    <w:rsid w:val="00AD283B"/>
    <w:rsid w:val="00AD2974"/>
    <w:rsid w:val="00AD3EE5"/>
    <w:rsid w:val="00AD41EC"/>
    <w:rsid w:val="00AD6462"/>
    <w:rsid w:val="00AD7605"/>
    <w:rsid w:val="00AE054A"/>
    <w:rsid w:val="00AE100B"/>
    <w:rsid w:val="00AE14D9"/>
    <w:rsid w:val="00AE1AB7"/>
    <w:rsid w:val="00AE1E65"/>
    <w:rsid w:val="00AE329E"/>
    <w:rsid w:val="00AE4F02"/>
    <w:rsid w:val="00AF1812"/>
    <w:rsid w:val="00AF20EC"/>
    <w:rsid w:val="00AF2D87"/>
    <w:rsid w:val="00AF3B0D"/>
    <w:rsid w:val="00AF591D"/>
    <w:rsid w:val="00AF5B05"/>
    <w:rsid w:val="00AF621D"/>
    <w:rsid w:val="00AF73D4"/>
    <w:rsid w:val="00B000E6"/>
    <w:rsid w:val="00B013C3"/>
    <w:rsid w:val="00B01C65"/>
    <w:rsid w:val="00B03A09"/>
    <w:rsid w:val="00B03D8C"/>
    <w:rsid w:val="00B05A41"/>
    <w:rsid w:val="00B079E6"/>
    <w:rsid w:val="00B07AF8"/>
    <w:rsid w:val="00B1079D"/>
    <w:rsid w:val="00B128CF"/>
    <w:rsid w:val="00B13565"/>
    <w:rsid w:val="00B13C57"/>
    <w:rsid w:val="00B14F52"/>
    <w:rsid w:val="00B175B2"/>
    <w:rsid w:val="00B17F21"/>
    <w:rsid w:val="00B20CF3"/>
    <w:rsid w:val="00B225F9"/>
    <w:rsid w:val="00B244BC"/>
    <w:rsid w:val="00B248A5"/>
    <w:rsid w:val="00B24B99"/>
    <w:rsid w:val="00B25B25"/>
    <w:rsid w:val="00B26254"/>
    <w:rsid w:val="00B2662C"/>
    <w:rsid w:val="00B266C6"/>
    <w:rsid w:val="00B27681"/>
    <w:rsid w:val="00B3175C"/>
    <w:rsid w:val="00B31DD6"/>
    <w:rsid w:val="00B36154"/>
    <w:rsid w:val="00B3655E"/>
    <w:rsid w:val="00B379C6"/>
    <w:rsid w:val="00B423EA"/>
    <w:rsid w:val="00B43564"/>
    <w:rsid w:val="00B436E2"/>
    <w:rsid w:val="00B440F4"/>
    <w:rsid w:val="00B44821"/>
    <w:rsid w:val="00B44A4D"/>
    <w:rsid w:val="00B47797"/>
    <w:rsid w:val="00B47842"/>
    <w:rsid w:val="00B47A7F"/>
    <w:rsid w:val="00B47CED"/>
    <w:rsid w:val="00B47E26"/>
    <w:rsid w:val="00B50A58"/>
    <w:rsid w:val="00B521E3"/>
    <w:rsid w:val="00B528A2"/>
    <w:rsid w:val="00B53303"/>
    <w:rsid w:val="00B54134"/>
    <w:rsid w:val="00B5476B"/>
    <w:rsid w:val="00B54A46"/>
    <w:rsid w:val="00B5561B"/>
    <w:rsid w:val="00B55B0D"/>
    <w:rsid w:val="00B5604C"/>
    <w:rsid w:val="00B57050"/>
    <w:rsid w:val="00B6155E"/>
    <w:rsid w:val="00B62032"/>
    <w:rsid w:val="00B623EF"/>
    <w:rsid w:val="00B62892"/>
    <w:rsid w:val="00B63199"/>
    <w:rsid w:val="00B66C86"/>
    <w:rsid w:val="00B70CE7"/>
    <w:rsid w:val="00B71B5C"/>
    <w:rsid w:val="00B72335"/>
    <w:rsid w:val="00B73A89"/>
    <w:rsid w:val="00B73E46"/>
    <w:rsid w:val="00B751C0"/>
    <w:rsid w:val="00B752FA"/>
    <w:rsid w:val="00B75625"/>
    <w:rsid w:val="00B75710"/>
    <w:rsid w:val="00B75BB4"/>
    <w:rsid w:val="00B75E36"/>
    <w:rsid w:val="00B75E59"/>
    <w:rsid w:val="00B76946"/>
    <w:rsid w:val="00B76A6F"/>
    <w:rsid w:val="00B772EB"/>
    <w:rsid w:val="00B77EBE"/>
    <w:rsid w:val="00B80AA2"/>
    <w:rsid w:val="00B80AB3"/>
    <w:rsid w:val="00B81F2F"/>
    <w:rsid w:val="00B828D6"/>
    <w:rsid w:val="00B84D84"/>
    <w:rsid w:val="00B8583F"/>
    <w:rsid w:val="00B86967"/>
    <w:rsid w:val="00B87205"/>
    <w:rsid w:val="00B914FE"/>
    <w:rsid w:val="00B917BD"/>
    <w:rsid w:val="00B91CC8"/>
    <w:rsid w:val="00B91D55"/>
    <w:rsid w:val="00B925D4"/>
    <w:rsid w:val="00B92BE7"/>
    <w:rsid w:val="00B96996"/>
    <w:rsid w:val="00B96A73"/>
    <w:rsid w:val="00B96B9C"/>
    <w:rsid w:val="00B97268"/>
    <w:rsid w:val="00B97772"/>
    <w:rsid w:val="00BA148B"/>
    <w:rsid w:val="00BA4279"/>
    <w:rsid w:val="00BA4734"/>
    <w:rsid w:val="00BA55DB"/>
    <w:rsid w:val="00BA6CD5"/>
    <w:rsid w:val="00BB02A0"/>
    <w:rsid w:val="00BB3D64"/>
    <w:rsid w:val="00BB452C"/>
    <w:rsid w:val="00BB5C47"/>
    <w:rsid w:val="00BB7989"/>
    <w:rsid w:val="00BC02E9"/>
    <w:rsid w:val="00BC0401"/>
    <w:rsid w:val="00BC0752"/>
    <w:rsid w:val="00BC30DD"/>
    <w:rsid w:val="00BC34BE"/>
    <w:rsid w:val="00BC4271"/>
    <w:rsid w:val="00BC551C"/>
    <w:rsid w:val="00BC64E4"/>
    <w:rsid w:val="00BC6BB8"/>
    <w:rsid w:val="00BC6C11"/>
    <w:rsid w:val="00BC7533"/>
    <w:rsid w:val="00BC7D44"/>
    <w:rsid w:val="00BD05CA"/>
    <w:rsid w:val="00BD143C"/>
    <w:rsid w:val="00BD3BC6"/>
    <w:rsid w:val="00BD417C"/>
    <w:rsid w:val="00BD4477"/>
    <w:rsid w:val="00BD68DA"/>
    <w:rsid w:val="00BE170B"/>
    <w:rsid w:val="00BE1AFC"/>
    <w:rsid w:val="00BE4BAE"/>
    <w:rsid w:val="00BE51AA"/>
    <w:rsid w:val="00BE5374"/>
    <w:rsid w:val="00BE5F83"/>
    <w:rsid w:val="00BF00AA"/>
    <w:rsid w:val="00BF0B50"/>
    <w:rsid w:val="00BF0C04"/>
    <w:rsid w:val="00BF106A"/>
    <w:rsid w:val="00BF397A"/>
    <w:rsid w:val="00BF3C2A"/>
    <w:rsid w:val="00BF7956"/>
    <w:rsid w:val="00C0258E"/>
    <w:rsid w:val="00C05952"/>
    <w:rsid w:val="00C0705A"/>
    <w:rsid w:val="00C07308"/>
    <w:rsid w:val="00C10222"/>
    <w:rsid w:val="00C1262A"/>
    <w:rsid w:val="00C135A5"/>
    <w:rsid w:val="00C1364B"/>
    <w:rsid w:val="00C1376A"/>
    <w:rsid w:val="00C15500"/>
    <w:rsid w:val="00C170E5"/>
    <w:rsid w:val="00C179E0"/>
    <w:rsid w:val="00C208FA"/>
    <w:rsid w:val="00C21056"/>
    <w:rsid w:val="00C218C3"/>
    <w:rsid w:val="00C22771"/>
    <w:rsid w:val="00C22A6B"/>
    <w:rsid w:val="00C24FD4"/>
    <w:rsid w:val="00C253AA"/>
    <w:rsid w:val="00C26349"/>
    <w:rsid w:val="00C263D5"/>
    <w:rsid w:val="00C277EF"/>
    <w:rsid w:val="00C27B42"/>
    <w:rsid w:val="00C27B84"/>
    <w:rsid w:val="00C3147F"/>
    <w:rsid w:val="00C32936"/>
    <w:rsid w:val="00C33640"/>
    <w:rsid w:val="00C33B89"/>
    <w:rsid w:val="00C33C77"/>
    <w:rsid w:val="00C33F75"/>
    <w:rsid w:val="00C340C4"/>
    <w:rsid w:val="00C340CB"/>
    <w:rsid w:val="00C35FAC"/>
    <w:rsid w:val="00C36F4F"/>
    <w:rsid w:val="00C41C86"/>
    <w:rsid w:val="00C41D7E"/>
    <w:rsid w:val="00C426B2"/>
    <w:rsid w:val="00C4345E"/>
    <w:rsid w:val="00C44122"/>
    <w:rsid w:val="00C46BB6"/>
    <w:rsid w:val="00C46F42"/>
    <w:rsid w:val="00C47C78"/>
    <w:rsid w:val="00C51860"/>
    <w:rsid w:val="00C5250C"/>
    <w:rsid w:val="00C54AAC"/>
    <w:rsid w:val="00C5523E"/>
    <w:rsid w:val="00C61675"/>
    <w:rsid w:val="00C61D7F"/>
    <w:rsid w:val="00C6232D"/>
    <w:rsid w:val="00C62D23"/>
    <w:rsid w:val="00C632BC"/>
    <w:rsid w:val="00C66E14"/>
    <w:rsid w:val="00C67461"/>
    <w:rsid w:val="00C67B38"/>
    <w:rsid w:val="00C7140E"/>
    <w:rsid w:val="00C716B4"/>
    <w:rsid w:val="00C723A4"/>
    <w:rsid w:val="00C73154"/>
    <w:rsid w:val="00C73399"/>
    <w:rsid w:val="00C779C2"/>
    <w:rsid w:val="00C77C44"/>
    <w:rsid w:val="00C80632"/>
    <w:rsid w:val="00C8206D"/>
    <w:rsid w:val="00C82314"/>
    <w:rsid w:val="00C8231A"/>
    <w:rsid w:val="00C840AB"/>
    <w:rsid w:val="00C85C23"/>
    <w:rsid w:val="00C86B6B"/>
    <w:rsid w:val="00C90220"/>
    <w:rsid w:val="00C9025D"/>
    <w:rsid w:val="00C91759"/>
    <w:rsid w:val="00C91DC2"/>
    <w:rsid w:val="00C9311E"/>
    <w:rsid w:val="00C93717"/>
    <w:rsid w:val="00C94686"/>
    <w:rsid w:val="00C96346"/>
    <w:rsid w:val="00C96D97"/>
    <w:rsid w:val="00CA0036"/>
    <w:rsid w:val="00CA1F33"/>
    <w:rsid w:val="00CA3C09"/>
    <w:rsid w:val="00CA4A89"/>
    <w:rsid w:val="00CA4FCB"/>
    <w:rsid w:val="00CA5899"/>
    <w:rsid w:val="00CA590A"/>
    <w:rsid w:val="00CA6771"/>
    <w:rsid w:val="00CA7E25"/>
    <w:rsid w:val="00CB4DE5"/>
    <w:rsid w:val="00CB53B5"/>
    <w:rsid w:val="00CB54EC"/>
    <w:rsid w:val="00CB5823"/>
    <w:rsid w:val="00CB6C6D"/>
    <w:rsid w:val="00CB79D6"/>
    <w:rsid w:val="00CC0107"/>
    <w:rsid w:val="00CC071C"/>
    <w:rsid w:val="00CC0DC9"/>
    <w:rsid w:val="00CC0FEB"/>
    <w:rsid w:val="00CC2868"/>
    <w:rsid w:val="00CC2929"/>
    <w:rsid w:val="00CC323B"/>
    <w:rsid w:val="00CC7019"/>
    <w:rsid w:val="00CC7D4D"/>
    <w:rsid w:val="00CD0630"/>
    <w:rsid w:val="00CD0875"/>
    <w:rsid w:val="00CD1B21"/>
    <w:rsid w:val="00CD2570"/>
    <w:rsid w:val="00CD69D7"/>
    <w:rsid w:val="00CD7029"/>
    <w:rsid w:val="00CD72F7"/>
    <w:rsid w:val="00CE04E0"/>
    <w:rsid w:val="00CE120E"/>
    <w:rsid w:val="00CE19AE"/>
    <w:rsid w:val="00CE1EA5"/>
    <w:rsid w:val="00CE3084"/>
    <w:rsid w:val="00CE3ED8"/>
    <w:rsid w:val="00CE4197"/>
    <w:rsid w:val="00CE49B2"/>
    <w:rsid w:val="00CE4BE8"/>
    <w:rsid w:val="00CE548E"/>
    <w:rsid w:val="00CE5D7D"/>
    <w:rsid w:val="00CE5E32"/>
    <w:rsid w:val="00CE5EF5"/>
    <w:rsid w:val="00CE68AE"/>
    <w:rsid w:val="00CE7872"/>
    <w:rsid w:val="00CE78C4"/>
    <w:rsid w:val="00CF0255"/>
    <w:rsid w:val="00CF0867"/>
    <w:rsid w:val="00CF0B50"/>
    <w:rsid w:val="00CF4442"/>
    <w:rsid w:val="00CF47E9"/>
    <w:rsid w:val="00CF75B2"/>
    <w:rsid w:val="00D01528"/>
    <w:rsid w:val="00D0323B"/>
    <w:rsid w:val="00D03882"/>
    <w:rsid w:val="00D04369"/>
    <w:rsid w:val="00D04377"/>
    <w:rsid w:val="00D076B9"/>
    <w:rsid w:val="00D1436E"/>
    <w:rsid w:val="00D14BA0"/>
    <w:rsid w:val="00D169DF"/>
    <w:rsid w:val="00D16D41"/>
    <w:rsid w:val="00D17DB3"/>
    <w:rsid w:val="00D2208F"/>
    <w:rsid w:val="00D279C8"/>
    <w:rsid w:val="00D3131E"/>
    <w:rsid w:val="00D3148A"/>
    <w:rsid w:val="00D31E55"/>
    <w:rsid w:val="00D33E37"/>
    <w:rsid w:val="00D3412E"/>
    <w:rsid w:val="00D3437D"/>
    <w:rsid w:val="00D367D6"/>
    <w:rsid w:val="00D40F52"/>
    <w:rsid w:val="00D41D77"/>
    <w:rsid w:val="00D43271"/>
    <w:rsid w:val="00D4439A"/>
    <w:rsid w:val="00D46C37"/>
    <w:rsid w:val="00D50A5B"/>
    <w:rsid w:val="00D50F16"/>
    <w:rsid w:val="00D523D9"/>
    <w:rsid w:val="00D538BC"/>
    <w:rsid w:val="00D54146"/>
    <w:rsid w:val="00D5443B"/>
    <w:rsid w:val="00D55566"/>
    <w:rsid w:val="00D57625"/>
    <w:rsid w:val="00D609E5"/>
    <w:rsid w:val="00D60AF1"/>
    <w:rsid w:val="00D625FD"/>
    <w:rsid w:val="00D646B5"/>
    <w:rsid w:val="00D66E45"/>
    <w:rsid w:val="00D677F2"/>
    <w:rsid w:val="00D70DA0"/>
    <w:rsid w:val="00D72EEB"/>
    <w:rsid w:val="00D74553"/>
    <w:rsid w:val="00D755BF"/>
    <w:rsid w:val="00D765F6"/>
    <w:rsid w:val="00D776F1"/>
    <w:rsid w:val="00D82A31"/>
    <w:rsid w:val="00D83453"/>
    <w:rsid w:val="00D83E23"/>
    <w:rsid w:val="00D84CA3"/>
    <w:rsid w:val="00D85621"/>
    <w:rsid w:val="00D85834"/>
    <w:rsid w:val="00D85874"/>
    <w:rsid w:val="00D86F5C"/>
    <w:rsid w:val="00D8750A"/>
    <w:rsid w:val="00D92135"/>
    <w:rsid w:val="00D9333C"/>
    <w:rsid w:val="00D945A6"/>
    <w:rsid w:val="00D95214"/>
    <w:rsid w:val="00D95AD1"/>
    <w:rsid w:val="00DA0AAB"/>
    <w:rsid w:val="00DA101F"/>
    <w:rsid w:val="00DA1D4B"/>
    <w:rsid w:val="00DA3660"/>
    <w:rsid w:val="00DA37ED"/>
    <w:rsid w:val="00DA5186"/>
    <w:rsid w:val="00DA5909"/>
    <w:rsid w:val="00DA5E6C"/>
    <w:rsid w:val="00DA6D4D"/>
    <w:rsid w:val="00DB1D0A"/>
    <w:rsid w:val="00DB24A7"/>
    <w:rsid w:val="00DB24D5"/>
    <w:rsid w:val="00DB4E0F"/>
    <w:rsid w:val="00DB68F7"/>
    <w:rsid w:val="00DB7050"/>
    <w:rsid w:val="00DB7181"/>
    <w:rsid w:val="00DB7625"/>
    <w:rsid w:val="00DC2C61"/>
    <w:rsid w:val="00DC3C98"/>
    <w:rsid w:val="00DC4A09"/>
    <w:rsid w:val="00DC59A0"/>
    <w:rsid w:val="00DC629B"/>
    <w:rsid w:val="00DC753C"/>
    <w:rsid w:val="00DC784F"/>
    <w:rsid w:val="00DD0331"/>
    <w:rsid w:val="00DD0629"/>
    <w:rsid w:val="00DD0AAD"/>
    <w:rsid w:val="00DD1F9B"/>
    <w:rsid w:val="00DD2152"/>
    <w:rsid w:val="00DD21C0"/>
    <w:rsid w:val="00DD37AC"/>
    <w:rsid w:val="00DD3DBD"/>
    <w:rsid w:val="00DD4715"/>
    <w:rsid w:val="00DD7911"/>
    <w:rsid w:val="00DE0F22"/>
    <w:rsid w:val="00DE3569"/>
    <w:rsid w:val="00DE4463"/>
    <w:rsid w:val="00DE4B4D"/>
    <w:rsid w:val="00DE54F8"/>
    <w:rsid w:val="00DF01D9"/>
    <w:rsid w:val="00DF1897"/>
    <w:rsid w:val="00DF2EAE"/>
    <w:rsid w:val="00DF3842"/>
    <w:rsid w:val="00DF3E0F"/>
    <w:rsid w:val="00E02827"/>
    <w:rsid w:val="00E0400C"/>
    <w:rsid w:val="00E0466F"/>
    <w:rsid w:val="00E05816"/>
    <w:rsid w:val="00E06D51"/>
    <w:rsid w:val="00E0791F"/>
    <w:rsid w:val="00E1021D"/>
    <w:rsid w:val="00E1164A"/>
    <w:rsid w:val="00E1218F"/>
    <w:rsid w:val="00E126BD"/>
    <w:rsid w:val="00E13305"/>
    <w:rsid w:val="00E13FB3"/>
    <w:rsid w:val="00E147F0"/>
    <w:rsid w:val="00E1522B"/>
    <w:rsid w:val="00E1678D"/>
    <w:rsid w:val="00E17AEF"/>
    <w:rsid w:val="00E17EEA"/>
    <w:rsid w:val="00E2147B"/>
    <w:rsid w:val="00E2292E"/>
    <w:rsid w:val="00E22F60"/>
    <w:rsid w:val="00E23993"/>
    <w:rsid w:val="00E25C16"/>
    <w:rsid w:val="00E25EC8"/>
    <w:rsid w:val="00E26D5C"/>
    <w:rsid w:val="00E271C1"/>
    <w:rsid w:val="00E30576"/>
    <w:rsid w:val="00E30CEA"/>
    <w:rsid w:val="00E329AB"/>
    <w:rsid w:val="00E34A1C"/>
    <w:rsid w:val="00E34EF6"/>
    <w:rsid w:val="00E350C2"/>
    <w:rsid w:val="00E3620A"/>
    <w:rsid w:val="00E369F2"/>
    <w:rsid w:val="00E370AD"/>
    <w:rsid w:val="00E37692"/>
    <w:rsid w:val="00E40D24"/>
    <w:rsid w:val="00E41A5C"/>
    <w:rsid w:val="00E427B0"/>
    <w:rsid w:val="00E43500"/>
    <w:rsid w:val="00E453EB"/>
    <w:rsid w:val="00E46029"/>
    <w:rsid w:val="00E47C43"/>
    <w:rsid w:val="00E47FB3"/>
    <w:rsid w:val="00E52ED5"/>
    <w:rsid w:val="00E53E94"/>
    <w:rsid w:val="00E54424"/>
    <w:rsid w:val="00E54AF9"/>
    <w:rsid w:val="00E54BA0"/>
    <w:rsid w:val="00E55B79"/>
    <w:rsid w:val="00E56113"/>
    <w:rsid w:val="00E56487"/>
    <w:rsid w:val="00E57752"/>
    <w:rsid w:val="00E57DC6"/>
    <w:rsid w:val="00E60A26"/>
    <w:rsid w:val="00E60DD5"/>
    <w:rsid w:val="00E61B1D"/>
    <w:rsid w:val="00E620A0"/>
    <w:rsid w:val="00E6276D"/>
    <w:rsid w:val="00E62C4F"/>
    <w:rsid w:val="00E63841"/>
    <w:rsid w:val="00E63BF8"/>
    <w:rsid w:val="00E64358"/>
    <w:rsid w:val="00E650EE"/>
    <w:rsid w:val="00E6623D"/>
    <w:rsid w:val="00E66271"/>
    <w:rsid w:val="00E66CFA"/>
    <w:rsid w:val="00E67799"/>
    <w:rsid w:val="00E67BCC"/>
    <w:rsid w:val="00E70943"/>
    <w:rsid w:val="00E70AA9"/>
    <w:rsid w:val="00E715E7"/>
    <w:rsid w:val="00E72B08"/>
    <w:rsid w:val="00E75E5E"/>
    <w:rsid w:val="00E800E7"/>
    <w:rsid w:val="00E8083A"/>
    <w:rsid w:val="00E81A7B"/>
    <w:rsid w:val="00E8247D"/>
    <w:rsid w:val="00E82E8D"/>
    <w:rsid w:val="00E83024"/>
    <w:rsid w:val="00E8314F"/>
    <w:rsid w:val="00E83802"/>
    <w:rsid w:val="00E8435B"/>
    <w:rsid w:val="00E84863"/>
    <w:rsid w:val="00E85561"/>
    <w:rsid w:val="00E8592D"/>
    <w:rsid w:val="00E875F3"/>
    <w:rsid w:val="00E908F5"/>
    <w:rsid w:val="00E90AE2"/>
    <w:rsid w:val="00E9196B"/>
    <w:rsid w:val="00E92113"/>
    <w:rsid w:val="00E92DCC"/>
    <w:rsid w:val="00E94AC7"/>
    <w:rsid w:val="00E96031"/>
    <w:rsid w:val="00E96752"/>
    <w:rsid w:val="00E967F2"/>
    <w:rsid w:val="00E975CF"/>
    <w:rsid w:val="00E97A4E"/>
    <w:rsid w:val="00EA0597"/>
    <w:rsid w:val="00EA21F2"/>
    <w:rsid w:val="00EA488B"/>
    <w:rsid w:val="00EA48FC"/>
    <w:rsid w:val="00EA6113"/>
    <w:rsid w:val="00EA7C02"/>
    <w:rsid w:val="00EB03E8"/>
    <w:rsid w:val="00EB18CF"/>
    <w:rsid w:val="00EB2E8E"/>
    <w:rsid w:val="00EB2F2E"/>
    <w:rsid w:val="00EB7029"/>
    <w:rsid w:val="00EB7CE3"/>
    <w:rsid w:val="00EC093B"/>
    <w:rsid w:val="00EC2017"/>
    <w:rsid w:val="00EC3B9D"/>
    <w:rsid w:val="00EC6021"/>
    <w:rsid w:val="00EC60A9"/>
    <w:rsid w:val="00EC666E"/>
    <w:rsid w:val="00ED1237"/>
    <w:rsid w:val="00ED2228"/>
    <w:rsid w:val="00ED5A77"/>
    <w:rsid w:val="00ED6DF3"/>
    <w:rsid w:val="00ED73F0"/>
    <w:rsid w:val="00EE193C"/>
    <w:rsid w:val="00EE1995"/>
    <w:rsid w:val="00EE23CC"/>
    <w:rsid w:val="00EE4C4A"/>
    <w:rsid w:val="00EE4F7C"/>
    <w:rsid w:val="00EE60CA"/>
    <w:rsid w:val="00EE7757"/>
    <w:rsid w:val="00EE79FE"/>
    <w:rsid w:val="00EE7E2C"/>
    <w:rsid w:val="00EE7E55"/>
    <w:rsid w:val="00EF117E"/>
    <w:rsid w:val="00EF1573"/>
    <w:rsid w:val="00EF2795"/>
    <w:rsid w:val="00EF2CC6"/>
    <w:rsid w:val="00EF3061"/>
    <w:rsid w:val="00EF6521"/>
    <w:rsid w:val="00EF69F0"/>
    <w:rsid w:val="00F0032E"/>
    <w:rsid w:val="00F0084D"/>
    <w:rsid w:val="00F0188C"/>
    <w:rsid w:val="00F02292"/>
    <w:rsid w:val="00F02BD4"/>
    <w:rsid w:val="00F04499"/>
    <w:rsid w:val="00F04527"/>
    <w:rsid w:val="00F060A9"/>
    <w:rsid w:val="00F07023"/>
    <w:rsid w:val="00F0775B"/>
    <w:rsid w:val="00F07802"/>
    <w:rsid w:val="00F110D2"/>
    <w:rsid w:val="00F116D9"/>
    <w:rsid w:val="00F12D0B"/>
    <w:rsid w:val="00F13401"/>
    <w:rsid w:val="00F13EB1"/>
    <w:rsid w:val="00F146C3"/>
    <w:rsid w:val="00F1491A"/>
    <w:rsid w:val="00F15DB0"/>
    <w:rsid w:val="00F15DE0"/>
    <w:rsid w:val="00F16371"/>
    <w:rsid w:val="00F170C8"/>
    <w:rsid w:val="00F17AE0"/>
    <w:rsid w:val="00F2180D"/>
    <w:rsid w:val="00F223FB"/>
    <w:rsid w:val="00F23797"/>
    <w:rsid w:val="00F2395A"/>
    <w:rsid w:val="00F24281"/>
    <w:rsid w:val="00F249E4"/>
    <w:rsid w:val="00F24AFC"/>
    <w:rsid w:val="00F24F55"/>
    <w:rsid w:val="00F258F9"/>
    <w:rsid w:val="00F268DF"/>
    <w:rsid w:val="00F26ADC"/>
    <w:rsid w:val="00F27563"/>
    <w:rsid w:val="00F275EC"/>
    <w:rsid w:val="00F278C4"/>
    <w:rsid w:val="00F301A6"/>
    <w:rsid w:val="00F32F0C"/>
    <w:rsid w:val="00F36105"/>
    <w:rsid w:val="00F402C3"/>
    <w:rsid w:val="00F40E13"/>
    <w:rsid w:val="00F41532"/>
    <w:rsid w:val="00F41584"/>
    <w:rsid w:val="00F426A4"/>
    <w:rsid w:val="00F44270"/>
    <w:rsid w:val="00F45056"/>
    <w:rsid w:val="00F453F9"/>
    <w:rsid w:val="00F46E0F"/>
    <w:rsid w:val="00F46FF1"/>
    <w:rsid w:val="00F475D4"/>
    <w:rsid w:val="00F5017E"/>
    <w:rsid w:val="00F52335"/>
    <w:rsid w:val="00F52CBD"/>
    <w:rsid w:val="00F53C21"/>
    <w:rsid w:val="00F5429A"/>
    <w:rsid w:val="00F549D4"/>
    <w:rsid w:val="00F54B18"/>
    <w:rsid w:val="00F56066"/>
    <w:rsid w:val="00F568C0"/>
    <w:rsid w:val="00F57289"/>
    <w:rsid w:val="00F61145"/>
    <w:rsid w:val="00F6123C"/>
    <w:rsid w:val="00F628F8"/>
    <w:rsid w:val="00F64013"/>
    <w:rsid w:val="00F6515E"/>
    <w:rsid w:val="00F66808"/>
    <w:rsid w:val="00F67272"/>
    <w:rsid w:val="00F67C76"/>
    <w:rsid w:val="00F718B6"/>
    <w:rsid w:val="00F73B21"/>
    <w:rsid w:val="00F73BE7"/>
    <w:rsid w:val="00F74263"/>
    <w:rsid w:val="00F76B02"/>
    <w:rsid w:val="00F806C9"/>
    <w:rsid w:val="00F81419"/>
    <w:rsid w:val="00F8319A"/>
    <w:rsid w:val="00F843AC"/>
    <w:rsid w:val="00F85EBD"/>
    <w:rsid w:val="00F87745"/>
    <w:rsid w:val="00F87B93"/>
    <w:rsid w:val="00F91E89"/>
    <w:rsid w:val="00F935DD"/>
    <w:rsid w:val="00F93B1C"/>
    <w:rsid w:val="00F9407F"/>
    <w:rsid w:val="00F94B97"/>
    <w:rsid w:val="00F94E68"/>
    <w:rsid w:val="00F94E6C"/>
    <w:rsid w:val="00FA3BF8"/>
    <w:rsid w:val="00FA4670"/>
    <w:rsid w:val="00FA46F7"/>
    <w:rsid w:val="00FA5DBE"/>
    <w:rsid w:val="00FA611D"/>
    <w:rsid w:val="00FA731B"/>
    <w:rsid w:val="00FA7AFA"/>
    <w:rsid w:val="00FB1A8B"/>
    <w:rsid w:val="00FB3573"/>
    <w:rsid w:val="00FB3EE2"/>
    <w:rsid w:val="00FB411A"/>
    <w:rsid w:val="00FB6031"/>
    <w:rsid w:val="00FB62FC"/>
    <w:rsid w:val="00FB7010"/>
    <w:rsid w:val="00FB7694"/>
    <w:rsid w:val="00FC19D0"/>
    <w:rsid w:val="00FC1C59"/>
    <w:rsid w:val="00FC2C8A"/>
    <w:rsid w:val="00FC4FFB"/>
    <w:rsid w:val="00FC5032"/>
    <w:rsid w:val="00FC529F"/>
    <w:rsid w:val="00FC57B8"/>
    <w:rsid w:val="00FC6CA0"/>
    <w:rsid w:val="00FC7FE0"/>
    <w:rsid w:val="00FD1CCC"/>
    <w:rsid w:val="00FD3799"/>
    <w:rsid w:val="00FD3CAC"/>
    <w:rsid w:val="00FD5208"/>
    <w:rsid w:val="00FD544E"/>
    <w:rsid w:val="00FD5DE4"/>
    <w:rsid w:val="00FD636F"/>
    <w:rsid w:val="00FD7DEE"/>
    <w:rsid w:val="00FE1AE1"/>
    <w:rsid w:val="00FF08BD"/>
    <w:rsid w:val="00FF109E"/>
    <w:rsid w:val="00FF10A0"/>
    <w:rsid w:val="00FF123A"/>
    <w:rsid w:val="00FF1263"/>
    <w:rsid w:val="00FF29DE"/>
    <w:rsid w:val="00FF619D"/>
    <w:rsid w:val="00FF73D8"/>
    <w:rsid w:val="01134996"/>
    <w:rsid w:val="016E6852"/>
    <w:rsid w:val="03084E2D"/>
    <w:rsid w:val="03467E7F"/>
    <w:rsid w:val="03ACAF74"/>
    <w:rsid w:val="046C7616"/>
    <w:rsid w:val="0589E6CA"/>
    <w:rsid w:val="06F7563A"/>
    <w:rsid w:val="0936C387"/>
    <w:rsid w:val="093B1EBE"/>
    <w:rsid w:val="09972DFE"/>
    <w:rsid w:val="09D3D98E"/>
    <w:rsid w:val="0AA8C777"/>
    <w:rsid w:val="0ACF847D"/>
    <w:rsid w:val="0AF33991"/>
    <w:rsid w:val="0B52E52F"/>
    <w:rsid w:val="0B8D3356"/>
    <w:rsid w:val="0BF4F22E"/>
    <w:rsid w:val="0C3F11B4"/>
    <w:rsid w:val="0C4F1335"/>
    <w:rsid w:val="0D38F136"/>
    <w:rsid w:val="0F3BFA93"/>
    <w:rsid w:val="1004EA76"/>
    <w:rsid w:val="10F1C009"/>
    <w:rsid w:val="1220CC53"/>
    <w:rsid w:val="12F229A2"/>
    <w:rsid w:val="13D92AFE"/>
    <w:rsid w:val="13E715CC"/>
    <w:rsid w:val="15943129"/>
    <w:rsid w:val="161ACC73"/>
    <w:rsid w:val="1621C648"/>
    <w:rsid w:val="176278FE"/>
    <w:rsid w:val="19364A63"/>
    <w:rsid w:val="199BA2B5"/>
    <w:rsid w:val="1A14226D"/>
    <w:rsid w:val="1AAD1FC4"/>
    <w:rsid w:val="1B448541"/>
    <w:rsid w:val="1B516E4F"/>
    <w:rsid w:val="1C5E9761"/>
    <w:rsid w:val="1CF050D0"/>
    <w:rsid w:val="1CFF27B5"/>
    <w:rsid w:val="1D6623AA"/>
    <w:rsid w:val="1D71E0F7"/>
    <w:rsid w:val="1DC91B8B"/>
    <w:rsid w:val="1DF4E3F1"/>
    <w:rsid w:val="1E3BE1C0"/>
    <w:rsid w:val="1E9ECBCA"/>
    <w:rsid w:val="1EDDC352"/>
    <w:rsid w:val="20ACA229"/>
    <w:rsid w:val="22BB5623"/>
    <w:rsid w:val="22D0862E"/>
    <w:rsid w:val="230DC55B"/>
    <w:rsid w:val="24A9D6F7"/>
    <w:rsid w:val="24F3670C"/>
    <w:rsid w:val="258ADA37"/>
    <w:rsid w:val="25B33AEC"/>
    <w:rsid w:val="27507215"/>
    <w:rsid w:val="29FFF5D0"/>
    <w:rsid w:val="2AB4AE44"/>
    <w:rsid w:val="2B6D95DB"/>
    <w:rsid w:val="2D7D4571"/>
    <w:rsid w:val="2D84F226"/>
    <w:rsid w:val="2E708651"/>
    <w:rsid w:val="2F0F97E2"/>
    <w:rsid w:val="30A67E16"/>
    <w:rsid w:val="30C7BECD"/>
    <w:rsid w:val="31DB0863"/>
    <w:rsid w:val="324C38FD"/>
    <w:rsid w:val="32F3A41D"/>
    <w:rsid w:val="34625218"/>
    <w:rsid w:val="35FD6DC9"/>
    <w:rsid w:val="363064E0"/>
    <w:rsid w:val="363475D0"/>
    <w:rsid w:val="3714E389"/>
    <w:rsid w:val="37628809"/>
    <w:rsid w:val="38F761F1"/>
    <w:rsid w:val="390E69B8"/>
    <w:rsid w:val="39EFEE3F"/>
    <w:rsid w:val="3A86C2CB"/>
    <w:rsid w:val="3BA4823B"/>
    <w:rsid w:val="3BBE5C9A"/>
    <w:rsid w:val="3C48D177"/>
    <w:rsid w:val="3D3FF078"/>
    <w:rsid w:val="3D9D70D6"/>
    <w:rsid w:val="3DE85942"/>
    <w:rsid w:val="3E652D0E"/>
    <w:rsid w:val="40A63540"/>
    <w:rsid w:val="40EB9E2E"/>
    <w:rsid w:val="418F8484"/>
    <w:rsid w:val="429A07A2"/>
    <w:rsid w:val="448CDE46"/>
    <w:rsid w:val="45B0FBA8"/>
    <w:rsid w:val="471C4016"/>
    <w:rsid w:val="4764A1AC"/>
    <w:rsid w:val="481759BD"/>
    <w:rsid w:val="48697CF7"/>
    <w:rsid w:val="48DD87B6"/>
    <w:rsid w:val="4AA356A4"/>
    <w:rsid w:val="4B2CEBB6"/>
    <w:rsid w:val="4B6FAE06"/>
    <w:rsid w:val="4BA96CB1"/>
    <w:rsid w:val="4C38FB8C"/>
    <w:rsid w:val="4CE269B3"/>
    <w:rsid w:val="4CF6B932"/>
    <w:rsid w:val="4F4CE95A"/>
    <w:rsid w:val="4F5963E9"/>
    <w:rsid w:val="50D26696"/>
    <w:rsid w:val="50FE2ABE"/>
    <w:rsid w:val="5194E801"/>
    <w:rsid w:val="52CC01F1"/>
    <w:rsid w:val="53C5D9FF"/>
    <w:rsid w:val="5404D505"/>
    <w:rsid w:val="5431108D"/>
    <w:rsid w:val="547D4C5E"/>
    <w:rsid w:val="560CD51A"/>
    <w:rsid w:val="56463E83"/>
    <w:rsid w:val="575FC8A5"/>
    <w:rsid w:val="57781D0B"/>
    <w:rsid w:val="57BEC13B"/>
    <w:rsid w:val="58834B7F"/>
    <w:rsid w:val="589670DA"/>
    <w:rsid w:val="593E2A3B"/>
    <w:rsid w:val="594688AE"/>
    <w:rsid w:val="5A1B5AE9"/>
    <w:rsid w:val="5AA61422"/>
    <w:rsid w:val="5B5A3A39"/>
    <w:rsid w:val="5B668C61"/>
    <w:rsid w:val="5B833ED4"/>
    <w:rsid w:val="5BE68819"/>
    <w:rsid w:val="5D3E065E"/>
    <w:rsid w:val="5D5C2BFE"/>
    <w:rsid w:val="5DDE8CE3"/>
    <w:rsid w:val="5FD49355"/>
    <w:rsid w:val="603D879A"/>
    <w:rsid w:val="6047D406"/>
    <w:rsid w:val="626E9BD0"/>
    <w:rsid w:val="6301D492"/>
    <w:rsid w:val="63502233"/>
    <w:rsid w:val="6479EDB0"/>
    <w:rsid w:val="650D05AB"/>
    <w:rsid w:val="66D6C7AB"/>
    <w:rsid w:val="66ED1002"/>
    <w:rsid w:val="6755F635"/>
    <w:rsid w:val="6984E8CC"/>
    <w:rsid w:val="6A269B4D"/>
    <w:rsid w:val="6B6B76D7"/>
    <w:rsid w:val="6BEA1F34"/>
    <w:rsid w:val="6CD0ED90"/>
    <w:rsid w:val="6F8F33E7"/>
    <w:rsid w:val="7021898C"/>
    <w:rsid w:val="7180D873"/>
    <w:rsid w:val="71EEC17A"/>
    <w:rsid w:val="731E2B3B"/>
    <w:rsid w:val="73662DD9"/>
    <w:rsid w:val="748E770E"/>
    <w:rsid w:val="75875814"/>
    <w:rsid w:val="769EBF7A"/>
    <w:rsid w:val="77178B17"/>
    <w:rsid w:val="77E0AE68"/>
    <w:rsid w:val="784E9CD3"/>
    <w:rsid w:val="789F1957"/>
    <w:rsid w:val="7B52B64B"/>
    <w:rsid w:val="7B6DACAE"/>
    <w:rsid w:val="7BF9805E"/>
    <w:rsid w:val="7C72709A"/>
    <w:rsid w:val="7CB55939"/>
    <w:rsid w:val="7CFFB5D4"/>
    <w:rsid w:val="7D600094"/>
    <w:rsid w:val="7F9FB53F"/>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9CE86"/>
  <w15:chartTrackingRefBased/>
  <w15:docId w15:val="{0BB33A4A-D821-4D2A-9CD6-4FE076E18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q-AL"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5DC"/>
  </w:style>
  <w:style w:type="paragraph" w:styleId="Heading1">
    <w:name w:val="heading 1"/>
    <w:basedOn w:val="Normal"/>
    <w:next w:val="Normal"/>
    <w:link w:val="Heading1Char"/>
    <w:uiPriority w:val="9"/>
    <w:qFormat/>
    <w:rsid w:val="00852091"/>
    <w:pPr>
      <w:keepNext/>
      <w:keepLines/>
      <w:spacing w:before="320" w:after="40"/>
      <w:outlineLvl w:val="0"/>
    </w:pPr>
    <w:rPr>
      <w:rFonts w:ascii="Calibri" w:eastAsiaTheme="majorEastAsia" w:hAnsi="Calibri" w:cstheme="majorBidi"/>
      <w:b/>
      <w:bCs/>
      <w:caps/>
      <w:color w:val="806000" w:themeColor="accent4" w:themeShade="80"/>
      <w:spacing w:val="4"/>
      <w:sz w:val="26"/>
      <w:szCs w:val="28"/>
    </w:rPr>
  </w:style>
  <w:style w:type="paragraph" w:styleId="Heading2">
    <w:name w:val="heading 2"/>
    <w:basedOn w:val="Normal"/>
    <w:next w:val="Normal"/>
    <w:link w:val="Heading2Char"/>
    <w:uiPriority w:val="9"/>
    <w:unhideWhenUsed/>
    <w:qFormat/>
    <w:rsid w:val="00C73399"/>
    <w:pPr>
      <w:keepNext/>
      <w:keepLines/>
      <w:spacing w:before="120" w:after="0"/>
      <w:outlineLvl w:val="1"/>
    </w:pPr>
    <w:rPr>
      <w:rFonts w:ascii="Calibri" w:eastAsiaTheme="majorEastAsia" w:hAnsi="Calibri" w:cstheme="majorBidi"/>
      <w:b/>
      <w:bCs/>
      <w:color w:val="44546A" w:themeColor="text2"/>
      <w:sz w:val="26"/>
      <w:szCs w:val="28"/>
    </w:rPr>
  </w:style>
  <w:style w:type="paragraph" w:styleId="Heading3">
    <w:name w:val="heading 3"/>
    <w:basedOn w:val="Normal"/>
    <w:next w:val="Normal"/>
    <w:link w:val="Heading3Char"/>
    <w:uiPriority w:val="9"/>
    <w:unhideWhenUsed/>
    <w:qFormat/>
    <w:rsid w:val="009975DC"/>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9975DC"/>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9975DC"/>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9975DC"/>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9975DC"/>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9975DC"/>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9975DC"/>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4692"/>
    <w:pPr>
      <w:ind w:left="720"/>
      <w:contextualSpacing/>
    </w:pPr>
  </w:style>
  <w:style w:type="paragraph" w:styleId="Title">
    <w:name w:val="Title"/>
    <w:basedOn w:val="Normal"/>
    <w:next w:val="Normal"/>
    <w:link w:val="TitleChar"/>
    <w:uiPriority w:val="10"/>
    <w:qFormat/>
    <w:rsid w:val="009975DC"/>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9975DC"/>
    <w:rPr>
      <w:rFonts w:asciiTheme="majorHAnsi" w:eastAsiaTheme="majorEastAsia" w:hAnsiTheme="majorHAnsi" w:cstheme="majorBidi"/>
      <w:b/>
      <w:bCs/>
      <w:spacing w:val="-7"/>
      <w:sz w:val="48"/>
      <w:szCs w:val="48"/>
    </w:rPr>
  </w:style>
  <w:style w:type="character" w:customStyle="1" w:styleId="Heading2Char">
    <w:name w:val="Heading 2 Char"/>
    <w:basedOn w:val="DefaultParagraphFont"/>
    <w:link w:val="Heading2"/>
    <w:uiPriority w:val="9"/>
    <w:rsid w:val="00C73399"/>
    <w:rPr>
      <w:rFonts w:ascii="Calibri" w:eastAsiaTheme="majorEastAsia" w:hAnsi="Calibri" w:cstheme="majorBidi"/>
      <w:b/>
      <w:bCs/>
      <w:color w:val="44546A" w:themeColor="text2"/>
      <w:sz w:val="26"/>
      <w:szCs w:val="28"/>
    </w:rPr>
  </w:style>
  <w:style w:type="paragraph" w:styleId="NoSpacing">
    <w:name w:val="No Spacing"/>
    <w:link w:val="NoSpacingChar"/>
    <w:uiPriority w:val="1"/>
    <w:qFormat/>
    <w:rsid w:val="009975DC"/>
    <w:pPr>
      <w:spacing w:after="0" w:line="240" w:lineRule="auto"/>
    </w:pPr>
  </w:style>
  <w:style w:type="character" w:customStyle="1" w:styleId="NoSpacingChar">
    <w:name w:val="No Spacing Char"/>
    <w:link w:val="NoSpacing"/>
    <w:uiPriority w:val="1"/>
    <w:rsid w:val="006D1DED"/>
  </w:style>
  <w:style w:type="paragraph" w:customStyle="1" w:styleId="Contactinfo">
    <w:name w:val="Contact info"/>
    <w:basedOn w:val="Normal"/>
    <w:uiPriority w:val="1"/>
    <w:rsid w:val="006D1DED"/>
    <w:pPr>
      <w:spacing w:before="100" w:after="200" w:line="240" w:lineRule="auto"/>
      <w:jc w:val="right"/>
    </w:pPr>
    <w:rPr>
      <w:caps/>
      <w:kern w:val="22"/>
      <w:sz w:val="20"/>
      <w:szCs w:val="20"/>
      <w:lang w:val="en-US"/>
      <w14:ligatures w14:val="standard"/>
    </w:rPr>
  </w:style>
  <w:style w:type="table" w:styleId="PlainTable5">
    <w:name w:val="Plain Table 5"/>
    <w:basedOn w:val="TableNormal"/>
    <w:uiPriority w:val="45"/>
    <w:rsid w:val="006532F7"/>
    <w:pPr>
      <w:spacing w:after="0" w:line="240" w:lineRule="auto"/>
    </w:pPr>
    <w:rPr>
      <w:rFonts w:eastAsia="MS Mincho"/>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455D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5D29"/>
  </w:style>
  <w:style w:type="paragraph" w:styleId="Footer">
    <w:name w:val="footer"/>
    <w:basedOn w:val="Normal"/>
    <w:link w:val="FooterChar"/>
    <w:uiPriority w:val="99"/>
    <w:unhideWhenUsed/>
    <w:rsid w:val="00455D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5D29"/>
  </w:style>
  <w:style w:type="character" w:customStyle="1" w:styleId="Heading1Char">
    <w:name w:val="Heading 1 Char"/>
    <w:basedOn w:val="DefaultParagraphFont"/>
    <w:link w:val="Heading1"/>
    <w:uiPriority w:val="9"/>
    <w:rsid w:val="00852091"/>
    <w:rPr>
      <w:rFonts w:ascii="Calibri" w:eastAsiaTheme="majorEastAsia" w:hAnsi="Calibri" w:cstheme="majorBidi"/>
      <w:b/>
      <w:bCs/>
      <w:caps/>
      <w:color w:val="806000" w:themeColor="accent4" w:themeShade="80"/>
      <w:spacing w:val="4"/>
      <w:sz w:val="26"/>
      <w:szCs w:val="28"/>
    </w:rPr>
  </w:style>
  <w:style w:type="character" w:customStyle="1" w:styleId="Heading3Char">
    <w:name w:val="Heading 3 Char"/>
    <w:basedOn w:val="DefaultParagraphFont"/>
    <w:link w:val="Heading3"/>
    <w:uiPriority w:val="9"/>
    <w:rsid w:val="009975DC"/>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9975DC"/>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9975DC"/>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9975DC"/>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9975DC"/>
    <w:rPr>
      <w:i/>
      <w:iCs/>
    </w:rPr>
  </w:style>
  <w:style w:type="character" w:customStyle="1" w:styleId="Heading8Char">
    <w:name w:val="Heading 8 Char"/>
    <w:basedOn w:val="DefaultParagraphFont"/>
    <w:link w:val="Heading8"/>
    <w:uiPriority w:val="9"/>
    <w:semiHidden/>
    <w:rsid w:val="009975DC"/>
    <w:rPr>
      <w:b/>
      <w:bCs/>
    </w:rPr>
  </w:style>
  <w:style w:type="character" w:customStyle="1" w:styleId="Heading9Char">
    <w:name w:val="Heading 9 Char"/>
    <w:basedOn w:val="DefaultParagraphFont"/>
    <w:link w:val="Heading9"/>
    <w:uiPriority w:val="9"/>
    <w:semiHidden/>
    <w:rsid w:val="009975DC"/>
    <w:rPr>
      <w:i/>
      <w:iCs/>
    </w:rPr>
  </w:style>
  <w:style w:type="paragraph" w:styleId="Caption">
    <w:name w:val="caption"/>
    <w:basedOn w:val="Normal"/>
    <w:next w:val="Normal"/>
    <w:uiPriority w:val="35"/>
    <w:unhideWhenUsed/>
    <w:qFormat/>
    <w:rsid w:val="009975DC"/>
    <w:rPr>
      <w:b/>
      <w:bCs/>
      <w:sz w:val="18"/>
      <w:szCs w:val="18"/>
    </w:rPr>
  </w:style>
  <w:style w:type="paragraph" w:styleId="Subtitle">
    <w:name w:val="Subtitle"/>
    <w:basedOn w:val="Normal"/>
    <w:next w:val="Normal"/>
    <w:link w:val="SubtitleChar"/>
    <w:uiPriority w:val="11"/>
    <w:qFormat/>
    <w:rsid w:val="009975DC"/>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9975DC"/>
    <w:rPr>
      <w:rFonts w:asciiTheme="majorHAnsi" w:eastAsiaTheme="majorEastAsia" w:hAnsiTheme="majorHAnsi" w:cstheme="majorBidi"/>
      <w:sz w:val="24"/>
      <w:szCs w:val="24"/>
    </w:rPr>
  </w:style>
  <w:style w:type="character" w:styleId="Strong">
    <w:name w:val="Strong"/>
    <w:basedOn w:val="DefaultParagraphFont"/>
    <w:uiPriority w:val="22"/>
    <w:qFormat/>
    <w:rsid w:val="009975DC"/>
    <w:rPr>
      <w:b/>
      <w:bCs/>
      <w:color w:val="auto"/>
    </w:rPr>
  </w:style>
  <w:style w:type="character" w:styleId="Emphasis">
    <w:name w:val="Emphasis"/>
    <w:basedOn w:val="DefaultParagraphFont"/>
    <w:uiPriority w:val="20"/>
    <w:qFormat/>
    <w:rsid w:val="009975DC"/>
    <w:rPr>
      <w:i/>
      <w:iCs/>
      <w:color w:val="auto"/>
    </w:rPr>
  </w:style>
  <w:style w:type="paragraph" w:styleId="Quote">
    <w:name w:val="Quote"/>
    <w:basedOn w:val="Normal"/>
    <w:next w:val="Normal"/>
    <w:link w:val="QuoteChar"/>
    <w:uiPriority w:val="29"/>
    <w:qFormat/>
    <w:rsid w:val="009975DC"/>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9975DC"/>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9975DC"/>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9975DC"/>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9975DC"/>
    <w:rPr>
      <w:i/>
      <w:iCs/>
      <w:color w:val="auto"/>
    </w:rPr>
  </w:style>
  <w:style w:type="character" w:styleId="IntenseEmphasis">
    <w:name w:val="Intense Emphasis"/>
    <w:basedOn w:val="DefaultParagraphFont"/>
    <w:uiPriority w:val="21"/>
    <w:qFormat/>
    <w:rsid w:val="009975DC"/>
    <w:rPr>
      <w:b/>
      <w:bCs/>
      <w:i/>
      <w:iCs/>
      <w:color w:val="auto"/>
    </w:rPr>
  </w:style>
  <w:style w:type="character" w:styleId="SubtleReference">
    <w:name w:val="Subtle Reference"/>
    <w:basedOn w:val="DefaultParagraphFont"/>
    <w:uiPriority w:val="31"/>
    <w:qFormat/>
    <w:rsid w:val="009975DC"/>
    <w:rPr>
      <w:smallCaps/>
      <w:color w:val="auto"/>
      <w:u w:val="single" w:color="7F7F7F" w:themeColor="text1" w:themeTint="80"/>
    </w:rPr>
  </w:style>
  <w:style w:type="character" w:styleId="IntenseReference">
    <w:name w:val="Intense Reference"/>
    <w:basedOn w:val="DefaultParagraphFont"/>
    <w:uiPriority w:val="32"/>
    <w:qFormat/>
    <w:rsid w:val="009975DC"/>
    <w:rPr>
      <w:b/>
      <w:bCs/>
      <w:smallCaps/>
      <w:color w:val="auto"/>
      <w:u w:val="single"/>
    </w:rPr>
  </w:style>
  <w:style w:type="character" w:styleId="BookTitle">
    <w:name w:val="Book Title"/>
    <w:basedOn w:val="DefaultParagraphFont"/>
    <w:uiPriority w:val="33"/>
    <w:qFormat/>
    <w:rsid w:val="009975DC"/>
    <w:rPr>
      <w:b/>
      <w:bCs/>
      <w:smallCaps/>
      <w:color w:val="auto"/>
    </w:rPr>
  </w:style>
  <w:style w:type="paragraph" w:styleId="TOCHeading">
    <w:name w:val="TOC Heading"/>
    <w:basedOn w:val="Heading1"/>
    <w:next w:val="Normal"/>
    <w:uiPriority w:val="39"/>
    <w:unhideWhenUsed/>
    <w:qFormat/>
    <w:rsid w:val="009975DC"/>
    <w:pPr>
      <w:outlineLvl w:val="9"/>
    </w:pPr>
  </w:style>
  <w:style w:type="paragraph" w:styleId="TOC2">
    <w:name w:val="toc 2"/>
    <w:basedOn w:val="Normal"/>
    <w:next w:val="Normal"/>
    <w:autoRedefine/>
    <w:uiPriority w:val="39"/>
    <w:unhideWhenUsed/>
    <w:rsid w:val="005B0653"/>
    <w:pPr>
      <w:tabs>
        <w:tab w:val="right" w:leader="dot" w:pos="9016"/>
      </w:tabs>
      <w:spacing w:after="100"/>
      <w:ind w:left="220"/>
    </w:pPr>
    <w:rPr>
      <w:rFonts w:asciiTheme="majorHAnsi" w:hAnsiTheme="majorHAnsi" w:cstheme="majorHAnsi"/>
      <w:noProof/>
      <w:sz w:val="18"/>
      <w:szCs w:val="18"/>
    </w:rPr>
  </w:style>
  <w:style w:type="table" w:styleId="TableGrid">
    <w:name w:val="Table Grid"/>
    <w:basedOn w:val="TableNormal"/>
    <w:uiPriority w:val="39"/>
    <w:rsid w:val="008557D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DD0331"/>
    <w:pPr>
      <w:spacing w:after="0" w:line="240" w:lineRule="auto"/>
    </w:pPr>
    <w:rPr>
      <w:sz w:val="20"/>
      <w:szCs w:val="20"/>
    </w:rPr>
  </w:style>
  <w:style w:type="character" w:customStyle="1" w:styleId="FootnoteTextChar">
    <w:name w:val="Footnote Text Char"/>
    <w:basedOn w:val="DefaultParagraphFont"/>
    <w:link w:val="FootnoteText"/>
    <w:uiPriority w:val="99"/>
    <w:rsid w:val="00DD0331"/>
    <w:rPr>
      <w:sz w:val="20"/>
      <w:szCs w:val="20"/>
    </w:rPr>
  </w:style>
  <w:style w:type="character" w:styleId="FootnoteReference">
    <w:name w:val="footnote reference"/>
    <w:aliases w:val="BVI fnr Char Char Char,BVI fnr Car Car Char Char Char,BVI fnr Car Char Char Char,BVI fnr Car Car Car Car Char Char Char1,BVI fnr Car Car Car Car Char Char Char Char,BVI fnr Car Car Car Car Char Char Char Char Char,ftref Char Char"/>
    <w:basedOn w:val="DefaultParagraphFont"/>
    <w:uiPriority w:val="99"/>
    <w:unhideWhenUsed/>
    <w:rsid w:val="00DD0331"/>
    <w:rPr>
      <w:vertAlign w:val="superscript"/>
    </w:rPr>
  </w:style>
  <w:style w:type="paragraph" w:styleId="TOC1">
    <w:name w:val="toc 1"/>
    <w:basedOn w:val="Normal"/>
    <w:next w:val="Normal"/>
    <w:autoRedefine/>
    <w:uiPriority w:val="39"/>
    <w:unhideWhenUsed/>
    <w:rsid w:val="00CB4DE5"/>
    <w:pPr>
      <w:tabs>
        <w:tab w:val="right" w:leader="dot" w:pos="9016"/>
      </w:tabs>
      <w:spacing w:after="100" w:line="240" w:lineRule="auto"/>
    </w:pPr>
    <w:rPr>
      <w:rFonts w:ascii="Times New Roman" w:eastAsia="Times New Roman" w:hAnsi="Times New Roman" w:cs="Times New Roman"/>
      <w:noProof/>
      <w:sz w:val="16"/>
      <w:lang w:val="en-GB" w:eastAsia="en-GB"/>
    </w:rPr>
  </w:style>
  <w:style w:type="character" w:styleId="Hyperlink">
    <w:name w:val="Hyperlink"/>
    <w:basedOn w:val="DefaultParagraphFont"/>
    <w:uiPriority w:val="99"/>
    <w:unhideWhenUsed/>
    <w:rsid w:val="000852D8"/>
    <w:rPr>
      <w:color w:val="0563C1" w:themeColor="hyperlink"/>
      <w:u w:val="single"/>
    </w:rPr>
  </w:style>
  <w:style w:type="paragraph" w:styleId="NormalWeb">
    <w:name w:val="Normal (Web)"/>
    <w:basedOn w:val="Normal"/>
    <w:uiPriority w:val="99"/>
    <w:unhideWhenUsed/>
    <w:rsid w:val="00052DD7"/>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9E57EA"/>
    <w:rPr>
      <w:sz w:val="16"/>
      <w:szCs w:val="16"/>
    </w:rPr>
  </w:style>
  <w:style w:type="paragraph" w:styleId="CommentText">
    <w:name w:val="annotation text"/>
    <w:basedOn w:val="Normal"/>
    <w:link w:val="CommentTextChar"/>
    <w:uiPriority w:val="99"/>
    <w:semiHidden/>
    <w:unhideWhenUsed/>
    <w:rsid w:val="009E57EA"/>
    <w:pPr>
      <w:spacing w:line="240" w:lineRule="auto"/>
    </w:pPr>
    <w:rPr>
      <w:sz w:val="20"/>
      <w:szCs w:val="20"/>
    </w:rPr>
  </w:style>
  <w:style w:type="character" w:customStyle="1" w:styleId="CommentTextChar">
    <w:name w:val="Comment Text Char"/>
    <w:basedOn w:val="DefaultParagraphFont"/>
    <w:link w:val="CommentText"/>
    <w:uiPriority w:val="99"/>
    <w:semiHidden/>
    <w:rsid w:val="009E57EA"/>
    <w:rPr>
      <w:sz w:val="20"/>
      <w:szCs w:val="20"/>
    </w:rPr>
  </w:style>
  <w:style w:type="paragraph" w:styleId="CommentSubject">
    <w:name w:val="annotation subject"/>
    <w:basedOn w:val="CommentText"/>
    <w:next w:val="CommentText"/>
    <w:link w:val="CommentSubjectChar"/>
    <w:uiPriority w:val="99"/>
    <w:semiHidden/>
    <w:unhideWhenUsed/>
    <w:rsid w:val="009E57EA"/>
    <w:rPr>
      <w:b/>
      <w:bCs/>
    </w:rPr>
  </w:style>
  <w:style w:type="character" w:customStyle="1" w:styleId="CommentSubjectChar">
    <w:name w:val="Comment Subject Char"/>
    <w:basedOn w:val="CommentTextChar"/>
    <w:link w:val="CommentSubject"/>
    <w:uiPriority w:val="99"/>
    <w:semiHidden/>
    <w:rsid w:val="009E57EA"/>
    <w:rPr>
      <w:b/>
      <w:bCs/>
      <w:sz w:val="20"/>
      <w:szCs w:val="20"/>
    </w:rPr>
  </w:style>
  <w:style w:type="paragraph" w:styleId="BalloonText">
    <w:name w:val="Balloon Text"/>
    <w:basedOn w:val="Normal"/>
    <w:link w:val="BalloonTextChar"/>
    <w:uiPriority w:val="99"/>
    <w:semiHidden/>
    <w:unhideWhenUsed/>
    <w:rsid w:val="009E57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7EA"/>
    <w:rPr>
      <w:rFonts w:ascii="Segoe UI" w:hAnsi="Segoe UI" w:cs="Segoe UI"/>
      <w:sz w:val="18"/>
      <w:szCs w:val="18"/>
    </w:rPr>
  </w:style>
  <w:style w:type="paragraph" w:styleId="Revision">
    <w:name w:val="Revision"/>
    <w:hidden/>
    <w:uiPriority w:val="99"/>
    <w:semiHidden/>
    <w:rsid w:val="004534DD"/>
    <w:pPr>
      <w:spacing w:after="0" w:line="240" w:lineRule="auto"/>
      <w:jc w:val="left"/>
    </w:pPr>
  </w:style>
  <w:style w:type="paragraph" w:styleId="TOC3">
    <w:name w:val="toc 3"/>
    <w:basedOn w:val="Normal"/>
    <w:next w:val="Normal"/>
    <w:autoRedefine/>
    <w:uiPriority w:val="39"/>
    <w:unhideWhenUsed/>
    <w:rsid w:val="00DA6D4D"/>
    <w:pPr>
      <w:spacing w:after="100" w:line="259" w:lineRule="auto"/>
      <w:ind w:left="440"/>
      <w:jc w:val="left"/>
    </w:pPr>
    <w:rPr>
      <w:rFonts w:cs="Times New Roman"/>
      <w:lang w:val="en-US"/>
    </w:rPr>
  </w:style>
  <w:style w:type="table" w:styleId="GridTable3">
    <w:name w:val="Grid Table 3"/>
    <w:basedOn w:val="TableNormal"/>
    <w:uiPriority w:val="48"/>
    <w:rsid w:val="00FA7AFA"/>
    <w:pPr>
      <w:spacing w:after="0" w:line="240" w:lineRule="auto"/>
      <w:jc w:val="left"/>
    </w:pPr>
    <w:rPr>
      <w:sz w:val="21"/>
      <w:szCs w:val="2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1">
    <w:name w:val="Plain Table 1"/>
    <w:basedOn w:val="TableNormal"/>
    <w:uiPriority w:val="41"/>
    <w:rsid w:val="00FA7AFA"/>
    <w:pPr>
      <w:spacing w:after="0" w:line="240" w:lineRule="auto"/>
      <w:jc w:val="left"/>
    </w:pPr>
    <w:rPr>
      <w:sz w:val="21"/>
      <w:szCs w:val="21"/>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363E5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BodyText">
    <w:name w:val="Body Text"/>
    <w:basedOn w:val="Normal"/>
    <w:link w:val="BodyTextChar"/>
    <w:uiPriority w:val="1"/>
    <w:qFormat/>
    <w:rsid w:val="00144504"/>
    <w:pPr>
      <w:widowControl w:val="0"/>
      <w:autoSpaceDE w:val="0"/>
      <w:autoSpaceDN w:val="0"/>
      <w:spacing w:after="0" w:line="240" w:lineRule="auto"/>
      <w:jc w:val="left"/>
    </w:pPr>
    <w:rPr>
      <w:rFonts w:ascii="TeXGyrePagella" w:eastAsia="TeXGyrePagella" w:hAnsi="TeXGyrePagella" w:cs="TeXGyrePagella"/>
      <w:sz w:val="24"/>
      <w:szCs w:val="24"/>
    </w:rPr>
  </w:style>
  <w:style w:type="character" w:customStyle="1" w:styleId="BodyTextChar">
    <w:name w:val="Body Text Char"/>
    <w:basedOn w:val="DefaultParagraphFont"/>
    <w:link w:val="BodyText"/>
    <w:uiPriority w:val="1"/>
    <w:rsid w:val="00144504"/>
    <w:rPr>
      <w:rFonts w:ascii="TeXGyrePagella" w:eastAsia="TeXGyrePagella" w:hAnsi="TeXGyrePagella" w:cs="TeXGyrePagella"/>
      <w:noProof/>
      <w:sz w:val="24"/>
      <w:szCs w:val="24"/>
    </w:rPr>
  </w:style>
  <w:style w:type="paragraph" w:styleId="PlainText">
    <w:name w:val="Plain Text"/>
    <w:basedOn w:val="Normal"/>
    <w:link w:val="PlainTextChar"/>
    <w:uiPriority w:val="99"/>
    <w:unhideWhenUsed/>
    <w:rsid w:val="002C5B58"/>
    <w:pPr>
      <w:spacing w:after="0" w:line="240" w:lineRule="auto"/>
      <w:jc w:val="left"/>
    </w:pPr>
    <w:rPr>
      <w:rFonts w:ascii="Calibri" w:eastAsiaTheme="minorHAnsi" w:hAnsi="Calibri"/>
      <w:szCs w:val="21"/>
    </w:rPr>
  </w:style>
  <w:style w:type="character" w:customStyle="1" w:styleId="PlainTextChar">
    <w:name w:val="Plain Text Char"/>
    <w:basedOn w:val="DefaultParagraphFont"/>
    <w:link w:val="PlainText"/>
    <w:uiPriority w:val="99"/>
    <w:rsid w:val="002C5B58"/>
    <w:rPr>
      <w:rFonts w:ascii="Calibri" w:eastAsiaTheme="minorHAnsi" w:hAnsi="Calibri"/>
      <w:szCs w:val="21"/>
    </w:rPr>
  </w:style>
  <w:style w:type="paragraph" w:customStyle="1" w:styleId="Style1">
    <w:name w:val="Style1"/>
    <w:basedOn w:val="Heading1"/>
    <w:link w:val="Style1Char"/>
    <w:qFormat/>
    <w:rsid w:val="00852091"/>
    <w:rPr>
      <w:rFonts w:asciiTheme="majorHAnsi" w:hAnsiTheme="majorHAnsi"/>
      <w:color w:val="00B0F0"/>
      <w:sz w:val="28"/>
    </w:rPr>
  </w:style>
  <w:style w:type="paragraph" w:customStyle="1" w:styleId="Style2">
    <w:name w:val="Style2"/>
    <w:basedOn w:val="Style1"/>
    <w:link w:val="Style2Char"/>
    <w:qFormat/>
    <w:rsid w:val="00852091"/>
    <w:rPr>
      <w:rFonts w:ascii="Times New Roman" w:hAnsi="Times New Roman"/>
      <w:color w:val="2F5496" w:themeColor="accent5" w:themeShade="BF"/>
      <w:sz w:val="24"/>
    </w:rPr>
  </w:style>
  <w:style w:type="character" w:customStyle="1" w:styleId="Style1Char">
    <w:name w:val="Style1 Char"/>
    <w:basedOn w:val="Heading1Char"/>
    <w:link w:val="Style1"/>
    <w:rsid w:val="00852091"/>
    <w:rPr>
      <w:rFonts w:asciiTheme="majorHAnsi" w:eastAsiaTheme="majorEastAsia" w:hAnsiTheme="majorHAnsi" w:cstheme="majorBidi"/>
      <w:b/>
      <w:bCs/>
      <w:caps/>
      <w:color w:val="00B0F0"/>
      <w:spacing w:val="4"/>
      <w:sz w:val="28"/>
      <w:szCs w:val="28"/>
    </w:rPr>
  </w:style>
  <w:style w:type="paragraph" w:customStyle="1" w:styleId="Style3">
    <w:name w:val="Style3"/>
    <w:basedOn w:val="Heading2"/>
    <w:link w:val="Style3Char"/>
    <w:qFormat/>
    <w:rsid w:val="00852091"/>
    <w:rPr>
      <w:rFonts w:asciiTheme="majorHAnsi" w:hAnsiTheme="majorHAnsi"/>
      <w:color w:val="2F5496" w:themeColor="accent5" w:themeShade="BF"/>
    </w:rPr>
  </w:style>
  <w:style w:type="character" w:customStyle="1" w:styleId="Style2Char">
    <w:name w:val="Style2 Char"/>
    <w:basedOn w:val="Style1Char"/>
    <w:link w:val="Style2"/>
    <w:rsid w:val="00852091"/>
    <w:rPr>
      <w:rFonts w:ascii="Times New Roman" w:eastAsiaTheme="majorEastAsia" w:hAnsi="Times New Roman" w:cstheme="majorBidi"/>
      <w:b/>
      <w:bCs/>
      <w:caps/>
      <w:color w:val="2F5496" w:themeColor="accent5" w:themeShade="BF"/>
      <w:spacing w:val="4"/>
      <w:sz w:val="24"/>
      <w:szCs w:val="28"/>
    </w:rPr>
  </w:style>
  <w:style w:type="character" w:customStyle="1" w:styleId="Style3Char">
    <w:name w:val="Style3 Char"/>
    <w:basedOn w:val="Heading2Char"/>
    <w:link w:val="Style3"/>
    <w:rsid w:val="00852091"/>
    <w:rPr>
      <w:rFonts w:asciiTheme="majorHAnsi" w:eastAsiaTheme="majorEastAsia" w:hAnsiTheme="majorHAnsi" w:cstheme="majorBidi"/>
      <w:b/>
      <w:bCs/>
      <w:color w:val="2F5496" w:themeColor="accent5" w:themeShade="BF"/>
      <w:sz w:val="26"/>
      <w:szCs w:val="28"/>
    </w:rPr>
  </w:style>
  <w:style w:type="paragraph" w:styleId="Bibliography">
    <w:name w:val="Bibliography"/>
    <w:basedOn w:val="Normal"/>
    <w:next w:val="Normal"/>
    <w:uiPriority w:val="37"/>
    <w:unhideWhenUsed/>
    <w:rsid w:val="008D7A1E"/>
  </w:style>
  <w:style w:type="paragraph" w:styleId="EndnoteText">
    <w:name w:val="endnote text"/>
    <w:basedOn w:val="Normal"/>
    <w:link w:val="EndnoteTextChar"/>
    <w:uiPriority w:val="99"/>
    <w:semiHidden/>
    <w:unhideWhenUsed/>
    <w:rsid w:val="008D7A1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D7A1E"/>
    <w:rPr>
      <w:sz w:val="20"/>
      <w:szCs w:val="20"/>
    </w:rPr>
  </w:style>
  <w:style w:type="character" w:styleId="EndnoteReference">
    <w:name w:val="endnote reference"/>
    <w:basedOn w:val="DefaultParagraphFont"/>
    <w:uiPriority w:val="99"/>
    <w:semiHidden/>
    <w:unhideWhenUsed/>
    <w:rsid w:val="008D7A1E"/>
    <w:rPr>
      <w:vertAlign w:val="superscript"/>
    </w:rPr>
  </w:style>
  <w:style w:type="paragraph" w:customStyle="1" w:styleId="xmsobodytext">
    <w:name w:val="x_msobodytext"/>
    <w:basedOn w:val="Normal"/>
    <w:rsid w:val="00602183"/>
    <w:pPr>
      <w:spacing w:before="100" w:beforeAutospacing="1" w:after="100" w:afterAutospacing="1" w:line="240" w:lineRule="auto"/>
      <w:jc w:val="left"/>
    </w:pPr>
    <w:rPr>
      <w:rFonts w:ascii="Times New Roman" w:eastAsia="Times New Roman" w:hAnsi="Times New Roman" w:cs="Times New Roman"/>
      <w:sz w:val="24"/>
      <w:szCs w:val="24"/>
      <w:lang w:eastAsia="sq-AL"/>
    </w:rPr>
  </w:style>
  <w:style w:type="paragraph" w:customStyle="1" w:styleId="xmsonormal">
    <w:name w:val="x_msonormal"/>
    <w:basedOn w:val="Normal"/>
    <w:rsid w:val="00602183"/>
    <w:pPr>
      <w:spacing w:before="100" w:beforeAutospacing="1" w:after="100" w:afterAutospacing="1" w:line="240" w:lineRule="auto"/>
      <w:jc w:val="left"/>
    </w:pPr>
    <w:rPr>
      <w:rFonts w:ascii="Times New Roman" w:eastAsia="Times New Roman" w:hAnsi="Times New Roman" w:cs="Times New Roman"/>
      <w:sz w:val="24"/>
      <w:szCs w:val="24"/>
      <w:lang w:eastAsia="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44997">
      <w:bodyDiv w:val="1"/>
      <w:marLeft w:val="0"/>
      <w:marRight w:val="0"/>
      <w:marTop w:val="0"/>
      <w:marBottom w:val="0"/>
      <w:divBdr>
        <w:top w:val="none" w:sz="0" w:space="0" w:color="auto"/>
        <w:left w:val="none" w:sz="0" w:space="0" w:color="auto"/>
        <w:bottom w:val="none" w:sz="0" w:space="0" w:color="auto"/>
        <w:right w:val="none" w:sz="0" w:space="0" w:color="auto"/>
      </w:divBdr>
    </w:div>
    <w:div w:id="37895390">
      <w:bodyDiv w:val="1"/>
      <w:marLeft w:val="0"/>
      <w:marRight w:val="0"/>
      <w:marTop w:val="0"/>
      <w:marBottom w:val="0"/>
      <w:divBdr>
        <w:top w:val="none" w:sz="0" w:space="0" w:color="auto"/>
        <w:left w:val="none" w:sz="0" w:space="0" w:color="auto"/>
        <w:bottom w:val="none" w:sz="0" w:space="0" w:color="auto"/>
        <w:right w:val="none" w:sz="0" w:space="0" w:color="auto"/>
      </w:divBdr>
    </w:div>
    <w:div w:id="67197186">
      <w:bodyDiv w:val="1"/>
      <w:marLeft w:val="0"/>
      <w:marRight w:val="0"/>
      <w:marTop w:val="0"/>
      <w:marBottom w:val="0"/>
      <w:divBdr>
        <w:top w:val="none" w:sz="0" w:space="0" w:color="auto"/>
        <w:left w:val="none" w:sz="0" w:space="0" w:color="auto"/>
        <w:bottom w:val="none" w:sz="0" w:space="0" w:color="auto"/>
        <w:right w:val="none" w:sz="0" w:space="0" w:color="auto"/>
      </w:divBdr>
    </w:div>
    <w:div w:id="107622788">
      <w:bodyDiv w:val="1"/>
      <w:marLeft w:val="0"/>
      <w:marRight w:val="0"/>
      <w:marTop w:val="0"/>
      <w:marBottom w:val="0"/>
      <w:divBdr>
        <w:top w:val="none" w:sz="0" w:space="0" w:color="auto"/>
        <w:left w:val="none" w:sz="0" w:space="0" w:color="auto"/>
        <w:bottom w:val="none" w:sz="0" w:space="0" w:color="auto"/>
        <w:right w:val="none" w:sz="0" w:space="0" w:color="auto"/>
      </w:divBdr>
    </w:div>
    <w:div w:id="114376287">
      <w:bodyDiv w:val="1"/>
      <w:marLeft w:val="0"/>
      <w:marRight w:val="0"/>
      <w:marTop w:val="0"/>
      <w:marBottom w:val="0"/>
      <w:divBdr>
        <w:top w:val="none" w:sz="0" w:space="0" w:color="auto"/>
        <w:left w:val="none" w:sz="0" w:space="0" w:color="auto"/>
        <w:bottom w:val="none" w:sz="0" w:space="0" w:color="auto"/>
        <w:right w:val="none" w:sz="0" w:space="0" w:color="auto"/>
      </w:divBdr>
    </w:div>
    <w:div w:id="141850176">
      <w:bodyDiv w:val="1"/>
      <w:marLeft w:val="0"/>
      <w:marRight w:val="0"/>
      <w:marTop w:val="0"/>
      <w:marBottom w:val="0"/>
      <w:divBdr>
        <w:top w:val="none" w:sz="0" w:space="0" w:color="auto"/>
        <w:left w:val="none" w:sz="0" w:space="0" w:color="auto"/>
        <w:bottom w:val="none" w:sz="0" w:space="0" w:color="auto"/>
        <w:right w:val="none" w:sz="0" w:space="0" w:color="auto"/>
      </w:divBdr>
    </w:div>
    <w:div w:id="158693942">
      <w:bodyDiv w:val="1"/>
      <w:marLeft w:val="0"/>
      <w:marRight w:val="0"/>
      <w:marTop w:val="0"/>
      <w:marBottom w:val="0"/>
      <w:divBdr>
        <w:top w:val="none" w:sz="0" w:space="0" w:color="auto"/>
        <w:left w:val="none" w:sz="0" w:space="0" w:color="auto"/>
        <w:bottom w:val="none" w:sz="0" w:space="0" w:color="auto"/>
        <w:right w:val="none" w:sz="0" w:space="0" w:color="auto"/>
      </w:divBdr>
    </w:div>
    <w:div w:id="198326139">
      <w:bodyDiv w:val="1"/>
      <w:marLeft w:val="0"/>
      <w:marRight w:val="0"/>
      <w:marTop w:val="0"/>
      <w:marBottom w:val="0"/>
      <w:divBdr>
        <w:top w:val="none" w:sz="0" w:space="0" w:color="auto"/>
        <w:left w:val="none" w:sz="0" w:space="0" w:color="auto"/>
        <w:bottom w:val="none" w:sz="0" w:space="0" w:color="auto"/>
        <w:right w:val="none" w:sz="0" w:space="0" w:color="auto"/>
      </w:divBdr>
    </w:div>
    <w:div w:id="227541780">
      <w:bodyDiv w:val="1"/>
      <w:marLeft w:val="0"/>
      <w:marRight w:val="0"/>
      <w:marTop w:val="0"/>
      <w:marBottom w:val="0"/>
      <w:divBdr>
        <w:top w:val="none" w:sz="0" w:space="0" w:color="auto"/>
        <w:left w:val="none" w:sz="0" w:space="0" w:color="auto"/>
        <w:bottom w:val="none" w:sz="0" w:space="0" w:color="auto"/>
        <w:right w:val="none" w:sz="0" w:space="0" w:color="auto"/>
      </w:divBdr>
    </w:div>
    <w:div w:id="229115895">
      <w:bodyDiv w:val="1"/>
      <w:marLeft w:val="0"/>
      <w:marRight w:val="0"/>
      <w:marTop w:val="0"/>
      <w:marBottom w:val="0"/>
      <w:divBdr>
        <w:top w:val="none" w:sz="0" w:space="0" w:color="auto"/>
        <w:left w:val="none" w:sz="0" w:space="0" w:color="auto"/>
        <w:bottom w:val="none" w:sz="0" w:space="0" w:color="auto"/>
        <w:right w:val="none" w:sz="0" w:space="0" w:color="auto"/>
      </w:divBdr>
    </w:div>
    <w:div w:id="238056660">
      <w:bodyDiv w:val="1"/>
      <w:marLeft w:val="0"/>
      <w:marRight w:val="0"/>
      <w:marTop w:val="0"/>
      <w:marBottom w:val="0"/>
      <w:divBdr>
        <w:top w:val="none" w:sz="0" w:space="0" w:color="auto"/>
        <w:left w:val="none" w:sz="0" w:space="0" w:color="auto"/>
        <w:bottom w:val="none" w:sz="0" w:space="0" w:color="auto"/>
        <w:right w:val="none" w:sz="0" w:space="0" w:color="auto"/>
      </w:divBdr>
    </w:div>
    <w:div w:id="248468810">
      <w:bodyDiv w:val="1"/>
      <w:marLeft w:val="0"/>
      <w:marRight w:val="0"/>
      <w:marTop w:val="0"/>
      <w:marBottom w:val="0"/>
      <w:divBdr>
        <w:top w:val="none" w:sz="0" w:space="0" w:color="auto"/>
        <w:left w:val="none" w:sz="0" w:space="0" w:color="auto"/>
        <w:bottom w:val="none" w:sz="0" w:space="0" w:color="auto"/>
        <w:right w:val="none" w:sz="0" w:space="0" w:color="auto"/>
      </w:divBdr>
    </w:div>
    <w:div w:id="262029970">
      <w:bodyDiv w:val="1"/>
      <w:marLeft w:val="0"/>
      <w:marRight w:val="0"/>
      <w:marTop w:val="0"/>
      <w:marBottom w:val="0"/>
      <w:divBdr>
        <w:top w:val="none" w:sz="0" w:space="0" w:color="auto"/>
        <w:left w:val="none" w:sz="0" w:space="0" w:color="auto"/>
        <w:bottom w:val="none" w:sz="0" w:space="0" w:color="auto"/>
        <w:right w:val="none" w:sz="0" w:space="0" w:color="auto"/>
      </w:divBdr>
    </w:div>
    <w:div w:id="288827278">
      <w:bodyDiv w:val="1"/>
      <w:marLeft w:val="0"/>
      <w:marRight w:val="0"/>
      <w:marTop w:val="0"/>
      <w:marBottom w:val="0"/>
      <w:divBdr>
        <w:top w:val="none" w:sz="0" w:space="0" w:color="auto"/>
        <w:left w:val="none" w:sz="0" w:space="0" w:color="auto"/>
        <w:bottom w:val="none" w:sz="0" w:space="0" w:color="auto"/>
        <w:right w:val="none" w:sz="0" w:space="0" w:color="auto"/>
      </w:divBdr>
    </w:div>
    <w:div w:id="306210310">
      <w:bodyDiv w:val="1"/>
      <w:marLeft w:val="0"/>
      <w:marRight w:val="0"/>
      <w:marTop w:val="0"/>
      <w:marBottom w:val="0"/>
      <w:divBdr>
        <w:top w:val="none" w:sz="0" w:space="0" w:color="auto"/>
        <w:left w:val="none" w:sz="0" w:space="0" w:color="auto"/>
        <w:bottom w:val="none" w:sz="0" w:space="0" w:color="auto"/>
        <w:right w:val="none" w:sz="0" w:space="0" w:color="auto"/>
      </w:divBdr>
    </w:div>
    <w:div w:id="312417757">
      <w:bodyDiv w:val="1"/>
      <w:marLeft w:val="0"/>
      <w:marRight w:val="0"/>
      <w:marTop w:val="0"/>
      <w:marBottom w:val="0"/>
      <w:divBdr>
        <w:top w:val="none" w:sz="0" w:space="0" w:color="auto"/>
        <w:left w:val="none" w:sz="0" w:space="0" w:color="auto"/>
        <w:bottom w:val="none" w:sz="0" w:space="0" w:color="auto"/>
        <w:right w:val="none" w:sz="0" w:space="0" w:color="auto"/>
      </w:divBdr>
    </w:div>
    <w:div w:id="324746086">
      <w:bodyDiv w:val="1"/>
      <w:marLeft w:val="0"/>
      <w:marRight w:val="0"/>
      <w:marTop w:val="0"/>
      <w:marBottom w:val="0"/>
      <w:divBdr>
        <w:top w:val="none" w:sz="0" w:space="0" w:color="auto"/>
        <w:left w:val="none" w:sz="0" w:space="0" w:color="auto"/>
        <w:bottom w:val="none" w:sz="0" w:space="0" w:color="auto"/>
        <w:right w:val="none" w:sz="0" w:space="0" w:color="auto"/>
      </w:divBdr>
    </w:div>
    <w:div w:id="344719615">
      <w:bodyDiv w:val="1"/>
      <w:marLeft w:val="0"/>
      <w:marRight w:val="0"/>
      <w:marTop w:val="0"/>
      <w:marBottom w:val="0"/>
      <w:divBdr>
        <w:top w:val="none" w:sz="0" w:space="0" w:color="auto"/>
        <w:left w:val="none" w:sz="0" w:space="0" w:color="auto"/>
        <w:bottom w:val="none" w:sz="0" w:space="0" w:color="auto"/>
        <w:right w:val="none" w:sz="0" w:space="0" w:color="auto"/>
      </w:divBdr>
    </w:div>
    <w:div w:id="370887235">
      <w:bodyDiv w:val="1"/>
      <w:marLeft w:val="0"/>
      <w:marRight w:val="0"/>
      <w:marTop w:val="0"/>
      <w:marBottom w:val="0"/>
      <w:divBdr>
        <w:top w:val="none" w:sz="0" w:space="0" w:color="auto"/>
        <w:left w:val="none" w:sz="0" w:space="0" w:color="auto"/>
        <w:bottom w:val="none" w:sz="0" w:space="0" w:color="auto"/>
        <w:right w:val="none" w:sz="0" w:space="0" w:color="auto"/>
      </w:divBdr>
    </w:div>
    <w:div w:id="379137306">
      <w:bodyDiv w:val="1"/>
      <w:marLeft w:val="0"/>
      <w:marRight w:val="0"/>
      <w:marTop w:val="0"/>
      <w:marBottom w:val="0"/>
      <w:divBdr>
        <w:top w:val="none" w:sz="0" w:space="0" w:color="auto"/>
        <w:left w:val="none" w:sz="0" w:space="0" w:color="auto"/>
        <w:bottom w:val="none" w:sz="0" w:space="0" w:color="auto"/>
        <w:right w:val="none" w:sz="0" w:space="0" w:color="auto"/>
      </w:divBdr>
    </w:div>
    <w:div w:id="383330188">
      <w:bodyDiv w:val="1"/>
      <w:marLeft w:val="0"/>
      <w:marRight w:val="0"/>
      <w:marTop w:val="0"/>
      <w:marBottom w:val="0"/>
      <w:divBdr>
        <w:top w:val="none" w:sz="0" w:space="0" w:color="auto"/>
        <w:left w:val="none" w:sz="0" w:space="0" w:color="auto"/>
        <w:bottom w:val="none" w:sz="0" w:space="0" w:color="auto"/>
        <w:right w:val="none" w:sz="0" w:space="0" w:color="auto"/>
      </w:divBdr>
    </w:div>
    <w:div w:id="394937663">
      <w:bodyDiv w:val="1"/>
      <w:marLeft w:val="0"/>
      <w:marRight w:val="0"/>
      <w:marTop w:val="0"/>
      <w:marBottom w:val="0"/>
      <w:divBdr>
        <w:top w:val="none" w:sz="0" w:space="0" w:color="auto"/>
        <w:left w:val="none" w:sz="0" w:space="0" w:color="auto"/>
        <w:bottom w:val="none" w:sz="0" w:space="0" w:color="auto"/>
        <w:right w:val="none" w:sz="0" w:space="0" w:color="auto"/>
      </w:divBdr>
    </w:div>
    <w:div w:id="403380929">
      <w:bodyDiv w:val="1"/>
      <w:marLeft w:val="0"/>
      <w:marRight w:val="0"/>
      <w:marTop w:val="0"/>
      <w:marBottom w:val="0"/>
      <w:divBdr>
        <w:top w:val="none" w:sz="0" w:space="0" w:color="auto"/>
        <w:left w:val="none" w:sz="0" w:space="0" w:color="auto"/>
        <w:bottom w:val="none" w:sz="0" w:space="0" w:color="auto"/>
        <w:right w:val="none" w:sz="0" w:space="0" w:color="auto"/>
      </w:divBdr>
    </w:div>
    <w:div w:id="406997126">
      <w:bodyDiv w:val="1"/>
      <w:marLeft w:val="0"/>
      <w:marRight w:val="0"/>
      <w:marTop w:val="0"/>
      <w:marBottom w:val="0"/>
      <w:divBdr>
        <w:top w:val="none" w:sz="0" w:space="0" w:color="auto"/>
        <w:left w:val="none" w:sz="0" w:space="0" w:color="auto"/>
        <w:bottom w:val="none" w:sz="0" w:space="0" w:color="auto"/>
        <w:right w:val="none" w:sz="0" w:space="0" w:color="auto"/>
      </w:divBdr>
      <w:divsChild>
        <w:div w:id="1842818118">
          <w:marLeft w:val="0"/>
          <w:marRight w:val="0"/>
          <w:marTop w:val="0"/>
          <w:marBottom w:val="0"/>
          <w:divBdr>
            <w:top w:val="none" w:sz="0" w:space="0" w:color="auto"/>
            <w:left w:val="none" w:sz="0" w:space="0" w:color="auto"/>
            <w:bottom w:val="none" w:sz="0" w:space="0" w:color="auto"/>
            <w:right w:val="none" w:sz="0" w:space="0" w:color="auto"/>
          </w:divBdr>
          <w:divsChild>
            <w:div w:id="1717505048">
              <w:marLeft w:val="0"/>
              <w:marRight w:val="0"/>
              <w:marTop w:val="0"/>
              <w:marBottom w:val="0"/>
              <w:divBdr>
                <w:top w:val="none" w:sz="0" w:space="0" w:color="auto"/>
                <w:left w:val="none" w:sz="0" w:space="0" w:color="auto"/>
                <w:bottom w:val="none" w:sz="0" w:space="0" w:color="auto"/>
                <w:right w:val="none" w:sz="0" w:space="0" w:color="auto"/>
              </w:divBdr>
              <w:divsChild>
                <w:div w:id="1077480491">
                  <w:marLeft w:val="0"/>
                  <w:marRight w:val="0"/>
                  <w:marTop w:val="0"/>
                  <w:marBottom w:val="0"/>
                  <w:divBdr>
                    <w:top w:val="none" w:sz="0" w:space="0" w:color="auto"/>
                    <w:left w:val="none" w:sz="0" w:space="0" w:color="auto"/>
                    <w:bottom w:val="none" w:sz="0" w:space="0" w:color="auto"/>
                    <w:right w:val="none" w:sz="0" w:space="0" w:color="auto"/>
                  </w:divBdr>
                  <w:divsChild>
                    <w:div w:id="600527612">
                      <w:marLeft w:val="0"/>
                      <w:marRight w:val="0"/>
                      <w:marTop w:val="0"/>
                      <w:marBottom w:val="0"/>
                      <w:divBdr>
                        <w:top w:val="none" w:sz="0" w:space="0" w:color="auto"/>
                        <w:left w:val="none" w:sz="0" w:space="0" w:color="auto"/>
                        <w:bottom w:val="none" w:sz="0" w:space="0" w:color="auto"/>
                        <w:right w:val="none" w:sz="0" w:space="0" w:color="auto"/>
                      </w:divBdr>
                      <w:divsChild>
                        <w:div w:id="797720551">
                          <w:marLeft w:val="0"/>
                          <w:marRight w:val="0"/>
                          <w:marTop w:val="0"/>
                          <w:marBottom w:val="0"/>
                          <w:divBdr>
                            <w:top w:val="none" w:sz="0" w:space="0" w:color="auto"/>
                            <w:left w:val="none" w:sz="0" w:space="0" w:color="auto"/>
                            <w:bottom w:val="none" w:sz="0" w:space="0" w:color="auto"/>
                            <w:right w:val="none" w:sz="0" w:space="0" w:color="auto"/>
                          </w:divBdr>
                          <w:divsChild>
                            <w:div w:id="156633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096258">
      <w:bodyDiv w:val="1"/>
      <w:marLeft w:val="0"/>
      <w:marRight w:val="0"/>
      <w:marTop w:val="0"/>
      <w:marBottom w:val="0"/>
      <w:divBdr>
        <w:top w:val="none" w:sz="0" w:space="0" w:color="auto"/>
        <w:left w:val="none" w:sz="0" w:space="0" w:color="auto"/>
        <w:bottom w:val="none" w:sz="0" w:space="0" w:color="auto"/>
        <w:right w:val="none" w:sz="0" w:space="0" w:color="auto"/>
      </w:divBdr>
    </w:div>
    <w:div w:id="419177237">
      <w:bodyDiv w:val="1"/>
      <w:marLeft w:val="0"/>
      <w:marRight w:val="0"/>
      <w:marTop w:val="0"/>
      <w:marBottom w:val="0"/>
      <w:divBdr>
        <w:top w:val="none" w:sz="0" w:space="0" w:color="auto"/>
        <w:left w:val="none" w:sz="0" w:space="0" w:color="auto"/>
        <w:bottom w:val="none" w:sz="0" w:space="0" w:color="auto"/>
        <w:right w:val="none" w:sz="0" w:space="0" w:color="auto"/>
      </w:divBdr>
    </w:div>
    <w:div w:id="419839784">
      <w:bodyDiv w:val="1"/>
      <w:marLeft w:val="0"/>
      <w:marRight w:val="0"/>
      <w:marTop w:val="0"/>
      <w:marBottom w:val="0"/>
      <w:divBdr>
        <w:top w:val="none" w:sz="0" w:space="0" w:color="auto"/>
        <w:left w:val="none" w:sz="0" w:space="0" w:color="auto"/>
        <w:bottom w:val="none" w:sz="0" w:space="0" w:color="auto"/>
        <w:right w:val="none" w:sz="0" w:space="0" w:color="auto"/>
      </w:divBdr>
    </w:div>
    <w:div w:id="425734969">
      <w:bodyDiv w:val="1"/>
      <w:marLeft w:val="0"/>
      <w:marRight w:val="0"/>
      <w:marTop w:val="0"/>
      <w:marBottom w:val="0"/>
      <w:divBdr>
        <w:top w:val="none" w:sz="0" w:space="0" w:color="auto"/>
        <w:left w:val="none" w:sz="0" w:space="0" w:color="auto"/>
        <w:bottom w:val="none" w:sz="0" w:space="0" w:color="auto"/>
        <w:right w:val="none" w:sz="0" w:space="0" w:color="auto"/>
      </w:divBdr>
    </w:div>
    <w:div w:id="484712160">
      <w:bodyDiv w:val="1"/>
      <w:marLeft w:val="0"/>
      <w:marRight w:val="0"/>
      <w:marTop w:val="0"/>
      <w:marBottom w:val="0"/>
      <w:divBdr>
        <w:top w:val="none" w:sz="0" w:space="0" w:color="auto"/>
        <w:left w:val="none" w:sz="0" w:space="0" w:color="auto"/>
        <w:bottom w:val="none" w:sz="0" w:space="0" w:color="auto"/>
        <w:right w:val="none" w:sz="0" w:space="0" w:color="auto"/>
      </w:divBdr>
    </w:div>
    <w:div w:id="488252871">
      <w:bodyDiv w:val="1"/>
      <w:marLeft w:val="0"/>
      <w:marRight w:val="0"/>
      <w:marTop w:val="0"/>
      <w:marBottom w:val="0"/>
      <w:divBdr>
        <w:top w:val="none" w:sz="0" w:space="0" w:color="auto"/>
        <w:left w:val="none" w:sz="0" w:space="0" w:color="auto"/>
        <w:bottom w:val="none" w:sz="0" w:space="0" w:color="auto"/>
        <w:right w:val="none" w:sz="0" w:space="0" w:color="auto"/>
      </w:divBdr>
    </w:div>
    <w:div w:id="506333453">
      <w:bodyDiv w:val="1"/>
      <w:marLeft w:val="0"/>
      <w:marRight w:val="0"/>
      <w:marTop w:val="0"/>
      <w:marBottom w:val="0"/>
      <w:divBdr>
        <w:top w:val="none" w:sz="0" w:space="0" w:color="auto"/>
        <w:left w:val="none" w:sz="0" w:space="0" w:color="auto"/>
        <w:bottom w:val="none" w:sz="0" w:space="0" w:color="auto"/>
        <w:right w:val="none" w:sz="0" w:space="0" w:color="auto"/>
      </w:divBdr>
    </w:div>
    <w:div w:id="506555025">
      <w:bodyDiv w:val="1"/>
      <w:marLeft w:val="0"/>
      <w:marRight w:val="0"/>
      <w:marTop w:val="0"/>
      <w:marBottom w:val="0"/>
      <w:divBdr>
        <w:top w:val="none" w:sz="0" w:space="0" w:color="auto"/>
        <w:left w:val="none" w:sz="0" w:space="0" w:color="auto"/>
        <w:bottom w:val="none" w:sz="0" w:space="0" w:color="auto"/>
        <w:right w:val="none" w:sz="0" w:space="0" w:color="auto"/>
      </w:divBdr>
      <w:divsChild>
        <w:div w:id="2142914412">
          <w:marLeft w:val="0"/>
          <w:marRight w:val="0"/>
          <w:marTop w:val="0"/>
          <w:marBottom w:val="0"/>
          <w:divBdr>
            <w:top w:val="none" w:sz="0" w:space="0" w:color="auto"/>
            <w:left w:val="none" w:sz="0" w:space="0" w:color="auto"/>
            <w:bottom w:val="none" w:sz="0" w:space="0" w:color="auto"/>
            <w:right w:val="none" w:sz="0" w:space="0" w:color="auto"/>
          </w:divBdr>
          <w:divsChild>
            <w:div w:id="1775783524">
              <w:marLeft w:val="0"/>
              <w:marRight w:val="0"/>
              <w:marTop w:val="0"/>
              <w:marBottom w:val="0"/>
              <w:divBdr>
                <w:top w:val="none" w:sz="0" w:space="0" w:color="auto"/>
                <w:left w:val="none" w:sz="0" w:space="0" w:color="auto"/>
                <w:bottom w:val="none" w:sz="0" w:space="0" w:color="auto"/>
                <w:right w:val="none" w:sz="0" w:space="0" w:color="auto"/>
              </w:divBdr>
              <w:divsChild>
                <w:div w:id="284771128">
                  <w:marLeft w:val="0"/>
                  <w:marRight w:val="0"/>
                  <w:marTop w:val="0"/>
                  <w:marBottom w:val="0"/>
                  <w:divBdr>
                    <w:top w:val="none" w:sz="0" w:space="0" w:color="auto"/>
                    <w:left w:val="none" w:sz="0" w:space="0" w:color="auto"/>
                    <w:bottom w:val="none" w:sz="0" w:space="0" w:color="auto"/>
                    <w:right w:val="none" w:sz="0" w:space="0" w:color="auto"/>
                  </w:divBdr>
                  <w:divsChild>
                    <w:div w:id="531259823">
                      <w:marLeft w:val="0"/>
                      <w:marRight w:val="0"/>
                      <w:marTop w:val="0"/>
                      <w:marBottom w:val="0"/>
                      <w:divBdr>
                        <w:top w:val="none" w:sz="0" w:space="0" w:color="auto"/>
                        <w:left w:val="none" w:sz="0" w:space="0" w:color="auto"/>
                        <w:bottom w:val="none" w:sz="0" w:space="0" w:color="auto"/>
                        <w:right w:val="none" w:sz="0" w:space="0" w:color="auto"/>
                      </w:divBdr>
                      <w:divsChild>
                        <w:div w:id="379283587">
                          <w:marLeft w:val="0"/>
                          <w:marRight w:val="0"/>
                          <w:marTop w:val="0"/>
                          <w:marBottom w:val="0"/>
                          <w:divBdr>
                            <w:top w:val="none" w:sz="0" w:space="0" w:color="auto"/>
                            <w:left w:val="none" w:sz="0" w:space="0" w:color="auto"/>
                            <w:bottom w:val="none" w:sz="0" w:space="0" w:color="auto"/>
                            <w:right w:val="none" w:sz="0" w:space="0" w:color="auto"/>
                          </w:divBdr>
                          <w:divsChild>
                            <w:div w:id="1964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484515">
      <w:bodyDiv w:val="1"/>
      <w:marLeft w:val="0"/>
      <w:marRight w:val="0"/>
      <w:marTop w:val="0"/>
      <w:marBottom w:val="0"/>
      <w:divBdr>
        <w:top w:val="none" w:sz="0" w:space="0" w:color="auto"/>
        <w:left w:val="none" w:sz="0" w:space="0" w:color="auto"/>
        <w:bottom w:val="none" w:sz="0" w:space="0" w:color="auto"/>
        <w:right w:val="none" w:sz="0" w:space="0" w:color="auto"/>
      </w:divBdr>
    </w:div>
    <w:div w:id="537932193">
      <w:bodyDiv w:val="1"/>
      <w:marLeft w:val="0"/>
      <w:marRight w:val="0"/>
      <w:marTop w:val="0"/>
      <w:marBottom w:val="0"/>
      <w:divBdr>
        <w:top w:val="none" w:sz="0" w:space="0" w:color="auto"/>
        <w:left w:val="none" w:sz="0" w:space="0" w:color="auto"/>
        <w:bottom w:val="none" w:sz="0" w:space="0" w:color="auto"/>
        <w:right w:val="none" w:sz="0" w:space="0" w:color="auto"/>
      </w:divBdr>
    </w:div>
    <w:div w:id="560093610">
      <w:bodyDiv w:val="1"/>
      <w:marLeft w:val="0"/>
      <w:marRight w:val="0"/>
      <w:marTop w:val="0"/>
      <w:marBottom w:val="0"/>
      <w:divBdr>
        <w:top w:val="none" w:sz="0" w:space="0" w:color="auto"/>
        <w:left w:val="none" w:sz="0" w:space="0" w:color="auto"/>
        <w:bottom w:val="none" w:sz="0" w:space="0" w:color="auto"/>
        <w:right w:val="none" w:sz="0" w:space="0" w:color="auto"/>
      </w:divBdr>
    </w:div>
    <w:div w:id="561908989">
      <w:bodyDiv w:val="1"/>
      <w:marLeft w:val="0"/>
      <w:marRight w:val="0"/>
      <w:marTop w:val="0"/>
      <w:marBottom w:val="0"/>
      <w:divBdr>
        <w:top w:val="none" w:sz="0" w:space="0" w:color="auto"/>
        <w:left w:val="none" w:sz="0" w:space="0" w:color="auto"/>
        <w:bottom w:val="none" w:sz="0" w:space="0" w:color="auto"/>
        <w:right w:val="none" w:sz="0" w:space="0" w:color="auto"/>
      </w:divBdr>
    </w:div>
    <w:div w:id="586042283">
      <w:bodyDiv w:val="1"/>
      <w:marLeft w:val="0"/>
      <w:marRight w:val="0"/>
      <w:marTop w:val="0"/>
      <w:marBottom w:val="0"/>
      <w:divBdr>
        <w:top w:val="none" w:sz="0" w:space="0" w:color="auto"/>
        <w:left w:val="none" w:sz="0" w:space="0" w:color="auto"/>
        <w:bottom w:val="none" w:sz="0" w:space="0" w:color="auto"/>
        <w:right w:val="none" w:sz="0" w:space="0" w:color="auto"/>
      </w:divBdr>
    </w:div>
    <w:div w:id="586228069">
      <w:bodyDiv w:val="1"/>
      <w:marLeft w:val="0"/>
      <w:marRight w:val="0"/>
      <w:marTop w:val="0"/>
      <w:marBottom w:val="0"/>
      <w:divBdr>
        <w:top w:val="none" w:sz="0" w:space="0" w:color="auto"/>
        <w:left w:val="none" w:sz="0" w:space="0" w:color="auto"/>
        <w:bottom w:val="none" w:sz="0" w:space="0" w:color="auto"/>
        <w:right w:val="none" w:sz="0" w:space="0" w:color="auto"/>
      </w:divBdr>
    </w:div>
    <w:div w:id="618101897">
      <w:bodyDiv w:val="1"/>
      <w:marLeft w:val="0"/>
      <w:marRight w:val="0"/>
      <w:marTop w:val="0"/>
      <w:marBottom w:val="0"/>
      <w:divBdr>
        <w:top w:val="none" w:sz="0" w:space="0" w:color="auto"/>
        <w:left w:val="none" w:sz="0" w:space="0" w:color="auto"/>
        <w:bottom w:val="none" w:sz="0" w:space="0" w:color="auto"/>
        <w:right w:val="none" w:sz="0" w:space="0" w:color="auto"/>
      </w:divBdr>
    </w:div>
    <w:div w:id="629555332">
      <w:bodyDiv w:val="1"/>
      <w:marLeft w:val="0"/>
      <w:marRight w:val="0"/>
      <w:marTop w:val="0"/>
      <w:marBottom w:val="0"/>
      <w:divBdr>
        <w:top w:val="none" w:sz="0" w:space="0" w:color="auto"/>
        <w:left w:val="none" w:sz="0" w:space="0" w:color="auto"/>
        <w:bottom w:val="none" w:sz="0" w:space="0" w:color="auto"/>
        <w:right w:val="none" w:sz="0" w:space="0" w:color="auto"/>
      </w:divBdr>
    </w:div>
    <w:div w:id="637804137">
      <w:bodyDiv w:val="1"/>
      <w:marLeft w:val="0"/>
      <w:marRight w:val="0"/>
      <w:marTop w:val="0"/>
      <w:marBottom w:val="0"/>
      <w:divBdr>
        <w:top w:val="none" w:sz="0" w:space="0" w:color="auto"/>
        <w:left w:val="none" w:sz="0" w:space="0" w:color="auto"/>
        <w:bottom w:val="none" w:sz="0" w:space="0" w:color="auto"/>
        <w:right w:val="none" w:sz="0" w:space="0" w:color="auto"/>
      </w:divBdr>
    </w:div>
    <w:div w:id="638148015">
      <w:bodyDiv w:val="1"/>
      <w:marLeft w:val="0"/>
      <w:marRight w:val="0"/>
      <w:marTop w:val="0"/>
      <w:marBottom w:val="0"/>
      <w:divBdr>
        <w:top w:val="none" w:sz="0" w:space="0" w:color="auto"/>
        <w:left w:val="none" w:sz="0" w:space="0" w:color="auto"/>
        <w:bottom w:val="none" w:sz="0" w:space="0" w:color="auto"/>
        <w:right w:val="none" w:sz="0" w:space="0" w:color="auto"/>
      </w:divBdr>
    </w:div>
    <w:div w:id="651718757">
      <w:bodyDiv w:val="1"/>
      <w:marLeft w:val="0"/>
      <w:marRight w:val="0"/>
      <w:marTop w:val="0"/>
      <w:marBottom w:val="0"/>
      <w:divBdr>
        <w:top w:val="none" w:sz="0" w:space="0" w:color="auto"/>
        <w:left w:val="none" w:sz="0" w:space="0" w:color="auto"/>
        <w:bottom w:val="none" w:sz="0" w:space="0" w:color="auto"/>
        <w:right w:val="none" w:sz="0" w:space="0" w:color="auto"/>
      </w:divBdr>
    </w:div>
    <w:div w:id="667437935">
      <w:bodyDiv w:val="1"/>
      <w:marLeft w:val="0"/>
      <w:marRight w:val="0"/>
      <w:marTop w:val="0"/>
      <w:marBottom w:val="0"/>
      <w:divBdr>
        <w:top w:val="none" w:sz="0" w:space="0" w:color="auto"/>
        <w:left w:val="none" w:sz="0" w:space="0" w:color="auto"/>
        <w:bottom w:val="none" w:sz="0" w:space="0" w:color="auto"/>
        <w:right w:val="none" w:sz="0" w:space="0" w:color="auto"/>
      </w:divBdr>
    </w:div>
    <w:div w:id="688137807">
      <w:bodyDiv w:val="1"/>
      <w:marLeft w:val="0"/>
      <w:marRight w:val="0"/>
      <w:marTop w:val="0"/>
      <w:marBottom w:val="0"/>
      <w:divBdr>
        <w:top w:val="none" w:sz="0" w:space="0" w:color="auto"/>
        <w:left w:val="none" w:sz="0" w:space="0" w:color="auto"/>
        <w:bottom w:val="none" w:sz="0" w:space="0" w:color="auto"/>
        <w:right w:val="none" w:sz="0" w:space="0" w:color="auto"/>
      </w:divBdr>
    </w:div>
    <w:div w:id="711345208">
      <w:bodyDiv w:val="1"/>
      <w:marLeft w:val="0"/>
      <w:marRight w:val="0"/>
      <w:marTop w:val="0"/>
      <w:marBottom w:val="0"/>
      <w:divBdr>
        <w:top w:val="none" w:sz="0" w:space="0" w:color="auto"/>
        <w:left w:val="none" w:sz="0" w:space="0" w:color="auto"/>
        <w:bottom w:val="none" w:sz="0" w:space="0" w:color="auto"/>
        <w:right w:val="none" w:sz="0" w:space="0" w:color="auto"/>
      </w:divBdr>
    </w:div>
    <w:div w:id="716929701">
      <w:bodyDiv w:val="1"/>
      <w:marLeft w:val="0"/>
      <w:marRight w:val="0"/>
      <w:marTop w:val="0"/>
      <w:marBottom w:val="0"/>
      <w:divBdr>
        <w:top w:val="none" w:sz="0" w:space="0" w:color="auto"/>
        <w:left w:val="none" w:sz="0" w:space="0" w:color="auto"/>
        <w:bottom w:val="none" w:sz="0" w:space="0" w:color="auto"/>
        <w:right w:val="none" w:sz="0" w:space="0" w:color="auto"/>
      </w:divBdr>
    </w:div>
    <w:div w:id="732849128">
      <w:bodyDiv w:val="1"/>
      <w:marLeft w:val="0"/>
      <w:marRight w:val="0"/>
      <w:marTop w:val="0"/>
      <w:marBottom w:val="0"/>
      <w:divBdr>
        <w:top w:val="none" w:sz="0" w:space="0" w:color="auto"/>
        <w:left w:val="none" w:sz="0" w:space="0" w:color="auto"/>
        <w:bottom w:val="none" w:sz="0" w:space="0" w:color="auto"/>
        <w:right w:val="none" w:sz="0" w:space="0" w:color="auto"/>
      </w:divBdr>
    </w:div>
    <w:div w:id="734549491">
      <w:bodyDiv w:val="1"/>
      <w:marLeft w:val="0"/>
      <w:marRight w:val="0"/>
      <w:marTop w:val="0"/>
      <w:marBottom w:val="0"/>
      <w:divBdr>
        <w:top w:val="none" w:sz="0" w:space="0" w:color="auto"/>
        <w:left w:val="none" w:sz="0" w:space="0" w:color="auto"/>
        <w:bottom w:val="none" w:sz="0" w:space="0" w:color="auto"/>
        <w:right w:val="none" w:sz="0" w:space="0" w:color="auto"/>
      </w:divBdr>
    </w:div>
    <w:div w:id="740640102">
      <w:bodyDiv w:val="1"/>
      <w:marLeft w:val="0"/>
      <w:marRight w:val="0"/>
      <w:marTop w:val="0"/>
      <w:marBottom w:val="0"/>
      <w:divBdr>
        <w:top w:val="none" w:sz="0" w:space="0" w:color="auto"/>
        <w:left w:val="none" w:sz="0" w:space="0" w:color="auto"/>
        <w:bottom w:val="none" w:sz="0" w:space="0" w:color="auto"/>
        <w:right w:val="none" w:sz="0" w:space="0" w:color="auto"/>
      </w:divBdr>
    </w:div>
    <w:div w:id="785807591">
      <w:bodyDiv w:val="1"/>
      <w:marLeft w:val="0"/>
      <w:marRight w:val="0"/>
      <w:marTop w:val="0"/>
      <w:marBottom w:val="0"/>
      <w:divBdr>
        <w:top w:val="none" w:sz="0" w:space="0" w:color="auto"/>
        <w:left w:val="none" w:sz="0" w:space="0" w:color="auto"/>
        <w:bottom w:val="none" w:sz="0" w:space="0" w:color="auto"/>
        <w:right w:val="none" w:sz="0" w:space="0" w:color="auto"/>
      </w:divBdr>
      <w:divsChild>
        <w:div w:id="486170073">
          <w:marLeft w:val="0"/>
          <w:marRight w:val="0"/>
          <w:marTop w:val="0"/>
          <w:marBottom w:val="0"/>
          <w:divBdr>
            <w:top w:val="none" w:sz="0" w:space="0" w:color="auto"/>
            <w:left w:val="none" w:sz="0" w:space="0" w:color="auto"/>
            <w:bottom w:val="none" w:sz="0" w:space="0" w:color="auto"/>
            <w:right w:val="none" w:sz="0" w:space="0" w:color="auto"/>
          </w:divBdr>
        </w:div>
      </w:divsChild>
    </w:div>
    <w:div w:id="789205113">
      <w:bodyDiv w:val="1"/>
      <w:marLeft w:val="0"/>
      <w:marRight w:val="0"/>
      <w:marTop w:val="0"/>
      <w:marBottom w:val="0"/>
      <w:divBdr>
        <w:top w:val="none" w:sz="0" w:space="0" w:color="auto"/>
        <w:left w:val="none" w:sz="0" w:space="0" w:color="auto"/>
        <w:bottom w:val="none" w:sz="0" w:space="0" w:color="auto"/>
        <w:right w:val="none" w:sz="0" w:space="0" w:color="auto"/>
      </w:divBdr>
    </w:div>
    <w:div w:id="817496622">
      <w:bodyDiv w:val="1"/>
      <w:marLeft w:val="0"/>
      <w:marRight w:val="0"/>
      <w:marTop w:val="0"/>
      <w:marBottom w:val="0"/>
      <w:divBdr>
        <w:top w:val="none" w:sz="0" w:space="0" w:color="auto"/>
        <w:left w:val="none" w:sz="0" w:space="0" w:color="auto"/>
        <w:bottom w:val="none" w:sz="0" w:space="0" w:color="auto"/>
        <w:right w:val="none" w:sz="0" w:space="0" w:color="auto"/>
      </w:divBdr>
    </w:div>
    <w:div w:id="822890463">
      <w:bodyDiv w:val="1"/>
      <w:marLeft w:val="0"/>
      <w:marRight w:val="0"/>
      <w:marTop w:val="0"/>
      <w:marBottom w:val="0"/>
      <w:divBdr>
        <w:top w:val="none" w:sz="0" w:space="0" w:color="auto"/>
        <w:left w:val="none" w:sz="0" w:space="0" w:color="auto"/>
        <w:bottom w:val="none" w:sz="0" w:space="0" w:color="auto"/>
        <w:right w:val="none" w:sz="0" w:space="0" w:color="auto"/>
      </w:divBdr>
    </w:div>
    <w:div w:id="833296452">
      <w:bodyDiv w:val="1"/>
      <w:marLeft w:val="0"/>
      <w:marRight w:val="0"/>
      <w:marTop w:val="0"/>
      <w:marBottom w:val="0"/>
      <w:divBdr>
        <w:top w:val="none" w:sz="0" w:space="0" w:color="auto"/>
        <w:left w:val="none" w:sz="0" w:space="0" w:color="auto"/>
        <w:bottom w:val="none" w:sz="0" w:space="0" w:color="auto"/>
        <w:right w:val="none" w:sz="0" w:space="0" w:color="auto"/>
      </w:divBdr>
    </w:div>
    <w:div w:id="845053830">
      <w:bodyDiv w:val="1"/>
      <w:marLeft w:val="0"/>
      <w:marRight w:val="0"/>
      <w:marTop w:val="0"/>
      <w:marBottom w:val="0"/>
      <w:divBdr>
        <w:top w:val="none" w:sz="0" w:space="0" w:color="auto"/>
        <w:left w:val="none" w:sz="0" w:space="0" w:color="auto"/>
        <w:bottom w:val="none" w:sz="0" w:space="0" w:color="auto"/>
        <w:right w:val="none" w:sz="0" w:space="0" w:color="auto"/>
      </w:divBdr>
    </w:div>
    <w:div w:id="871303327">
      <w:bodyDiv w:val="1"/>
      <w:marLeft w:val="0"/>
      <w:marRight w:val="0"/>
      <w:marTop w:val="0"/>
      <w:marBottom w:val="0"/>
      <w:divBdr>
        <w:top w:val="none" w:sz="0" w:space="0" w:color="auto"/>
        <w:left w:val="none" w:sz="0" w:space="0" w:color="auto"/>
        <w:bottom w:val="none" w:sz="0" w:space="0" w:color="auto"/>
        <w:right w:val="none" w:sz="0" w:space="0" w:color="auto"/>
      </w:divBdr>
    </w:div>
    <w:div w:id="879711224">
      <w:bodyDiv w:val="1"/>
      <w:marLeft w:val="0"/>
      <w:marRight w:val="0"/>
      <w:marTop w:val="0"/>
      <w:marBottom w:val="0"/>
      <w:divBdr>
        <w:top w:val="none" w:sz="0" w:space="0" w:color="auto"/>
        <w:left w:val="none" w:sz="0" w:space="0" w:color="auto"/>
        <w:bottom w:val="none" w:sz="0" w:space="0" w:color="auto"/>
        <w:right w:val="none" w:sz="0" w:space="0" w:color="auto"/>
      </w:divBdr>
    </w:div>
    <w:div w:id="895894168">
      <w:bodyDiv w:val="1"/>
      <w:marLeft w:val="0"/>
      <w:marRight w:val="0"/>
      <w:marTop w:val="0"/>
      <w:marBottom w:val="0"/>
      <w:divBdr>
        <w:top w:val="none" w:sz="0" w:space="0" w:color="auto"/>
        <w:left w:val="none" w:sz="0" w:space="0" w:color="auto"/>
        <w:bottom w:val="none" w:sz="0" w:space="0" w:color="auto"/>
        <w:right w:val="none" w:sz="0" w:space="0" w:color="auto"/>
      </w:divBdr>
    </w:div>
    <w:div w:id="932932679">
      <w:bodyDiv w:val="1"/>
      <w:marLeft w:val="0"/>
      <w:marRight w:val="0"/>
      <w:marTop w:val="0"/>
      <w:marBottom w:val="0"/>
      <w:divBdr>
        <w:top w:val="none" w:sz="0" w:space="0" w:color="auto"/>
        <w:left w:val="none" w:sz="0" w:space="0" w:color="auto"/>
        <w:bottom w:val="none" w:sz="0" w:space="0" w:color="auto"/>
        <w:right w:val="none" w:sz="0" w:space="0" w:color="auto"/>
      </w:divBdr>
    </w:div>
    <w:div w:id="944847260">
      <w:bodyDiv w:val="1"/>
      <w:marLeft w:val="0"/>
      <w:marRight w:val="0"/>
      <w:marTop w:val="0"/>
      <w:marBottom w:val="0"/>
      <w:divBdr>
        <w:top w:val="none" w:sz="0" w:space="0" w:color="auto"/>
        <w:left w:val="none" w:sz="0" w:space="0" w:color="auto"/>
        <w:bottom w:val="none" w:sz="0" w:space="0" w:color="auto"/>
        <w:right w:val="none" w:sz="0" w:space="0" w:color="auto"/>
      </w:divBdr>
    </w:div>
    <w:div w:id="953831414">
      <w:bodyDiv w:val="1"/>
      <w:marLeft w:val="0"/>
      <w:marRight w:val="0"/>
      <w:marTop w:val="0"/>
      <w:marBottom w:val="0"/>
      <w:divBdr>
        <w:top w:val="none" w:sz="0" w:space="0" w:color="auto"/>
        <w:left w:val="none" w:sz="0" w:space="0" w:color="auto"/>
        <w:bottom w:val="none" w:sz="0" w:space="0" w:color="auto"/>
        <w:right w:val="none" w:sz="0" w:space="0" w:color="auto"/>
      </w:divBdr>
    </w:div>
    <w:div w:id="1005716930">
      <w:bodyDiv w:val="1"/>
      <w:marLeft w:val="0"/>
      <w:marRight w:val="0"/>
      <w:marTop w:val="0"/>
      <w:marBottom w:val="0"/>
      <w:divBdr>
        <w:top w:val="none" w:sz="0" w:space="0" w:color="auto"/>
        <w:left w:val="none" w:sz="0" w:space="0" w:color="auto"/>
        <w:bottom w:val="none" w:sz="0" w:space="0" w:color="auto"/>
        <w:right w:val="none" w:sz="0" w:space="0" w:color="auto"/>
      </w:divBdr>
    </w:div>
    <w:div w:id="1007634123">
      <w:bodyDiv w:val="1"/>
      <w:marLeft w:val="0"/>
      <w:marRight w:val="0"/>
      <w:marTop w:val="0"/>
      <w:marBottom w:val="0"/>
      <w:divBdr>
        <w:top w:val="none" w:sz="0" w:space="0" w:color="auto"/>
        <w:left w:val="none" w:sz="0" w:space="0" w:color="auto"/>
        <w:bottom w:val="none" w:sz="0" w:space="0" w:color="auto"/>
        <w:right w:val="none" w:sz="0" w:space="0" w:color="auto"/>
      </w:divBdr>
    </w:div>
    <w:div w:id="1013579987">
      <w:bodyDiv w:val="1"/>
      <w:marLeft w:val="0"/>
      <w:marRight w:val="0"/>
      <w:marTop w:val="0"/>
      <w:marBottom w:val="0"/>
      <w:divBdr>
        <w:top w:val="none" w:sz="0" w:space="0" w:color="auto"/>
        <w:left w:val="none" w:sz="0" w:space="0" w:color="auto"/>
        <w:bottom w:val="none" w:sz="0" w:space="0" w:color="auto"/>
        <w:right w:val="none" w:sz="0" w:space="0" w:color="auto"/>
      </w:divBdr>
    </w:div>
    <w:div w:id="1032077533">
      <w:bodyDiv w:val="1"/>
      <w:marLeft w:val="0"/>
      <w:marRight w:val="0"/>
      <w:marTop w:val="0"/>
      <w:marBottom w:val="0"/>
      <w:divBdr>
        <w:top w:val="none" w:sz="0" w:space="0" w:color="auto"/>
        <w:left w:val="none" w:sz="0" w:space="0" w:color="auto"/>
        <w:bottom w:val="none" w:sz="0" w:space="0" w:color="auto"/>
        <w:right w:val="none" w:sz="0" w:space="0" w:color="auto"/>
      </w:divBdr>
    </w:div>
    <w:div w:id="1039861177">
      <w:bodyDiv w:val="1"/>
      <w:marLeft w:val="0"/>
      <w:marRight w:val="0"/>
      <w:marTop w:val="0"/>
      <w:marBottom w:val="0"/>
      <w:divBdr>
        <w:top w:val="none" w:sz="0" w:space="0" w:color="auto"/>
        <w:left w:val="none" w:sz="0" w:space="0" w:color="auto"/>
        <w:bottom w:val="none" w:sz="0" w:space="0" w:color="auto"/>
        <w:right w:val="none" w:sz="0" w:space="0" w:color="auto"/>
      </w:divBdr>
    </w:div>
    <w:div w:id="1050883272">
      <w:bodyDiv w:val="1"/>
      <w:marLeft w:val="0"/>
      <w:marRight w:val="0"/>
      <w:marTop w:val="0"/>
      <w:marBottom w:val="0"/>
      <w:divBdr>
        <w:top w:val="none" w:sz="0" w:space="0" w:color="auto"/>
        <w:left w:val="none" w:sz="0" w:space="0" w:color="auto"/>
        <w:bottom w:val="none" w:sz="0" w:space="0" w:color="auto"/>
        <w:right w:val="none" w:sz="0" w:space="0" w:color="auto"/>
      </w:divBdr>
      <w:divsChild>
        <w:div w:id="158476">
          <w:marLeft w:val="0"/>
          <w:marRight w:val="0"/>
          <w:marTop w:val="0"/>
          <w:marBottom w:val="0"/>
          <w:divBdr>
            <w:top w:val="none" w:sz="0" w:space="0" w:color="auto"/>
            <w:left w:val="none" w:sz="0" w:space="0" w:color="auto"/>
            <w:bottom w:val="none" w:sz="0" w:space="0" w:color="auto"/>
            <w:right w:val="none" w:sz="0" w:space="0" w:color="auto"/>
          </w:divBdr>
          <w:divsChild>
            <w:div w:id="1517041014">
              <w:marLeft w:val="0"/>
              <w:marRight w:val="0"/>
              <w:marTop w:val="0"/>
              <w:marBottom w:val="0"/>
              <w:divBdr>
                <w:top w:val="none" w:sz="0" w:space="0" w:color="auto"/>
                <w:left w:val="none" w:sz="0" w:space="0" w:color="auto"/>
                <w:bottom w:val="none" w:sz="0" w:space="0" w:color="auto"/>
                <w:right w:val="none" w:sz="0" w:space="0" w:color="auto"/>
              </w:divBdr>
              <w:divsChild>
                <w:div w:id="1857228717">
                  <w:marLeft w:val="0"/>
                  <w:marRight w:val="0"/>
                  <w:marTop w:val="0"/>
                  <w:marBottom w:val="0"/>
                  <w:divBdr>
                    <w:top w:val="none" w:sz="0" w:space="0" w:color="auto"/>
                    <w:left w:val="none" w:sz="0" w:space="0" w:color="auto"/>
                    <w:bottom w:val="none" w:sz="0" w:space="0" w:color="auto"/>
                    <w:right w:val="none" w:sz="0" w:space="0" w:color="auto"/>
                  </w:divBdr>
                  <w:divsChild>
                    <w:div w:id="504444464">
                      <w:marLeft w:val="0"/>
                      <w:marRight w:val="0"/>
                      <w:marTop w:val="0"/>
                      <w:marBottom w:val="0"/>
                      <w:divBdr>
                        <w:top w:val="none" w:sz="0" w:space="0" w:color="auto"/>
                        <w:left w:val="none" w:sz="0" w:space="0" w:color="auto"/>
                        <w:bottom w:val="none" w:sz="0" w:space="0" w:color="auto"/>
                        <w:right w:val="none" w:sz="0" w:space="0" w:color="auto"/>
                      </w:divBdr>
                      <w:divsChild>
                        <w:div w:id="1490251688">
                          <w:marLeft w:val="0"/>
                          <w:marRight w:val="0"/>
                          <w:marTop w:val="0"/>
                          <w:marBottom w:val="0"/>
                          <w:divBdr>
                            <w:top w:val="none" w:sz="0" w:space="0" w:color="auto"/>
                            <w:left w:val="none" w:sz="0" w:space="0" w:color="auto"/>
                            <w:bottom w:val="none" w:sz="0" w:space="0" w:color="auto"/>
                            <w:right w:val="none" w:sz="0" w:space="0" w:color="auto"/>
                          </w:divBdr>
                          <w:divsChild>
                            <w:div w:id="57882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789620">
          <w:marLeft w:val="0"/>
          <w:marRight w:val="0"/>
          <w:marTop w:val="0"/>
          <w:marBottom w:val="0"/>
          <w:divBdr>
            <w:top w:val="none" w:sz="0" w:space="0" w:color="auto"/>
            <w:left w:val="none" w:sz="0" w:space="0" w:color="auto"/>
            <w:bottom w:val="none" w:sz="0" w:space="0" w:color="auto"/>
            <w:right w:val="none" w:sz="0" w:space="0" w:color="auto"/>
          </w:divBdr>
          <w:divsChild>
            <w:div w:id="732197686">
              <w:marLeft w:val="0"/>
              <w:marRight w:val="0"/>
              <w:marTop w:val="0"/>
              <w:marBottom w:val="0"/>
              <w:divBdr>
                <w:top w:val="none" w:sz="0" w:space="0" w:color="auto"/>
                <w:left w:val="none" w:sz="0" w:space="0" w:color="auto"/>
                <w:bottom w:val="none" w:sz="0" w:space="0" w:color="auto"/>
                <w:right w:val="none" w:sz="0" w:space="0" w:color="auto"/>
              </w:divBdr>
              <w:divsChild>
                <w:div w:id="1948391800">
                  <w:marLeft w:val="0"/>
                  <w:marRight w:val="0"/>
                  <w:marTop w:val="0"/>
                  <w:marBottom w:val="0"/>
                  <w:divBdr>
                    <w:top w:val="none" w:sz="0" w:space="0" w:color="auto"/>
                    <w:left w:val="none" w:sz="0" w:space="0" w:color="auto"/>
                    <w:bottom w:val="none" w:sz="0" w:space="0" w:color="auto"/>
                    <w:right w:val="none" w:sz="0" w:space="0" w:color="auto"/>
                  </w:divBdr>
                  <w:divsChild>
                    <w:div w:id="393164350">
                      <w:marLeft w:val="0"/>
                      <w:marRight w:val="0"/>
                      <w:marTop w:val="0"/>
                      <w:marBottom w:val="0"/>
                      <w:divBdr>
                        <w:top w:val="none" w:sz="0" w:space="0" w:color="auto"/>
                        <w:left w:val="none" w:sz="0" w:space="0" w:color="auto"/>
                        <w:bottom w:val="none" w:sz="0" w:space="0" w:color="auto"/>
                        <w:right w:val="none" w:sz="0" w:space="0" w:color="auto"/>
                      </w:divBdr>
                      <w:divsChild>
                        <w:div w:id="1365862545">
                          <w:marLeft w:val="0"/>
                          <w:marRight w:val="0"/>
                          <w:marTop w:val="0"/>
                          <w:marBottom w:val="0"/>
                          <w:divBdr>
                            <w:top w:val="none" w:sz="0" w:space="0" w:color="auto"/>
                            <w:left w:val="none" w:sz="0" w:space="0" w:color="auto"/>
                            <w:bottom w:val="none" w:sz="0" w:space="0" w:color="auto"/>
                            <w:right w:val="none" w:sz="0" w:space="0" w:color="auto"/>
                          </w:divBdr>
                          <w:divsChild>
                            <w:div w:id="1893226211">
                              <w:marLeft w:val="0"/>
                              <w:marRight w:val="0"/>
                              <w:marTop w:val="0"/>
                              <w:marBottom w:val="0"/>
                              <w:divBdr>
                                <w:top w:val="none" w:sz="0" w:space="0" w:color="auto"/>
                                <w:left w:val="none" w:sz="0" w:space="0" w:color="auto"/>
                                <w:bottom w:val="none" w:sz="0" w:space="0" w:color="auto"/>
                                <w:right w:val="none" w:sz="0" w:space="0" w:color="auto"/>
                              </w:divBdr>
                              <w:divsChild>
                                <w:div w:id="16128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572425">
          <w:marLeft w:val="0"/>
          <w:marRight w:val="0"/>
          <w:marTop w:val="0"/>
          <w:marBottom w:val="0"/>
          <w:divBdr>
            <w:top w:val="none" w:sz="0" w:space="0" w:color="auto"/>
            <w:left w:val="none" w:sz="0" w:space="0" w:color="auto"/>
            <w:bottom w:val="none" w:sz="0" w:space="0" w:color="auto"/>
            <w:right w:val="none" w:sz="0" w:space="0" w:color="auto"/>
          </w:divBdr>
          <w:divsChild>
            <w:div w:id="1590114739">
              <w:marLeft w:val="0"/>
              <w:marRight w:val="0"/>
              <w:marTop w:val="0"/>
              <w:marBottom w:val="0"/>
              <w:divBdr>
                <w:top w:val="none" w:sz="0" w:space="0" w:color="auto"/>
                <w:left w:val="none" w:sz="0" w:space="0" w:color="auto"/>
                <w:bottom w:val="none" w:sz="0" w:space="0" w:color="auto"/>
                <w:right w:val="none" w:sz="0" w:space="0" w:color="auto"/>
              </w:divBdr>
              <w:divsChild>
                <w:div w:id="1037773299">
                  <w:marLeft w:val="0"/>
                  <w:marRight w:val="0"/>
                  <w:marTop w:val="0"/>
                  <w:marBottom w:val="0"/>
                  <w:divBdr>
                    <w:top w:val="none" w:sz="0" w:space="0" w:color="auto"/>
                    <w:left w:val="none" w:sz="0" w:space="0" w:color="auto"/>
                    <w:bottom w:val="none" w:sz="0" w:space="0" w:color="auto"/>
                    <w:right w:val="none" w:sz="0" w:space="0" w:color="auto"/>
                  </w:divBdr>
                  <w:divsChild>
                    <w:div w:id="2033262876">
                      <w:marLeft w:val="0"/>
                      <w:marRight w:val="0"/>
                      <w:marTop w:val="0"/>
                      <w:marBottom w:val="0"/>
                      <w:divBdr>
                        <w:top w:val="none" w:sz="0" w:space="0" w:color="auto"/>
                        <w:left w:val="none" w:sz="0" w:space="0" w:color="auto"/>
                        <w:bottom w:val="none" w:sz="0" w:space="0" w:color="auto"/>
                        <w:right w:val="none" w:sz="0" w:space="0" w:color="auto"/>
                      </w:divBdr>
                      <w:divsChild>
                        <w:div w:id="1833135762">
                          <w:marLeft w:val="0"/>
                          <w:marRight w:val="0"/>
                          <w:marTop w:val="0"/>
                          <w:marBottom w:val="0"/>
                          <w:divBdr>
                            <w:top w:val="none" w:sz="0" w:space="0" w:color="auto"/>
                            <w:left w:val="none" w:sz="0" w:space="0" w:color="auto"/>
                            <w:bottom w:val="none" w:sz="0" w:space="0" w:color="auto"/>
                            <w:right w:val="none" w:sz="0" w:space="0" w:color="auto"/>
                          </w:divBdr>
                          <w:divsChild>
                            <w:div w:id="52907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924142">
      <w:bodyDiv w:val="1"/>
      <w:marLeft w:val="0"/>
      <w:marRight w:val="0"/>
      <w:marTop w:val="0"/>
      <w:marBottom w:val="0"/>
      <w:divBdr>
        <w:top w:val="none" w:sz="0" w:space="0" w:color="auto"/>
        <w:left w:val="none" w:sz="0" w:space="0" w:color="auto"/>
        <w:bottom w:val="none" w:sz="0" w:space="0" w:color="auto"/>
        <w:right w:val="none" w:sz="0" w:space="0" w:color="auto"/>
      </w:divBdr>
    </w:div>
    <w:div w:id="1057826016">
      <w:bodyDiv w:val="1"/>
      <w:marLeft w:val="0"/>
      <w:marRight w:val="0"/>
      <w:marTop w:val="0"/>
      <w:marBottom w:val="0"/>
      <w:divBdr>
        <w:top w:val="none" w:sz="0" w:space="0" w:color="auto"/>
        <w:left w:val="none" w:sz="0" w:space="0" w:color="auto"/>
        <w:bottom w:val="none" w:sz="0" w:space="0" w:color="auto"/>
        <w:right w:val="none" w:sz="0" w:space="0" w:color="auto"/>
      </w:divBdr>
    </w:div>
    <w:div w:id="1058670564">
      <w:bodyDiv w:val="1"/>
      <w:marLeft w:val="0"/>
      <w:marRight w:val="0"/>
      <w:marTop w:val="0"/>
      <w:marBottom w:val="0"/>
      <w:divBdr>
        <w:top w:val="none" w:sz="0" w:space="0" w:color="auto"/>
        <w:left w:val="none" w:sz="0" w:space="0" w:color="auto"/>
        <w:bottom w:val="none" w:sz="0" w:space="0" w:color="auto"/>
        <w:right w:val="none" w:sz="0" w:space="0" w:color="auto"/>
      </w:divBdr>
    </w:div>
    <w:div w:id="1060983184">
      <w:bodyDiv w:val="1"/>
      <w:marLeft w:val="0"/>
      <w:marRight w:val="0"/>
      <w:marTop w:val="0"/>
      <w:marBottom w:val="0"/>
      <w:divBdr>
        <w:top w:val="none" w:sz="0" w:space="0" w:color="auto"/>
        <w:left w:val="none" w:sz="0" w:space="0" w:color="auto"/>
        <w:bottom w:val="none" w:sz="0" w:space="0" w:color="auto"/>
        <w:right w:val="none" w:sz="0" w:space="0" w:color="auto"/>
      </w:divBdr>
    </w:div>
    <w:div w:id="1076979821">
      <w:bodyDiv w:val="1"/>
      <w:marLeft w:val="0"/>
      <w:marRight w:val="0"/>
      <w:marTop w:val="0"/>
      <w:marBottom w:val="0"/>
      <w:divBdr>
        <w:top w:val="none" w:sz="0" w:space="0" w:color="auto"/>
        <w:left w:val="none" w:sz="0" w:space="0" w:color="auto"/>
        <w:bottom w:val="none" w:sz="0" w:space="0" w:color="auto"/>
        <w:right w:val="none" w:sz="0" w:space="0" w:color="auto"/>
      </w:divBdr>
    </w:div>
    <w:div w:id="1095638046">
      <w:bodyDiv w:val="1"/>
      <w:marLeft w:val="0"/>
      <w:marRight w:val="0"/>
      <w:marTop w:val="0"/>
      <w:marBottom w:val="0"/>
      <w:divBdr>
        <w:top w:val="none" w:sz="0" w:space="0" w:color="auto"/>
        <w:left w:val="none" w:sz="0" w:space="0" w:color="auto"/>
        <w:bottom w:val="none" w:sz="0" w:space="0" w:color="auto"/>
        <w:right w:val="none" w:sz="0" w:space="0" w:color="auto"/>
      </w:divBdr>
    </w:div>
    <w:div w:id="1115371369">
      <w:bodyDiv w:val="1"/>
      <w:marLeft w:val="0"/>
      <w:marRight w:val="0"/>
      <w:marTop w:val="0"/>
      <w:marBottom w:val="0"/>
      <w:divBdr>
        <w:top w:val="none" w:sz="0" w:space="0" w:color="auto"/>
        <w:left w:val="none" w:sz="0" w:space="0" w:color="auto"/>
        <w:bottom w:val="none" w:sz="0" w:space="0" w:color="auto"/>
        <w:right w:val="none" w:sz="0" w:space="0" w:color="auto"/>
      </w:divBdr>
    </w:div>
    <w:div w:id="1135222746">
      <w:bodyDiv w:val="1"/>
      <w:marLeft w:val="0"/>
      <w:marRight w:val="0"/>
      <w:marTop w:val="0"/>
      <w:marBottom w:val="0"/>
      <w:divBdr>
        <w:top w:val="none" w:sz="0" w:space="0" w:color="auto"/>
        <w:left w:val="none" w:sz="0" w:space="0" w:color="auto"/>
        <w:bottom w:val="none" w:sz="0" w:space="0" w:color="auto"/>
        <w:right w:val="none" w:sz="0" w:space="0" w:color="auto"/>
      </w:divBdr>
    </w:div>
    <w:div w:id="1155993224">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4786162">
      <w:bodyDiv w:val="1"/>
      <w:marLeft w:val="0"/>
      <w:marRight w:val="0"/>
      <w:marTop w:val="0"/>
      <w:marBottom w:val="0"/>
      <w:divBdr>
        <w:top w:val="none" w:sz="0" w:space="0" w:color="auto"/>
        <w:left w:val="none" w:sz="0" w:space="0" w:color="auto"/>
        <w:bottom w:val="none" w:sz="0" w:space="0" w:color="auto"/>
        <w:right w:val="none" w:sz="0" w:space="0" w:color="auto"/>
      </w:divBdr>
    </w:div>
    <w:div w:id="1169128414">
      <w:bodyDiv w:val="1"/>
      <w:marLeft w:val="0"/>
      <w:marRight w:val="0"/>
      <w:marTop w:val="0"/>
      <w:marBottom w:val="0"/>
      <w:divBdr>
        <w:top w:val="none" w:sz="0" w:space="0" w:color="auto"/>
        <w:left w:val="none" w:sz="0" w:space="0" w:color="auto"/>
        <w:bottom w:val="none" w:sz="0" w:space="0" w:color="auto"/>
        <w:right w:val="none" w:sz="0" w:space="0" w:color="auto"/>
      </w:divBdr>
    </w:div>
    <w:div w:id="1234270514">
      <w:bodyDiv w:val="1"/>
      <w:marLeft w:val="0"/>
      <w:marRight w:val="0"/>
      <w:marTop w:val="0"/>
      <w:marBottom w:val="0"/>
      <w:divBdr>
        <w:top w:val="none" w:sz="0" w:space="0" w:color="auto"/>
        <w:left w:val="none" w:sz="0" w:space="0" w:color="auto"/>
        <w:bottom w:val="none" w:sz="0" w:space="0" w:color="auto"/>
        <w:right w:val="none" w:sz="0" w:space="0" w:color="auto"/>
      </w:divBdr>
    </w:div>
    <w:div w:id="1297755392">
      <w:bodyDiv w:val="1"/>
      <w:marLeft w:val="0"/>
      <w:marRight w:val="0"/>
      <w:marTop w:val="0"/>
      <w:marBottom w:val="0"/>
      <w:divBdr>
        <w:top w:val="none" w:sz="0" w:space="0" w:color="auto"/>
        <w:left w:val="none" w:sz="0" w:space="0" w:color="auto"/>
        <w:bottom w:val="none" w:sz="0" w:space="0" w:color="auto"/>
        <w:right w:val="none" w:sz="0" w:space="0" w:color="auto"/>
      </w:divBdr>
    </w:div>
    <w:div w:id="1309633113">
      <w:bodyDiv w:val="1"/>
      <w:marLeft w:val="0"/>
      <w:marRight w:val="0"/>
      <w:marTop w:val="0"/>
      <w:marBottom w:val="0"/>
      <w:divBdr>
        <w:top w:val="none" w:sz="0" w:space="0" w:color="auto"/>
        <w:left w:val="none" w:sz="0" w:space="0" w:color="auto"/>
        <w:bottom w:val="none" w:sz="0" w:space="0" w:color="auto"/>
        <w:right w:val="none" w:sz="0" w:space="0" w:color="auto"/>
      </w:divBdr>
    </w:div>
    <w:div w:id="1349327570">
      <w:bodyDiv w:val="1"/>
      <w:marLeft w:val="0"/>
      <w:marRight w:val="0"/>
      <w:marTop w:val="0"/>
      <w:marBottom w:val="0"/>
      <w:divBdr>
        <w:top w:val="none" w:sz="0" w:space="0" w:color="auto"/>
        <w:left w:val="none" w:sz="0" w:space="0" w:color="auto"/>
        <w:bottom w:val="none" w:sz="0" w:space="0" w:color="auto"/>
        <w:right w:val="none" w:sz="0" w:space="0" w:color="auto"/>
      </w:divBdr>
    </w:div>
    <w:div w:id="1358001965">
      <w:bodyDiv w:val="1"/>
      <w:marLeft w:val="0"/>
      <w:marRight w:val="0"/>
      <w:marTop w:val="0"/>
      <w:marBottom w:val="0"/>
      <w:divBdr>
        <w:top w:val="none" w:sz="0" w:space="0" w:color="auto"/>
        <w:left w:val="none" w:sz="0" w:space="0" w:color="auto"/>
        <w:bottom w:val="none" w:sz="0" w:space="0" w:color="auto"/>
        <w:right w:val="none" w:sz="0" w:space="0" w:color="auto"/>
      </w:divBdr>
    </w:div>
    <w:div w:id="1360202432">
      <w:bodyDiv w:val="1"/>
      <w:marLeft w:val="0"/>
      <w:marRight w:val="0"/>
      <w:marTop w:val="0"/>
      <w:marBottom w:val="0"/>
      <w:divBdr>
        <w:top w:val="none" w:sz="0" w:space="0" w:color="auto"/>
        <w:left w:val="none" w:sz="0" w:space="0" w:color="auto"/>
        <w:bottom w:val="none" w:sz="0" w:space="0" w:color="auto"/>
        <w:right w:val="none" w:sz="0" w:space="0" w:color="auto"/>
      </w:divBdr>
    </w:div>
    <w:div w:id="1386249232">
      <w:bodyDiv w:val="1"/>
      <w:marLeft w:val="0"/>
      <w:marRight w:val="0"/>
      <w:marTop w:val="0"/>
      <w:marBottom w:val="0"/>
      <w:divBdr>
        <w:top w:val="none" w:sz="0" w:space="0" w:color="auto"/>
        <w:left w:val="none" w:sz="0" w:space="0" w:color="auto"/>
        <w:bottom w:val="none" w:sz="0" w:space="0" w:color="auto"/>
        <w:right w:val="none" w:sz="0" w:space="0" w:color="auto"/>
      </w:divBdr>
    </w:div>
    <w:div w:id="1387147574">
      <w:bodyDiv w:val="1"/>
      <w:marLeft w:val="0"/>
      <w:marRight w:val="0"/>
      <w:marTop w:val="0"/>
      <w:marBottom w:val="0"/>
      <w:divBdr>
        <w:top w:val="none" w:sz="0" w:space="0" w:color="auto"/>
        <w:left w:val="none" w:sz="0" w:space="0" w:color="auto"/>
        <w:bottom w:val="none" w:sz="0" w:space="0" w:color="auto"/>
        <w:right w:val="none" w:sz="0" w:space="0" w:color="auto"/>
      </w:divBdr>
    </w:div>
    <w:div w:id="1443694236">
      <w:bodyDiv w:val="1"/>
      <w:marLeft w:val="0"/>
      <w:marRight w:val="0"/>
      <w:marTop w:val="0"/>
      <w:marBottom w:val="0"/>
      <w:divBdr>
        <w:top w:val="none" w:sz="0" w:space="0" w:color="auto"/>
        <w:left w:val="none" w:sz="0" w:space="0" w:color="auto"/>
        <w:bottom w:val="none" w:sz="0" w:space="0" w:color="auto"/>
        <w:right w:val="none" w:sz="0" w:space="0" w:color="auto"/>
      </w:divBdr>
    </w:div>
    <w:div w:id="1467964637">
      <w:bodyDiv w:val="1"/>
      <w:marLeft w:val="0"/>
      <w:marRight w:val="0"/>
      <w:marTop w:val="0"/>
      <w:marBottom w:val="0"/>
      <w:divBdr>
        <w:top w:val="none" w:sz="0" w:space="0" w:color="auto"/>
        <w:left w:val="none" w:sz="0" w:space="0" w:color="auto"/>
        <w:bottom w:val="none" w:sz="0" w:space="0" w:color="auto"/>
        <w:right w:val="none" w:sz="0" w:space="0" w:color="auto"/>
      </w:divBdr>
    </w:div>
    <w:div w:id="1472282077">
      <w:bodyDiv w:val="1"/>
      <w:marLeft w:val="0"/>
      <w:marRight w:val="0"/>
      <w:marTop w:val="0"/>
      <w:marBottom w:val="0"/>
      <w:divBdr>
        <w:top w:val="none" w:sz="0" w:space="0" w:color="auto"/>
        <w:left w:val="none" w:sz="0" w:space="0" w:color="auto"/>
        <w:bottom w:val="none" w:sz="0" w:space="0" w:color="auto"/>
        <w:right w:val="none" w:sz="0" w:space="0" w:color="auto"/>
      </w:divBdr>
    </w:div>
    <w:div w:id="1474253388">
      <w:bodyDiv w:val="1"/>
      <w:marLeft w:val="0"/>
      <w:marRight w:val="0"/>
      <w:marTop w:val="0"/>
      <w:marBottom w:val="0"/>
      <w:divBdr>
        <w:top w:val="none" w:sz="0" w:space="0" w:color="auto"/>
        <w:left w:val="none" w:sz="0" w:space="0" w:color="auto"/>
        <w:bottom w:val="none" w:sz="0" w:space="0" w:color="auto"/>
        <w:right w:val="none" w:sz="0" w:space="0" w:color="auto"/>
      </w:divBdr>
    </w:div>
    <w:div w:id="1476605371">
      <w:bodyDiv w:val="1"/>
      <w:marLeft w:val="0"/>
      <w:marRight w:val="0"/>
      <w:marTop w:val="0"/>
      <w:marBottom w:val="0"/>
      <w:divBdr>
        <w:top w:val="none" w:sz="0" w:space="0" w:color="auto"/>
        <w:left w:val="none" w:sz="0" w:space="0" w:color="auto"/>
        <w:bottom w:val="none" w:sz="0" w:space="0" w:color="auto"/>
        <w:right w:val="none" w:sz="0" w:space="0" w:color="auto"/>
      </w:divBdr>
    </w:div>
    <w:div w:id="1502042033">
      <w:bodyDiv w:val="1"/>
      <w:marLeft w:val="0"/>
      <w:marRight w:val="0"/>
      <w:marTop w:val="0"/>
      <w:marBottom w:val="0"/>
      <w:divBdr>
        <w:top w:val="none" w:sz="0" w:space="0" w:color="auto"/>
        <w:left w:val="none" w:sz="0" w:space="0" w:color="auto"/>
        <w:bottom w:val="none" w:sz="0" w:space="0" w:color="auto"/>
        <w:right w:val="none" w:sz="0" w:space="0" w:color="auto"/>
      </w:divBdr>
    </w:div>
    <w:div w:id="1508015994">
      <w:bodyDiv w:val="1"/>
      <w:marLeft w:val="0"/>
      <w:marRight w:val="0"/>
      <w:marTop w:val="0"/>
      <w:marBottom w:val="0"/>
      <w:divBdr>
        <w:top w:val="none" w:sz="0" w:space="0" w:color="auto"/>
        <w:left w:val="none" w:sz="0" w:space="0" w:color="auto"/>
        <w:bottom w:val="none" w:sz="0" w:space="0" w:color="auto"/>
        <w:right w:val="none" w:sz="0" w:space="0" w:color="auto"/>
      </w:divBdr>
    </w:div>
    <w:div w:id="1515146664">
      <w:bodyDiv w:val="1"/>
      <w:marLeft w:val="0"/>
      <w:marRight w:val="0"/>
      <w:marTop w:val="0"/>
      <w:marBottom w:val="0"/>
      <w:divBdr>
        <w:top w:val="none" w:sz="0" w:space="0" w:color="auto"/>
        <w:left w:val="none" w:sz="0" w:space="0" w:color="auto"/>
        <w:bottom w:val="none" w:sz="0" w:space="0" w:color="auto"/>
        <w:right w:val="none" w:sz="0" w:space="0" w:color="auto"/>
      </w:divBdr>
    </w:div>
    <w:div w:id="1541478051">
      <w:bodyDiv w:val="1"/>
      <w:marLeft w:val="0"/>
      <w:marRight w:val="0"/>
      <w:marTop w:val="0"/>
      <w:marBottom w:val="0"/>
      <w:divBdr>
        <w:top w:val="none" w:sz="0" w:space="0" w:color="auto"/>
        <w:left w:val="none" w:sz="0" w:space="0" w:color="auto"/>
        <w:bottom w:val="none" w:sz="0" w:space="0" w:color="auto"/>
        <w:right w:val="none" w:sz="0" w:space="0" w:color="auto"/>
      </w:divBdr>
    </w:div>
    <w:div w:id="1552381360">
      <w:bodyDiv w:val="1"/>
      <w:marLeft w:val="0"/>
      <w:marRight w:val="0"/>
      <w:marTop w:val="0"/>
      <w:marBottom w:val="0"/>
      <w:divBdr>
        <w:top w:val="none" w:sz="0" w:space="0" w:color="auto"/>
        <w:left w:val="none" w:sz="0" w:space="0" w:color="auto"/>
        <w:bottom w:val="none" w:sz="0" w:space="0" w:color="auto"/>
        <w:right w:val="none" w:sz="0" w:space="0" w:color="auto"/>
      </w:divBdr>
    </w:div>
    <w:div w:id="1555461771">
      <w:bodyDiv w:val="1"/>
      <w:marLeft w:val="0"/>
      <w:marRight w:val="0"/>
      <w:marTop w:val="0"/>
      <w:marBottom w:val="0"/>
      <w:divBdr>
        <w:top w:val="none" w:sz="0" w:space="0" w:color="auto"/>
        <w:left w:val="none" w:sz="0" w:space="0" w:color="auto"/>
        <w:bottom w:val="none" w:sz="0" w:space="0" w:color="auto"/>
        <w:right w:val="none" w:sz="0" w:space="0" w:color="auto"/>
      </w:divBdr>
    </w:div>
    <w:div w:id="1610744630">
      <w:bodyDiv w:val="1"/>
      <w:marLeft w:val="0"/>
      <w:marRight w:val="0"/>
      <w:marTop w:val="0"/>
      <w:marBottom w:val="0"/>
      <w:divBdr>
        <w:top w:val="none" w:sz="0" w:space="0" w:color="auto"/>
        <w:left w:val="none" w:sz="0" w:space="0" w:color="auto"/>
        <w:bottom w:val="none" w:sz="0" w:space="0" w:color="auto"/>
        <w:right w:val="none" w:sz="0" w:space="0" w:color="auto"/>
      </w:divBdr>
    </w:div>
    <w:div w:id="1623031166">
      <w:bodyDiv w:val="1"/>
      <w:marLeft w:val="0"/>
      <w:marRight w:val="0"/>
      <w:marTop w:val="0"/>
      <w:marBottom w:val="0"/>
      <w:divBdr>
        <w:top w:val="none" w:sz="0" w:space="0" w:color="auto"/>
        <w:left w:val="none" w:sz="0" w:space="0" w:color="auto"/>
        <w:bottom w:val="none" w:sz="0" w:space="0" w:color="auto"/>
        <w:right w:val="none" w:sz="0" w:space="0" w:color="auto"/>
      </w:divBdr>
    </w:div>
    <w:div w:id="1647010820">
      <w:bodyDiv w:val="1"/>
      <w:marLeft w:val="0"/>
      <w:marRight w:val="0"/>
      <w:marTop w:val="0"/>
      <w:marBottom w:val="0"/>
      <w:divBdr>
        <w:top w:val="none" w:sz="0" w:space="0" w:color="auto"/>
        <w:left w:val="none" w:sz="0" w:space="0" w:color="auto"/>
        <w:bottom w:val="none" w:sz="0" w:space="0" w:color="auto"/>
        <w:right w:val="none" w:sz="0" w:space="0" w:color="auto"/>
      </w:divBdr>
    </w:div>
    <w:div w:id="1649241841">
      <w:bodyDiv w:val="1"/>
      <w:marLeft w:val="0"/>
      <w:marRight w:val="0"/>
      <w:marTop w:val="0"/>
      <w:marBottom w:val="0"/>
      <w:divBdr>
        <w:top w:val="none" w:sz="0" w:space="0" w:color="auto"/>
        <w:left w:val="none" w:sz="0" w:space="0" w:color="auto"/>
        <w:bottom w:val="none" w:sz="0" w:space="0" w:color="auto"/>
        <w:right w:val="none" w:sz="0" w:space="0" w:color="auto"/>
      </w:divBdr>
    </w:div>
    <w:div w:id="1660384209">
      <w:bodyDiv w:val="1"/>
      <w:marLeft w:val="0"/>
      <w:marRight w:val="0"/>
      <w:marTop w:val="0"/>
      <w:marBottom w:val="0"/>
      <w:divBdr>
        <w:top w:val="none" w:sz="0" w:space="0" w:color="auto"/>
        <w:left w:val="none" w:sz="0" w:space="0" w:color="auto"/>
        <w:bottom w:val="none" w:sz="0" w:space="0" w:color="auto"/>
        <w:right w:val="none" w:sz="0" w:space="0" w:color="auto"/>
      </w:divBdr>
    </w:div>
    <w:div w:id="1669553715">
      <w:bodyDiv w:val="1"/>
      <w:marLeft w:val="0"/>
      <w:marRight w:val="0"/>
      <w:marTop w:val="0"/>
      <w:marBottom w:val="0"/>
      <w:divBdr>
        <w:top w:val="none" w:sz="0" w:space="0" w:color="auto"/>
        <w:left w:val="none" w:sz="0" w:space="0" w:color="auto"/>
        <w:bottom w:val="none" w:sz="0" w:space="0" w:color="auto"/>
        <w:right w:val="none" w:sz="0" w:space="0" w:color="auto"/>
      </w:divBdr>
    </w:div>
    <w:div w:id="1686244086">
      <w:bodyDiv w:val="1"/>
      <w:marLeft w:val="0"/>
      <w:marRight w:val="0"/>
      <w:marTop w:val="0"/>
      <w:marBottom w:val="0"/>
      <w:divBdr>
        <w:top w:val="none" w:sz="0" w:space="0" w:color="auto"/>
        <w:left w:val="none" w:sz="0" w:space="0" w:color="auto"/>
        <w:bottom w:val="none" w:sz="0" w:space="0" w:color="auto"/>
        <w:right w:val="none" w:sz="0" w:space="0" w:color="auto"/>
      </w:divBdr>
    </w:div>
    <w:div w:id="1706251871">
      <w:bodyDiv w:val="1"/>
      <w:marLeft w:val="0"/>
      <w:marRight w:val="0"/>
      <w:marTop w:val="0"/>
      <w:marBottom w:val="0"/>
      <w:divBdr>
        <w:top w:val="none" w:sz="0" w:space="0" w:color="auto"/>
        <w:left w:val="none" w:sz="0" w:space="0" w:color="auto"/>
        <w:bottom w:val="none" w:sz="0" w:space="0" w:color="auto"/>
        <w:right w:val="none" w:sz="0" w:space="0" w:color="auto"/>
      </w:divBdr>
    </w:div>
    <w:div w:id="1718311005">
      <w:bodyDiv w:val="1"/>
      <w:marLeft w:val="0"/>
      <w:marRight w:val="0"/>
      <w:marTop w:val="0"/>
      <w:marBottom w:val="0"/>
      <w:divBdr>
        <w:top w:val="none" w:sz="0" w:space="0" w:color="auto"/>
        <w:left w:val="none" w:sz="0" w:space="0" w:color="auto"/>
        <w:bottom w:val="none" w:sz="0" w:space="0" w:color="auto"/>
        <w:right w:val="none" w:sz="0" w:space="0" w:color="auto"/>
      </w:divBdr>
    </w:div>
    <w:div w:id="1718695893">
      <w:bodyDiv w:val="1"/>
      <w:marLeft w:val="0"/>
      <w:marRight w:val="0"/>
      <w:marTop w:val="0"/>
      <w:marBottom w:val="0"/>
      <w:divBdr>
        <w:top w:val="none" w:sz="0" w:space="0" w:color="auto"/>
        <w:left w:val="none" w:sz="0" w:space="0" w:color="auto"/>
        <w:bottom w:val="none" w:sz="0" w:space="0" w:color="auto"/>
        <w:right w:val="none" w:sz="0" w:space="0" w:color="auto"/>
      </w:divBdr>
      <w:divsChild>
        <w:div w:id="117257746">
          <w:marLeft w:val="0"/>
          <w:marRight w:val="0"/>
          <w:marTop w:val="0"/>
          <w:marBottom w:val="0"/>
          <w:divBdr>
            <w:top w:val="none" w:sz="0" w:space="0" w:color="auto"/>
            <w:left w:val="none" w:sz="0" w:space="0" w:color="auto"/>
            <w:bottom w:val="none" w:sz="0" w:space="0" w:color="auto"/>
            <w:right w:val="none" w:sz="0" w:space="0" w:color="auto"/>
          </w:divBdr>
          <w:divsChild>
            <w:div w:id="1136140407">
              <w:marLeft w:val="0"/>
              <w:marRight w:val="0"/>
              <w:marTop w:val="0"/>
              <w:marBottom w:val="0"/>
              <w:divBdr>
                <w:top w:val="none" w:sz="0" w:space="0" w:color="auto"/>
                <w:left w:val="none" w:sz="0" w:space="0" w:color="auto"/>
                <w:bottom w:val="none" w:sz="0" w:space="0" w:color="auto"/>
                <w:right w:val="none" w:sz="0" w:space="0" w:color="auto"/>
              </w:divBdr>
              <w:divsChild>
                <w:div w:id="1498685884">
                  <w:marLeft w:val="0"/>
                  <w:marRight w:val="0"/>
                  <w:marTop w:val="0"/>
                  <w:marBottom w:val="0"/>
                  <w:divBdr>
                    <w:top w:val="none" w:sz="0" w:space="0" w:color="auto"/>
                    <w:left w:val="none" w:sz="0" w:space="0" w:color="auto"/>
                    <w:bottom w:val="none" w:sz="0" w:space="0" w:color="auto"/>
                    <w:right w:val="none" w:sz="0" w:space="0" w:color="auto"/>
                  </w:divBdr>
                  <w:divsChild>
                    <w:div w:id="1249386030">
                      <w:marLeft w:val="0"/>
                      <w:marRight w:val="0"/>
                      <w:marTop w:val="0"/>
                      <w:marBottom w:val="0"/>
                      <w:divBdr>
                        <w:top w:val="none" w:sz="0" w:space="0" w:color="auto"/>
                        <w:left w:val="none" w:sz="0" w:space="0" w:color="auto"/>
                        <w:bottom w:val="none" w:sz="0" w:space="0" w:color="auto"/>
                        <w:right w:val="none" w:sz="0" w:space="0" w:color="auto"/>
                      </w:divBdr>
                      <w:divsChild>
                        <w:div w:id="1772118348">
                          <w:marLeft w:val="0"/>
                          <w:marRight w:val="0"/>
                          <w:marTop w:val="0"/>
                          <w:marBottom w:val="0"/>
                          <w:divBdr>
                            <w:top w:val="none" w:sz="0" w:space="0" w:color="auto"/>
                            <w:left w:val="none" w:sz="0" w:space="0" w:color="auto"/>
                            <w:bottom w:val="none" w:sz="0" w:space="0" w:color="auto"/>
                            <w:right w:val="none" w:sz="0" w:space="0" w:color="auto"/>
                          </w:divBdr>
                          <w:divsChild>
                            <w:div w:id="6406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284150">
      <w:bodyDiv w:val="1"/>
      <w:marLeft w:val="0"/>
      <w:marRight w:val="0"/>
      <w:marTop w:val="0"/>
      <w:marBottom w:val="0"/>
      <w:divBdr>
        <w:top w:val="none" w:sz="0" w:space="0" w:color="auto"/>
        <w:left w:val="none" w:sz="0" w:space="0" w:color="auto"/>
        <w:bottom w:val="none" w:sz="0" w:space="0" w:color="auto"/>
        <w:right w:val="none" w:sz="0" w:space="0" w:color="auto"/>
      </w:divBdr>
    </w:div>
    <w:div w:id="1788115394">
      <w:bodyDiv w:val="1"/>
      <w:marLeft w:val="0"/>
      <w:marRight w:val="0"/>
      <w:marTop w:val="0"/>
      <w:marBottom w:val="0"/>
      <w:divBdr>
        <w:top w:val="none" w:sz="0" w:space="0" w:color="auto"/>
        <w:left w:val="none" w:sz="0" w:space="0" w:color="auto"/>
        <w:bottom w:val="none" w:sz="0" w:space="0" w:color="auto"/>
        <w:right w:val="none" w:sz="0" w:space="0" w:color="auto"/>
      </w:divBdr>
    </w:div>
    <w:div w:id="1790583515">
      <w:bodyDiv w:val="1"/>
      <w:marLeft w:val="0"/>
      <w:marRight w:val="0"/>
      <w:marTop w:val="0"/>
      <w:marBottom w:val="0"/>
      <w:divBdr>
        <w:top w:val="none" w:sz="0" w:space="0" w:color="auto"/>
        <w:left w:val="none" w:sz="0" w:space="0" w:color="auto"/>
        <w:bottom w:val="none" w:sz="0" w:space="0" w:color="auto"/>
        <w:right w:val="none" w:sz="0" w:space="0" w:color="auto"/>
      </w:divBdr>
    </w:div>
    <w:div w:id="1799303487">
      <w:bodyDiv w:val="1"/>
      <w:marLeft w:val="0"/>
      <w:marRight w:val="0"/>
      <w:marTop w:val="0"/>
      <w:marBottom w:val="0"/>
      <w:divBdr>
        <w:top w:val="none" w:sz="0" w:space="0" w:color="auto"/>
        <w:left w:val="none" w:sz="0" w:space="0" w:color="auto"/>
        <w:bottom w:val="none" w:sz="0" w:space="0" w:color="auto"/>
        <w:right w:val="none" w:sz="0" w:space="0" w:color="auto"/>
      </w:divBdr>
    </w:div>
    <w:div w:id="1816408444">
      <w:bodyDiv w:val="1"/>
      <w:marLeft w:val="0"/>
      <w:marRight w:val="0"/>
      <w:marTop w:val="0"/>
      <w:marBottom w:val="0"/>
      <w:divBdr>
        <w:top w:val="none" w:sz="0" w:space="0" w:color="auto"/>
        <w:left w:val="none" w:sz="0" w:space="0" w:color="auto"/>
        <w:bottom w:val="none" w:sz="0" w:space="0" w:color="auto"/>
        <w:right w:val="none" w:sz="0" w:space="0" w:color="auto"/>
      </w:divBdr>
    </w:div>
    <w:div w:id="1841382549">
      <w:bodyDiv w:val="1"/>
      <w:marLeft w:val="0"/>
      <w:marRight w:val="0"/>
      <w:marTop w:val="0"/>
      <w:marBottom w:val="0"/>
      <w:divBdr>
        <w:top w:val="none" w:sz="0" w:space="0" w:color="auto"/>
        <w:left w:val="none" w:sz="0" w:space="0" w:color="auto"/>
        <w:bottom w:val="none" w:sz="0" w:space="0" w:color="auto"/>
        <w:right w:val="none" w:sz="0" w:space="0" w:color="auto"/>
      </w:divBdr>
    </w:div>
    <w:div w:id="1876118142">
      <w:bodyDiv w:val="1"/>
      <w:marLeft w:val="0"/>
      <w:marRight w:val="0"/>
      <w:marTop w:val="0"/>
      <w:marBottom w:val="0"/>
      <w:divBdr>
        <w:top w:val="none" w:sz="0" w:space="0" w:color="auto"/>
        <w:left w:val="none" w:sz="0" w:space="0" w:color="auto"/>
        <w:bottom w:val="none" w:sz="0" w:space="0" w:color="auto"/>
        <w:right w:val="none" w:sz="0" w:space="0" w:color="auto"/>
      </w:divBdr>
    </w:div>
    <w:div w:id="1896351608">
      <w:bodyDiv w:val="1"/>
      <w:marLeft w:val="0"/>
      <w:marRight w:val="0"/>
      <w:marTop w:val="0"/>
      <w:marBottom w:val="0"/>
      <w:divBdr>
        <w:top w:val="none" w:sz="0" w:space="0" w:color="auto"/>
        <w:left w:val="none" w:sz="0" w:space="0" w:color="auto"/>
        <w:bottom w:val="none" w:sz="0" w:space="0" w:color="auto"/>
        <w:right w:val="none" w:sz="0" w:space="0" w:color="auto"/>
      </w:divBdr>
    </w:div>
    <w:div w:id="1941327593">
      <w:bodyDiv w:val="1"/>
      <w:marLeft w:val="0"/>
      <w:marRight w:val="0"/>
      <w:marTop w:val="0"/>
      <w:marBottom w:val="0"/>
      <w:divBdr>
        <w:top w:val="none" w:sz="0" w:space="0" w:color="auto"/>
        <w:left w:val="none" w:sz="0" w:space="0" w:color="auto"/>
        <w:bottom w:val="none" w:sz="0" w:space="0" w:color="auto"/>
        <w:right w:val="none" w:sz="0" w:space="0" w:color="auto"/>
      </w:divBdr>
    </w:div>
    <w:div w:id="1955164039">
      <w:bodyDiv w:val="1"/>
      <w:marLeft w:val="0"/>
      <w:marRight w:val="0"/>
      <w:marTop w:val="0"/>
      <w:marBottom w:val="0"/>
      <w:divBdr>
        <w:top w:val="none" w:sz="0" w:space="0" w:color="auto"/>
        <w:left w:val="none" w:sz="0" w:space="0" w:color="auto"/>
        <w:bottom w:val="none" w:sz="0" w:space="0" w:color="auto"/>
        <w:right w:val="none" w:sz="0" w:space="0" w:color="auto"/>
      </w:divBdr>
    </w:div>
    <w:div w:id="1964724956">
      <w:bodyDiv w:val="1"/>
      <w:marLeft w:val="0"/>
      <w:marRight w:val="0"/>
      <w:marTop w:val="0"/>
      <w:marBottom w:val="0"/>
      <w:divBdr>
        <w:top w:val="none" w:sz="0" w:space="0" w:color="auto"/>
        <w:left w:val="none" w:sz="0" w:space="0" w:color="auto"/>
        <w:bottom w:val="none" w:sz="0" w:space="0" w:color="auto"/>
        <w:right w:val="none" w:sz="0" w:space="0" w:color="auto"/>
      </w:divBdr>
    </w:div>
    <w:div w:id="1971783665">
      <w:bodyDiv w:val="1"/>
      <w:marLeft w:val="0"/>
      <w:marRight w:val="0"/>
      <w:marTop w:val="0"/>
      <w:marBottom w:val="0"/>
      <w:divBdr>
        <w:top w:val="none" w:sz="0" w:space="0" w:color="auto"/>
        <w:left w:val="none" w:sz="0" w:space="0" w:color="auto"/>
        <w:bottom w:val="none" w:sz="0" w:space="0" w:color="auto"/>
        <w:right w:val="none" w:sz="0" w:space="0" w:color="auto"/>
      </w:divBdr>
    </w:div>
    <w:div w:id="1975987610">
      <w:bodyDiv w:val="1"/>
      <w:marLeft w:val="0"/>
      <w:marRight w:val="0"/>
      <w:marTop w:val="0"/>
      <w:marBottom w:val="0"/>
      <w:divBdr>
        <w:top w:val="none" w:sz="0" w:space="0" w:color="auto"/>
        <w:left w:val="none" w:sz="0" w:space="0" w:color="auto"/>
        <w:bottom w:val="none" w:sz="0" w:space="0" w:color="auto"/>
        <w:right w:val="none" w:sz="0" w:space="0" w:color="auto"/>
      </w:divBdr>
    </w:div>
    <w:div w:id="1994093709">
      <w:bodyDiv w:val="1"/>
      <w:marLeft w:val="0"/>
      <w:marRight w:val="0"/>
      <w:marTop w:val="0"/>
      <w:marBottom w:val="0"/>
      <w:divBdr>
        <w:top w:val="none" w:sz="0" w:space="0" w:color="auto"/>
        <w:left w:val="none" w:sz="0" w:space="0" w:color="auto"/>
        <w:bottom w:val="none" w:sz="0" w:space="0" w:color="auto"/>
        <w:right w:val="none" w:sz="0" w:space="0" w:color="auto"/>
      </w:divBdr>
    </w:div>
    <w:div w:id="2005669674">
      <w:bodyDiv w:val="1"/>
      <w:marLeft w:val="0"/>
      <w:marRight w:val="0"/>
      <w:marTop w:val="0"/>
      <w:marBottom w:val="0"/>
      <w:divBdr>
        <w:top w:val="none" w:sz="0" w:space="0" w:color="auto"/>
        <w:left w:val="none" w:sz="0" w:space="0" w:color="auto"/>
        <w:bottom w:val="none" w:sz="0" w:space="0" w:color="auto"/>
        <w:right w:val="none" w:sz="0" w:space="0" w:color="auto"/>
      </w:divBdr>
    </w:div>
    <w:div w:id="2031643130">
      <w:bodyDiv w:val="1"/>
      <w:marLeft w:val="0"/>
      <w:marRight w:val="0"/>
      <w:marTop w:val="0"/>
      <w:marBottom w:val="0"/>
      <w:divBdr>
        <w:top w:val="none" w:sz="0" w:space="0" w:color="auto"/>
        <w:left w:val="none" w:sz="0" w:space="0" w:color="auto"/>
        <w:bottom w:val="none" w:sz="0" w:space="0" w:color="auto"/>
        <w:right w:val="none" w:sz="0" w:space="0" w:color="auto"/>
      </w:divBdr>
    </w:div>
    <w:div w:id="2039045222">
      <w:bodyDiv w:val="1"/>
      <w:marLeft w:val="0"/>
      <w:marRight w:val="0"/>
      <w:marTop w:val="0"/>
      <w:marBottom w:val="0"/>
      <w:divBdr>
        <w:top w:val="none" w:sz="0" w:space="0" w:color="auto"/>
        <w:left w:val="none" w:sz="0" w:space="0" w:color="auto"/>
        <w:bottom w:val="none" w:sz="0" w:space="0" w:color="auto"/>
        <w:right w:val="none" w:sz="0" w:space="0" w:color="auto"/>
      </w:divBdr>
      <w:divsChild>
        <w:div w:id="1362559216">
          <w:marLeft w:val="0"/>
          <w:marRight w:val="0"/>
          <w:marTop w:val="0"/>
          <w:marBottom w:val="0"/>
          <w:divBdr>
            <w:top w:val="none" w:sz="0" w:space="0" w:color="auto"/>
            <w:left w:val="none" w:sz="0" w:space="0" w:color="auto"/>
            <w:bottom w:val="none" w:sz="0" w:space="0" w:color="auto"/>
            <w:right w:val="none" w:sz="0" w:space="0" w:color="auto"/>
          </w:divBdr>
          <w:divsChild>
            <w:div w:id="475953262">
              <w:marLeft w:val="0"/>
              <w:marRight w:val="0"/>
              <w:marTop w:val="0"/>
              <w:marBottom w:val="0"/>
              <w:divBdr>
                <w:top w:val="none" w:sz="0" w:space="0" w:color="auto"/>
                <w:left w:val="none" w:sz="0" w:space="0" w:color="auto"/>
                <w:bottom w:val="none" w:sz="0" w:space="0" w:color="auto"/>
                <w:right w:val="none" w:sz="0" w:space="0" w:color="auto"/>
              </w:divBdr>
              <w:divsChild>
                <w:div w:id="853301512">
                  <w:marLeft w:val="0"/>
                  <w:marRight w:val="0"/>
                  <w:marTop w:val="0"/>
                  <w:marBottom w:val="0"/>
                  <w:divBdr>
                    <w:top w:val="none" w:sz="0" w:space="0" w:color="auto"/>
                    <w:left w:val="none" w:sz="0" w:space="0" w:color="auto"/>
                    <w:bottom w:val="none" w:sz="0" w:space="0" w:color="auto"/>
                    <w:right w:val="none" w:sz="0" w:space="0" w:color="auto"/>
                  </w:divBdr>
                  <w:divsChild>
                    <w:div w:id="248850299">
                      <w:marLeft w:val="0"/>
                      <w:marRight w:val="0"/>
                      <w:marTop w:val="0"/>
                      <w:marBottom w:val="0"/>
                      <w:divBdr>
                        <w:top w:val="none" w:sz="0" w:space="0" w:color="auto"/>
                        <w:left w:val="none" w:sz="0" w:space="0" w:color="auto"/>
                        <w:bottom w:val="none" w:sz="0" w:space="0" w:color="auto"/>
                        <w:right w:val="none" w:sz="0" w:space="0" w:color="auto"/>
                      </w:divBdr>
                      <w:divsChild>
                        <w:div w:id="1271283396">
                          <w:marLeft w:val="0"/>
                          <w:marRight w:val="0"/>
                          <w:marTop w:val="0"/>
                          <w:marBottom w:val="0"/>
                          <w:divBdr>
                            <w:top w:val="none" w:sz="0" w:space="0" w:color="auto"/>
                            <w:left w:val="none" w:sz="0" w:space="0" w:color="auto"/>
                            <w:bottom w:val="none" w:sz="0" w:space="0" w:color="auto"/>
                            <w:right w:val="none" w:sz="0" w:space="0" w:color="auto"/>
                          </w:divBdr>
                          <w:divsChild>
                            <w:div w:id="2047020969">
                              <w:marLeft w:val="0"/>
                              <w:marRight w:val="0"/>
                              <w:marTop w:val="0"/>
                              <w:marBottom w:val="0"/>
                              <w:divBdr>
                                <w:top w:val="none" w:sz="0" w:space="0" w:color="auto"/>
                                <w:left w:val="none" w:sz="0" w:space="0" w:color="auto"/>
                                <w:bottom w:val="none" w:sz="0" w:space="0" w:color="auto"/>
                                <w:right w:val="none" w:sz="0" w:space="0" w:color="auto"/>
                              </w:divBdr>
                              <w:divsChild>
                                <w:div w:id="6359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245110">
          <w:marLeft w:val="0"/>
          <w:marRight w:val="0"/>
          <w:marTop w:val="0"/>
          <w:marBottom w:val="0"/>
          <w:divBdr>
            <w:top w:val="none" w:sz="0" w:space="0" w:color="auto"/>
            <w:left w:val="none" w:sz="0" w:space="0" w:color="auto"/>
            <w:bottom w:val="none" w:sz="0" w:space="0" w:color="auto"/>
            <w:right w:val="none" w:sz="0" w:space="0" w:color="auto"/>
          </w:divBdr>
          <w:divsChild>
            <w:div w:id="791830522">
              <w:marLeft w:val="0"/>
              <w:marRight w:val="0"/>
              <w:marTop w:val="0"/>
              <w:marBottom w:val="0"/>
              <w:divBdr>
                <w:top w:val="none" w:sz="0" w:space="0" w:color="auto"/>
                <w:left w:val="none" w:sz="0" w:space="0" w:color="auto"/>
                <w:bottom w:val="none" w:sz="0" w:space="0" w:color="auto"/>
                <w:right w:val="none" w:sz="0" w:space="0" w:color="auto"/>
              </w:divBdr>
              <w:divsChild>
                <w:div w:id="2123718253">
                  <w:marLeft w:val="0"/>
                  <w:marRight w:val="0"/>
                  <w:marTop w:val="0"/>
                  <w:marBottom w:val="0"/>
                  <w:divBdr>
                    <w:top w:val="none" w:sz="0" w:space="0" w:color="auto"/>
                    <w:left w:val="none" w:sz="0" w:space="0" w:color="auto"/>
                    <w:bottom w:val="none" w:sz="0" w:space="0" w:color="auto"/>
                    <w:right w:val="none" w:sz="0" w:space="0" w:color="auto"/>
                  </w:divBdr>
                  <w:divsChild>
                    <w:div w:id="109514923">
                      <w:marLeft w:val="0"/>
                      <w:marRight w:val="0"/>
                      <w:marTop w:val="0"/>
                      <w:marBottom w:val="0"/>
                      <w:divBdr>
                        <w:top w:val="none" w:sz="0" w:space="0" w:color="auto"/>
                        <w:left w:val="none" w:sz="0" w:space="0" w:color="auto"/>
                        <w:bottom w:val="none" w:sz="0" w:space="0" w:color="auto"/>
                        <w:right w:val="none" w:sz="0" w:space="0" w:color="auto"/>
                      </w:divBdr>
                      <w:divsChild>
                        <w:div w:id="2040617090">
                          <w:marLeft w:val="0"/>
                          <w:marRight w:val="0"/>
                          <w:marTop w:val="0"/>
                          <w:marBottom w:val="0"/>
                          <w:divBdr>
                            <w:top w:val="none" w:sz="0" w:space="0" w:color="auto"/>
                            <w:left w:val="none" w:sz="0" w:space="0" w:color="auto"/>
                            <w:bottom w:val="none" w:sz="0" w:space="0" w:color="auto"/>
                            <w:right w:val="none" w:sz="0" w:space="0" w:color="auto"/>
                          </w:divBdr>
                          <w:divsChild>
                            <w:div w:id="794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661238">
          <w:marLeft w:val="0"/>
          <w:marRight w:val="0"/>
          <w:marTop w:val="0"/>
          <w:marBottom w:val="0"/>
          <w:divBdr>
            <w:top w:val="none" w:sz="0" w:space="0" w:color="auto"/>
            <w:left w:val="none" w:sz="0" w:space="0" w:color="auto"/>
            <w:bottom w:val="none" w:sz="0" w:space="0" w:color="auto"/>
            <w:right w:val="none" w:sz="0" w:space="0" w:color="auto"/>
          </w:divBdr>
          <w:divsChild>
            <w:div w:id="1950776440">
              <w:marLeft w:val="0"/>
              <w:marRight w:val="0"/>
              <w:marTop w:val="0"/>
              <w:marBottom w:val="0"/>
              <w:divBdr>
                <w:top w:val="none" w:sz="0" w:space="0" w:color="auto"/>
                <w:left w:val="none" w:sz="0" w:space="0" w:color="auto"/>
                <w:bottom w:val="none" w:sz="0" w:space="0" w:color="auto"/>
                <w:right w:val="none" w:sz="0" w:space="0" w:color="auto"/>
              </w:divBdr>
              <w:divsChild>
                <w:div w:id="1117793663">
                  <w:marLeft w:val="0"/>
                  <w:marRight w:val="0"/>
                  <w:marTop w:val="0"/>
                  <w:marBottom w:val="0"/>
                  <w:divBdr>
                    <w:top w:val="none" w:sz="0" w:space="0" w:color="auto"/>
                    <w:left w:val="none" w:sz="0" w:space="0" w:color="auto"/>
                    <w:bottom w:val="none" w:sz="0" w:space="0" w:color="auto"/>
                    <w:right w:val="none" w:sz="0" w:space="0" w:color="auto"/>
                  </w:divBdr>
                  <w:divsChild>
                    <w:div w:id="1447848025">
                      <w:marLeft w:val="0"/>
                      <w:marRight w:val="0"/>
                      <w:marTop w:val="0"/>
                      <w:marBottom w:val="0"/>
                      <w:divBdr>
                        <w:top w:val="none" w:sz="0" w:space="0" w:color="auto"/>
                        <w:left w:val="none" w:sz="0" w:space="0" w:color="auto"/>
                        <w:bottom w:val="none" w:sz="0" w:space="0" w:color="auto"/>
                        <w:right w:val="none" w:sz="0" w:space="0" w:color="auto"/>
                      </w:divBdr>
                      <w:divsChild>
                        <w:div w:id="2094081676">
                          <w:marLeft w:val="0"/>
                          <w:marRight w:val="0"/>
                          <w:marTop w:val="0"/>
                          <w:marBottom w:val="0"/>
                          <w:divBdr>
                            <w:top w:val="none" w:sz="0" w:space="0" w:color="auto"/>
                            <w:left w:val="none" w:sz="0" w:space="0" w:color="auto"/>
                            <w:bottom w:val="none" w:sz="0" w:space="0" w:color="auto"/>
                            <w:right w:val="none" w:sz="0" w:space="0" w:color="auto"/>
                          </w:divBdr>
                          <w:divsChild>
                            <w:div w:id="1990674720">
                              <w:marLeft w:val="0"/>
                              <w:marRight w:val="0"/>
                              <w:marTop w:val="0"/>
                              <w:marBottom w:val="0"/>
                              <w:divBdr>
                                <w:top w:val="none" w:sz="0" w:space="0" w:color="auto"/>
                                <w:left w:val="none" w:sz="0" w:space="0" w:color="auto"/>
                                <w:bottom w:val="none" w:sz="0" w:space="0" w:color="auto"/>
                                <w:right w:val="none" w:sz="0" w:space="0" w:color="auto"/>
                              </w:divBdr>
                              <w:divsChild>
                                <w:div w:id="11579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837260">
          <w:marLeft w:val="0"/>
          <w:marRight w:val="0"/>
          <w:marTop w:val="0"/>
          <w:marBottom w:val="0"/>
          <w:divBdr>
            <w:top w:val="none" w:sz="0" w:space="0" w:color="auto"/>
            <w:left w:val="none" w:sz="0" w:space="0" w:color="auto"/>
            <w:bottom w:val="none" w:sz="0" w:space="0" w:color="auto"/>
            <w:right w:val="none" w:sz="0" w:space="0" w:color="auto"/>
          </w:divBdr>
          <w:divsChild>
            <w:div w:id="1555390940">
              <w:marLeft w:val="0"/>
              <w:marRight w:val="0"/>
              <w:marTop w:val="0"/>
              <w:marBottom w:val="0"/>
              <w:divBdr>
                <w:top w:val="none" w:sz="0" w:space="0" w:color="auto"/>
                <w:left w:val="none" w:sz="0" w:space="0" w:color="auto"/>
                <w:bottom w:val="none" w:sz="0" w:space="0" w:color="auto"/>
                <w:right w:val="none" w:sz="0" w:space="0" w:color="auto"/>
              </w:divBdr>
              <w:divsChild>
                <w:div w:id="438067052">
                  <w:marLeft w:val="0"/>
                  <w:marRight w:val="0"/>
                  <w:marTop w:val="0"/>
                  <w:marBottom w:val="0"/>
                  <w:divBdr>
                    <w:top w:val="none" w:sz="0" w:space="0" w:color="auto"/>
                    <w:left w:val="none" w:sz="0" w:space="0" w:color="auto"/>
                    <w:bottom w:val="none" w:sz="0" w:space="0" w:color="auto"/>
                    <w:right w:val="none" w:sz="0" w:space="0" w:color="auto"/>
                  </w:divBdr>
                  <w:divsChild>
                    <w:div w:id="857235330">
                      <w:marLeft w:val="0"/>
                      <w:marRight w:val="0"/>
                      <w:marTop w:val="0"/>
                      <w:marBottom w:val="0"/>
                      <w:divBdr>
                        <w:top w:val="none" w:sz="0" w:space="0" w:color="auto"/>
                        <w:left w:val="none" w:sz="0" w:space="0" w:color="auto"/>
                        <w:bottom w:val="none" w:sz="0" w:space="0" w:color="auto"/>
                        <w:right w:val="none" w:sz="0" w:space="0" w:color="auto"/>
                      </w:divBdr>
                      <w:divsChild>
                        <w:div w:id="779960289">
                          <w:marLeft w:val="0"/>
                          <w:marRight w:val="0"/>
                          <w:marTop w:val="0"/>
                          <w:marBottom w:val="0"/>
                          <w:divBdr>
                            <w:top w:val="none" w:sz="0" w:space="0" w:color="auto"/>
                            <w:left w:val="none" w:sz="0" w:space="0" w:color="auto"/>
                            <w:bottom w:val="none" w:sz="0" w:space="0" w:color="auto"/>
                            <w:right w:val="none" w:sz="0" w:space="0" w:color="auto"/>
                          </w:divBdr>
                          <w:divsChild>
                            <w:div w:id="83402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738086">
          <w:marLeft w:val="0"/>
          <w:marRight w:val="0"/>
          <w:marTop w:val="0"/>
          <w:marBottom w:val="0"/>
          <w:divBdr>
            <w:top w:val="none" w:sz="0" w:space="0" w:color="auto"/>
            <w:left w:val="none" w:sz="0" w:space="0" w:color="auto"/>
            <w:bottom w:val="none" w:sz="0" w:space="0" w:color="auto"/>
            <w:right w:val="none" w:sz="0" w:space="0" w:color="auto"/>
          </w:divBdr>
          <w:divsChild>
            <w:div w:id="1671181110">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sChild>
                    <w:div w:id="167907374">
                      <w:marLeft w:val="0"/>
                      <w:marRight w:val="0"/>
                      <w:marTop w:val="0"/>
                      <w:marBottom w:val="0"/>
                      <w:divBdr>
                        <w:top w:val="none" w:sz="0" w:space="0" w:color="auto"/>
                        <w:left w:val="none" w:sz="0" w:space="0" w:color="auto"/>
                        <w:bottom w:val="none" w:sz="0" w:space="0" w:color="auto"/>
                        <w:right w:val="none" w:sz="0" w:space="0" w:color="auto"/>
                      </w:divBdr>
                      <w:divsChild>
                        <w:div w:id="1467818510">
                          <w:marLeft w:val="0"/>
                          <w:marRight w:val="0"/>
                          <w:marTop w:val="0"/>
                          <w:marBottom w:val="0"/>
                          <w:divBdr>
                            <w:top w:val="none" w:sz="0" w:space="0" w:color="auto"/>
                            <w:left w:val="none" w:sz="0" w:space="0" w:color="auto"/>
                            <w:bottom w:val="none" w:sz="0" w:space="0" w:color="auto"/>
                            <w:right w:val="none" w:sz="0" w:space="0" w:color="auto"/>
                          </w:divBdr>
                          <w:divsChild>
                            <w:div w:id="326835194">
                              <w:marLeft w:val="0"/>
                              <w:marRight w:val="0"/>
                              <w:marTop w:val="0"/>
                              <w:marBottom w:val="0"/>
                              <w:divBdr>
                                <w:top w:val="none" w:sz="0" w:space="0" w:color="auto"/>
                                <w:left w:val="none" w:sz="0" w:space="0" w:color="auto"/>
                                <w:bottom w:val="none" w:sz="0" w:space="0" w:color="auto"/>
                                <w:right w:val="none" w:sz="0" w:space="0" w:color="auto"/>
                              </w:divBdr>
                              <w:divsChild>
                                <w:div w:id="64246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268183">
          <w:marLeft w:val="0"/>
          <w:marRight w:val="0"/>
          <w:marTop w:val="0"/>
          <w:marBottom w:val="0"/>
          <w:divBdr>
            <w:top w:val="none" w:sz="0" w:space="0" w:color="auto"/>
            <w:left w:val="none" w:sz="0" w:space="0" w:color="auto"/>
            <w:bottom w:val="none" w:sz="0" w:space="0" w:color="auto"/>
            <w:right w:val="none" w:sz="0" w:space="0" w:color="auto"/>
          </w:divBdr>
          <w:divsChild>
            <w:div w:id="99375500">
              <w:marLeft w:val="0"/>
              <w:marRight w:val="0"/>
              <w:marTop w:val="0"/>
              <w:marBottom w:val="0"/>
              <w:divBdr>
                <w:top w:val="none" w:sz="0" w:space="0" w:color="auto"/>
                <w:left w:val="none" w:sz="0" w:space="0" w:color="auto"/>
                <w:bottom w:val="none" w:sz="0" w:space="0" w:color="auto"/>
                <w:right w:val="none" w:sz="0" w:space="0" w:color="auto"/>
              </w:divBdr>
              <w:divsChild>
                <w:div w:id="1994337036">
                  <w:marLeft w:val="0"/>
                  <w:marRight w:val="0"/>
                  <w:marTop w:val="0"/>
                  <w:marBottom w:val="0"/>
                  <w:divBdr>
                    <w:top w:val="none" w:sz="0" w:space="0" w:color="auto"/>
                    <w:left w:val="none" w:sz="0" w:space="0" w:color="auto"/>
                    <w:bottom w:val="none" w:sz="0" w:space="0" w:color="auto"/>
                    <w:right w:val="none" w:sz="0" w:space="0" w:color="auto"/>
                  </w:divBdr>
                  <w:divsChild>
                    <w:div w:id="226496112">
                      <w:marLeft w:val="0"/>
                      <w:marRight w:val="0"/>
                      <w:marTop w:val="0"/>
                      <w:marBottom w:val="0"/>
                      <w:divBdr>
                        <w:top w:val="none" w:sz="0" w:space="0" w:color="auto"/>
                        <w:left w:val="none" w:sz="0" w:space="0" w:color="auto"/>
                        <w:bottom w:val="none" w:sz="0" w:space="0" w:color="auto"/>
                        <w:right w:val="none" w:sz="0" w:space="0" w:color="auto"/>
                      </w:divBdr>
                      <w:divsChild>
                        <w:div w:id="21632889">
                          <w:marLeft w:val="0"/>
                          <w:marRight w:val="0"/>
                          <w:marTop w:val="0"/>
                          <w:marBottom w:val="0"/>
                          <w:divBdr>
                            <w:top w:val="none" w:sz="0" w:space="0" w:color="auto"/>
                            <w:left w:val="none" w:sz="0" w:space="0" w:color="auto"/>
                            <w:bottom w:val="none" w:sz="0" w:space="0" w:color="auto"/>
                            <w:right w:val="none" w:sz="0" w:space="0" w:color="auto"/>
                          </w:divBdr>
                          <w:divsChild>
                            <w:div w:id="167151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121471">
          <w:marLeft w:val="0"/>
          <w:marRight w:val="0"/>
          <w:marTop w:val="0"/>
          <w:marBottom w:val="0"/>
          <w:divBdr>
            <w:top w:val="none" w:sz="0" w:space="0" w:color="auto"/>
            <w:left w:val="none" w:sz="0" w:space="0" w:color="auto"/>
            <w:bottom w:val="none" w:sz="0" w:space="0" w:color="auto"/>
            <w:right w:val="none" w:sz="0" w:space="0" w:color="auto"/>
          </w:divBdr>
          <w:divsChild>
            <w:div w:id="1413891804">
              <w:marLeft w:val="0"/>
              <w:marRight w:val="0"/>
              <w:marTop w:val="0"/>
              <w:marBottom w:val="0"/>
              <w:divBdr>
                <w:top w:val="none" w:sz="0" w:space="0" w:color="auto"/>
                <w:left w:val="none" w:sz="0" w:space="0" w:color="auto"/>
                <w:bottom w:val="none" w:sz="0" w:space="0" w:color="auto"/>
                <w:right w:val="none" w:sz="0" w:space="0" w:color="auto"/>
              </w:divBdr>
              <w:divsChild>
                <w:div w:id="1087311245">
                  <w:marLeft w:val="0"/>
                  <w:marRight w:val="0"/>
                  <w:marTop w:val="0"/>
                  <w:marBottom w:val="0"/>
                  <w:divBdr>
                    <w:top w:val="none" w:sz="0" w:space="0" w:color="auto"/>
                    <w:left w:val="none" w:sz="0" w:space="0" w:color="auto"/>
                    <w:bottom w:val="none" w:sz="0" w:space="0" w:color="auto"/>
                    <w:right w:val="none" w:sz="0" w:space="0" w:color="auto"/>
                  </w:divBdr>
                  <w:divsChild>
                    <w:div w:id="694699918">
                      <w:marLeft w:val="0"/>
                      <w:marRight w:val="0"/>
                      <w:marTop w:val="0"/>
                      <w:marBottom w:val="0"/>
                      <w:divBdr>
                        <w:top w:val="none" w:sz="0" w:space="0" w:color="auto"/>
                        <w:left w:val="none" w:sz="0" w:space="0" w:color="auto"/>
                        <w:bottom w:val="none" w:sz="0" w:space="0" w:color="auto"/>
                        <w:right w:val="none" w:sz="0" w:space="0" w:color="auto"/>
                      </w:divBdr>
                      <w:divsChild>
                        <w:div w:id="388112337">
                          <w:marLeft w:val="0"/>
                          <w:marRight w:val="0"/>
                          <w:marTop w:val="0"/>
                          <w:marBottom w:val="0"/>
                          <w:divBdr>
                            <w:top w:val="none" w:sz="0" w:space="0" w:color="auto"/>
                            <w:left w:val="none" w:sz="0" w:space="0" w:color="auto"/>
                            <w:bottom w:val="none" w:sz="0" w:space="0" w:color="auto"/>
                            <w:right w:val="none" w:sz="0" w:space="0" w:color="auto"/>
                          </w:divBdr>
                          <w:divsChild>
                            <w:div w:id="1365325465">
                              <w:marLeft w:val="0"/>
                              <w:marRight w:val="0"/>
                              <w:marTop w:val="0"/>
                              <w:marBottom w:val="0"/>
                              <w:divBdr>
                                <w:top w:val="none" w:sz="0" w:space="0" w:color="auto"/>
                                <w:left w:val="none" w:sz="0" w:space="0" w:color="auto"/>
                                <w:bottom w:val="none" w:sz="0" w:space="0" w:color="auto"/>
                                <w:right w:val="none" w:sz="0" w:space="0" w:color="auto"/>
                              </w:divBdr>
                              <w:divsChild>
                                <w:div w:id="71304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0594">
          <w:marLeft w:val="0"/>
          <w:marRight w:val="0"/>
          <w:marTop w:val="0"/>
          <w:marBottom w:val="0"/>
          <w:divBdr>
            <w:top w:val="none" w:sz="0" w:space="0" w:color="auto"/>
            <w:left w:val="none" w:sz="0" w:space="0" w:color="auto"/>
            <w:bottom w:val="none" w:sz="0" w:space="0" w:color="auto"/>
            <w:right w:val="none" w:sz="0" w:space="0" w:color="auto"/>
          </w:divBdr>
          <w:divsChild>
            <w:div w:id="592737475">
              <w:marLeft w:val="0"/>
              <w:marRight w:val="0"/>
              <w:marTop w:val="0"/>
              <w:marBottom w:val="0"/>
              <w:divBdr>
                <w:top w:val="none" w:sz="0" w:space="0" w:color="auto"/>
                <w:left w:val="none" w:sz="0" w:space="0" w:color="auto"/>
                <w:bottom w:val="none" w:sz="0" w:space="0" w:color="auto"/>
                <w:right w:val="none" w:sz="0" w:space="0" w:color="auto"/>
              </w:divBdr>
              <w:divsChild>
                <w:div w:id="245313243">
                  <w:marLeft w:val="0"/>
                  <w:marRight w:val="0"/>
                  <w:marTop w:val="0"/>
                  <w:marBottom w:val="0"/>
                  <w:divBdr>
                    <w:top w:val="none" w:sz="0" w:space="0" w:color="auto"/>
                    <w:left w:val="none" w:sz="0" w:space="0" w:color="auto"/>
                    <w:bottom w:val="none" w:sz="0" w:space="0" w:color="auto"/>
                    <w:right w:val="none" w:sz="0" w:space="0" w:color="auto"/>
                  </w:divBdr>
                  <w:divsChild>
                    <w:div w:id="1544826270">
                      <w:marLeft w:val="0"/>
                      <w:marRight w:val="0"/>
                      <w:marTop w:val="0"/>
                      <w:marBottom w:val="0"/>
                      <w:divBdr>
                        <w:top w:val="none" w:sz="0" w:space="0" w:color="auto"/>
                        <w:left w:val="none" w:sz="0" w:space="0" w:color="auto"/>
                        <w:bottom w:val="none" w:sz="0" w:space="0" w:color="auto"/>
                        <w:right w:val="none" w:sz="0" w:space="0" w:color="auto"/>
                      </w:divBdr>
                      <w:divsChild>
                        <w:div w:id="527645582">
                          <w:marLeft w:val="0"/>
                          <w:marRight w:val="0"/>
                          <w:marTop w:val="0"/>
                          <w:marBottom w:val="0"/>
                          <w:divBdr>
                            <w:top w:val="none" w:sz="0" w:space="0" w:color="auto"/>
                            <w:left w:val="none" w:sz="0" w:space="0" w:color="auto"/>
                            <w:bottom w:val="none" w:sz="0" w:space="0" w:color="auto"/>
                            <w:right w:val="none" w:sz="0" w:space="0" w:color="auto"/>
                          </w:divBdr>
                          <w:divsChild>
                            <w:div w:id="181012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786529">
          <w:marLeft w:val="0"/>
          <w:marRight w:val="0"/>
          <w:marTop w:val="0"/>
          <w:marBottom w:val="0"/>
          <w:divBdr>
            <w:top w:val="none" w:sz="0" w:space="0" w:color="auto"/>
            <w:left w:val="none" w:sz="0" w:space="0" w:color="auto"/>
            <w:bottom w:val="none" w:sz="0" w:space="0" w:color="auto"/>
            <w:right w:val="none" w:sz="0" w:space="0" w:color="auto"/>
          </w:divBdr>
          <w:divsChild>
            <w:div w:id="375201783">
              <w:marLeft w:val="0"/>
              <w:marRight w:val="0"/>
              <w:marTop w:val="0"/>
              <w:marBottom w:val="0"/>
              <w:divBdr>
                <w:top w:val="none" w:sz="0" w:space="0" w:color="auto"/>
                <w:left w:val="none" w:sz="0" w:space="0" w:color="auto"/>
                <w:bottom w:val="none" w:sz="0" w:space="0" w:color="auto"/>
                <w:right w:val="none" w:sz="0" w:space="0" w:color="auto"/>
              </w:divBdr>
              <w:divsChild>
                <w:div w:id="1269511009">
                  <w:marLeft w:val="0"/>
                  <w:marRight w:val="0"/>
                  <w:marTop w:val="0"/>
                  <w:marBottom w:val="0"/>
                  <w:divBdr>
                    <w:top w:val="none" w:sz="0" w:space="0" w:color="auto"/>
                    <w:left w:val="none" w:sz="0" w:space="0" w:color="auto"/>
                    <w:bottom w:val="none" w:sz="0" w:space="0" w:color="auto"/>
                    <w:right w:val="none" w:sz="0" w:space="0" w:color="auto"/>
                  </w:divBdr>
                  <w:divsChild>
                    <w:div w:id="787626717">
                      <w:marLeft w:val="0"/>
                      <w:marRight w:val="0"/>
                      <w:marTop w:val="0"/>
                      <w:marBottom w:val="0"/>
                      <w:divBdr>
                        <w:top w:val="none" w:sz="0" w:space="0" w:color="auto"/>
                        <w:left w:val="none" w:sz="0" w:space="0" w:color="auto"/>
                        <w:bottom w:val="none" w:sz="0" w:space="0" w:color="auto"/>
                        <w:right w:val="none" w:sz="0" w:space="0" w:color="auto"/>
                      </w:divBdr>
                      <w:divsChild>
                        <w:div w:id="1263104553">
                          <w:marLeft w:val="0"/>
                          <w:marRight w:val="0"/>
                          <w:marTop w:val="0"/>
                          <w:marBottom w:val="0"/>
                          <w:divBdr>
                            <w:top w:val="none" w:sz="0" w:space="0" w:color="auto"/>
                            <w:left w:val="none" w:sz="0" w:space="0" w:color="auto"/>
                            <w:bottom w:val="none" w:sz="0" w:space="0" w:color="auto"/>
                            <w:right w:val="none" w:sz="0" w:space="0" w:color="auto"/>
                          </w:divBdr>
                          <w:divsChild>
                            <w:div w:id="804591356">
                              <w:marLeft w:val="0"/>
                              <w:marRight w:val="0"/>
                              <w:marTop w:val="0"/>
                              <w:marBottom w:val="0"/>
                              <w:divBdr>
                                <w:top w:val="none" w:sz="0" w:space="0" w:color="auto"/>
                                <w:left w:val="none" w:sz="0" w:space="0" w:color="auto"/>
                                <w:bottom w:val="none" w:sz="0" w:space="0" w:color="auto"/>
                                <w:right w:val="none" w:sz="0" w:space="0" w:color="auto"/>
                              </w:divBdr>
                              <w:divsChild>
                                <w:div w:id="70498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266407">
          <w:marLeft w:val="0"/>
          <w:marRight w:val="0"/>
          <w:marTop w:val="0"/>
          <w:marBottom w:val="0"/>
          <w:divBdr>
            <w:top w:val="none" w:sz="0" w:space="0" w:color="auto"/>
            <w:left w:val="none" w:sz="0" w:space="0" w:color="auto"/>
            <w:bottom w:val="none" w:sz="0" w:space="0" w:color="auto"/>
            <w:right w:val="none" w:sz="0" w:space="0" w:color="auto"/>
          </w:divBdr>
          <w:divsChild>
            <w:div w:id="1819422397">
              <w:marLeft w:val="0"/>
              <w:marRight w:val="0"/>
              <w:marTop w:val="0"/>
              <w:marBottom w:val="0"/>
              <w:divBdr>
                <w:top w:val="none" w:sz="0" w:space="0" w:color="auto"/>
                <w:left w:val="none" w:sz="0" w:space="0" w:color="auto"/>
                <w:bottom w:val="none" w:sz="0" w:space="0" w:color="auto"/>
                <w:right w:val="none" w:sz="0" w:space="0" w:color="auto"/>
              </w:divBdr>
              <w:divsChild>
                <w:div w:id="826554962">
                  <w:marLeft w:val="0"/>
                  <w:marRight w:val="0"/>
                  <w:marTop w:val="0"/>
                  <w:marBottom w:val="0"/>
                  <w:divBdr>
                    <w:top w:val="none" w:sz="0" w:space="0" w:color="auto"/>
                    <w:left w:val="none" w:sz="0" w:space="0" w:color="auto"/>
                    <w:bottom w:val="none" w:sz="0" w:space="0" w:color="auto"/>
                    <w:right w:val="none" w:sz="0" w:space="0" w:color="auto"/>
                  </w:divBdr>
                  <w:divsChild>
                    <w:div w:id="777139662">
                      <w:marLeft w:val="0"/>
                      <w:marRight w:val="0"/>
                      <w:marTop w:val="0"/>
                      <w:marBottom w:val="0"/>
                      <w:divBdr>
                        <w:top w:val="none" w:sz="0" w:space="0" w:color="auto"/>
                        <w:left w:val="none" w:sz="0" w:space="0" w:color="auto"/>
                        <w:bottom w:val="none" w:sz="0" w:space="0" w:color="auto"/>
                        <w:right w:val="none" w:sz="0" w:space="0" w:color="auto"/>
                      </w:divBdr>
                      <w:divsChild>
                        <w:div w:id="99493131">
                          <w:marLeft w:val="0"/>
                          <w:marRight w:val="0"/>
                          <w:marTop w:val="0"/>
                          <w:marBottom w:val="0"/>
                          <w:divBdr>
                            <w:top w:val="none" w:sz="0" w:space="0" w:color="auto"/>
                            <w:left w:val="none" w:sz="0" w:space="0" w:color="auto"/>
                            <w:bottom w:val="none" w:sz="0" w:space="0" w:color="auto"/>
                            <w:right w:val="none" w:sz="0" w:space="0" w:color="auto"/>
                          </w:divBdr>
                          <w:divsChild>
                            <w:div w:id="20132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962370">
          <w:marLeft w:val="0"/>
          <w:marRight w:val="0"/>
          <w:marTop w:val="0"/>
          <w:marBottom w:val="0"/>
          <w:divBdr>
            <w:top w:val="none" w:sz="0" w:space="0" w:color="auto"/>
            <w:left w:val="none" w:sz="0" w:space="0" w:color="auto"/>
            <w:bottom w:val="none" w:sz="0" w:space="0" w:color="auto"/>
            <w:right w:val="none" w:sz="0" w:space="0" w:color="auto"/>
          </w:divBdr>
          <w:divsChild>
            <w:div w:id="1646080523">
              <w:marLeft w:val="0"/>
              <w:marRight w:val="0"/>
              <w:marTop w:val="0"/>
              <w:marBottom w:val="0"/>
              <w:divBdr>
                <w:top w:val="none" w:sz="0" w:space="0" w:color="auto"/>
                <w:left w:val="none" w:sz="0" w:space="0" w:color="auto"/>
                <w:bottom w:val="none" w:sz="0" w:space="0" w:color="auto"/>
                <w:right w:val="none" w:sz="0" w:space="0" w:color="auto"/>
              </w:divBdr>
              <w:divsChild>
                <w:div w:id="1853831838">
                  <w:marLeft w:val="0"/>
                  <w:marRight w:val="0"/>
                  <w:marTop w:val="0"/>
                  <w:marBottom w:val="0"/>
                  <w:divBdr>
                    <w:top w:val="none" w:sz="0" w:space="0" w:color="auto"/>
                    <w:left w:val="none" w:sz="0" w:space="0" w:color="auto"/>
                    <w:bottom w:val="none" w:sz="0" w:space="0" w:color="auto"/>
                    <w:right w:val="none" w:sz="0" w:space="0" w:color="auto"/>
                  </w:divBdr>
                  <w:divsChild>
                    <w:div w:id="751312754">
                      <w:marLeft w:val="0"/>
                      <w:marRight w:val="0"/>
                      <w:marTop w:val="0"/>
                      <w:marBottom w:val="0"/>
                      <w:divBdr>
                        <w:top w:val="none" w:sz="0" w:space="0" w:color="auto"/>
                        <w:left w:val="none" w:sz="0" w:space="0" w:color="auto"/>
                        <w:bottom w:val="none" w:sz="0" w:space="0" w:color="auto"/>
                        <w:right w:val="none" w:sz="0" w:space="0" w:color="auto"/>
                      </w:divBdr>
                      <w:divsChild>
                        <w:div w:id="51511948">
                          <w:marLeft w:val="0"/>
                          <w:marRight w:val="0"/>
                          <w:marTop w:val="0"/>
                          <w:marBottom w:val="0"/>
                          <w:divBdr>
                            <w:top w:val="none" w:sz="0" w:space="0" w:color="auto"/>
                            <w:left w:val="none" w:sz="0" w:space="0" w:color="auto"/>
                            <w:bottom w:val="none" w:sz="0" w:space="0" w:color="auto"/>
                            <w:right w:val="none" w:sz="0" w:space="0" w:color="auto"/>
                          </w:divBdr>
                          <w:divsChild>
                            <w:div w:id="1243488638">
                              <w:marLeft w:val="0"/>
                              <w:marRight w:val="0"/>
                              <w:marTop w:val="0"/>
                              <w:marBottom w:val="0"/>
                              <w:divBdr>
                                <w:top w:val="none" w:sz="0" w:space="0" w:color="auto"/>
                                <w:left w:val="none" w:sz="0" w:space="0" w:color="auto"/>
                                <w:bottom w:val="none" w:sz="0" w:space="0" w:color="auto"/>
                                <w:right w:val="none" w:sz="0" w:space="0" w:color="auto"/>
                              </w:divBdr>
                              <w:divsChild>
                                <w:div w:id="92623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227601">
          <w:marLeft w:val="0"/>
          <w:marRight w:val="0"/>
          <w:marTop w:val="0"/>
          <w:marBottom w:val="0"/>
          <w:divBdr>
            <w:top w:val="none" w:sz="0" w:space="0" w:color="auto"/>
            <w:left w:val="none" w:sz="0" w:space="0" w:color="auto"/>
            <w:bottom w:val="none" w:sz="0" w:space="0" w:color="auto"/>
            <w:right w:val="none" w:sz="0" w:space="0" w:color="auto"/>
          </w:divBdr>
          <w:divsChild>
            <w:div w:id="12613062">
              <w:marLeft w:val="0"/>
              <w:marRight w:val="0"/>
              <w:marTop w:val="0"/>
              <w:marBottom w:val="0"/>
              <w:divBdr>
                <w:top w:val="none" w:sz="0" w:space="0" w:color="auto"/>
                <w:left w:val="none" w:sz="0" w:space="0" w:color="auto"/>
                <w:bottom w:val="none" w:sz="0" w:space="0" w:color="auto"/>
                <w:right w:val="none" w:sz="0" w:space="0" w:color="auto"/>
              </w:divBdr>
              <w:divsChild>
                <w:div w:id="1025592919">
                  <w:marLeft w:val="0"/>
                  <w:marRight w:val="0"/>
                  <w:marTop w:val="0"/>
                  <w:marBottom w:val="0"/>
                  <w:divBdr>
                    <w:top w:val="none" w:sz="0" w:space="0" w:color="auto"/>
                    <w:left w:val="none" w:sz="0" w:space="0" w:color="auto"/>
                    <w:bottom w:val="none" w:sz="0" w:space="0" w:color="auto"/>
                    <w:right w:val="none" w:sz="0" w:space="0" w:color="auto"/>
                  </w:divBdr>
                  <w:divsChild>
                    <w:div w:id="1884831119">
                      <w:marLeft w:val="0"/>
                      <w:marRight w:val="0"/>
                      <w:marTop w:val="0"/>
                      <w:marBottom w:val="0"/>
                      <w:divBdr>
                        <w:top w:val="none" w:sz="0" w:space="0" w:color="auto"/>
                        <w:left w:val="none" w:sz="0" w:space="0" w:color="auto"/>
                        <w:bottom w:val="none" w:sz="0" w:space="0" w:color="auto"/>
                        <w:right w:val="none" w:sz="0" w:space="0" w:color="auto"/>
                      </w:divBdr>
                      <w:divsChild>
                        <w:div w:id="1888102439">
                          <w:marLeft w:val="0"/>
                          <w:marRight w:val="0"/>
                          <w:marTop w:val="0"/>
                          <w:marBottom w:val="0"/>
                          <w:divBdr>
                            <w:top w:val="none" w:sz="0" w:space="0" w:color="auto"/>
                            <w:left w:val="none" w:sz="0" w:space="0" w:color="auto"/>
                            <w:bottom w:val="none" w:sz="0" w:space="0" w:color="auto"/>
                            <w:right w:val="none" w:sz="0" w:space="0" w:color="auto"/>
                          </w:divBdr>
                          <w:divsChild>
                            <w:div w:id="72630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167115">
          <w:marLeft w:val="0"/>
          <w:marRight w:val="0"/>
          <w:marTop w:val="0"/>
          <w:marBottom w:val="0"/>
          <w:divBdr>
            <w:top w:val="none" w:sz="0" w:space="0" w:color="auto"/>
            <w:left w:val="none" w:sz="0" w:space="0" w:color="auto"/>
            <w:bottom w:val="none" w:sz="0" w:space="0" w:color="auto"/>
            <w:right w:val="none" w:sz="0" w:space="0" w:color="auto"/>
          </w:divBdr>
          <w:divsChild>
            <w:div w:id="1734548132">
              <w:marLeft w:val="0"/>
              <w:marRight w:val="0"/>
              <w:marTop w:val="0"/>
              <w:marBottom w:val="0"/>
              <w:divBdr>
                <w:top w:val="none" w:sz="0" w:space="0" w:color="auto"/>
                <w:left w:val="none" w:sz="0" w:space="0" w:color="auto"/>
                <w:bottom w:val="none" w:sz="0" w:space="0" w:color="auto"/>
                <w:right w:val="none" w:sz="0" w:space="0" w:color="auto"/>
              </w:divBdr>
              <w:divsChild>
                <w:div w:id="1407654603">
                  <w:marLeft w:val="0"/>
                  <w:marRight w:val="0"/>
                  <w:marTop w:val="0"/>
                  <w:marBottom w:val="0"/>
                  <w:divBdr>
                    <w:top w:val="none" w:sz="0" w:space="0" w:color="auto"/>
                    <w:left w:val="none" w:sz="0" w:space="0" w:color="auto"/>
                    <w:bottom w:val="none" w:sz="0" w:space="0" w:color="auto"/>
                    <w:right w:val="none" w:sz="0" w:space="0" w:color="auto"/>
                  </w:divBdr>
                  <w:divsChild>
                    <w:div w:id="2045015858">
                      <w:marLeft w:val="0"/>
                      <w:marRight w:val="0"/>
                      <w:marTop w:val="0"/>
                      <w:marBottom w:val="0"/>
                      <w:divBdr>
                        <w:top w:val="none" w:sz="0" w:space="0" w:color="auto"/>
                        <w:left w:val="none" w:sz="0" w:space="0" w:color="auto"/>
                        <w:bottom w:val="none" w:sz="0" w:space="0" w:color="auto"/>
                        <w:right w:val="none" w:sz="0" w:space="0" w:color="auto"/>
                      </w:divBdr>
                      <w:divsChild>
                        <w:div w:id="1905749373">
                          <w:marLeft w:val="0"/>
                          <w:marRight w:val="0"/>
                          <w:marTop w:val="0"/>
                          <w:marBottom w:val="0"/>
                          <w:divBdr>
                            <w:top w:val="none" w:sz="0" w:space="0" w:color="auto"/>
                            <w:left w:val="none" w:sz="0" w:space="0" w:color="auto"/>
                            <w:bottom w:val="none" w:sz="0" w:space="0" w:color="auto"/>
                            <w:right w:val="none" w:sz="0" w:space="0" w:color="auto"/>
                          </w:divBdr>
                          <w:divsChild>
                            <w:div w:id="1736123771">
                              <w:marLeft w:val="0"/>
                              <w:marRight w:val="0"/>
                              <w:marTop w:val="0"/>
                              <w:marBottom w:val="0"/>
                              <w:divBdr>
                                <w:top w:val="none" w:sz="0" w:space="0" w:color="auto"/>
                                <w:left w:val="none" w:sz="0" w:space="0" w:color="auto"/>
                                <w:bottom w:val="none" w:sz="0" w:space="0" w:color="auto"/>
                                <w:right w:val="none" w:sz="0" w:space="0" w:color="auto"/>
                              </w:divBdr>
                              <w:divsChild>
                                <w:div w:id="205796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644436">
          <w:marLeft w:val="0"/>
          <w:marRight w:val="0"/>
          <w:marTop w:val="0"/>
          <w:marBottom w:val="0"/>
          <w:divBdr>
            <w:top w:val="none" w:sz="0" w:space="0" w:color="auto"/>
            <w:left w:val="none" w:sz="0" w:space="0" w:color="auto"/>
            <w:bottom w:val="none" w:sz="0" w:space="0" w:color="auto"/>
            <w:right w:val="none" w:sz="0" w:space="0" w:color="auto"/>
          </w:divBdr>
          <w:divsChild>
            <w:div w:id="418799101">
              <w:marLeft w:val="0"/>
              <w:marRight w:val="0"/>
              <w:marTop w:val="0"/>
              <w:marBottom w:val="0"/>
              <w:divBdr>
                <w:top w:val="none" w:sz="0" w:space="0" w:color="auto"/>
                <w:left w:val="none" w:sz="0" w:space="0" w:color="auto"/>
                <w:bottom w:val="none" w:sz="0" w:space="0" w:color="auto"/>
                <w:right w:val="none" w:sz="0" w:space="0" w:color="auto"/>
              </w:divBdr>
              <w:divsChild>
                <w:div w:id="746074469">
                  <w:marLeft w:val="0"/>
                  <w:marRight w:val="0"/>
                  <w:marTop w:val="0"/>
                  <w:marBottom w:val="0"/>
                  <w:divBdr>
                    <w:top w:val="none" w:sz="0" w:space="0" w:color="auto"/>
                    <w:left w:val="none" w:sz="0" w:space="0" w:color="auto"/>
                    <w:bottom w:val="none" w:sz="0" w:space="0" w:color="auto"/>
                    <w:right w:val="none" w:sz="0" w:space="0" w:color="auto"/>
                  </w:divBdr>
                  <w:divsChild>
                    <w:div w:id="1511023240">
                      <w:marLeft w:val="0"/>
                      <w:marRight w:val="0"/>
                      <w:marTop w:val="0"/>
                      <w:marBottom w:val="0"/>
                      <w:divBdr>
                        <w:top w:val="none" w:sz="0" w:space="0" w:color="auto"/>
                        <w:left w:val="none" w:sz="0" w:space="0" w:color="auto"/>
                        <w:bottom w:val="none" w:sz="0" w:space="0" w:color="auto"/>
                        <w:right w:val="none" w:sz="0" w:space="0" w:color="auto"/>
                      </w:divBdr>
                      <w:divsChild>
                        <w:div w:id="1347711463">
                          <w:marLeft w:val="0"/>
                          <w:marRight w:val="0"/>
                          <w:marTop w:val="0"/>
                          <w:marBottom w:val="0"/>
                          <w:divBdr>
                            <w:top w:val="none" w:sz="0" w:space="0" w:color="auto"/>
                            <w:left w:val="none" w:sz="0" w:space="0" w:color="auto"/>
                            <w:bottom w:val="none" w:sz="0" w:space="0" w:color="auto"/>
                            <w:right w:val="none" w:sz="0" w:space="0" w:color="auto"/>
                          </w:divBdr>
                          <w:divsChild>
                            <w:div w:id="83934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129188">
          <w:marLeft w:val="0"/>
          <w:marRight w:val="0"/>
          <w:marTop w:val="0"/>
          <w:marBottom w:val="0"/>
          <w:divBdr>
            <w:top w:val="none" w:sz="0" w:space="0" w:color="auto"/>
            <w:left w:val="none" w:sz="0" w:space="0" w:color="auto"/>
            <w:bottom w:val="none" w:sz="0" w:space="0" w:color="auto"/>
            <w:right w:val="none" w:sz="0" w:space="0" w:color="auto"/>
          </w:divBdr>
          <w:divsChild>
            <w:div w:id="891161704">
              <w:marLeft w:val="0"/>
              <w:marRight w:val="0"/>
              <w:marTop w:val="0"/>
              <w:marBottom w:val="0"/>
              <w:divBdr>
                <w:top w:val="none" w:sz="0" w:space="0" w:color="auto"/>
                <w:left w:val="none" w:sz="0" w:space="0" w:color="auto"/>
                <w:bottom w:val="none" w:sz="0" w:space="0" w:color="auto"/>
                <w:right w:val="none" w:sz="0" w:space="0" w:color="auto"/>
              </w:divBdr>
              <w:divsChild>
                <w:div w:id="1911036431">
                  <w:marLeft w:val="0"/>
                  <w:marRight w:val="0"/>
                  <w:marTop w:val="0"/>
                  <w:marBottom w:val="0"/>
                  <w:divBdr>
                    <w:top w:val="none" w:sz="0" w:space="0" w:color="auto"/>
                    <w:left w:val="none" w:sz="0" w:space="0" w:color="auto"/>
                    <w:bottom w:val="none" w:sz="0" w:space="0" w:color="auto"/>
                    <w:right w:val="none" w:sz="0" w:space="0" w:color="auto"/>
                  </w:divBdr>
                  <w:divsChild>
                    <w:div w:id="484782240">
                      <w:marLeft w:val="0"/>
                      <w:marRight w:val="0"/>
                      <w:marTop w:val="0"/>
                      <w:marBottom w:val="0"/>
                      <w:divBdr>
                        <w:top w:val="none" w:sz="0" w:space="0" w:color="auto"/>
                        <w:left w:val="none" w:sz="0" w:space="0" w:color="auto"/>
                        <w:bottom w:val="none" w:sz="0" w:space="0" w:color="auto"/>
                        <w:right w:val="none" w:sz="0" w:space="0" w:color="auto"/>
                      </w:divBdr>
                      <w:divsChild>
                        <w:div w:id="1768236766">
                          <w:marLeft w:val="0"/>
                          <w:marRight w:val="0"/>
                          <w:marTop w:val="0"/>
                          <w:marBottom w:val="0"/>
                          <w:divBdr>
                            <w:top w:val="none" w:sz="0" w:space="0" w:color="auto"/>
                            <w:left w:val="none" w:sz="0" w:space="0" w:color="auto"/>
                            <w:bottom w:val="none" w:sz="0" w:space="0" w:color="auto"/>
                            <w:right w:val="none" w:sz="0" w:space="0" w:color="auto"/>
                          </w:divBdr>
                          <w:divsChild>
                            <w:div w:id="53286513">
                              <w:marLeft w:val="0"/>
                              <w:marRight w:val="0"/>
                              <w:marTop w:val="0"/>
                              <w:marBottom w:val="0"/>
                              <w:divBdr>
                                <w:top w:val="none" w:sz="0" w:space="0" w:color="auto"/>
                                <w:left w:val="none" w:sz="0" w:space="0" w:color="auto"/>
                                <w:bottom w:val="none" w:sz="0" w:space="0" w:color="auto"/>
                                <w:right w:val="none" w:sz="0" w:space="0" w:color="auto"/>
                              </w:divBdr>
                              <w:divsChild>
                                <w:div w:id="3596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247647">
          <w:marLeft w:val="0"/>
          <w:marRight w:val="0"/>
          <w:marTop w:val="0"/>
          <w:marBottom w:val="0"/>
          <w:divBdr>
            <w:top w:val="none" w:sz="0" w:space="0" w:color="auto"/>
            <w:left w:val="none" w:sz="0" w:space="0" w:color="auto"/>
            <w:bottom w:val="none" w:sz="0" w:space="0" w:color="auto"/>
            <w:right w:val="none" w:sz="0" w:space="0" w:color="auto"/>
          </w:divBdr>
          <w:divsChild>
            <w:div w:id="1504934891">
              <w:marLeft w:val="0"/>
              <w:marRight w:val="0"/>
              <w:marTop w:val="0"/>
              <w:marBottom w:val="0"/>
              <w:divBdr>
                <w:top w:val="none" w:sz="0" w:space="0" w:color="auto"/>
                <w:left w:val="none" w:sz="0" w:space="0" w:color="auto"/>
                <w:bottom w:val="none" w:sz="0" w:space="0" w:color="auto"/>
                <w:right w:val="none" w:sz="0" w:space="0" w:color="auto"/>
              </w:divBdr>
              <w:divsChild>
                <w:div w:id="57242758">
                  <w:marLeft w:val="0"/>
                  <w:marRight w:val="0"/>
                  <w:marTop w:val="0"/>
                  <w:marBottom w:val="0"/>
                  <w:divBdr>
                    <w:top w:val="none" w:sz="0" w:space="0" w:color="auto"/>
                    <w:left w:val="none" w:sz="0" w:space="0" w:color="auto"/>
                    <w:bottom w:val="none" w:sz="0" w:space="0" w:color="auto"/>
                    <w:right w:val="none" w:sz="0" w:space="0" w:color="auto"/>
                  </w:divBdr>
                  <w:divsChild>
                    <w:div w:id="1775242114">
                      <w:marLeft w:val="0"/>
                      <w:marRight w:val="0"/>
                      <w:marTop w:val="0"/>
                      <w:marBottom w:val="0"/>
                      <w:divBdr>
                        <w:top w:val="none" w:sz="0" w:space="0" w:color="auto"/>
                        <w:left w:val="none" w:sz="0" w:space="0" w:color="auto"/>
                        <w:bottom w:val="none" w:sz="0" w:space="0" w:color="auto"/>
                        <w:right w:val="none" w:sz="0" w:space="0" w:color="auto"/>
                      </w:divBdr>
                      <w:divsChild>
                        <w:div w:id="474831984">
                          <w:marLeft w:val="0"/>
                          <w:marRight w:val="0"/>
                          <w:marTop w:val="0"/>
                          <w:marBottom w:val="0"/>
                          <w:divBdr>
                            <w:top w:val="none" w:sz="0" w:space="0" w:color="auto"/>
                            <w:left w:val="none" w:sz="0" w:space="0" w:color="auto"/>
                            <w:bottom w:val="none" w:sz="0" w:space="0" w:color="auto"/>
                            <w:right w:val="none" w:sz="0" w:space="0" w:color="auto"/>
                          </w:divBdr>
                          <w:divsChild>
                            <w:div w:id="34957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403170">
          <w:marLeft w:val="0"/>
          <w:marRight w:val="0"/>
          <w:marTop w:val="0"/>
          <w:marBottom w:val="0"/>
          <w:divBdr>
            <w:top w:val="none" w:sz="0" w:space="0" w:color="auto"/>
            <w:left w:val="none" w:sz="0" w:space="0" w:color="auto"/>
            <w:bottom w:val="none" w:sz="0" w:space="0" w:color="auto"/>
            <w:right w:val="none" w:sz="0" w:space="0" w:color="auto"/>
          </w:divBdr>
          <w:divsChild>
            <w:div w:id="804005701">
              <w:marLeft w:val="0"/>
              <w:marRight w:val="0"/>
              <w:marTop w:val="0"/>
              <w:marBottom w:val="0"/>
              <w:divBdr>
                <w:top w:val="none" w:sz="0" w:space="0" w:color="auto"/>
                <w:left w:val="none" w:sz="0" w:space="0" w:color="auto"/>
                <w:bottom w:val="none" w:sz="0" w:space="0" w:color="auto"/>
                <w:right w:val="none" w:sz="0" w:space="0" w:color="auto"/>
              </w:divBdr>
              <w:divsChild>
                <w:div w:id="1031567053">
                  <w:marLeft w:val="0"/>
                  <w:marRight w:val="0"/>
                  <w:marTop w:val="0"/>
                  <w:marBottom w:val="0"/>
                  <w:divBdr>
                    <w:top w:val="none" w:sz="0" w:space="0" w:color="auto"/>
                    <w:left w:val="none" w:sz="0" w:space="0" w:color="auto"/>
                    <w:bottom w:val="none" w:sz="0" w:space="0" w:color="auto"/>
                    <w:right w:val="none" w:sz="0" w:space="0" w:color="auto"/>
                  </w:divBdr>
                  <w:divsChild>
                    <w:div w:id="918253320">
                      <w:marLeft w:val="0"/>
                      <w:marRight w:val="0"/>
                      <w:marTop w:val="0"/>
                      <w:marBottom w:val="0"/>
                      <w:divBdr>
                        <w:top w:val="none" w:sz="0" w:space="0" w:color="auto"/>
                        <w:left w:val="none" w:sz="0" w:space="0" w:color="auto"/>
                        <w:bottom w:val="none" w:sz="0" w:space="0" w:color="auto"/>
                        <w:right w:val="none" w:sz="0" w:space="0" w:color="auto"/>
                      </w:divBdr>
                      <w:divsChild>
                        <w:div w:id="111093721">
                          <w:marLeft w:val="0"/>
                          <w:marRight w:val="0"/>
                          <w:marTop w:val="0"/>
                          <w:marBottom w:val="0"/>
                          <w:divBdr>
                            <w:top w:val="none" w:sz="0" w:space="0" w:color="auto"/>
                            <w:left w:val="none" w:sz="0" w:space="0" w:color="auto"/>
                            <w:bottom w:val="none" w:sz="0" w:space="0" w:color="auto"/>
                            <w:right w:val="none" w:sz="0" w:space="0" w:color="auto"/>
                          </w:divBdr>
                          <w:divsChild>
                            <w:div w:id="1939407215">
                              <w:marLeft w:val="0"/>
                              <w:marRight w:val="0"/>
                              <w:marTop w:val="0"/>
                              <w:marBottom w:val="0"/>
                              <w:divBdr>
                                <w:top w:val="none" w:sz="0" w:space="0" w:color="auto"/>
                                <w:left w:val="none" w:sz="0" w:space="0" w:color="auto"/>
                                <w:bottom w:val="none" w:sz="0" w:space="0" w:color="auto"/>
                                <w:right w:val="none" w:sz="0" w:space="0" w:color="auto"/>
                              </w:divBdr>
                              <w:divsChild>
                                <w:div w:id="114153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62654">
          <w:marLeft w:val="0"/>
          <w:marRight w:val="0"/>
          <w:marTop w:val="0"/>
          <w:marBottom w:val="0"/>
          <w:divBdr>
            <w:top w:val="none" w:sz="0" w:space="0" w:color="auto"/>
            <w:left w:val="none" w:sz="0" w:space="0" w:color="auto"/>
            <w:bottom w:val="none" w:sz="0" w:space="0" w:color="auto"/>
            <w:right w:val="none" w:sz="0" w:space="0" w:color="auto"/>
          </w:divBdr>
          <w:divsChild>
            <w:div w:id="109473309">
              <w:marLeft w:val="0"/>
              <w:marRight w:val="0"/>
              <w:marTop w:val="0"/>
              <w:marBottom w:val="0"/>
              <w:divBdr>
                <w:top w:val="none" w:sz="0" w:space="0" w:color="auto"/>
                <w:left w:val="none" w:sz="0" w:space="0" w:color="auto"/>
                <w:bottom w:val="none" w:sz="0" w:space="0" w:color="auto"/>
                <w:right w:val="none" w:sz="0" w:space="0" w:color="auto"/>
              </w:divBdr>
              <w:divsChild>
                <w:div w:id="213739557">
                  <w:marLeft w:val="0"/>
                  <w:marRight w:val="0"/>
                  <w:marTop w:val="0"/>
                  <w:marBottom w:val="0"/>
                  <w:divBdr>
                    <w:top w:val="none" w:sz="0" w:space="0" w:color="auto"/>
                    <w:left w:val="none" w:sz="0" w:space="0" w:color="auto"/>
                    <w:bottom w:val="none" w:sz="0" w:space="0" w:color="auto"/>
                    <w:right w:val="none" w:sz="0" w:space="0" w:color="auto"/>
                  </w:divBdr>
                  <w:divsChild>
                    <w:div w:id="2125810663">
                      <w:marLeft w:val="0"/>
                      <w:marRight w:val="0"/>
                      <w:marTop w:val="0"/>
                      <w:marBottom w:val="0"/>
                      <w:divBdr>
                        <w:top w:val="none" w:sz="0" w:space="0" w:color="auto"/>
                        <w:left w:val="none" w:sz="0" w:space="0" w:color="auto"/>
                        <w:bottom w:val="none" w:sz="0" w:space="0" w:color="auto"/>
                        <w:right w:val="none" w:sz="0" w:space="0" w:color="auto"/>
                      </w:divBdr>
                      <w:divsChild>
                        <w:div w:id="2011175998">
                          <w:marLeft w:val="0"/>
                          <w:marRight w:val="0"/>
                          <w:marTop w:val="0"/>
                          <w:marBottom w:val="0"/>
                          <w:divBdr>
                            <w:top w:val="none" w:sz="0" w:space="0" w:color="auto"/>
                            <w:left w:val="none" w:sz="0" w:space="0" w:color="auto"/>
                            <w:bottom w:val="none" w:sz="0" w:space="0" w:color="auto"/>
                            <w:right w:val="none" w:sz="0" w:space="0" w:color="auto"/>
                          </w:divBdr>
                          <w:divsChild>
                            <w:div w:id="21287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589823">
          <w:marLeft w:val="0"/>
          <w:marRight w:val="0"/>
          <w:marTop w:val="0"/>
          <w:marBottom w:val="0"/>
          <w:divBdr>
            <w:top w:val="none" w:sz="0" w:space="0" w:color="auto"/>
            <w:left w:val="none" w:sz="0" w:space="0" w:color="auto"/>
            <w:bottom w:val="none" w:sz="0" w:space="0" w:color="auto"/>
            <w:right w:val="none" w:sz="0" w:space="0" w:color="auto"/>
          </w:divBdr>
          <w:divsChild>
            <w:div w:id="1298336821">
              <w:marLeft w:val="0"/>
              <w:marRight w:val="0"/>
              <w:marTop w:val="0"/>
              <w:marBottom w:val="0"/>
              <w:divBdr>
                <w:top w:val="none" w:sz="0" w:space="0" w:color="auto"/>
                <w:left w:val="none" w:sz="0" w:space="0" w:color="auto"/>
                <w:bottom w:val="none" w:sz="0" w:space="0" w:color="auto"/>
                <w:right w:val="none" w:sz="0" w:space="0" w:color="auto"/>
              </w:divBdr>
              <w:divsChild>
                <w:div w:id="2095857937">
                  <w:marLeft w:val="0"/>
                  <w:marRight w:val="0"/>
                  <w:marTop w:val="0"/>
                  <w:marBottom w:val="0"/>
                  <w:divBdr>
                    <w:top w:val="none" w:sz="0" w:space="0" w:color="auto"/>
                    <w:left w:val="none" w:sz="0" w:space="0" w:color="auto"/>
                    <w:bottom w:val="none" w:sz="0" w:space="0" w:color="auto"/>
                    <w:right w:val="none" w:sz="0" w:space="0" w:color="auto"/>
                  </w:divBdr>
                  <w:divsChild>
                    <w:div w:id="989791676">
                      <w:marLeft w:val="0"/>
                      <w:marRight w:val="0"/>
                      <w:marTop w:val="0"/>
                      <w:marBottom w:val="0"/>
                      <w:divBdr>
                        <w:top w:val="none" w:sz="0" w:space="0" w:color="auto"/>
                        <w:left w:val="none" w:sz="0" w:space="0" w:color="auto"/>
                        <w:bottom w:val="none" w:sz="0" w:space="0" w:color="auto"/>
                        <w:right w:val="none" w:sz="0" w:space="0" w:color="auto"/>
                      </w:divBdr>
                      <w:divsChild>
                        <w:div w:id="878279827">
                          <w:marLeft w:val="0"/>
                          <w:marRight w:val="0"/>
                          <w:marTop w:val="0"/>
                          <w:marBottom w:val="0"/>
                          <w:divBdr>
                            <w:top w:val="none" w:sz="0" w:space="0" w:color="auto"/>
                            <w:left w:val="none" w:sz="0" w:space="0" w:color="auto"/>
                            <w:bottom w:val="none" w:sz="0" w:space="0" w:color="auto"/>
                            <w:right w:val="none" w:sz="0" w:space="0" w:color="auto"/>
                          </w:divBdr>
                          <w:divsChild>
                            <w:div w:id="950280779">
                              <w:marLeft w:val="0"/>
                              <w:marRight w:val="0"/>
                              <w:marTop w:val="0"/>
                              <w:marBottom w:val="0"/>
                              <w:divBdr>
                                <w:top w:val="none" w:sz="0" w:space="0" w:color="auto"/>
                                <w:left w:val="none" w:sz="0" w:space="0" w:color="auto"/>
                                <w:bottom w:val="none" w:sz="0" w:space="0" w:color="auto"/>
                                <w:right w:val="none" w:sz="0" w:space="0" w:color="auto"/>
                              </w:divBdr>
                              <w:divsChild>
                                <w:div w:id="156344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622104">
          <w:marLeft w:val="0"/>
          <w:marRight w:val="0"/>
          <w:marTop w:val="0"/>
          <w:marBottom w:val="0"/>
          <w:divBdr>
            <w:top w:val="none" w:sz="0" w:space="0" w:color="auto"/>
            <w:left w:val="none" w:sz="0" w:space="0" w:color="auto"/>
            <w:bottom w:val="none" w:sz="0" w:space="0" w:color="auto"/>
            <w:right w:val="none" w:sz="0" w:space="0" w:color="auto"/>
          </w:divBdr>
          <w:divsChild>
            <w:div w:id="1401517364">
              <w:marLeft w:val="0"/>
              <w:marRight w:val="0"/>
              <w:marTop w:val="0"/>
              <w:marBottom w:val="0"/>
              <w:divBdr>
                <w:top w:val="none" w:sz="0" w:space="0" w:color="auto"/>
                <w:left w:val="none" w:sz="0" w:space="0" w:color="auto"/>
                <w:bottom w:val="none" w:sz="0" w:space="0" w:color="auto"/>
                <w:right w:val="none" w:sz="0" w:space="0" w:color="auto"/>
              </w:divBdr>
              <w:divsChild>
                <w:div w:id="153300854">
                  <w:marLeft w:val="0"/>
                  <w:marRight w:val="0"/>
                  <w:marTop w:val="0"/>
                  <w:marBottom w:val="0"/>
                  <w:divBdr>
                    <w:top w:val="none" w:sz="0" w:space="0" w:color="auto"/>
                    <w:left w:val="none" w:sz="0" w:space="0" w:color="auto"/>
                    <w:bottom w:val="none" w:sz="0" w:space="0" w:color="auto"/>
                    <w:right w:val="none" w:sz="0" w:space="0" w:color="auto"/>
                  </w:divBdr>
                  <w:divsChild>
                    <w:div w:id="1486386494">
                      <w:marLeft w:val="0"/>
                      <w:marRight w:val="0"/>
                      <w:marTop w:val="0"/>
                      <w:marBottom w:val="0"/>
                      <w:divBdr>
                        <w:top w:val="none" w:sz="0" w:space="0" w:color="auto"/>
                        <w:left w:val="none" w:sz="0" w:space="0" w:color="auto"/>
                        <w:bottom w:val="none" w:sz="0" w:space="0" w:color="auto"/>
                        <w:right w:val="none" w:sz="0" w:space="0" w:color="auto"/>
                      </w:divBdr>
                      <w:divsChild>
                        <w:div w:id="1685134383">
                          <w:marLeft w:val="0"/>
                          <w:marRight w:val="0"/>
                          <w:marTop w:val="0"/>
                          <w:marBottom w:val="0"/>
                          <w:divBdr>
                            <w:top w:val="none" w:sz="0" w:space="0" w:color="auto"/>
                            <w:left w:val="none" w:sz="0" w:space="0" w:color="auto"/>
                            <w:bottom w:val="none" w:sz="0" w:space="0" w:color="auto"/>
                            <w:right w:val="none" w:sz="0" w:space="0" w:color="auto"/>
                          </w:divBdr>
                          <w:divsChild>
                            <w:div w:id="9037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225562">
          <w:marLeft w:val="0"/>
          <w:marRight w:val="0"/>
          <w:marTop w:val="0"/>
          <w:marBottom w:val="0"/>
          <w:divBdr>
            <w:top w:val="none" w:sz="0" w:space="0" w:color="auto"/>
            <w:left w:val="none" w:sz="0" w:space="0" w:color="auto"/>
            <w:bottom w:val="none" w:sz="0" w:space="0" w:color="auto"/>
            <w:right w:val="none" w:sz="0" w:space="0" w:color="auto"/>
          </w:divBdr>
          <w:divsChild>
            <w:div w:id="691029126">
              <w:marLeft w:val="0"/>
              <w:marRight w:val="0"/>
              <w:marTop w:val="0"/>
              <w:marBottom w:val="0"/>
              <w:divBdr>
                <w:top w:val="none" w:sz="0" w:space="0" w:color="auto"/>
                <w:left w:val="none" w:sz="0" w:space="0" w:color="auto"/>
                <w:bottom w:val="none" w:sz="0" w:space="0" w:color="auto"/>
                <w:right w:val="none" w:sz="0" w:space="0" w:color="auto"/>
              </w:divBdr>
              <w:divsChild>
                <w:div w:id="1446578741">
                  <w:marLeft w:val="0"/>
                  <w:marRight w:val="0"/>
                  <w:marTop w:val="0"/>
                  <w:marBottom w:val="0"/>
                  <w:divBdr>
                    <w:top w:val="none" w:sz="0" w:space="0" w:color="auto"/>
                    <w:left w:val="none" w:sz="0" w:space="0" w:color="auto"/>
                    <w:bottom w:val="none" w:sz="0" w:space="0" w:color="auto"/>
                    <w:right w:val="none" w:sz="0" w:space="0" w:color="auto"/>
                  </w:divBdr>
                  <w:divsChild>
                    <w:div w:id="378627678">
                      <w:marLeft w:val="0"/>
                      <w:marRight w:val="0"/>
                      <w:marTop w:val="0"/>
                      <w:marBottom w:val="0"/>
                      <w:divBdr>
                        <w:top w:val="none" w:sz="0" w:space="0" w:color="auto"/>
                        <w:left w:val="none" w:sz="0" w:space="0" w:color="auto"/>
                        <w:bottom w:val="none" w:sz="0" w:space="0" w:color="auto"/>
                        <w:right w:val="none" w:sz="0" w:space="0" w:color="auto"/>
                      </w:divBdr>
                      <w:divsChild>
                        <w:div w:id="1243949126">
                          <w:marLeft w:val="0"/>
                          <w:marRight w:val="0"/>
                          <w:marTop w:val="0"/>
                          <w:marBottom w:val="0"/>
                          <w:divBdr>
                            <w:top w:val="none" w:sz="0" w:space="0" w:color="auto"/>
                            <w:left w:val="none" w:sz="0" w:space="0" w:color="auto"/>
                            <w:bottom w:val="none" w:sz="0" w:space="0" w:color="auto"/>
                            <w:right w:val="none" w:sz="0" w:space="0" w:color="auto"/>
                          </w:divBdr>
                          <w:divsChild>
                            <w:div w:id="426969878">
                              <w:marLeft w:val="0"/>
                              <w:marRight w:val="0"/>
                              <w:marTop w:val="0"/>
                              <w:marBottom w:val="0"/>
                              <w:divBdr>
                                <w:top w:val="none" w:sz="0" w:space="0" w:color="auto"/>
                                <w:left w:val="none" w:sz="0" w:space="0" w:color="auto"/>
                                <w:bottom w:val="none" w:sz="0" w:space="0" w:color="auto"/>
                                <w:right w:val="none" w:sz="0" w:space="0" w:color="auto"/>
                              </w:divBdr>
                              <w:divsChild>
                                <w:div w:id="176122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534816">
          <w:marLeft w:val="0"/>
          <w:marRight w:val="0"/>
          <w:marTop w:val="0"/>
          <w:marBottom w:val="0"/>
          <w:divBdr>
            <w:top w:val="none" w:sz="0" w:space="0" w:color="auto"/>
            <w:left w:val="none" w:sz="0" w:space="0" w:color="auto"/>
            <w:bottom w:val="none" w:sz="0" w:space="0" w:color="auto"/>
            <w:right w:val="none" w:sz="0" w:space="0" w:color="auto"/>
          </w:divBdr>
          <w:divsChild>
            <w:div w:id="636374984">
              <w:marLeft w:val="0"/>
              <w:marRight w:val="0"/>
              <w:marTop w:val="0"/>
              <w:marBottom w:val="0"/>
              <w:divBdr>
                <w:top w:val="none" w:sz="0" w:space="0" w:color="auto"/>
                <w:left w:val="none" w:sz="0" w:space="0" w:color="auto"/>
                <w:bottom w:val="none" w:sz="0" w:space="0" w:color="auto"/>
                <w:right w:val="none" w:sz="0" w:space="0" w:color="auto"/>
              </w:divBdr>
              <w:divsChild>
                <w:div w:id="423498381">
                  <w:marLeft w:val="0"/>
                  <w:marRight w:val="0"/>
                  <w:marTop w:val="0"/>
                  <w:marBottom w:val="0"/>
                  <w:divBdr>
                    <w:top w:val="none" w:sz="0" w:space="0" w:color="auto"/>
                    <w:left w:val="none" w:sz="0" w:space="0" w:color="auto"/>
                    <w:bottom w:val="none" w:sz="0" w:space="0" w:color="auto"/>
                    <w:right w:val="none" w:sz="0" w:space="0" w:color="auto"/>
                  </w:divBdr>
                  <w:divsChild>
                    <w:div w:id="741758769">
                      <w:marLeft w:val="0"/>
                      <w:marRight w:val="0"/>
                      <w:marTop w:val="0"/>
                      <w:marBottom w:val="0"/>
                      <w:divBdr>
                        <w:top w:val="none" w:sz="0" w:space="0" w:color="auto"/>
                        <w:left w:val="none" w:sz="0" w:space="0" w:color="auto"/>
                        <w:bottom w:val="none" w:sz="0" w:space="0" w:color="auto"/>
                        <w:right w:val="none" w:sz="0" w:space="0" w:color="auto"/>
                      </w:divBdr>
                      <w:divsChild>
                        <w:div w:id="1560706962">
                          <w:marLeft w:val="0"/>
                          <w:marRight w:val="0"/>
                          <w:marTop w:val="0"/>
                          <w:marBottom w:val="0"/>
                          <w:divBdr>
                            <w:top w:val="none" w:sz="0" w:space="0" w:color="auto"/>
                            <w:left w:val="none" w:sz="0" w:space="0" w:color="auto"/>
                            <w:bottom w:val="none" w:sz="0" w:space="0" w:color="auto"/>
                            <w:right w:val="none" w:sz="0" w:space="0" w:color="auto"/>
                          </w:divBdr>
                          <w:divsChild>
                            <w:div w:id="110542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077725">
          <w:marLeft w:val="0"/>
          <w:marRight w:val="0"/>
          <w:marTop w:val="0"/>
          <w:marBottom w:val="0"/>
          <w:divBdr>
            <w:top w:val="none" w:sz="0" w:space="0" w:color="auto"/>
            <w:left w:val="none" w:sz="0" w:space="0" w:color="auto"/>
            <w:bottom w:val="none" w:sz="0" w:space="0" w:color="auto"/>
            <w:right w:val="none" w:sz="0" w:space="0" w:color="auto"/>
          </w:divBdr>
          <w:divsChild>
            <w:div w:id="1466578957">
              <w:marLeft w:val="0"/>
              <w:marRight w:val="0"/>
              <w:marTop w:val="0"/>
              <w:marBottom w:val="0"/>
              <w:divBdr>
                <w:top w:val="none" w:sz="0" w:space="0" w:color="auto"/>
                <w:left w:val="none" w:sz="0" w:space="0" w:color="auto"/>
                <w:bottom w:val="none" w:sz="0" w:space="0" w:color="auto"/>
                <w:right w:val="none" w:sz="0" w:space="0" w:color="auto"/>
              </w:divBdr>
              <w:divsChild>
                <w:div w:id="2102793119">
                  <w:marLeft w:val="0"/>
                  <w:marRight w:val="0"/>
                  <w:marTop w:val="0"/>
                  <w:marBottom w:val="0"/>
                  <w:divBdr>
                    <w:top w:val="none" w:sz="0" w:space="0" w:color="auto"/>
                    <w:left w:val="none" w:sz="0" w:space="0" w:color="auto"/>
                    <w:bottom w:val="none" w:sz="0" w:space="0" w:color="auto"/>
                    <w:right w:val="none" w:sz="0" w:space="0" w:color="auto"/>
                  </w:divBdr>
                  <w:divsChild>
                    <w:div w:id="949705401">
                      <w:marLeft w:val="0"/>
                      <w:marRight w:val="0"/>
                      <w:marTop w:val="0"/>
                      <w:marBottom w:val="0"/>
                      <w:divBdr>
                        <w:top w:val="none" w:sz="0" w:space="0" w:color="auto"/>
                        <w:left w:val="none" w:sz="0" w:space="0" w:color="auto"/>
                        <w:bottom w:val="none" w:sz="0" w:space="0" w:color="auto"/>
                        <w:right w:val="none" w:sz="0" w:space="0" w:color="auto"/>
                      </w:divBdr>
                      <w:divsChild>
                        <w:div w:id="24403726">
                          <w:marLeft w:val="0"/>
                          <w:marRight w:val="0"/>
                          <w:marTop w:val="0"/>
                          <w:marBottom w:val="0"/>
                          <w:divBdr>
                            <w:top w:val="none" w:sz="0" w:space="0" w:color="auto"/>
                            <w:left w:val="none" w:sz="0" w:space="0" w:color="auto"/>
                            <w:bottom w:val="none" w:sz="0" w:space="0" w:color="auto"/>
                            <w:right w:val="none" w:sz="0" w:space="0" w:color="auto"/>
                          </w:divBdr>
                          <w:divsChild>
                            <w:div w:id="1438984425">
                              <w:marLeft w:val="0"/>
                              <w:marRight w:val="0"/>
                              <w:marTop w:val="0"/>
                              <w:marBottom w:val="0"/>
                              <w:divBdr>
                                <w:top w:val="none" w:sz="0" w:space="0" w:color="auto"/>
                                <w:left w:val="none" w:sz="0" w:space="0" w:color="auto"/>
                                <w:bottom w:val="none" w:sz="0" w:space="0" w:color="auto"/>
                                <w:right w:val="none" w:sz="0" w:space="0" w:color="auto"/>
                              </w:divBdr>
                              <w:divsChild>
                                <w:div w:id="71797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262171">
          <w:marLeft w:val="0"/>
          <w:marRight w:val="0"/>
          <w:marTop w:val="0"/>
          <w:marBottom w:val="0"/>
          <w:divBdr>
            <w:top w:val="none" w:sz="0" w:space="0" w:color="auto"/>
            <w:left w:val="none" w:sz="0" w:space="0" w:color="auto"/>
            <w:bottom w:val="none" w:sz="0" w:space="0" w:color="auto"/>
            <w:right w:val="none" w:sz="0" w:space="0" w:color="auto"/>
          </w:divBdr>
          <w:divsChild>
            <w:div w:id="298847005">
              <w:marLeft w:val="0"/>
              <w:marRight w:val="0"/>
              <w:marTop w:val="0"/>
              <w:marBottom w:val="0"/>
              <w:divBdr>
                <w:top w:val="none" w:sz="0" w:space="0" w:color="auto"/>
                <w:left w:val="none" w:sz="0" w:space="0" w:color="auto"/>
                <w:bottom w:val="none" w:sz="0" w:space="0" w:color="auto"/>
                <w:right w:val="none" w:sz="0" w:space="0" w:color="auto"/>
              </w:divBdr>
              <w:divsChild>
                <w:div w:id="1834104699">
                  <w:marLeft w:val="0"/>
                  <w:marRight w:val="0"/>
                  <w:marTop w:val="0"/>
                  <w:marBottom w:val="0"/>
                  <w:divBdr>
                    <w:top w:val="none" w:sz="0" w:space="0" w:color="auto"/>
                    <w:left w:val="none" w:sz="0" w:space="0" w:color="auto"/>
                    <w:bottom w:val="none" w:sz="0" w:space="0" w:color="auto"/>
                    <w:right w:val="none" w:sz="0" w:space="0" w:color="auto"/>
                  </w:divBdr>
                  <w:divsChild>
                    <w:div w:id="593779748">
                      <w:marLeft w:val="0"/>
                      <w:marRight w:val="0"/>
                      <w:marTop w:val="0"/>
                      <w:marBottom w:val="0"/>
                      <w:divBdr>
                        <w:top w:val="none" w:sz="0" w:space="0" w:color="auto"/>
                        <w:left w:val="none" w:sz="0" w:space="0" w:color="auto"/>
                        <w:bottom w:val="none" w:sz="0" w:space="0" w:color="auto"/>
                        <w:right w:val="none" w:sz="0" w:space="0" w:color="auto"/>
                      </w:divBdr>
                      <w:divsChild>
                        <w:div w:id="1285620807">
                          <w:marLeft w:val="0"/>
                          <w:marRight w:val="0"/>
                          <w:marTop w:val="0"/>
                          <w:marBottom w:val="0"/>
                          <w:divBdr>
                            <w:top w:val="none" w:sz="0" w:space="0" w:color="auto"/>
                            <w:left w:val="none" w:sz="0" w:space="0" w:color="auto"/>
                            <w:bottom w:val="none" w:sz="0" w:space="0" w:color="auto"/>
                            <w:right w:val="none" w:sz="0" w:space="0" w:color="auto"/>
                          </w:divBdr>
                          <w:divsChild>
                            <w:div w:id="99584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473599">
          <w:marLeft w:val="0"/>
          <w:marRight w:val="0"/>
          <w:marTop w:val="0"/>
          <w:marBottom w:val="0"/>
          <w:divBdr>
            <w:top w:val="none" w:sz="0" w:space="0" w:color="auto"/>
            <w:left w:val="none" w:sz="0" w:space="0" w:color="auto"/>
            <w:bottom w:val="none" w:sz="0" w:space="0" w:color="auto"/>
            <w:right w:val="none" w:sz="0" w:space="0" w:color="auto"/>
          </w:divBdr>
          <w:divsChild>
            <w:div w:id="730737481">
              <w:marLeft w:val="0"/>
              <w:marRight w:val="0"/>
              <w:marTop w:val="0"/>
              <w:marBottom w:val="0"/>
              <w:divBdr>
                <w:top w:val="none" w:sz="0" w:space="0" w:color="auto"/>
                <w:left w:val="none" w:sz="0" w:space="0" w:color="auto"/>
                <w:bottom w:val="none" w:sz="0" w:space="0" w:color="auto"/>
                <w:right w:val="none" w:sz="0" w:space="0" w:color="auto"/>
              </w:divBdr>
              <w:divsChild>
                <w:div w:id="1219125666">
                  <w:marLeft w:val="0"/>
                  <w:marRight w:val="0"/>
                  <w:marTop w:val="0"/>
                  <w:marBottom w:val="0"/>
                  <w:divBdr>
                    <w:top w:val="none" w:sz="0" w:space="0" w:color="auto"/>
                    <w:left w:val="none" w:sz="0" w:space="0" w:color="auto"/>
                    <w:bottom w:val="none" w:sz="0" w:space="0" w:color="auto"/>
                    <w:right w:val="none" w:sz="0" w:space="0" w:color="auto"/>
                  </w:divBdr>
                  <w:divsChild>
                    <w:div w:id="804397977">
                      <w:marLeft w:val="0"/>
                      <w:marRight w:val="0"/>
                      <w:marTop w:val="0"/>
                      <w:marBottom w:val="0"/>
                      <w:divBdr>
                        <w:top w:val="none" w:sz="0" w:space="0" w:color="auto"/>
                        <w:left w:val="none" w:sz="0" w:space="0" w:color="auto"/>
                        <w:bottom w:val="none" w:sz="0" w:space="0" w:color="auto"/>
                        <w:right w:val="none" w:sz="0" w:space="0" w:color="auto"/>
                      </w:divBdr>
                      <w:divsChild>
                        <w:div w:id="1160122023">
                          <w:marLeft w:val="0"/>
                          <w:marRight w:val="0"/>
                          <w:marTop w:val="0"/>
                          <w:marBottom w:val="0"/>
                          <w:divBdr>
                            <w:top w:val="none" w:sz="0" w:space="0" w:color="auto"/>
                            <w:left w:val="none" w:sz="0" w:space="0" w:color="auto"/>
                            <w:bottom w:val="none" w:sz="0" w:space="0" w:color="auto"/>
                            <w:right w:val="none" w:sz="0" w:space="0" w:color="auto"/>
                          </w:divBdr>
                          <w:divsChild>
                            <w:div w:id="2085487264">
                              <w:marLeft w:val="0"/>
                              <w:marRight w:val="0"/>
                              <w:marTop w:val="0"/>
                              <w:marBottom w:val="0"/>
                              <w:divBdr>
                                <w:top w:val="none" w:sz="0" w:space="0" w:color="auto"/>
                                <w:left w:val="none" w:sz="0" w:space="0" w:color="auto"/>
                                <w:bottom w:val="none" w:sz="0" w:space="0" w:color="auto"/>
                                <w:right w:val="none" w:sz="0" w:space="0" w:color="auto"/>
                              </w:divBdr>
                              <w:divsChild>
                                <w:div w:id="64890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592543">
          <w:marLeft w:val="0"/>
          <w:marRight w:val="0"/>
          <w:marTop w:val="0"/>
          <w:marBottom w:val="0"/>
          <w:divBdr>
            <w:top w:val="none" w:sz="0" w:space="0" w:color="auto"/>
            <w:left w:val="none" w:sz="0" w:space="0" w:color="auto"/>
            <w:bottom w:val="none" w:sz="0" w:space="0" w:color="auto"/>
            <w:right w:val="none" w:sz="0" w:space="0" w:color="auto"/>
          </w:divBdr>
          <w:divsChild>
            <w:div w:id="1258320789">
              <w:marLeft w:val="0"/>
              <w:marRight w:val="0"/>
              <w:marTop w:val="0"/>
              <w:marBottom w:val="0"/>
              <w:divBdr>
                <w:top w:val="none" w:sz="0" w:space="0" w:color="auto"/>
                <w:left w:val="none" w:sz="0" w:space="0" w:color="auto"/>
                <w:bottom w:val="none" w:sz="0" w:space="0" w:color="auto"/>
                <w:right w:val="none" w:sz="0" w:space="0" w:color="auto"/>
              </w:divBdr>
              <w:divsChild>
                <w:div w:id="1481507015">
                  <w:marLeft w:val="0"/>
                  <w:marRight w:val="0"/>
                  <w:marTop w:val="0"/>
                  <w:marBottom w:val="0"/>
                  <w:divBdr>
                    <w:top w:val="none" w:sz="0" w:space="0" w:color="auto"/>
                    <w:left w:val="none" w:sz="0" w:space="0" w:color="auto"/>
                    <w:bottom w:val="none" w:sz="0" w:space="0" w:color="auto"/>
                    <w:right w:val="none" w:sz="0" w:space="0" w:color="auto"/>
                  </w:divBdr>
                  <w:divsChild>
                    <w:div w:id="383912679">
                      <w:marLeft w:val="0"/>
                      <w:marRight w:val="0"/>
                      <w:marTop w:val="0"/>
                      <w:marBottom w:val="0"/>
                      <w:divBdr>
                        <w:top w:val="none" w:sz="0" w:space="0" w:color="auto"/>
                        <w:left w:val="none" w:sz="0" w:space="0" w:color="auto"/>
                        <w:bottom w:val="none" w:sz="0" w:space="0" w:color="auto"/>
                        <w:right w:val="none" w:sz="0" w:space="0" w:color="auto"/>
                      </w:divBdr>
                      <w:divsChild>
                        <w:div w:id="539317805">
                          <w:marLeft w:val="0"/>
                          <w:marRight w:val="0"/>
                          <w:marTop w:val="0"/>
                          <w:marBottom w:val="0"/>
                          <w:divBdr>
                            <w:top w:val="none" w:sz="0" w:space="0" w:color="auto"/>
                            <w:left w:val="none" w:sz="0" w:space="0" w:color="auto"/>
                            <w:bottom w:val="none" w:sz="0" w:space="0" w:color="auto"/>
                            <w:right w:val="none" w:sz="0" w:space="0" w:color="auto"/>
                          </w:divBdr>
                          <w:divsChild>
                            <w:div w:id="14533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48848">
          <w:marLeft w:val="0"/>
          <w:marRight w:val="0"/>
          <w:marTop w:val="0"/>
          <w:marBottom w:val="0"/>
          <w:divBdr>
            <w:top w:val="none" w:sz="0" w:space="0" w:color="auto"/>
            <w:left w:val="none" w:sz="0" w:space="0" w:color="auto"/>
            <w:bottom w:val="none" w:sz="0" w:space="0" w:color="auto"/>
            <w:right w:val="none" w:sz="0" w:space="0" w:color="auto"/>
          </w:divBdr>
          <w:divsChild>
            <w:div w:id="2122264920">
              <w:marLeft w:val="0"/>
              <w:marRight w:val="0"/>
              <w:marTop w:val="0"/>
              <w:marBottom w:val="0"/>
              <w:divBdr>
                <w:top w:val="none" w:sz="0" w:space="0" w:color="auto"/>
                <w:left w:val="none" w:sz="0" w:space="0" w:color="auto"/>
                <w:bottom w:val="none" w:sz="0" w:space="0" w:color="auto"/>
                <w:right w:val="none" w:sz="0" w:space="0" w:color="auto"/>
              </w:divBdr>
              <w:divsChild>
                <w:div w:id="953557945">
                  <w:marLeft w:val="0"/>
                  <w:marRight w:val="0"/>
                  <w:marTop w:val="0"/>
                  <w:marBottom w:val="0"/>
                  <w:divBdr>
                    <w:top w:val="none" w:sz="0" w:space="0" w:color="auto"/>
                    <w:left w:val="none" w:sz="0" w:space="0" w:color="auto"/>
                    <w:bottom w:val="none" w:sz="0" w:space="0" w:color="auto"/>
                    <w:right w:val="none" w:sz="0" w:space="0" w:color="auto"/>
                  </w:divBdr>
                  <w:divsChild>
                    <w:div w:id="1233658981">
                      <w:marLeft w:val="0"/>
                      <w:marRight w:val="0"/>
                      <w:marTop w:val="0"/>
                      <w:marBottom w:val="0"/>
                      <w:divBdr>
                        <w:top w:val="none" w:sz="0" w:space="0" w:color="auto"/>
                        <w:left w:val="none" w:sz="0" w:space="0" w:color="auto"/>
                        <w:bottom w:val="none" w:sz="0" w:space="0" w:color="auto"/>
                        <w:right w:val="none" w:sz="0" w:space="0" w:color="auto"/>
                      </w:divBdr>
                      <w:divsChild>
                        <w:div w:id="1606963591">
                          <w:marLeft w:val="0"/>
                          <w:marRight w:val="0"/>
                          <w:marTop w:val="0"/>
                          <w:marBottom w:val="0"/>
                          <w:divBdr>
                            <w:top w:val="none" w:sz="0" w:space="0" w:color="auto"/>
                            <w:left w:val="none" w:sz="0" w:space="0" w:color="auto"/>
                            <w:bottom w:val="none" w:sz="0" w:space="0" w:color="auto"/>
                            <w:right w:val="none" w:sz="0" w:space="0" w:color="auto"/>
                          </w:divBdr>
                          <w:divsChild>
                            <w:div w:id="1825512155">
                              <w:marLeft w:val="0"/>
                              <w:marRight w:val="0"/>
                              <w:marTop w:val="0"/>
                              <w:marBottom w:val="0"/>
                              <w:divBdr>
                                <w:top w:val="none" w:sz="0" w:space="0" w:color="auto"/>
                                <w:left w:val="none" w:sz="0" w:space="0" w:color="auto"/>
                                <w:bottom w:val="none" w:sz="0" w:space="0" w:color="auto"/>
                                <w:right w:val="none" w:sz="0" w:space="0" w:color="auto"/>
                              </w:divBdr>
                              <w:divsChild>
                                <w:div w:id="175304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583547">
          <w:marLeft w:val="0"/>
          <w:marRight w:val="0"/>
          <w:marTop w:val="0"/>
          <w:marBottom w:val="0"/>
          <w:divBdr>
            <w:top w:val="none" w:sz="0" w:space="0" w:color="auto"/>
            <w:left w:val="none" w:sz="0" w:space="0" w:color="auto"/>
            <w:bottom w:val="none" w:sz="0" w:space="0" w:color="auto"/>
            <w:right w:val="none" w:sz="0" w:space="0" w:color="auto"/>
          </w:divBdr>
          <w:divsChild>
            <w:div w:id="244076711">
              <w:marLeft w:val="0"/>
              <w:marRight w:val="0"/>
              <w:marTop w:val="0"/>
              <w:marBottom w:val="0"/>
              <w:divBdr>
                <w:top w:val="none" w:sz="0" w:space="0" w:color="auto"/>
                <w:left w:val="none" w:sz="0" w:space="0" w:color="auto"/>
                <w:bottom w:val="none" w:sz="0" w:space="0" w:color="auto"/>
                <w:right w:val="none" w:sz="0" w:space="0" w:color="auto"/>
              </w:divBdr>
              <w:divsChild>
                <w:div w:id="1392576273">
                  <w:marLeft w:val="0"/>
                  <w:marRight w:val="0"/>
                  <w:marTop w:val="0"/>
                  <w:marBottom w:val="0"/>
                  <w:divBdr>
                    <w:top w:val="none" w:sz="0" w:space="0" w:color="auto"/>
                    <w:left w:val="none" w:sz="0" w:space="0" w:color="auto"/>
                    <w:bottom w:val="none" w:sz="0" w:space="0" w:color="auto"/>
                    <w:right w:val="none" w:sz="0" w:space="0" w:color="auto"/>
                  </w:divBdr>
                  <w:divsChild>
                    <w:div w:id="1904680400">
                      <w:marLeft w:val="0"/>
                      <w:marRight w:val="0"/>
                      <w:marTop w:val="0"/>
                      <w:marBottom w:val="0"/>
                      <w:divBdr>
                        <w:top w:val="none" w:sz="0" w:space="0" w:color="auto"/>
                        <w:left w:val="none" w:sz="0" w:space="0" w:color="auto"/>
                        <w:bottom w:val="none" w:sz="0" w:space="0" w:color="auto"/>
                        <w:right w:val="none" w:sz="0" w:space="0" w:color="auto"/>
                      </w:divBdr>
                      <w:divsChild>
                        <w:div w:id="1159685804">
                          <w:marLeft w:val="0"/>
                          <w:marRight w:val="0"/>
                          <w:marTop w:val="0"/>
                          <w:marBottom w:val="0"/>
                          <w:divBdr>
                            <w:top w:val="none" w:sz="0" w:space="0" w:color="auto"/>
                            <w:left w:val="none" w:sz="0" w:space="0" w:color="auto"/>
                            <w:bottom w:val="none" w:sz="0" w:space="0" w:color="auto"/>
                            <w:right w:val="none" w:sz="0" w:space="0" w:color="auto"/>
                          </w:divBdr>
                          <w:divsChild>
                            <w:div w:id="79182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641601">
          <w:marLeft w:val="0"/>
          <w:marRight w:val="0"/>
          <w:marTop w:val="0"/>
          <w:marBottom w:val="0"/>
          <w:divBdr>
            <w:top w:val="none" w:sz="0" w:space="0" w:color="auto"/>
            <w:left w:val="none" w:sz="0" w:space="0" w:color="auto"/>
            <w:bottom w:val="none" w:sz="0" w:space="0" w:color="auto"/>
            <w:right w:val="none" w:sz="0" w:space="0" w:color="auto"/>
          </w:divBdr>
          <w:divsChild>
            <w:div w:id="603347756">
              <w:marLeft w:val="0"/>
              <w:marRight w:val="0"/>
              <w:marTop w:val="0"/>
              <w:marBottom w:val="0"/>
              <w:divBdr>
                <w:top w:val="none" w:sz="0" w:space="0" w:color="auto"/>
                <w:left w:val="none" w:sz="0" w:space="0" w:color="auto"/>
                <w:bottom w:val="none" w:sz="0" w:space="0" w:color="auto"/>
                <w:right w:val="none" w:sz="0" w:space="0" w:color="auto"/>
              </w:divBdr>
              <w:divsChild>
                <w:div w:id="199709983">
                  <w:marLeft w:val="0"/>
                  <w:marRight w:val="0"/>
                  <w:marTop w:val="0"/>
                  <w:marBottom w:val="0"/>
                  <w:divBdr>
                    <w:top w:val="none" w:sz="0" w:space="0" w:color="auto"/>
                    <w:left w:val="none" w:sz="0" w:space="0" w:color="auto"/>
                    <w:bottom w:val="none" w:sz="0" w:space="0" w:color="auto"/>
                    <w:right w:val="none" w:sz="0" w:space="0" w:color="auto"/>
                  </w:divBdr>
                  <w:divsChild>
                    <w:div w:id="599874553">
                      <w:marLeft w:val="0"/>
                      <w:marRight w:val="0"/>
                      <w:marTop w:val="0"/>
                      <w:marBottom w:val="0"/>
                      <w:divBdr>
                        <w:top w:val="none" w:sz="0" w:space="0" w:color="auto"/>
                        <w:left w:val="none" w:sz="0" w:space="0" w:color="auto"/>
                        <w:bottom w:val="none" w:sz="0" w:space="0" w:color="auto"/>
                        <w:right w:val="none" w:sz="0" w:space="0" w:color="auto"/>
                      </w:divBdr>
                      <w:divsChild>
                        <w:div w:id="2096397739">
                          <w:marLeft w:val="0"/>
                          <w:marRight w:val="0"/>
                          <w:marTop w:val="0"/>
                          <w:marBottom w:val="0"/>
                          <w:divBdr>
                            <w:top w:val="none" w:sz="0" w:space="0" w:color="auto"/>
                            <w:left w:val="none" w:sz="0" w:space="0" w:color="auto"/>
                            <w:bottom w:val="none" w:sz="0" w:space="0" w:color="auto"/>
                            <w:right w:val="none" w:sz="0" w:space="0" w:color="auto"/>
                          </w:divBdr>
                          <w:divsChild>
                            <w:div w:id="2014381426">
                              <w:marLeft w:val="0"/>
                              <w:marRight w:val="0"/>
                              <w:marTop w:val="0"/>
                              <w:marBottom w:val="0"/>
                              <w:divBdr>
                                <w:top w:val="none" w:sz="0" w:space="0" w:color="auto"/>
                                <w:left w:val="none" w:sz="0" w:space="0" w:color="auto"/>
                                <w:bottom w:val="none" w:sz="0" w:space="0" w:color="auto"/>
                                <w:right w:val="none" w:sz="0" w:space="0" w:color="auto"/>
                              </w:divBdr>
                              <w:divsChild>
                                <w:div w:id="43420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185574">
          <w:marLeft w:val="0"/>
          <w:marRight w:val="0"/>
          <w:marTop w:val="0"/>
          <w:marBottom w:val="0"/>
          <w:divBdr>
            <w:top w:val="none" w:sz="0" w:space="0" w:color="auto"/>
            <w:left w:val="none" w:sz="0" w:space="0" w:color="auto"/>
            <w:bottom w:val="none" w:sz="0" w:space="0" w:color="auto"/>
            <w:right w:val="none" w:sz="0" w:space="0" w:color="auto"/>
          </w:divBdr>
          <w:divsChild>
            <w:div w:id="211498372">
              <w:marLeft w:val="0"/>
              <w:marRight w:val="0"/>
              <w:marTop w:val="0"/>
              <w:marBottom w:val="0"/>
              <w:divBdr>
                <w:top w:val="none" w:sz="0" w:space="0" w:color="auto"/>
                <w:left w:val="none" w:sz="0" w:space="0" w:color="auto"/>
                <w:bottom w:val="none" w:sz="0" w:space="0" w:color="auto"/>
                <w:right w:val="none" w:sz="0" w:space="0" w:color="auto"/>
              </w:divBdr>
              <w:divsChild>
                <w:div w:id="408158639">
                  <w:marLeft w:val="0"/>
                  <w:marRight w:val="0"/>
                  <w:marTop w:val="0"/>
                  <w:marBottom w:val="0"/>
                  <w:divBdr>
                    <w:top w:val="none" w:sz="0" w:space="0" w:color="auto"/>
                    <w:left w:val="none" w:sz="0" w:space="0" w:color="auto"/>
                    <w:bottom w:val="none" w:sz="0" w:space="0" w:color="auto"/>
                    <w:right w:val="none" w:sz="0" w:space="0" w:color="auto"/>
                  </w:divBdr>
                  <w:divsChild>
                    <w:div w:id="848561923">
                      <w:marLeft w:val="0"/>
                      <w:marRight w:val="0"/>
                      <w:marTop w:val="0"/>
                      <w:marBottom w:val="0"/>
                      <w:divBdr>
                        <w:top w:val="none" w:sz="0" w:space="0" w:color="auto"/>
                        <w:left w:val="none" w:sz="0" w:space="0" w:color="auto"/>
                        <w:bottom w:val="none" w:sz="0" w:space="0" w:color="auto"/>
                        <w:right w:val="none" w:sz="0" w:space="0" w:color="auto"/>
                      </w:divBdr>
                      <w:divsChild>
                        <w:div w:id="1826507532">
                          <w:marLeft w:val="0"/>
                          <w:marRight w:val="0"/>
                          <w:marTop w:val="0"/>
                          <w:marBottom w:val="0"/>
                          <w:divBdr>
                            <w:top w:val="none" w:sz="0" w:space="0" w:color="auto"/>
                            <w:left w:val="none" w:sz="0" w:space="0" w:color="auto"/>
                            <w:bottom w:val="none" w:sz="0" w:space="0" w:color="auto"/>
                            <w:right w:val="none" w:sz="0" w:space="0" w:color="auto"/>
                          </w:divBdr>
                          <w:divsChild>
                            <w:div w:id="3217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882757">
          <w:marLeft w:val="0"/>
          <w:marRight w:val="0"/>
          <w:marTop w:val="0"/>
          <w:marBottom w:val="0"/>
          <w:divBdr>
            <w:top w:val="none" w:sz="0" w:space="0" w:color="auto"/>
            <w:left w:val="none" w:sz="0" w:space="0" w:color="auto"/>
            <w:bottom w:val="none" w:sz="0" w:space="0" w:color="auto"/>
            <w:right w:val="none" w:sz="0" w:space="0" w:color="auto"/>
          </w:divBdr>
          <w:divsChild>
            <w:div w:id="77750948">
              <w:marLeft w:val="0"/>
              <w:marRight w:val="0"/>
              <w:marTop w:val="0"/>
              <w:marBottom w:val="0"/>
              <w:divBdr>
                <w:top w:val="none" w:sz="0" w:space="0" w:color="auto"/>
                <w:left w:val="none" w:sz="0" w:space="0" w:color="auto"/>
                <w:bottom w:val="none" w:sz="0" w:space="0" w:color="auto"/>
                <w:right w:val="none" w:sz="0" w:space="0" w:color="auto"/>
              </w:divBdr>
              <w:divsChild>
                <w:div w:id="739450448">
                  <w:marLeft w:val="0"/>
                  <w:marRight w:val="0"/>
                  <w:marTop w:val="0"/>
                  <w:marBottom w:val="0"/>
                  <w:divBdr>
                    <w:top w:val="none" w:sz="0" w:space="0" w:color="auto"/>
                    <w:left w:val="none" w:sz="0" w:space="0" w:color="auto"/>
                    <w:bottom w:val="none" w:sz="0" w:space="0" w:color="auto"/>
                    <w:right w:val="none" w:sz="0" w:space="0" w:color="auto"/>
                  </w:divBdr>
                  <w:divsChild>
                    <w:div w:id="1377390235">
                      <w:marLeft w:val="0"/>
                      <w:marRight w:val="0"/>
                      <w:marTop w:val="0"/>
                      <w:marBottom w:val="0"/>
                      <w:divBdr>
                        <w:top w:val="none" w:sz="0" w:space="0" w:color="auto"/>
                        <w:left w:val="none" w:sz="0" w:space="0" w:color="auto"/>
                        <w:bottom w:val="none" w:sz="0" w:space="0" w:color="auto"/>
                        <w:right w:val="none" w:sz="0" w:space="0" w:color="auto"/>
                      </w:divBdr>
                      <w:divsChild>
                        <w:div w:id="1324355053">
                          <w:marLeft w:val="0"/>
                          <w:marRight w:val="0"/>
                          <w:marTop w:val="0"/>
                          <w:marBottom w:val="0"/>
                          <w:divBdr>
                            <w:top w:val="none" w:sz="0" w:space="0" w:color="auto"/>
                            <w:left w:val="none" w:sz="0" w:space="0" w:color="auto"/>
                            <w:bottom w:val="none" w:sz="0" w:space="0" w:color="auto"/>
                            <w:right w:val="none" w:sz="0" w:space="0" w:color="auto"/>
                          </w:divBdr>
                          <w:divsChild>
                            <w:div w:id="744033169">
                              <w:marLeft w:val="0"/>
                              <w:marRight w:val="0"/>
                              <w:marTop w:val="0"/>
                              <w:marBottom w:val="0"/>
                              <w:divBdr>
                                <w:top w:val="none" w:sz="0" w:space="0" w:color="auto"/>
                                <w:left w:val="none" w:sz="0" w:space="0" w:color="auto"/>
                                <w:bottom w:val="none" w:sz="0" w:space="0" w:color="auto"/>
                                <w:right w:val="none" w:sz="0" w:space="0" w:color="auto"/>
                              </w:divBdr>
                              <w:divsChild>
                                <w:div w:id="138590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094501">
          <w:marLeft w:val="0"/>
          <w:marRight w:val="0"/>
          <w:marTop w:val="0"/>
          <w:marBottom w:val="0"/>
          <w:divBdr>
            <w:top w:val="none" w:sz="0" w:space="0" w:color="auto"/>
            <w:left w:val="none" w:sz="0" w:space="0" w:color="auto"/>
            <w:bottom w:val="none" w:sz="0" w:space="0" w:color="auto"/>
            <w:right w:val="none" w:sz="0" w:space="0" w:color="auto"/>
          </w:divBdr>
          <w:divsChild>
            <w:div w:id="324403939">
              <w:marLeft w:val="0"/>
              <w:marRight w:val="0"/>
              <w:marTop w:val="0"/>
              <w:marBottom w:val="0"/>
              <w:divBdr>
                <w:top w:val="none" w:sz="0" w:space="0" w:color="auto"/>
                <w:left w:val="none" w:sz="0" w:space="0" w:color="auto"/>
                <w:bottom w:val="none" w:sz="0" w:space="0" w:color="auto"/>
                <w:right w:val="none" w:sz="0" w:space="0" w:color="auto"/>
              </w:divBdr>
              <w:divsChild>
                <w:div w:id="878736005">
                  <w:marLeft w:val="0"/>
                  <w:marRight w:val="0"/>
                  <w:marTop w:val="0"/>
                  <w:marBottom w:val="0"/>
                  <w:divBdr>
                    <w:top w:val="none" w:sz="0" w:space="0" w:color="auto"/>
                    <w:left w:val="none" w:sz="0" w:space="0" w:color="auto"/>
                    <w:bottom w:val="none" w:sz="0" w:space="0" w:color="auto"/>
                    <w:right w:val="none" w:sz="0" w:space="0" w:color="auto"/>
                  </w:divBdr>
                  <w:divsChild>
                    <w:div w:id="206450075">
                      <w:marLeft w:val="0"/>
                      <w:marRight w:val="0"/>
                      <w:marTop w:val="0"/>
                      <w:marBottom w:val="0"/>
                      <w:divBdr>
                        <w:top w:val="none" w:sz="0" w:space="0" w:color="auto"/>
                        <w:left w:val="none" w:sz="0" w:space="0" w:color="auto"/>
                        <w:bottom w:val="none" w:sz="0" w:space="0" w:color="auto"/>
                        <w:right w:val="none" w:sz="0" w:space="0" w:color="auto"/>
                      </w:divBdr>
                      <w:divsChild>
                        <w:div w:id="833183814">
                          <w:marLeft w:val="0"/>
                          <w:marRight w:val="0"/>
                          <w:marTop w:val="0"/>
                          <w:marBottom w:val="0"/>
                          <w:divBdr>
                            <w:top w:val="none" w:sz="0" w:space="0" w:color="auto"/>
                            <w:left w:val="none" w:sz="0" w:space="0" w:color="auto"/>
                            <w:bottom w:val="none" w:sz="0" w:space="0" w:color="auto"/>
                            <w:right w:val="none" w:sz="0" w:space="0" w:color="auto"/>
                          </w:divBdr>
                          <w:divsChild>
                            <w:div w:id="89543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082927">
          <w:marLeft w:val="0"/>
          <w:marRight w:val="0"/>
          <w:marTop w:val="0"/>
          <w:marBottom w:val="0"/>
          <w:divBdr>
            <w:top w:val="none" w:sz="0" w:space="0" w:color="auto"/>
            <w:left w:val="none" w:sz="0" w:space="0" w:color="auto"/>
            <w:bottom w:val="none" w:sz="0" w:space="0" w:color="auto"/>
            <w:right w:val="none" w:sz="0" w:space="0" w:color="auto"/>
          </w:divBdr>
          <w:divsChild>
            <w:div w:id="1282607625">
              <w:marLeft w:val="0"/>
              <w:marRight w:val="0"/>
              <w:marTop w:val="0"/>
              <w:marBottom w:val="0"/>
              <w:divBdr>
                <w:top w:val="none" w:sz="0" w:space="0" w:color="auto"/>
                <w:left w:val="none" w:sz="0" w:space="0" w:color="auto"/>
                <w:bottom w:val="none" w:sz="0" w:space="0" w:color="auto"/>
                <w:right w:val="none" w:sz="0" w:space="0" w:color="auto"/>
              </w:divBdr>
              <w:divsChild>
                <w:div w:id="874583063">
                  <w:marLeft w:val="0"/>
                  <w:marRight w:val="0"/>
                  <w:marTop w:val="0"/>
                  <w:marBottom w:val="0"/>
                  <w:divBdr>
                    <w:top w:val="none" w:sz="0" w:space="0" w:color="auto"/>
                    <w:left w:val="none" w:sz="0" w:space="0" w:color="auto"/>
                    <w:bottom w:val="none" w:sz="0" w:space="0" w:color="auto"/>
                    <w:right w:val="none" w:sz="0" w:space="0" w:color="auto"/>
                  </w:divBdr>
                  <w:divsChild>
                    <w:div w:id="1937515721">
                      <w:marLeft w:val="0"/>
                      <w:marRight w:val="0"/>
                      <w:marTop w:val="0"/>
                      <w:marBottom w:val="0"/>
                      <w:divBdr>
                        <w:top w:val="none" w:sz="0" w:space="0" w:color="auto"/>
                        <w:left w:val="none" w:sz="0" w:space="0" w:color="auto"/>
                        <w:bottom w:val="none" w:sz="0" w:space="0" w:color="auto"/>
                        <w:right w:val="none" w:sz="0" w:space="0" w:color="auto"/>
                      </w:divBdr>
                      <w:divsChild>
                        <w:div w:id="483206760">
                          <w:marLeft w:val="0"/>
                          <w:marRight w:val="0"/>
                          <w:marTop w:val="0"/>
                          <w:marBottom w:val="0"/>
                          <w:divBdr>
                            <w:top w:val="none" w:sz="0" w:space="0" w:color="auto"/>
                            <w:left w:val="none" w:sz="0" w:space="0" w:color="auto"/>
                            <w:bottom w:val="none" w:sz="0" w:space="0" w:color="auto"/>
                            <w:right w:val="none" w:sz="0" w:space="0" w:color="auto"/>
                          </w:divBdr>
                          <w:divsChild>
                            <w:div w:id="2122600307">
                              <w:marLeft w:val="0"/>
                              <w:marRight w:val="0"/>
                              <w:marTop w:val="0"/>
                              <w:marBottom w:val="0"/>
                              <w:divBdr>
                                <w:top w:val="none" w:sz="0" w:space="0" w:color="auto"/>
                                <w:left w:val="none" w:sz="0" w:space="0" w:color="auto"/>
                                <w:bottom w:val="none" w:sz="0" w:space="0" w:color="auto"/>
                                <w:right w:val="none" w:sz="0" w:space="0" w:color="auto"/>
                              </w:divBdr>
                              <w:divsChild>
                                <w:div w:id="80112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587395">
          <w:marLeft w:val="0"/>
          <w:marRight w:val="0"/>
          <w:marTop w:val="0"/>
          <w:marBottom w:val="0"/>
          <w:divBdr>
            <w:top w:val="none" w:sz="0" w:space="0" w:color="auto"/>
            <w:left w:val="none" w:sz="0" w:space="0" w:color="auto"/>
            <w:bottom w:val="none" w:sz="0" w:space="0" w:color="auto"/>
            <w:right w:val="none" w:sz="0" w:space="0" w:color="auto"/>
          </w:divBdr>
          <w:divsChild>
            <w:div w:id="1723597679">
              <w:marLeft w:val="0"/>
              <w:marRight w:val="0"/>
              <w:marTop w:val="0"/>
              <w:marBottom w:val="0"/>
              <w:divBdr>
                <w:top w:val="none" w:sz="0" w:space="0" w:color="auto"/>
                <w:left w:val="none" w:sz="0" w:space="0" w:color="auto"/>
                <w:bottom w:val="none" w:sz="0" w:space="0" w:color="auto"/>
                <w:right w:val="none" w:sz="0" w:space="0" w:color="auto"/>
              </w:divBdr>
              <w:divsChild>
                <w:div w:id="879558672">
                  <w:marLeft w:val="0"/>
                  <w:marRight w:val="0"/>
                  <w:marTop w:val="0"/>
                  <w:marBottom w:val="0"/>
                  <w:divBdr>
                    <w:top w:val="none" w:sz="0" w:space="0" w:color="auto"/>
                    <w:left w:val="none" w:sz="0" w:space="0" w:color="auto"/>
                    <w:bottom w:val="none" w:sz="0" w:space="0" w:color="auto"/>
                    <w:right w:val="none" w:sz="0" w:space="0" w:color="auto"/>
                  </w:divBdr>
                  <w:divsChild>
                    <w:div w:id="281546374">
                      <w:marLeft w:val="0"/>
                      <w:marRight w:val="0"/>
                      <w:marTop w:val="0"/>
                      <w:marBottom w:val="0"/>
                      <w:divBdr>
                        <w:top w:val="none" w:sz="0" w:space="0" w:color="auto"/>
                        <w:left w:val="none" w:sz="0" w:space="0" w:color="auto"/>
                        <w:bottom w:val="none" w:sz="0" w:space="0" w:color="auto"/>
                        <w:right w:val="none" w:sz="0" w:space="0" w:color="auto"/>
                      </w:divBdr>
                      <w:divsChild>
                        <w:div w:id="196940168">
                          <w:marLeft w:val="0"/>
                          <w:marRight w:val="0"/>
                          <w:marTop w:val="0"/>
                          <w:marBottom w:val="0"/>
                          <w:divBdr>
                            <w:top w:val="none" w:sz="0" w:space="0" w:color="auto"/>
                            <w:left w:val="none" w:sz="0" w:space="0" w:color="auto"/>
                            <w:bottom w:val="none" w:sz="0" w:space="0" w:color="auto"/>
                            <w:right w:val="none" w:sz="0" w:space="0" w:color="auto"/>
                          </w:divBdr>
                          <w:divsChild>
                            <w:div w:id="181490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528473">
          <w:marLeft w:val="0"/>
          <w:marRight w:val="0"/>
          <w:marTop w:val="0"/>
          <w:marBottom w:val="0"/>
          <w:divBdr>
            <w:top w:val="none" w:sz="0" w:space="0" w:color="auto"/>
            <w:left w:val="none" w:sz="0" w:space="0" w:color="auto"/>
            <w:bottom w:val="none" w:sz="0" w:space="0" w:color="auto"/>
            <w:right w:val="none" w:sz="0" w:space="0" w:color="auto"/>
          </w:divBdr>
          <w:divsChild>
            <w:div w:id="1633973066">
              <w:marLeft w:val="0"/>
              <w:marRight w:val="0"/>
              <w:marTop w:val="0"/>
              <w:marBottom w:val="0"/>
              <w:divBdr>
                <w:top w:val="none" w:sz="0" w:space="0" w:color="auto"/>
                <w:left w:val="none" w:sz="0" w:space="0" w:color="auto"/>
                <w:bottom w:val="none" w:sz="0" w:space="0" w:color="auto"/>
                <w:right w:val="none" w:sz="0" w:space="0" w:color="auto"/>
              </w:divBdr>
              <w:divsChild>
                <w:div w:id="1334337542">
                  <w:marLeft w:val="0"/>
                  <w:marRight w:val="0"/>
                  <w:marTop w:val="0"/>
                  <w:marBottom w:val="0"/>
                  <w:divBdr>
                    <w:top w:val="none" w:sz="0" w:space="0" w:color="auto"/>
                    <w:left w:val="none" w:sz="0" w:space="0" w:color="auto"/>
                    <w:bottom w:val="none" w:sz="0" w:space="0" w:color="auto"/>
                    <w:right w:val="none" w:sz="0" w:space="0" w:color="auto"/>
                  </w:divBdr>
                  <w:divsChild>
                    <w:div w:id="1691837406">
                      <w:marLeft w:val="0"/>
                      <w:marRight w:val="0"/>
                      <w:marTop w:val="0"/>
                      <w:marBottom w:val="0"/>
                      <w:divBdr>
                        <w:top w:val="none" w:sz="0" w:space="0" w:color="auto"/>
                        <w:left w:val="none" w:sz="0" w:space="0" w:color="auto"/>
                        <w:bottom w:val="none" w:sz="0" w:space="0" w:color="auto"/>
                        <w:right w:val="none" w:sz="0" w:space="0" w:color="auto"/>
                      </w:divBdr>
                      <w:divsChild>
                        <w:div w:id="1244100559">
                          <w:marLeft w:val="0"/>
                          <w:marRight w:val="0"/>
                          <w:marTop w:val="0"/>
                          <w:marBottom w:val="0"/>
                          <w:divBdr>
                            <w:top w:val="none" w:sz="0" w:space="0" w:color="auto"/>
                            <w:left w:val="none" w:sz="0" w:space="0" w:color="auto"/>
                            <w:bottom w:val="none" w:sz="0" w:space="0" w:color="auto"/>
                            <w:right w:val="none" w:sz="0" w:space="0" w:color="auto"/>
                          </w:divBdr>
                          <w:divsChild>
                            <w:div w:id="1223492420">
                              <w:marLeft w:val="0"/>
                              <w:marRight w:val="0"/>
                              <w:marTop w:val="0"/>
                              <w:marBottom w:val="0"/>
                              <w:divBdr>
                                <w:top w:val="none" w:sz="0" w:space="0" w:color="auto"/>
                                <w:left w:val="none" w:sz="0" w:space="0" w:color="auto"/>
                                <w:bottom w:val="none" w:sz="0" w:space="0" w:color="auto"/>
                                <w:right w:val="none" w:sz="0" w:space="0" w:color="auto"/>
                              </w:divBdr>
                              <w:divsChild>
                                <w:div w:id="11977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49805">
          <w:marLeft w:val="0"/>
          <w:marRight w:val="0"/>
          <w:marTop w:val="0"/>
          <w:marBottom w:val="0"/>
          <w:divBdr>
            <w:top w:val="none" w:sz="0" w:space="0" w:color="auto"/>
            <w:left w:val="none" w:sz="0" w:space="0" w:color="auto"/>
            <w:bottom w:val="none" w:sz="0" w:space="0" w:color="auto"/>
            <w:right w:val="none" w:sz="0" w:space="0" w:color="auto"/>
          </w:divBdr>
          <w:divsChild>
            <w:div w:id="1406368293">
              <w:marLeft w:val="0"/>
              <w:marRight w:val="0"/>
              <w:marTop w:val="0"/>
              <w:marBottom w:val="0"/>
              <w:divBdr>
                <w:top w:val="none" w:sz="0" w:space="0" w:color="auto"/>
                <w:left w:val="none" w:sz="0" w:space="0" w:color="auto"/>
                <w:bottom w:val="none" w:sz="0" w:space="0" w:color="auto"/>
                <w:right w:val="none" w:sz="0" w:space="0" w:color="auto"/>
              </w:divBdr>
              <w:divsChild>
                <w:div w:id="1535074867">
                  <w:marLeft w:val="0"/>
                  <w:marRight w:val="0"/>
                  <w:marTop w:val="0"/>
                  <w:marBottom w:val="0"/>
                  <w:divBdr>
                    <w:top w:val="none" w:sz="0" w:space="0" w:color="auto"/>
                    <w:left w:val="none" w:sz="0" w:space="0" w:color="auto"/>
                    <w:bottom w:val="none" w:sz="0" w:space="0" w:color="auto"/>
                    <w:right w:val="none" w:sz="0" w:space="0" w:color="auto"/>
                  </w:divBdr>
                  <w:divsChild>
                    <w:div w:id="421340001">
                      <w:marLeft w:val="0"/>
                      <w:marRight w:val="0"/>
                      <w:marTop w:val="0"/>
                      <w:marBottom w:val="0"/>
                      <w:divBdr>
                        <w:top w:val="none" w:sz="0" w:space="0" w:color="auto"/>
                        <w:left w:val="none" w:sz="0" w:space="0" w:color="auto"/>
                        <w:bottom w:val="none" w:sz="0" w:space="0" w:color="auto"/>
                        <w:right w:val="none" w:sz="0" w:space="0" w:color="auto"/>
                      </w:divBdr>
                      <w:divsChild>
                        <w:div w:id="876160440">
                          <w:marLeft w:val="0"/>
                          <w:marRight w:val="0"/>
                          <w:marTop w:val="0"/>
                          <w:marBottom w:val="0"/>
                          <w:divBdr>
                            <w:top w:val="none" w:sz="0" w:space="0" w:color="auto"/>
                            <w:left w:val="none" w:sz="0" w:space="0" w:color="auto"/>
                            <w:bottom w:val="none" w:sz="0" w:space="0" w:color="auto"/>
                            <w:right w:val="none" w:sz="0" w:space="0" w:color="auto"/>
                          </w:divBdr>
                          <w:divsChild>
                            <w:div w:id="16749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496654">
          <w:marLeft w:val="0"/>
          <w:marRight w:val="0"/>
          <w:marTop w:val="0"/>
          <w:marBottom w:val="0"/>
          <w:divBdr>
            <w:top w:val="none" w:sz="0" w:space="0" w:color="auto"/>
            <w:left w:val="none" w:sz="0" w:space="0" w:color="auto"/>
            <w:bottom w:val="none" w:sz="0" w:space="0" w:color="auto"/>
            <w:right w:val="none" w:sz="0" w:space="0" w:color="auto"/>
          </w:divBdr>
          <w:divsChild>
            <w:div w:id="342629562">
              <w:marLeft w:val="0"/>
              <w:marRight w:val="0"/>
              <w:marTop w:val="0"/>
              <w:marBottom w:val="0"/>
              <w:divBdr>
                <w:top w:val="none" w:sz="0" w:space="0" w:color="auto"/>
                <w:left w:val="none" w:sz="0" w:space="0" w:color="auto"/>
                <w:bottom w:val="none" w:sz="0" w:space="0" w:color="auto"/>
                <w:right w:val="none" w:sz="0" w:space="0" w:color="auto"/>
              </w:divBdr>
              <w:divsChild>
                <w:div w:id="1143422294">
                  <w:marLeft w:val="0"/>
                  <w:marRight w:val="0"/>
                  <w:marTop w:val="0"/>
                  <w:marBottom w:val="0"/>
                  <w:divBdr>
                    <w:top w:val="none" w:sz="0" w:space="0" w:color="auto"/>
                    <w:left w:val="none" w:sz="0" w:space="0" w:color="auto"/>
                    <w:bottom w:val="none" w:sz="0" w:space="0" w:color="auto"/>
                    <w:right w:val="none" w:sz="0" w:space="0" w:color="auto"/>
                  </w:divBdr>
                  <w:divsChild>
                    <w:div w:id="984775507">
                      <w:marLeft w:val="0"/>
                      <w:marRight w:val="0"/>
                      <w:marTop w:val="0"/>
                      <w:marBottom w:val="0"/>
                      <w:divBdr>
                        <w:top w:val="none" w:sz="0" w:space="0" w:color="auto"/>
                        <w:left w:val="none" w:sz="0" w:space="0" w:color="auto"/>
                        <w:bottom w:val="none" w:sz="0" w:space="0" w:color="auto"/>
                        <w:right w:val="none" w:sz="0" w:space="0" w:color="auto"/>
                      </w:divBdr>
                      <w:divsChild>
                        <w:div w:id="1871990297">
                          <w:marLeft w:val="0"/>
                          <w:marRight w:val="0"/>
                          <w:marTop w:val="0"/>
                          <w:marBottom w:val="0"/>
                          <w:divBdr>
                            <w:top w:val="none" w:sz="0" w:space="0" w:color="auto"/>
                            <w:left w:val="none" w:sz="0" w:space="0" w:color="auto"/>
                            <w:bottom w:val="none" w:sz="0" w:space="0" w:color="auto"/>
                            <w:right w:val="none" w:sz="0" w:space="0" w:color="auto"/>
                          </w:divBdr>
                          <w:divsChild>
                            <w:div w:id="989745054">
                              <w:marLeft w:val="0"/>
                              <w:marRight w:val="0"/>
                              <w:marTop w:val="0"/>
                              <w:marBottom w:val="0"/>
                              <w:divBdr>
                                <w:top w:val="none" w:sz="0" w:space="0" w:color="auto"/>
                                <w:left w:val="none" w:sz="0" w:space="0" w:color="auto"/>
                                <w:bottom w:val="none" w:sz="0" w:space="0" w:color="auto"/>
                                <w:right w:val="none" w:sz="0" w:space="0" w:color="auto"/>
                              </w:divBdr>
                              <w:divsChild>
                                <w:div w:id="114747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903590">
          <w:marLeft w:val="0"/>
          <w:marRight w:val="0"/>
          <w:marTop w:val="0"/>
          <w:marBottom w:val="0"/>
          <w:divBdr>
            <w:top w:val="none" w:sz="0" w:space="0" w:color="auto"/>
            <w:left w:val="none" w:sz="0" w:space="0" w:color="auto"/>
            <w:bottom w:val="none" w:sz="0" w:space="0" w:color="auto"/>
            <w:right w:val="none" w:sz="0" w:space="0" w:color="auto"/>
          </w:divBdr>
          <w:divsChild>
            <w:div w:id="1498418194">
              <w:marLeft w:val="0"/>
              <w:marRight w:val="0"/>
              <w:marTop w:val="0"/>
              <w:marBottom w:val="0"/>
              <w:divBdr>
                <w:top w:val="none" w:sz="0" w:space="0" w:color="auto"/>
                <w:left w:val="none" w:sz="0" w:space="0" w:color="auto"/>
                <w:bottom w:val="none" w:sz="0" w:space="0" w:color="auto"/>
                <w:right w:val="none" w:sz="0" w:space="0" w:color="auto"/>
              </w:divBdr>
              <w:divsChild>
                <w:div w:id="1911891286">
                  <w:marLeft w:val="0"/>
                  <w:marRight w:val="0"/>
                  <w:marTop w:val="0"/>
                  <w:marBottom w:val="0"/>
                  <w:divBdr>
                    <w:top w:val="none" w:sz="0" w:space="0" w:color="auto"/>
                    <w:left w:val="none" w:sz="0" w:space="0" w:color="auto"/>
                    <w:bottom w:val="none" w:sz="0" w:space="0" w:color="auto"/>
                    <w:right w:val="none" w:sz="0" w:space="0" w:color="auto"/>
                  </w:divBdr>
                  <w:divsChild>
                    <w:div w:id="24454433">
                      <w:marLeft w:val="0"/>
                      <w:marRight w:val="0"/>
                      <w:marTop w:val="0"/>
                      <w:marBottom w:val="0"/>
                      <w:divBdr>
                        <w:top w:val="none" w:sz="0" w:space="0" w:color="auto"/>
                        <w:left w:val="none" w:sz="0" w:space="0" w:color="auto"/>
                        <w:bottom w:val="none" w:sz="0" w:space="0" w:color="auto"/>
                        <w:right w:val="none" w:sz="0" w:space="0" w:color="auto"/>
                      </w:divBdr>
                      <w:divsChild>
                        <w:div w:id="1868103933">
                          <w:marLeft w:val="0"/>
                          <w:marRight w:val="0"/>
                          <w:marTop w:val="0"/>
                          <w:marBottom w:val="0"/>
                          <w:divBdr>
                            <w:top w:val="none" w:sz="0" w:space="0" w:color="auto"/>
                            <w:left w:val="none" w:sz="0" w:space="0" w:color="auto"/>
                            <w:bottom w:val="none" w:sz="0" w:space="0" w:color="auto"/>
                            <w:right w:val="none" w:sz="0" w:space="0" w:color="auto"/>
                          </w:divBdr>
                          <w:divsChild>
                            <w:div w:id="19212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604501">
          <w:marLeft w:val="0"/>
          <w:marRight w:val="0"/>
          <w:marTop w:val="0"/>
          <w:marBottom w:val="0"/>
          <w:divBdr>
            <w:top w:val="none" w:sz="0" w:space="0" w:color="auto"/>
            <w:left w:val="none" w:sz="0" w:space="0" w:color="auto"/>
            <w:bottom w:val="none" w:sz="0" w:space="0" w:color="auto"/>
            <w:right w:val="none" w:sz="0" w:space="0" w:color="auto"/>
          </w:divBdr>
          <w:divsChild>
            <w:div w:id="525556608">
              <w:marLeft w:val="0"/>
              <w:marRight w:val="0"/>
              <w:marTop w:val="0"/>
              <w:marBottom w:val="0"/>
              <w:divBdr>
                <w:top w:val="none" w:sz="0" w:space="0" w:color="auto"/>
                <w:left w:val="none" w:sz="0" w:space="0" w:color="auto"/>
                <w:bottom w:val="none" w:sz="0" w:space="0" w:color="auto"/>
                <w:right w:val="none" w:sz="0" w:space="0" w:color="auto"/>
              </w:divBdr>
              <w:divsChild>
                <w:div w:id="1566377154">
                  <w:marLeft w:val="0"/>
                  <w:marRight w:val="0"/>
                  <w:marTop w:val="0"/>
                  <w:marBottom w:val="0"/>
                  <w:divBdr>
                    <w:top w:val="none" w:sz="0" w:space="0" w:color="auto"/>
                    <w:left w:val="none" w:sz="0" w:space="0" w:color="auto"/>
                    <w:bottom w:val="none" w:sz="0" w:space="0" w:color="auto"/>
                    <w:right w:val="none" w:sz="0" w:space="0" w:color="auto"/>
                  </w:divBdr>
                  <w:divsChild>
                    <w:div w:id="1655790721">
                      <w:marLeft w:val="0"/>
                      <w:marRight w:val="0"/>
                      <w:marTop w:val="0"/>
                      <w:marBottom w:val="0"/>
                      <w:divBdr>
                        <w:top w:val="none" w:sz="0" w:space="0" w:color="auto"/>
                        <w:left w:val="none" w:sz="0" w:space="0" w:color="auto"/>
                        <w:bottom w:val="none" w:sz="0" w:space="0" w:color="auto"/>
                        <w:right w:val="none" w:sz="0" w:space="0" w:color="auto"/>
                      </w:divBdr>
                      <w:divsChild>
                        <w:div w:id="1699623001">
                          <w:marLeft w:val="0"/>
                          <w:marRight w:val="0"/>
                          <w:marTop w:val="0"/>
                          <w:marBottom w:val="0"/>
                          <w:divBdr>
                            <w:top w:val="none" w:sz="0" w:space="0" w:color="auto"/>
                            <w:left w:val="none" w:sz="0" w:space="0" w:color="auto"/>
                            <w:bottom w:val="none" w:sz="0" w:space="0" w:color="auto"/>
                            <w:right w:val="none" w:sz="0" w:space="0" w:color="auto"/>
                          </w:divBdr>
                          <w:divsChild>
                            <w:div w:id="970868820">
                              <w:marLeft w:val="0"/>
                              <w:marRight w:val="0"/>
                              <w:marTop w:val="0"/>
                              <w:marBottom w:val="0"/>
                              <w:divBdr>
                                <w:top w:val="none" w:sz="0" w:space="0" w:color="auto"/>
                                <w:left w:val="none" w:sz="0" w:space="0" w:color="auto"/>
                                <w:bottom w:val="none" w:sz="0" w:space="0" w:color="auto"/>
                                <w:right w:val="none" w:sz="0" w:space="0" w:color="auto"/>
                              </w:divBdr>
                              <w:divsChild>
                                <w:div w:id="115691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396279">
          <w:marLeft w:val="0"/>
          <w:marRight w:val="0"/>
          <w:marTop w:val="0"/>
          <w:marBottom w:val="0"/>
          <w:divBdr>
            <w:top w:val="none" w:sz="0" w:space="0" w:color="auto"/>
            <w:left w:val="none" w:sz="0" w:space="0" w:color="auto"/>
            <w:bottom w:val="none" w:sz="0" w:space="0" w:color="auto"/>
            <w:right w:val="none" w:sz="0" w:space="0" w:color="auto"/>
          </w:divBdr>
          <w:divsChild>
            <w:div w:id="1864827539">
              <w:marLeft w:val="0"/>
              <w:marRight w:val="0"/>
              <w:marTop w:val="0"/>
              <w:marBottom w:val="0"/>
              <w:divBdr>
                <w:top w:val="none" w:sz="0" w:space="0" w:color="auto"/>
                <w:left w:val="none" w:sz="0" w:space="0" w:color="auto"/>
                <w:bottom w:val="none" w:sz="0" w:space="0" w:color="auto"/>
                <w:right w:val="none" w:sz="0" w:space="0" w:color="auto"/>
              </w:divBdr>
              <w:divsChild>
                <w:div w:id="93404360">
                  <w:marLeft w:val="0"/>
                  <w:marRight w:val="0"/>
                  <w:marTop w:val="0"/>
                  <w:marBottom w:val="0"/>
                  <w:divBdr>
                    <w:top w:val="none" w:sz="0" w:space="0" w:color="auto"/>
                    <w:left w:val="none" w:sz="0" w:space="0" w:color="auto"/>
                    <w:bottom w:val="none" w:sz="0" w:space="0" w:color="auto"/>
                    <w:right w:val="none" w:sz="0" w:space="0" w:color="auto"/>
                  </w:divBdr>
                  <w:divsChild>
                    <w:div w:id="1917470899">
                      <w:marLeft w:val="0"/>
                      <w:marRight w:val="0"/>
                      <w:marTop w:val="0"/>
                      <w:marBottom w:val="0"/>
                      <w:divBdr>
                        <w:top w:val="none" w:sz="0" w:space="0" w:color="auto"/>
                        <w:left w:val="none" w:sz="0" w:space="0" w:color="auto"/>
                        <w:bottom w:val="none" w:sz="0" w:space="0" w:color="auto"/>
                        <w:right w:val="none" w:sz="0" w:space="0" w:color="auto"/>
                      </w:divBdr>
                      <w:divsChild>
                        <w:div w:id="1410427391">
                          <w:marLeft w:val="0"/>
                          <w:marRight w:val="0"/>
                          <w:marTop w:val="0"/>
                          <w:marBottom w:val="0"/>
                          <w:divBdr>
                            <w:top w:val="none" w:sz="0" w:space="0" w:color="auto"/>
                            <w:left w:val="none" w:sz="0" w:space="0" w:color="auto"/>
                            <w:bottom w:val="none" w:sz="0" w:space="0" w:color="auto"/>
                            <w:right w:val="none" w:sz="0" w:space="0" w:color="auto"/>
                          </w:divBdr>
                          <w:divsChild>
                            <w:div w:id="210318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461115">
          <w:marLeft w:val="0"/>
          <w:marRight w:val="0"/>
          <w:marTop w:val="0"/>
          <w:marBottom w:val="0"/>
          <w:divBdr>
            <w:top w:val="none" w:sz="0" w:space="0" w:color="auto"/>
            <w:left w:val="none" w:sz="0" w:space="0" w:color="auto"/>
            <w:bottom w:val="none" w:sz="0" w:space="0" w:color="auto"/>
            <w:right w:val="none" w:sz="0" w:space="0" w:color="auto"/>
          </w:divBdr>
          <w:divsChild>
            <w:div w:id="866604002">
              <w:marLeft w:val="0"/>
              <w:marRight w:val="0"/>
              <w:marTop w:val="0"/>
              <w:marBottom w:val="0"/>
              <w:divBdr>
                <w:top w:val="none" w:sz="0" w:space="0" w:color="auto"/>
                <w:left w:val="none" w:sz="0" w:space="0" w:color="auto"/>
                <w:bottom w:val="none" w:sz="0" w:space="0" w:color="auto"/>
                <w:right w:val="none" w:sz="0" w:space="0" w:color="auto"/>
              </w:divBdr>
              <w:divsChild>
                <w:div w:id="1609239754">
                  <w:marLeft w:val="0"/>
                  <w:marRight w:val="0"/>
                  <w:marTop w:val="0"/>
                  <w:marBottom w:val="0"/>
                  <w:divBdr>
                    <w:top w:val="none" w:sz="0" w:space="0" w:color="auto"/>
                    <w:left w:val="none" w:sz="0" w:space="0" w:color="auto"/>
                    <w:bottom w:val="none" w:sz="0" w:space="0" w:color="auto"/>
                    <w:right w:val="none" w:sz="0" w:space="0" w:color="auto"/>
                  </w:divBdr>
                  <w:divsChild>
                    <w:div w:id="1846818776">
                      <w:marLeft w:val="0"/>
                      <w:marRight w:val="0"/>
                      <w:marTop w:val="0"/>
                      <w:marBottom w:val="0"/>
                      <w:divBdr>
                        <w:top w:val="none" w:sz="0" w:space="0" w:color="auto"/>
                        <w:left w:val="none" w:sz="0" w:space="0" w:color="auto"/>
                        <w:bottom w:val="none" w:sz="0" w:space="0" w:color="auto"/>
                        <w:right w:val="none" w:sz="0" w:space="0" w:color="auto"/>
                      </w:divBdr>
                      <w:divsChild>
                        <w:div w:id="1628974139">
                          <w:marLeft w:val="0"/>
                          <w:marRight w:val="0"/>
                          <w:marTop w:val="0"/>
                          <w:marBottom w:val="0"/>
                          <w:divBdr>
                            <w:top w:val="none" w:sz="0" w:space="0" w:color="auto"/>
                            <w:left w:val="none" w:sz="0" w:space="0" w:color="auto"/>
                            <w:bottom w:val="none" w:sz="0" w:space="0" w:color="auto"/>
                            <w:right w:val="none" w:sz="0" w:space="0" w:color="auto"/>
                          </w:divBdr>
                          <w:divsChild>
                            <w:div w:id="1115054760">
                              <w:marLeft w:val="0"/>
                              <w:marRight w:val="0"/>
                              <w:marTop w:val="0"/>
                              <w:marBottom w:val="0"/>
                              <w:divBdr>
                                <w:top w:val="none" w:sz="0" w:space="0" w:color="auto"/>
                                <w:left w:val="none" w:sz="0" w:space="0" w:color="auto"/>
                                <w:bottom w:val="none" w:sz="0" w:space="0" w:color="auto"/>
                                <w:right w:val="none" w:sz="0" w:space="0" w:color="auto"/>
                              </w:divBdr>
                              <w:divsChild>
                                <w:div w:id="1721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99556">
          <w:marLeft w:val="0"/>
          <w:marRight w:val="0"/>
          <w:marTop w:val="0"/>
          <w:marBottom w:val="0"/>
          <w:divBdr>
            <w:top w:val="none" w:sz="0" w:space="0" w:color="auto"/>
            <w:left w:val="none" w:sz="0" w:space="0" w:color="auto"/>
            <w:bottom w:val="none" w:sz="0" w:space="0" w:color="auto"/>
            <w:right w:val="none" w:sz="0" w:space="0" w:color="auto"/>
          </w:divBdr>
          <w:divsChild>
            <w:div w:id="287325765">
              <w:marLeft w:val="0"/>
              <w:marRight w:val="0"/>
              <w:marTop w:val="0"/>
              <w:marBottom w:val="0"/>
              <w:divBdr>
                <w:top w:val="none" w:sz="0" w:space="0" w:color="auto"/>
                <w:left w:val="none" w:sz="0" w:space="0" w:color="auto"/>
                <w:bottom w:val="none" w:sz="0" w:space="0" w:color="auto"/>
                <w:right w:val="none" w:sz="0" w:space="0" w:color="auto"/>
              </w:divBdr>
              <w:divsChild>
                <w:div w:id="30884572">
                  <w:marLeft w:val="0"/>
                  <w:marRight w:val="0"/>
                  <w:marTop w:val="0"/>
                  <w:marBottom w:val="0"/>
                  <w:divBdr>
                    <w:top w:val="none" w:sz="0" w:space="0" w:color="auto"/>
                    <w:left w:val="none" w:sz="0" w:space="0" w:color="auto"/>
                    <w:bottom w:val="none" w:sz="0" w:space="0" w:color="auto"/>
                    <w:right w:val="none" w:sz="0" w:space="0" w:color="auto"/>
                  </w:divBdr>
                  <w:divsChild>
                    <w:div w:id="1524904943">
                      <w:marLeft w:val="0"/>
                      <w:marRight w:val="0"/>
                      <w:marTop w:val="0"/>
                      <w:marBottom w:val="0"/>
                      <w:divBdr>
                        <w:top w:val="none" w:sz="0" w:space="0" w:color="auto"/>
                        <w:left w:val="none" w:sz="0" w:space="0" w:color="auto"/>
                        <w:bottom w:val="none" w:sz="0" w:space="0" w:color="auto"/>
                        <w:right w:val="none" w:sz="0" w:space="0" w:color="auto"/>
                      </w:divBdr>
                      <w:divsChild>
                        <w:div w:id="959259960">
                          <w:marLeft w:val="0"/>
                          <w:marRight w:val="0"/>
                          <w:marTop w:val="0"/>
                          <w:marBottom w:val="0"/>
                          <w:divBdr>
                            <w:top w:val="none" w:sz="0" w:space="0" w:color="auto"/>
                            <w:left w:val="none" w:sz="0" w:space="0" w:color="auto"/>
                            <w:bottom w:val="none" w:sz="0" w:space="0" w:color="auto"/>
                            <w:right w:val="none" w:sz="0" w:space="0" w:color="auto"/>
                          </w:divBdr>
                          <w:divsChild>
                            <w:div w:id="4429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080855">
          <w:marLeft w:val="0"/>
          <w:marRight w:val="0"/>
          <w:marTop w:val="0"/>
          <w:marBottom w:val="0"/>
          <w:divBdr>
            <w:top w:val="none" w:sz="0" w:space="0" w:color="auto"/>
            <w:left w:val="none" w:sz="0" w:space="0" w:color="auto"/>
            <w:bottom w:val="none" w:sz="0" w:space="0" w:color="auto"/>
            <w:right w:val="none" w:sz="0" w:space="0" w:color="auto"/>
          </w:divBdr>
          <w:divsChild>
            <w:div w:id="594871622">
              <w:marLeft w:val="0"/>
              <w:marRight w:val="0"/>
              <w:marTop w:val="0"/>
              <w:marBottom w:val="0"/>
              <w:divBdr>
                <w:top w:val="none" w:sz="0" w:space="0" w:color="auto"/>
                <w:left w:val="none" w:sz="0" w:space="0" w:color="auto"/>
                <w:bottom w:val="none" w:sz="0" w:space="0" w:color="auto"/>
                <w:right w:val="none" w:sz="0" w:space="0" w:color="auto"/>
              </w:divBdr>
              <w:divsChild>
                <w:div w:id="1559128753">
                  <w:marLeft w:val="0"/>
                  <w:marRight w:val="0"/>
                  <w:marTop w:val="0"/>
                  <w:marBottom w:val="0"/>
                  <w:divBdr>
                    <w:top w:val="none" w:sz="0" w:space="0" w:color="auto"/>
                    <w:left w:val="none" w:sz="0" w:space="0" w:color="auto"/>
                    <w:bottom w:val="none" w:sz="0" w:space="0" w:color="auto"/>
                    <w:right w:val="none" w:sz="0" w:space="0" w:color="auto"/>
                  </w:divBdr>
                  <w:divsChild>
                    <w:div w:id="1953319583">
                      <w:marLeft w:val="0"/>
                      <w:marRight w:val="0"/>
                      <w:marTop w:val="0"/>
                      <w:marBottom w:val="0"/>
                      <w:divBdr>
                        <w:top w:val="none" w:sz="0" w:space="0" w:color="auto"/>
                        <w:left w:val="none" w:sz="0" w:space="0" w:color="auto"/>
                        <w:bottom w:val="none" w:sz="0" w:space="0" w:color="auto"/>
                        <w:right w:val="none" w:sz="0" w:space="0" w:color="auto"/>
                      </w:divBdr>
                      <w:divsChild>
                        <w:div w:id="299920111">
                          <w:marLeft w:val="0"/>
                          <w:marRight w:val="0"/>
                          <w:marTop w:val="0"/>
                          <w:marBottom w:val="0"/>
                          <w:divBdr>
                            <w:top w:val="none" w:sz="0" w:space="0" w:color="auto"/>
                            <w:left w:val="none" w:sz="0" w:space="0" w:color="auto"/>
                            <w:bottom w:val="none" w:sz="0" w:space="0" w:color="auto"/>
                            <w:right w:val="none" w:sz="0" w:space="0" w:color="auto"/>
                          </w:divBdr>
                          <w:divsChild>
                            <w:div w:id="988900070">
                              <w:marLeft w:val="0"/>
                              <w:marRight w:val="0"/>
                              <w:marTop w:val="0"/>
                              <w:marBottom w:val="0"/>
                              <w:divBdr>
                                <w:top w:val="none" w:sz="0" w:space="0" w:color="auto"/>
                                <w:left w:val="none" w:sz="0" w:space="0" w:color="auto"/>
                                <w:bottom w:val="none" w:sz="0" w:space="0" w:color="auto"/>
                                <w:right w:val="none" w:sz="0" w:space="0" w:color="auto"/>
                              </w:divBdr>
                              <w:divsChild>
                                <w:div w:id="14515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671889">
          <w:marLeft w:val="0"/>
          <w:marRight w:val="0"/>
          <w:marTop w:val="0"/>
          <w:marBottom w:val="0"/>
          <w:divBdr>
            <w:top w:val="none" w:sz="0" w:space="0" w:color="auto"/>
            <w:left w:val="none" w:sz="0" w:space="0" w:color="auto"/>
            <w:bottom w:val="none" w:sz="0" w:space="0" w:color="auto"/>
            <w:right w:val="none" w:sz="0" w:space="0" w:color="auto"/>
          </w:divBdr>
          <w:divsChild>
            <w:div w:id="2046979275">
              <w:marLeft w:val="0"/>
              <w:marRight w:val="0"/>
              <w:marTop w:val="0"/>
              <w:marBottom w:val="0"/>
              <w:divBdr>
                <w:top w:val="none" w:sz="0" w:space="0" w:color="auto"/>
                <w:left w:val="none" w:sz="0" w:space="0" w:color="auto"/>
                <w:bottom w:val="none" w:sz="0" w:space="0" w:color="auto"/>
                <w:right w:val="none" w:sz="0" w:space="0" w:color="auto"/>
              </w:divBdr>
              <w:divsChild>
                <w:div w:id="2018656107">
                  <w:marLeft w:val="0"/>
                  <w:marRight w:val="0"/>
                  <w:marTop w:val="0"/>
                  <w:marBottom w:val="0"/>
                  <w:divBdr>
                    <w:top w:val="none" w:sz="0" w:space="0" w:color="auto"/>
                    <w:left w:val="none" w:sz="0" w:space="0" w:color="auto"/>
                    <w:bottom w:val="none" w:sz="0" w:space="0" w:color="auto"/>
                    <w:right w:val="none" w:sz="0" w:space="0" w:color="auto"/>
                  </w:divBdr>
                  <w:divsChild>
                    <w:div w:id="1319765542">
                      <w:marLeft w:val="0"/>
                      <w:marRight w:val="0"/>
                      <w:marTop w:val="0"/>
                      <w:marBottom w:val="0"/>
                      <w:divBdr>
                        <w:top w:val="none" w:sz="0" w:space="0" w:color="auto"/>
                        <w:left w:val="none" w:sz="0" w:space="0" w:color="auto"/>
                        <w:bottom w:val="none" w:sz="0" w:space="0" w:color="auto"/>
                        <w:right w:val="none" w:sz="0" w:space="0" w:color="auto"/>
                      </w:divBdr>
                      <w:divsChild>
                        <w:div w:id="978457537">
                          <w:marLeft w:val="0"/>
                          <w:marRight w:val="0"/>
                          <w:marTop w:val="0"/>
                          <w:marBottom w:val="0"/>
                          <w:divBdr>
                            <w:top w:val="none" w:sz="0" w:space="0" w:color="auto"/>
                            <w:left w:val="none" w:sz="0" w:space="0" w:color="auto"/>
                            <w:bottom w:val="none" w:sz="0" w:space="0" w:color="auto"/>
                            <w:right w:val="none" w:sz="0" w:space="0" w:color="auto"/>
                          </w:divBdr>
                          <w:divsChild>
                            <w:div w:id="44095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893361">
          <w:marLeft w:val="0"/>
          <w:marRight w:val="0"/>
          <w:marTop w:val="0"/>
          <w:marBottom w:val="0"/>
          <w:divBdr>
            <w:top w:val="none" w:sz="0" w:space="0" w:color="auto"/>
            <w:left w:val="none" w:sz="0" w:space="0" w:color="auto"/>
            <w:bottom w:val="none" w:sz="0" w:space="0" w:color="auto"/>
            <w:right w:val="none" w:sz="0" w:space="0" w:color="auto"/>
          </w:divBdr>
          <w:divsChild>
            <w:div w:id="850528021">
              <w:marLeft w:val="0"/>
              <w:marRight w:val="0"/>
              <w:marTop w:val="0"/>
              <w:marBottom w:val="0"/>
              <w:divBdr>
                <w:top w:val="none" w:sz="0" w:space="0" w:color="auto"/>
                <w:left w:val="none" w:sz="0" w:space="0" w:color="auto"/>
                <w:bottom w:val="none" w:sz="0" w:space="0" w:color="auto"/>
                <w:right w:val="none" w:sz="0" w:space="0" w:color="auto"/>
              </w:divBdr>
              <w:divsChild>
                <w:div w:id="787897422">
                  <w:marLeft w:val="0"/>
                  <w:marRight w:val="0"/>
                  <w:marTop w:val="0"/>
                  <w:marBottom w:val="0"/>
                  <w:divBdr>
                    <w:top w:val="none" w:sz="0" w:space="0" w:color="auto"/>
                    <w:left w:val="none" w:sz="0" w:space="0" w:color="auto"/>
                    <w:bottom w:val="none" w:sz="0" w:space="0" w:color="auto"/>
                    <w:right w:val="none" w:sz="0" w:space="0" w:color="auto"/>
                  </w:divBdr>
                  <w:divsChild>
                    <w:div w:id="1798601551">
                      <w:marLeft w:val="0"/>
                      <w:marRight w:val="0"/>
                      <w:marTop w:val="0"/>
                      <w:marBottom w:val="0"/>
                      <w:divBdr>
                        <w:top w:val="none" w:sz="0" w:space="0" w:color="auto"/>
                        <w:left w:val="none" w:sz="0" w:space="0" w:color="auto"/>
                        <w:bottom w:val="none" w:sz="0" w:space="0" w:color="auto"/>
                        <w:right w:val="none" w:sz="0" w:space="0" w:color="auto"/>
                      </w:divBdr>
                      <w:divsChild>
                        <w:div w:id="1968311053">
                          <w:marLeft w:val="0"/>
                          <w:marRight w:val="0"/>
                          <w:marTop w:val="0"/>
                          <w:marBottom w:val="0"/>
                          <w:divBdr>
                            <w:top w:val="none" w:sz="0" w:space="0" w:color="auto"/>
                            <w:left w:val="none" w:sz="0" w:space="0" w:color="auto"/>
                            <w:bottom w:val="none" w:sz="0" w:space="0" w:color="auto"/>
                            <w:right w:val="none" w:sz="0" w:space="0" w:color="auto"/>
                          </w:divBdr>
                          <w:divsChild>
                            <w:div w:id="2123835975">
                              <w:marLeft w:val="0"/>
                              <w:marRight w:val="0"/>
                              <w:marTop w:val="0"/>
                              <w:marBottom w:val="0"/>
                              <w:divBdr>
                                <w:top w:val="none" w:sz="0" w:space="0" w:color="auto"/>
                                <w:left w:val="none" w:sz="0" w:space="0" w:color="auto"/>
                                <w:bottom w:val="none" w:sz="0" w:space="0" w:color="auto"/>
                                <w:right w:val="none" w:sz="0" w:space="0" w:color="auto"/>
                              </w:divBdr>
                              <w:divsChild>
                                <w:div w:id="6580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087415">
          <w:marLeft w:val="0"/>
          <w:marRight w:val="0"/>
          <w:marTop w:val="0"/>
          <w:marBottom w:val="0"/>
          <w:divBdr>
            <w:top w:val="none" w:sz="0" w:space="0" w:color="auto"/>
            <w:left w:val="none" w:sz="0" w:space="0" w:color="auto"/>
            <w:bottom w:val="none" w:sz="0" w:space="0" w:color="auto"/>
            <w:right w:val="none" w:sz="0" w:space="0" w:color="auto"/>
          </w:divBdr>
          <w:divsChild>
            <w:div w:id="1677880882">
              <w:marLeft w:val="0"/>
              <w:marRight w:val="0"/>
              <w:marTop w:val="0"/>
              <w:marBottom w:val="0"/>
              <w:divBdr>
                <w:top w:val="none" w:sz="0" w:space="0" w:color="auto"/>
                <w:left w:val="none" w:sz="0" w:space="0" w:color="auto"/>
                <w:bottom w:val="none" w:sz="0" w:space="0" w:color="auto"/>
                <w:right w:val="none" w:sz="0" w:space="0" w:color="auto"/>
              </w:divBdr>
              <w:divsChild>
                <w:div w:id="266934900">
                  <w:marLeft w:val="0"/>
                  <w:marRight w:val="0"/>
                  <w:marTop w:val="0"/>
                  <w:marBottom w:val="0"/>
                  <w:divBdr>
                    <w:top w:val="none" w:sz="0" w:space="0" w:color="auto"/>
                    <w:left w:val="none" w:sz="0" w:space="0" w:color="auto"/>
                    <w:bottom w:val="none" w:sz="0" w:space="0" w:color="auto"/>
                    <w:right w:val="none" w:sz="0" w:space="0" w:color="auto"/>
                  </w:divBdr>
                  <w:divsChild>
                    <w:div w:id="573784052">
                      <w:marLeft w:val="0"/>
                      <w:marRight w:val="0"/>
                      <w:marTop w:val="0"/>
                      <w:marBottom w:val="0"/>
                      <w:divBdr>
                        <w:top w:val="none" w:sz="0" w:space="0" w:color="auto"/>
                        <w:left w:val="none" w:sz="0" w:space="0" w:color="auto"/>
                        <w:bottom w:val="none" w:sz="0" w:space="0" w:color="auto"/>
                        <w:right w:val="none" w:sz="0" w:space="0" w:color="auto"/>
                      </w:divBdr>
                      <w:divsChild>
                        <w:div w:id="508525698">
                          <w:marLeft w:val="0"/>
                          <w:marRight w:val="0"/>
                          <w:marTop w:val="0"/>
                          <w:marBottom w:val="0"/>
                          <w:divBdr>
                            <w:top w:val="none" w:sz="0" w:space="0" w:color="auto"/>
                            <w:left w:val="none" w:sz="0" w:space="0" w:color="auto"/>
                            <w:bottom w:val="none" w:sz="0" w:space="0" w:color="auto"/>
                            <w:right w:val="none" w:sz="0" w:space="0" w:color="auto"/>
                          </w:divBdr>
                          <w:divsChild>
                            <w:div w:id="139547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297804">
          <w:marLeft w:val="0"/>
          <w:marRight w:val="0"/>
          <w:marTop w:val="0"/>
          <w:marBottom w:val="0"/>
          <w:divBdr>
            <w:top w:val="none" w:sz="0" w:space="0" w:color="auto"/>
            <w:left w:val="none" w:sz="0" w:space="0" w:color="auto"/>
            <w:bottom w:val="none" w:sz="0" w:space="0" w:color="auto"/>
            <w:right w:val="none" w:sz="0" w:space="0" w:color="auto"/>
          </w:divBdr>
          <w:divsChild>
            <w:div w:id="307515992">
              <w:marLeft w:val="0"/>
              <w:marRight w:val="0"/>
              <w:marTop w:val="0"/>
              <w:marBottom w:val="0"/>
              <w:divBdr>
                <w:top w:val="none" w:sz="0" w:space="0" w:color="auto"/>
                <w:left w:val="none" w:sz="0" w:space="0" w:color="auto"/>
                <w:bottom w:val="none" w:sz="0" w:space="0" w:color="auto"/>
                <w:right w:val="none" w:sz="0" w:space="0" w:color="auto"/>
              </w:divBdr>
              <w:divsChild>
                <w:div w:id="1928612072">
                  <w:marLeft w:val="0"/>
                  <w:marRight w:val="0"/>
                  <w:marTop w:val="0"/>
                  <w:marBottom w:val="0"/>
                  <w:divBdr>
                    <w:top w:val="none" w:sz="0" w:space="0" w:color="auto"/>
                    <w:left w:val="none" w:sz="0" w:space="0" w:color="auto"/>
                    <w:bottom w:val="none" w:sz="0" w:space="0" w:color="auto"/>
                    <w:right w:val="none" w:sz="0" w:space="0" w:color="auto"/>
                  </w:divBdr>
                  <w:divsChild>
                    <w:div w:id="451174189">
                      <w:marLeft w:val="0"/>
                      <w:marRight w:val="0"/>
                      <w:marTop w:val="0"/>
                      <w:marBottom w:val="0"/>
                      <w:divBdr>
                        <w:top w:val="none" w:sz="0" w:space="0" w:color="auto"/>
                        <w:left w:val="none" w:sz="0" w:space="0" w:color="auto"/>
                        <w:bottom w:val="none" w:sz="0" w:space="0" w:color="auto"/>
                        <w:right w:val="none" w:sz="0" w:space="0" w:color="auto"/>
                      </w:divBdr>
                      <w:divsChild>
                        <w:div w:id="811555760">
                          <w:marLeft w:val="0"/>
                          <w:marRight w:val="0"/>
                          <w:marTop w:val="0"/>
                          <w:marBottom w:val="0"/>
                          <w:divBdr>
                            <w:top w:val="none" w:sz="0" w:space="0" w:color="auto"/>
                            <w:left w:val="none" w:sz="0" w:space="0" w:color="auto"/>
                            <w:bottom w:val="none" w:sz="0" w:space="0" w:color="auto"/>
                            <w:right w:val="none" w:sz="0" w:space="0" w:color="auto"/>
                          </w:divBdr>
                          <w:divsChild>
                            <w:div w:id="1514765052">
                              <w:marLeft w:val="0"/>
                              <w:marRight w:val="0"/>
                              <w:marTop w:val="0"/>
                              <w:marBottom w:val="0"/>
                              <w:divBdr>
                                <w:top w:val="none" w:sz="0" w:space="0" w:color="auto"/>
                                <w:left w:val="none" w:sz="0" w:space="0" w:color="auto"/>
                                <w:bottom w:val="none" w:sz="0" w:space="0" w:color="auto"/>
                                <w:right w:val="none" w:sz="0" w:space="0" w:color="auto"/>
                              </w:divBdr>
                              <w:divsChild>
                                <w:div w:id="15420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268680">
          <w:marLeft w:val="0"/>
          <w:marRight w:val="0"/>
          <w:marTop w:val="0"/>
          <w:marBottom w:val="0"/>
          <w:divBdr>
            <w:top w:val="none" w:sz="0" w:space="0" w:color="auto"/>
            <w:left w:val="none" w:sz="0" w:space="0" w:color="auto"/>
            <w:bottom w:val="none" w:sz="0" w:space="0" w:color="auto"/>
            <w:right w:val="none" w:sz="0" w:space="0" w:color="auto"/>
          </w:divBdr>
          <w:divsChild>
            <w:div w:id="1497191585">
              <w:marLeft w:val="0"/>
              <w:marRight w:val="0"/>
              <w:marTop w:val="0"/>
              <w:marBottom w:val="0"/>
              <w:divBdr>
                <w:top w:val="none" w:sz="0" w:space="0" w:color="auto"/>
                <w:left w:val="none" w:sz="0" w:space="0" w:color="auto"/>
                <w:bottom w:val="none" w:sz="0" w:space="0" w:color="auto"/>
                <w:right w:val="none" w:sz="0" w:space="0" w:color="auto"/>
              </w:divBdr>
              <w:divsChild>
                <w:div w:id="690955699">
                  <w:marLeft w:val="0"/>
                  <w:marRight w:val="0"/>
                  <w:marTop w:val="0"/>
                  <w:marBottom w:val="0"/>
                  <w:divBdr>
                    <w:top w:val="none" w:sz="0" w:space="0" w:color="auto"/>
                    <w:left w:val="none" w:sz="0" w:space="0" w:color="auto"/>
                    <w:bottom w:val="none" w:sz="0" w:space="0" w:color="auto"/>
                    <w:right w:val="none" w:sz="0" w:space="0" w:color="auto"/>
                  </w:divBdr>
                  <w:divsChild>
                    <w:div w:id="1335841462">
                      <w:marLeft w:val="0"/>
                      <w:marRight w:val="0"/>
                      <w:marTop w:val="0"/>
                      <w:marBottom w:val="0"/>
                      <w:divBdr>
                        <w:top w:val="none" w:sz="0" w:space="0" w:color="auto"/>
                        <w:left w:val="none" w:sz="0" w:space="0" w:color="auto"/>
                        <w:bottom w:val="none" w:sz="0" w:space="0" w:color="auto"/>
                        <w:right w:val="none" w:sz="0" w:space="0" w:color="auto"/>
                      </w:divBdr>
                      <w:divsChild>
                        <w:div w:id="122384694">
                          <w:marLeft w:val="0"/>
                          <w:marRight w:val="0"/>
                          <w:marTop w:val="0"/>
                          <w:marBottom w:val="0"/>
                          <w:divBdr>
                            <w:top w:val="none" w:sz="0" w:space="0" w:color="auto"/>
                            <w:left w:val="none" w:sz="0" w:space="0" w:color="auto"/>
                            <w:bottom w:val="none" w:sz="0" w:space="0" w:color="auto"/>
                            <w:right w:val="none" w:sz="0" w:space="0" w:color="auto"/>
                          </w:divBdr>
                          <w:divsChild>
                            <w:div w:id="2839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835657">
      <w:bodyDiv w:val="1"/>
      <w:marLeft w:val="0"/>
      <w:marRight w:val="0"/>
      <w:marTop w:val="0"/>
      <w:marBottom w:val="0"/>
      <w:divBdr>
        <w:top w:val="none" w:sz="0" w:space="0" w:color="auto"/>
        <w:left w:val="none" w:sz="0" w:space="0" w:color="auto"/>
        <w:bottom w:val="none" w:sz="0" w:space="0" w:color="auto"/>
        <w:right w:val="none" w:sz="0" w:space="0" w:color="auto"/>
      </w:divBdr>
    </w:div>
    <w:div w:id="2079404762">
      <w:bodyDiv w:val="1"/>
      <w:marLeft w:val="0"/>
      <w:marRight w:val="0"/>
      <w:marTop w:val="0"/>
      <w:marBottom w:val="0"/>
      <w:divBdr>
        <w:top w:val="none" w:sz="0" w:space="0" w:color="auto"/>
        <w:left w:val="none" w:sz="0" w:space="0" w:color="auto"/>
        <w:bottom w:val="none" w:sz="0" w:space="0" w:color="auto"/>
        <w:right w:val="none" w:sz="0" w:space="0" w:color="auto"/>
      </w:divBdr>
      <w:divsChild>
        <w:div w:id="1148862028">
          <w:marLeft w:val="0"/>
          <w:marRight w:val="0"/>
          <w:marTop w:val="0"/>
          <w:marBottom w:val="0"/>
          <w:divBdr>
            <w:top w:val="none" w:sz="0" w:space="0" w:color="auto"/>
            <w:left w:val="none" w:sz="0" w:space="0" w:color="auto"/>
            <w:bottom w:val="none" w:sz="0" w:space="0" w:color="auto"/>
            <w:right w:val="none" w:sz="0" w:space="0" w:color="auto"/>
          </w:divBdr>
          <w:divsChild>
            <w:div w:id="1829862530">
              <w:marLeft w:val="0"/>
              <w:marRight w:val="0"/>
              <w:marTop w:val="0"/>
              <w:marBottom w:val="0"/>
              <w:divBdr>
                <w:top w:val="none" w:sz="0" w:space="0" w:color="auto"/>
                <w:left w:val="none" w:sz="0" w:space="0" w:color="auto"/>
                <w:bottom w:val="none" w:sz="0" w:space="0" w:color="auto"/>
                <w:right w:val="none" w:sz="0" w:space="0" w:color="auto"/>
              </w:divBdr>
              <w:divsChild>
                <w:div w:id="1828091475">
                  <w:marLeft w:val="0"/>
                  <w:marRight w:val="0"/>
                  <w:marTop w:val="0"/>
                  <w:marBottom w:val="0"/>
                  <w:divBdr>
                    <w:top w:val="none" w:sz="0" w:space="0" w:color="auto"/>
                    <w:left w:val="none" w:sz="0" w:space="0" w:color="auto"/>
                    <w:bottom w:val="none" w:sz="0" w:space="0" w:color="auto"/>
                    <w:right w:val="none" w:sz="0" w:space="0" w:color="auto"/>
                  </w:divBdr>
                  <w:divsChild>
                    <w:div w:id="2085644241">
                      <w:marLeft w:val="0"/>
                      <w:marRight w:val="0"/>
                      <w:marTop w:val="0"/>
                      <w:marBottom w:val="0"/>
                      <w:divBdr>
                        <w:top w:val="none" w:sz="0" w:space="0" w:color="auto"/>
                        <w:left w:val="none" w:sz="0" w:space="0" w:color="auto"/>
                        <w:bottom w:val="none" w:sz="0" w:space="0" w:color="auto"/>
                        <w:right w:val="none" w:sz="0" w:space="0" w:color="auto"/>
                      </w:divBdr>
                      <w:divsChild>
                        <w:div w:id="1738091780">
                          <w:marLeft w:val="0"/>
                          <w:marRight w:val="0"/>
                          <w:marTop w:val="0"/>
                          <w:marBottom w:val="0"/>
                          <w:divBdr>
                            <w:top w:val="none" w:sz="0" w:space="0" w:color="auto"/>
                            <w:left w:val="none" w:sz="0" w:space="0" w:color="auto"/>
                            <w:bottom w:val="none" w:sz="0" w:space="0" w:color="auto"/>
                            <w:right w:val="none" w:sz="0" w:space="0" w:color="auto"/>
                          </w:divBdr>
                          <w:divsChild>
                            <w:div w:id="148728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8812">
      <w:bodyDiv w:val="1"/>
      <w:marLeft w:val="0"/>
      <w:marRight w:val="0"/>
      <w:marTop w:val="0"/>
      <w:marBottom w:val="0"/>
      <w:divBdr>
        <w:top w:val="none" w:sz="0" w:space="0" w:color="auto"/>
        <w:left w:val="none" w:sz="0" w:space="0" w:color="auto"/>
        <w:bottom w:val="none" w:sz="0" w:space="0" w:color="auto"/>
        <w:right w:val="none" w:sz="0" w:space="0" w:color="auto"/>
      </w:divBdr>
    </w:div>
    <w:div w:id="2103137071">
      <w:bodyDiv w:val="1"/>
      <w:marLeft w:val="0"/>
      <w:marRight w:val="0"/>
      <w:marTop w:val="0"/>
      <w:marBottom w:val="0"/>
      <w:divBdr>
        <w:top w:val="none" w:sz="0" w:space="0" w:color="auto"/>
        <w:left w:val="none" w:sz="0" w:space="0" w:color="auto"/>
        <w:bottom w:val="none" w:sz="0" w:space="0" w:color="auto"/>
        <w:right w:val="none" w:sz="0" w:space="0" w:color="auto"/>
      </w:divBdr>
    </w:div>
    <w:div w:id="2109765030">
      <w:bodyDiv w:val="1"/>
      <w:marLeft w:val="0"/>
      <w:marRight w:val="0"/>
      <w:marTop w:val="0"/>
      <w:marBottom w:val="0"/>
      <w:divBdr>
        <w:top w:val="none" w:sz="0" w:space="0" w:color="auto"/>
        <w:left w:val="none" w:sz="0" w:space="0" w:color="auto"/>
        <w:bottom w:val="none" w:sz="0" w:space="0" w:color="auto"/>
        <w:right w:val="none" w:sz="0" w:space="0" w:color="auto"/>
      </w:divBdr>
    </w:div>
    <w:div w:id="2113624061">
      <w:bodyDiv w:val="1"/>
      <w:marLeft w:val="0"/>
      <w:marRight w:val="0"/>
      <w:marTop w:val="0"/>
      <w:marBottom w:val="0"/>
      <w:divBdr>
        <w:top w:val="none" w:sz="0" w:space="0" w:color="auto"/>
        <w:left w:val="none" w:sz="0" w:space="0" w:color="auto"/>
        <w:bottom w:val="none" w:sz="0" w:space="0" w:color="auto"/>
        <w:right w:val="none" w:sz="0" w:space="0" w:color="auto"/>
      </w:divBdr>
    </w:div>
    <w:div w:id="2122994337">
      <w:bodyDiv w:val="1"/>
      <w:marLeft w:val="0"/>
      <w:marRight w:val="0"/>
      <w:marTop w:val="0"/>
      <w:marBottom w:val="0"/>
      <w:divBdr>
        <w:top w:val="none" w:sz="0" w:space="0" w:color="auto"/>
        <w:left w:val="none" w:sz="0" w:space="0" w:color="auto"/>
        <w:bottom w:val="none" w:sz="0" w:space="0" w:color="auto"/>
        <w:right w:val="none" w:sz="0" w:space="0" w:color="auto"/>
      </w:divBdr>
    </w:div>
    <w:div w:id="2126456581">
      <w:bodyDiv w:val="1"/>
      <w:marLeft w:val="0"/>
      <w:marRight w:val="0"/>
      <w:marTop w:val="0"/>
      <w:marBottom w:val="0"/>
      <w:divBdr>
        <w:top w:val="none" w:sz="0" w:space="0" w:color="auto"/>
        <w:left w:val="none" w:sz="0" w:space="0" w:color="auto"/>
        <w:bottom w:val="none" w:sz="0" w:space="0" w:color="auto"/>
        <w:right w:val="none" w:sz="0" w:space="0" w:color="auto"/>
      </w:divBdr>
    </w:div>
    <w:div w:id="2132044203">
      <w:bodyDiv w:val="1"/>
      <w:marLeft w:val="0"/>
      <w:marRight w:val="0"/>
      <w:marTop w:val="0"/>
      <w:marBottom w:val="0"/>
      <w:divBdr>
        <w:top w:val="none" w:sz="0" w:space="0" w:color="auto"/>
        <w:left w:val="none" w:sz="0" w:space="0" w:color="auto"/>
        <w:bottom w:val="none" w:sz="0" w:space="0" w:color="auto"/>
        <w:right w:val="none" w:sz="0" w:space="0" w:color="auto"/>
      </w:divBdr>
    </w:div>
    <w:div w:id="2135243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microsoft.com/office/2014/relationships/chartEx" Target="charts/chartEx1.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9.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image" Target="media/image6.png"/><Relationship Id="rId50" Type="http://schemas.openxmlformats.org/officeDocument/2006/relationships/chart" Target="charts/chart3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5.xml"/><Relationship Id="rId11" Type="http://schemas.openxmlformats.org/officeDocument/2006/relationships/chart" Target="charts/chart1.xml"/><Relationship Id="rId24" Type="http://schemas.microsoft.com/office/2014/relationships/chartEx" Target="charts/chartEx2.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29.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chart" Target="charts/chart17.xml"/><Relationship Id="rId44" Type="http://schemas.openxmlformats.org/officeDocument/2006/relationships/image" Target="media/image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4.xml"/><Relationship Id="rId22" Type="http://schemas.openxmlformats.org/officeDocument/2006/relationships/chart" Target="charts/chart10.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microsoft.com/office/2014/relationships/chartEx" Target="charts/chartEx3.xml"/><Relationship Id="rId48" Type="http://schemas.microsoft.com/office/2014/relationships/chartEx" Target="charts/chartEx5.xml"/><Relationship Id="rId8" Type="http://schemas.openxmlformats.org/officeDocument/2006/relationships/image" Target="media/image1.jpeg"/><Relationship Id="rId51" Type="http://schemas.openxmlformats.org/officeDocument/2006/relationships/chart" Target="charts/chart3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4.png"/><Relationship Id="rId33" Type="http://schemas.openxmlformats.org/officeDocument/2006/relationships/chart" Target="charts/chart19.xml"/><Relationship Id="rId38" Type="http://schemas.openxmlformats.org/officeDocument/2006/relationships/chart" Target="charts/chart24.xml"/><Relationship Id="rId46" Type="http://schemas.microsoft.com/office/2014/relationships/chartEx" Target="charts/chartEx4.xml"/><Relationship Id="rId20" Type="http://schemas.openxmlformats.org/officeDocument/2006/relationships/chart" Target="charts/chart8.xml"/><Relationship Id="rId41" Type="http://schemas.openxmlformats.org/officeDocument/2006/relationships/chart" Target="charts/chart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1.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nazmije.g.krasniqi\Desktop\Copy%20of%20tabela%20te%20dhenat%20nga%20komunat%202025%20majlinda%2008%20Prill%202026.xlsx" TargetMode="External"/></Relationships>
</file>

<file path=word/charts/_rels/chart19.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7.xlsx"/></Relationships>
</file>

<file path=word/charts/_rels/chart21.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C:\Users\nazmije.g.krasniqi\AppData\Local\Microsoft\Windows\INetCache\Content.Outlook\B74GVCYZ\tabela%20te%20dhenat%20nga%20komunat%202025%20majlinda%2008%20Prill%202026.xlsx" TargetMode="External"/></Relationships>
</file>

<file path=word/charts/_rels/chart22.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18.xlsx"/></Relationships>
</file>

<file path=word/charts/_rels/chart23.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19.xlsx"/></Relationships>
</file>

<file path=word/charts/_rels/chart24.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0.xlsx"/></Relationships>
</file>

<file path=word/charts/_rels/chart25.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1.xlsx"/></Relationships>
</file>

<file path=word/charts/_rels/chart26.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2.xlsx"/></Relationships>
</file>

<file path=word/charts/_rels/chart27.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3.xlsx"/></Relationships>
</file>

<file path=word/charts/_rels/chart28.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4.xlsx"/></Relationships>
</file>

<file path=word/charts/_rels/chart29.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25.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26.xlsx"/></Relationships>
</file>

<file path=word/charts/_rels/chart31.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27.xlsx"/></Relationships>
</file>

<file path=word/charts/_rels/chart4.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nazmije.g.krasniqi\AppData\Local\Microsoft\Windows\INetCache\Content.Outlook\B74GVCYZ\tabela%20te%20dhenat%20nga%20komunat%202025%20majlinda%2008%20Prill%202026.xlsx" TargetMode="External"/></Relationships>
</file>

<file path=word/charts/_rels/chart5.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7.xlsx"/></Relationships>
</file>

<file path=word/charts/_rels/chartEx1.xml.rels><?xml version="1.0" encoding="UTF-8" standalone="yes"?>
<Relationships xmlns="http://schemas.openxmlformats.org/package/2006/relationships"><Relationship Id="rId3" Type="http://schemas.microsoft.com/office/2011/relationships/chartStyle" Target="style8.xml"/><Relationship Id="rId2" Type="http://schemas.openxmlformats.org/officeDocument/2006/relationships/image" Target="../media/image2.jpeg"/><Relationship Id="rId1" Type="http://schemas.openxmlformats.org/officeDocument/2006/relationships/oleObject" Target="file:///C:\Users\nazmije.g.krasniqi\AppData\Local\Microsoft\Windows\INetCache\Content.Outlook\B74GVCYZ\tabela%20te%20dhenat%20nga%20komunat%202025%20majlinda%2008%20Prill%202026.xlsx" TargetMode="External"/><Relationship Id="rId4" Type="http://schemas.microsoft.com/office/2011/relationships/chartColorStyle" Target="colors8.xml"/></Relationships>
</file>

<file path=word/charts/_rels/chartEx2.xml.rels><?xml version="1.0" encoding="UTF-8" standalone="yes"?>
<Relationships xmlns="http://schemas.openxmlformats.org/package/2006/relationships"><Relationship Id="rId3" Type="http://schemas.microsoft.com/office/2011/relationships/chartStyle" Target="style13.xml"/><Relationship Id="rId2" Type="http://schemas.openxmlformats.org/officeDocument/2006/relationships/image" Target="../media/image2.jpeg"/><Relationship Id="rId1" Type="http://schemas.openxmlformats.org/officeDocument/2006/relationships/oleObject" Target="file:///C:\Users\nazmije.g.krasniqi\AppData\Local\Microsoft\Windows\INetCache\Content.Outlook\B74GVCYZ\tabela%20te%20dhenat%20nga%20komunat%202025%20majlinda%2008%20Prill%202026.xlsx" TargetMode="External"/><Relationship Id="rId5" Type="http://schemas.openxmlformats.org/officeDocument/2006/relationships/themeOverride" Target="../theme/themeOverride1.xml"/><Relationship Id="rId4" Type="http://schemas.microsoft.com/office/2011/relationships/chartColorStyle" Target="colors13.xml"/></Relationships>
</file>

<file path=word/charts/_rels/chartEx3.xml.rels><?xml version="1.0" encoding="UTF-8" standalone="yes"?>
<Relationships xmlns="http://schemas.openxmlformats.org/package/2006/relationships"><Relationship Id="rId3" Type="http://schemas.microsoft.com/office/2011/relationships/chartStyle" Target="style31.xml"/><Relationship Id="rId2" Type="http://schemas.openxmlformats.org/officeDocument/2006/relationships/image" Target="../media/image2.jpeg"/><Relationship Id="rId1" Type="http://schemas.openxmlformats.org/officeDocument/2006/relationships/oleObject" Target="file:///C:\Users\nazmije.g.krasniqi\AppData\Local\Microsoft\Windows\INetCache\Content.Outlook\B74GVCYZ\tabela%20te%20dhenat%20nga%20komunat%202025%20majlinda%2008%20Prill%202026.xlsx" TargetMode="External"/><Relationship Id="rId4" Type="http://schemas.microsoft.com/office/2011/relationships/chartColorStyle" Target="colors31.xml"/></Relationships>
</file>

<file path=word/charts/_rels/chartEx4.xml.rels><?xml version="1.0" encoding="UTF-8" standalone="yes"?>
<Relationships xmlns="http://schemas.openxmlformats.org/package/2006/relationships"><Relationship Id="rId3" Type="http://schemas.microsoft.com/office/2011/relationships/chartStyle" Target="style33.xml"/><Relationship Id="rId2" Type="http://schemas.openxmlformats.org/officeDocument/2006/relationships/image" Target="../media/image2.jpeg"/><Relationship Id="rId1" Type="http://schemas.openxmlformats.org/officeDocument/2006/relationships/oleObject" Target="file:///C:\Users\nazmije.g.krasniqi\AppData\Local\Microsoft\Windows\INetCache\Content.Outlook\B74GVCYZ\tabela%20te%20dhenat%20nga%20komunat%202025%20majlinda%2008%20Prill%202026.xlsx" TargetMode="External"/><Relationship Id="rId4" Type="http://schemas.microsoft.com/office/2011/relationships/chartColorStyle" Target="colors33.xml"/></Relationships>
</file>

<file path=word/charts/_rels/chartEx5.xml.rels><?xml version="1.0" encoding="UTF-8" standalone="yes"?>
<Relationships xmlns="http://schemas.openxmlformats.org/package/2006/relationships"><Relationship Id="rId3" Type="http://schemas.microsoft.com/office/2011/relationships/chartStyle" Target="style34.xml"/><Relationship Id="rId2" Type="http://schemas.openxmlformats.org/officeDocument/2006/relationships/image" Target="../media/image2.jpeg"/><Relationship Id="rId1" Type="http://schemas.openxmlformats.org/officeDocument/2006/relationships/oleObject" Target="file:///C:\Users\nazmije.g.krasniqi\AppData\Local\Microsoft\Windows\INetCache\Content.Outlook\B74GVCYZ\tabela%20te%20dhenat%20nga%20komunat%202025%20majlinda%2008%20Prill%202026.xlsx" TargetMode="External"/><Relationship Id="rId4" Type="http://schemas.microsoft.com/office/2011/relationships/chartColorStyle" Target="colors3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'PUBLIKIMI I FTESAVE '!$J$7</c:f>
              <c:strCache>
                <c:ptCount val="1"/>
                <c:pt idx="0">
                  <c:v>Njoftimi për mbledhjet e Kuvendit të  Komunave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I FTESAVE '!$I$8:$I$45</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'PUBLIKIMI I FTESAVE '!$J$8:$J$45</c:f>
              <c:numCache>
                <c:formatCode>General</c:formatCode>
                <c:ptCount val="38"/>
                <c:pt idx="0">
                  <c:v>14</c:v>
                </c:pt>
                <c:pt idx="1">
                  <c:v>11</c:v>
                </c:pt>
                <c:pt idx="2">
                  <c:v>9</c:v>
                </c:pt>
                <c:pt idx="3">
                  <c:v>10</c:v>
                </c:pt>
                <c:pt idx="4">
                  <c:v>20</c:v>
                </c:pt>
                <c:pt idx="5">
                  <c:v>14</c:v>
                </c:pt>
                <c:pt idx="6">
                  <c:v>14</c:v>
                </c:pt>
                <c:pt idx="7">
                  <c:v>9</c:v>
                </c:pt>
                <c:pt idx="8">
                  <c:v>10</c:v>
                </c:pt>
                <c:pt idx="9">
                  <c:v>12</c:v>
                </c:pt>
                <c:pt idx="10">
                  <c:v>12</c:v>
                </c:pt>
                <c:pt idx="11">
                  <c:v>14</c:v>
                </c:pt>
                <c:pt idx="12">
                  <c:v>13</c:v>
                </c:pt>
                <c:pt idx="13">
                  <c:v>1</c:v>
                </c:pt>
                <c:pt idx="14">
                  <c:v>9</c:v>
                </c:pt>
                <c:pt idx="15">
                  <c:v>11</c:v>
                </c:pt>
                <c:pt idx="16">
                  <c:v>7</c:v>
                </c:pt>
                <c:pt idx="17">
                  <c:v>4</c:v>
                </c:pt>
                <c:pt idx="18">
                  <c:v>18</c:v>
                </c:pt>
                <c:pt idx="19">
                  <c:v>3</c:v>
                </c:pt>
                <c:pt idx="20">
                  <c:v>9</c:v>
                </c:pt>
                <c:pt idx="21">
                  <c:v>12</c:v>
                </c:pt>
                <c:pt idx="22">
                  <c:v>26</c:v>
                </c:pt>
                <c:pt idx="23">
                  <c:v>13</c:v>
                </c:pt>
                <c:pt idx="24">
                  <c:v>13</c:v>
                </c:pt>
                <c:pt idx="25">
                  <c:v>0</c:v>
                </c:pt>
                <c:pt idx="26">
                  <c:v>15</c:v>
                </c:pt>
                <c:pt idx="27">
                  <c:v>0</c:v>
                </c:pt>
                <c:pt idx="28">
                  <c:v>9</c:v>
                </c:pt>
                <c:pt idx="29">
                  <c:v>10</c:v>
                </c:pt>
                <c:pt idx="30">
                  <c:v>15</c:v>
                </c:pt>
                <c:pt idx="31">
                  <c:v>14</c:v>
                </c:pt>
                <c:pt idx="32">
                  <c:v>0</c:v>
                </c:pt>
                <c:pt idx="33">
                  <c:v>0</c:v>
                </c:pt>
                <c:pt idx="34">
                  <c:v>0</c:v>
                </c:pt>
                <c:pt idx="35">
                  <c:v>3</c:v>
                </c:pt>
                <c:pt idx="36">
                  <c:v>3</c:v>
                </c:pt>
                <c:pt idx="37">
                  <c:v>16</c:v>
                </c:pt>
              </c:numCache>
            </c:numRef>
          </c:val>
          <c:extLst>
            <c:ext xmlns:c16="http://schemas.microsoft.com/office/drawing/2014/chart" uri="{C3380CC4-5D6E-409C-BE32-E72D297353CC}">
              <c16:uniqueId val="{00000000-C733-4824-82F0-7447F56BECA4}"/>
            </c:ext>
          </c:extLst>
        </c:ser>
        <c:dLbls>
          <c:showLegendKey val="0"/>
          <c:showVal val="1"/>
          <c:showCatName val="0"/>
          <c:showSerName val="0"/>
          <c:showPercent val="0"/>
          <c:showBubbleSize val="0"/>
        </c:dLbls>
        <c:gapWidth val="150"/>
        <c:overlap val="-25"/>
        <c:axId val="509599208"/>
        <c:axId val="509601560"/>
      </c:barChart>
      <c:catAx>
        <c:axId val="509599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lumMod val="65000"/>
                    <a:lumOff val="35000"/>
                  </a:schemeClr>
                </a:solidFill>
                <a:latin typeface="+mj-lt"/>
                <a:ea typeface="+mn-ea"/>
                <a:cs typeface="+mn-cs"/>
              </a:defRPr>
            </a:pPr>
            <a:endParaRPr lang="en-US"/>
          </a:p>
        </c:txPr>
        <c:crossAx val="509601560"/>
        <c:crosses val="autoZero"/>
        <c:auto val="1"/>
        <c:lblAlgn val="ctr"/>
        <c:lblOffset val="100"/>
        <c:noMultiLvlLbl val="0"/>
      </c:catAx>
      <c:valAx>
        <c:axId val="509601560"/>
        <c:scaling>
          <c:orientation val="minMax"/>
        </c:scaling>
        <c:delete val="1"/>
        <c:axPos val="l"/>
        <c:numFmt formatCode="General" sourceLinked="1"/>
        <c:majorTickMark val="none"/>
        <c:minorTickMark val="none"/>
        <c:tickLblPos val="nextTo"/>
        <c:crossAx val="5095992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228803716608595E-2"/>
          <c:y val="0.12377859709929169"/>
          <c:w val="0.95354239256678286"/>
          <c:h val="0.52763535281871154"/>
        </c:manualLayout>
      </c:layout>
      <c:bar3DChart>
        <c:barDir val="col"/>
        <c:grouping val="stacked"/>
        <c:varyColors val="0"/>
        <c:ser>
          <c:idx val="0"/>
          <c:order val="0"/>
          <c:tx>
            <c:strRef>
              <c:f>'PUBLIKIMI K.K PLANET STRATEGJIK'!$W$8</c:f>
              <c:strCache>
                <c:ptCount val="1"/>
                <c:pt idx="0">
                  <c:v>Planet dhe dokumente strategjike</c:v>
                </c:pt>
              </c:strCache>
            </c:strRef>
          </c:tx>
          <c:spPr>
            <a:solidFill>
              <a:schemeClr val="accent1"/>
            </a:solidFill>
            <a:ln>
              <a:noFill/>
            </a:ln>
            <a:effectLst/>
            <a:sp3d/>
          </c:spPr>
          <c:invertIfNegative val="0"/>
          <c:dLbls>
            <c:dLbl>
              <c:idx val="0"/>
              <c:layout>
                <c:manualLayout>
                  <c:x val="1.0558547143912998E-2"/>
                  <c:y val="-9.4534711964549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FC-4105-B9ED-4F9C5C56D70D}"/>
                </c:ext>
              </c:extLst>
            </c:dLbl>
            <c:dLbl>
              <c:idx val="1"/>
              <c:layout>
                <c:manualLayout>
                  <c:x val="6.3351282863477985E-3"/>
                  <c:y val="-0.135893648449039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FC-4105-B9ED-4F9C5C56D70D}"/>
                </c:ext>
              </c:extLst>
            </c:dLbl>
            <c:dLbl>
              <c:idx val="2"/>
              <c:layout>
                <c:manualLayout>
                  <c:x val="7.3909830007390775E-3"/>
                  <c:y val="-0.153618906942392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7FC-4105-B9ED-4F9C5C56D70D}"/>
                </c:ext>
              </c:extLst>
            </c:dLbl>
            <c:dLbl>
              <c:idx val="3"/>
              <c:layout>
                <c:manualLayout>
                  <c:x val="-1.935711281548811E-17"/>
                  <c:y val="-6.4992614475627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FC-4105-B9ED-4F9C5C56D70D}"/>
                </c:ext>
              </c:extLst>
            </c:dLbl>
            <c:dLbl>
              <c:idx val="4"/>
              <c:layout>
                <c:manualLayout>
                  <c:x val="8.446837715130398E-3"/>
                  <c:y val="-0.12407680945347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E7FC-4105-B9ED-4F9C5C56D70D}"/>
                </c:ext>
              </c:extLst>
            </c:dLbl>
            <c:dLbl>
              <c:idx val="5"/>
              <c:layout>
                <c:manualLayout>
                  <c:x val="1.2670256572695597E-2"/>
                  <c:y val="-0.212703101920236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7FC-4105-B9ED-4F9C5C56D70D}"/>
                </c:ext>
              </c:extLst>
            </c:dLbl>
            <c:dLbl>
              <c:idx val="6"/>
              <c:layout>
                <c:manualLayout>
                  <c:x val="0"/>
                  <c:y val="-4.7267355982274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E7FC-4105-B9ED-4F9C5C56D70D}"/>
                </c:ext>
              </c:extLst>
            </c:dLbl>
            <c:dLbl>
              <c:idx val="7"/>
              <c:layout>
                <c:manualLayout>
                  <c:x val="4.22341885756516E-3"/>
                  <c:y val="-8.862629246676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E7FC-4105-B9ED-4F9C5C56D70D}"/>
                </c:ext>
              </c:extLst>
            </c:dLbl>
            <c:dLbl>
              <c:idx val="8"/>
              <c:layout>
                <c:manualLayout>
                  <c:x val="6.3351282863477595E-3"/>
                  <c:y val="-0.165435745937961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7FC-4105-B9ED-4F9C5C56D70D}"/>
                </c:ext>
              </c:extLst>
            </c:dLbl>
            <c:dLbl>
              <c:idx val="9"/>
              <c:layout>
                <c:manualLayout>
                  <c:x val="2.1117094287825995E-3"/>
                  <c:y val="-0.12407680945347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7FC-4105-B9ED-4F9C5C56D70D}"/>
                </c:ext>
              </c:extLst>
            </c:dLbl>
            <c:dLbl>
              <c:idx val="10"/>
              <c:layout>
                <c:manualLayout>
                  <c:x val="2.1117094287825995E-3"/>
                  <c:y val="-0.106351550960118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7FC-4105-B9ED-4F9C5C56D70D}"/>
                </c:ext>
              </c:extLst>
            </c:dLbl>
            <c:dLbl>
              <c:idx val="11"/>
              <c:layout>
                <c:manualLayout>
                  <c:x val="4.22341885756516E-3"/>
                  <c:y val="-0.147710487444608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7FC-4105-B9ED-4F9C5C56D70D}"/>
                </c:ext>
              </c:extLst>
            </c:dLbl>
            <c:dLbl>
              <c:idx val="13"/>
              <c:layout>
                <c:manualLayout>
                  <c:x val="0"/>
                  <c:y val="-0.147710487444608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7FC-4105-B9ED-4F9C5C56D70D}"/>
                </c:ext>
              </c:extLst>
            </c:dLbl>
            <c:dLbl>
              <c:idx val="14"/>
              <c:layout>
                <c:manualLayout>
                  <c:x val="-4.223418857565199E-3"/>
                  <c:y val="-0.183161004431314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FC-4105-B9ED-4F9C5C56D70D}"/>
                </c:ext>
              </c:extLst>
            </c:dLbl>
            <c:dLbl>
              <c:idx val="15"/>
              <c:layout>
                <c:manualLayout>
                  <c:x val="6.3351282863477985E-3"/>
                  <c:y val="-0.129985228951255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7FC-4105-B9ED-4F9C5C56D70D}"/>
                </c:ext>
              </c:extLst>
            </c:dLbl>
            <c:dLbl>
              <c:idx val="16"/>
              <c:layout>
                <c:manualLayout>
                  <c:x val="-7.7428451261952442E-17"/>
                  <c:y val="-4.7267355982274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7FC-4105-B9ED-4F9C5C56D70D}"/>
                </c:ext>
              </c:extLst>
            </c:dLbl>
            <c:dLbl>
              <c:idx val="17"/>
              <c:layout>
                <c:manualLayout>
                  <c:x val="0"/>
                  <c:y val="-0.194977843426883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7FC-4105-B9ED-4F9C5C56D70D}"/>
                </c:ext>
              </c:extLst>
            </c:dLbl>
            <c:dLbl>
              <c:idx val="19"/>
              <c:layout>
                <c:manualLayout>
                  <c:x val="0"/>
                  <c:y val="-5.90841949778434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E7FC-4105-B9ED-4F9C5C56D70D}"/>
                </c:ext>
              </c:extLst>
            </c:dLbl>
            <c:dLbl>
              <c:idx val="20"/>
              <c:layout>
                <c:manualLayout>
                  <c:x val="-4.2234188575652762E-3"/>
                  <c:y val="-0.147710487444608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7FC-4105-B9ED-4F9C5C56D70D}"/>
                </c:ext>
              </c:extLst>
            </c:dLbl>
            <c:dLbl>
              <c:idx val="21"/>
              <c:layout>
                <c:manualLayout>
                  <c:x val="0"/>
                  <c:y val="-0.2067946824224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FC-4105-B9ED-4F9C5C56D70D}"/>
                </c:ext>
              </c:extLst>
            </c:dLbl>
            <c:dLbl>
              <c:idx val="22"/>
              <c:layout>
                <c:manualLayout>
                  <c:x val="-6.3351282863478757E-3"/>
                  <c:y val="-7.68094534711965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E7FC-4105-B9ED-4F9C5C56D70D}"/>
                </c:ext>
              </c:extLst>
            </c:dLbl>
            <c:dLbl>
              <c:idx val="23"/>
              <c:layout>
                <c:manualLayout>
                  <c:x val="0"/>
                  <c:y val="-0.100443131462333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7FC-4105-B9ED-4F9C5C56D70D}"/>
                </c:ext>
              </c:extLst>
            </c:dLbl>
            <c:dLbl>
              <c:idx val="24"/>
              <c:layout>
                <c:manualLayout>
                  <c:x val="1.4781966001478119E-2"/>
                  <c:y val="-0.129985228951255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7FC-4105-B9ED-4F9C5C56D70D}"/>
                </c:ext>
              </c:extLst>
            </c:dLbl>
            <c:dLbl>
              <c:idx val="25"/>
              <c:layout>
                <c:manualLayout>
                  <c:x val="2.1117094287825995E-3"/>
                  <c:y val="-7.68094534711965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E7FC-4105-B9ED-4F9C5C56D70D}"/>
                </c:ext>
              </c:extLst>
            </c:dLbl>
            <c:dLbl>
              <c:idx val="26"/>
              <c:layout>
                <c:manualLayout>
                  <c:x val="-2.1117094287825995E-3"/>
                  <c:y val="-0.200886262924667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FC-4105-B9ED-4F9C5C56D70D}"/>
                </c:ext>
              </c:extLst>
            </c:dLbl>
            <c:dLbl>
              <c:idx val="27"/>
              <c:layout>
                <c:manualLayout>
                  <c:x val="1.0558547143912998E-2"/>
                  <c:y val="-0.177252584933530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7FC-4105-B9ED-4F9C5C56D70D}"/>
                </c:ext>
              </c:extLst>
            </c:dLbl>
            <c:dLbl>
              <c:idx val="28"/>
              <c:layout>
                <c:manualLayout>
                  <c:x val="1.0558547143913076E-2"/>
                  <c:y val="-0.124076809453471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7FC-4105-B9ED-4F9C5C56D70D}"/>
                </c:ext>
              </c:extLst>
            </c:dLbl>
            <c:dLbl>
              <c:idx val="29"/>
              <c:layout>
                <c:manualLayout>
                  <c:x val="6.3351282863477985E-3"/>
                  <c:y val="-0.100443131462333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E7FC-4105-B9ED-4F9C5C56D70D}"/>
                </c:ext>
              </c:extLst>
            </c:dLbl>
            <c:dLbl>
              <c:idx val="30"/>
              <c:layout>
                <c:manualLayout>
                  <c:x val="1.0558547143912998E-2"/>
                  <c:y val="-0.165435745937961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7FC-4105-B9ED-4F9C5C56D70D}"/>
                </c:ext>
              </c:extLst>
            </c:dLbl>
            <c:dLbl>
              <c:idx val="31"/>
              <c:layout>
                <c:manualLayout>
                  <c:x val="1.2670256572695597E-2"/>
                  <c:y val="-0.177252584933530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FC-4105-B9ED-4F9C5C56D70D}"/>
                </c:ext>
              </c:extLst>
            </c:dLbl>
            <c:dLbl>
              <c:idx val="32"/>
              <c:layout>
                <c:manualLayout>
                  <c:x val="1.6893675430260796E-2"/>
                  <c:y val="-0.118168389955686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7FC-4105-B9ED-4F9C5C56D70D}"/>
                </c:ext>
              </c:extLst>
            </c:dLbl>
            <c:dLbl>
              <c:idx val="33"/>
              <c:layout>
                <c:manualLayout>
                  <c:x val="1.2670256572695597E-2"/>
                  <c:y val="-0.218611521418020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7FC-4105-B9ED-4F9C5C56D70D}"/>
                </c:ext>
              </c:extLst>
            </c:dLbl>
            <c:dLbl>
              <c:idx val="35"/>
              <c:layout>
                <c:manualLayout>
                  <c:x val="2.1117094287824447E-3"/>
                  <c:y val="-9.4534711964549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E7FC-4105-B9ED-4F9C5C56D70D}"/>
                </c:ext>
              </c:extLst>
            </c:dLbl>
            <c:dLbl>
              <c:idx val="36"/>
              <c:layout>
                <c:manualLayout>
                  <c:x val="4.223418857565199E-3"/>
                  <c:y val="-0.171344165435745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7FC-4105-B9ED-4F9C5C56D70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STRATEGJIK'!$V$9:$V$48</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K.K PLANET STRATEGJIK'!$W$9:$W$48</c:f>
              <c:numCache>
                <c:formatCode>General</c:formatCode>
                <c:ptCount val="40"/>
                <c:pt idx="0">
                  <c:v>0</c:v>
                </c:pt>
                <c:pt idx="1">
                  <c:v>0</c:v>
                </c:pt>
                <c:pt idx="2">
                  <c:v>0</c:v>
                </c:pt>
                <c:pt idx="3">
                  <c:v>1</c:v>
                </c:pt>
                <c:pt idx="4">
                  <c:v>1</c:v>
                </c:pt>
                <c:pt idx="5">
                  <c:v>1</c:v>
                </c:pt>
                <c:pt idx="6">
                  <c:v>1</c:v>
                </c:pt>
                <c:pt idx="7">
                  <c:v>2</c:v>
                </c:pt>
                <c:pt idx="8">
                  <c:v>2</c:v>
                </c:pt>
                <c:pt idx="9">
                  <c:v>0</c:v>
                </c:pt>
                <c:pt idx="10">
                  <c:v>0</c:v>
                </c:pt>
                <c:pt idx="11">
                  <c:v>1</c:v>
                </c:pt>
                <c:pt idx="12">
                  <c:v>1</c:v>
                </c:pt>
                <c:pt idx="13">
                  <c:v>0</c:v>
                </c:pt>
                <c:pt idx="14">
                  <c:v>3</c:v>
                </c:pt>
                <c:pt idx="15">
                  <c:v>1</c:v>
                </c:pt>
                <c:pt idx="16">
                  <c:v>1</c:v>
                </c:pt>
                <c:pt idx="17">
                  <c:v>1</c:v>
                </c:pt>
                <c:pt idx="18">
                  <c:v>6</c:v>
                </c:pt>
                <c:pt idx="19">
                  <c:v>0</c:v>
                </c:pt>
                <c:pt idx="20">
                  <c:v>0</c:v>
                </c:pt>
                <c:pt idx="21">
                  <c:v>3</c:v>
                </c:pt>
                <c:pt idx="22">
                  <c:v>0</c:v>
                </c:pt>
                <c:pt idx="23">
                  <c:v>5</c:v>
                </c:pt>
                <c:pt idx="24">
                  <c:v>2</c:v>
                </c:pt>
                <c:pt idx="25">
                  <c:v>0</c:v>
                </c:pt>
                <c:pt idx="26">
                  <c:v>0</c:v>
                </c:pt>
                <c:pt idx="27">
                  <c:v>0</c:v>
                </c:pt>
                <c:pt idx="28">
                  <c:v>2</c:v>
                </c:pt>
                <c:pt idx="29">
                  <c:v>0</c:v>
                </c:pt>
                <c:pt idx="30">
                  <c:v>2</c:v>
                </c:pt>
                <c:pt idx="31">
                  <c:v>2</c:v>
                </c:pt>
                <c:pt idx="32">
                  <c:v>0</c:v>
                </c:pt>
                <c:pt idx="33">
                  <c:v>0</c:v>
                </c:pt>
                <c:pt idx="34">
                  <c:v>0</c:v>
                </c:pt>
                <c:pt idx="35">
                  <c:v>0</c:v>
                </c:pt>
                <c:pt idx="36">
                  <c:v>0</c:v>
                </c:pt>
                <c:pt idx="37">
                  <c:v>0</c:v>
                </c:pt>
                <c:pt idx="38">
                  <c:v>19</c:v>
                </c:pt>
              </c:numCache>
            </c:numRef>
          </c:val>
          <c:extLst>
            <c:ext xmlns:c16="http://schemas.microsoft.com/office/drawing/2014/chart" uri="{C3380CC4-5D6E-409C-BE32-E72D297353CC}">
              <c16:uniqueId val="{00000000-E7FC-4105-B9ED-4F9C5C56D70D}"/>
            </c:ext>
          </c:extLst>
        </c:ser>
        <c:dLbls>
          <c:showLegendKey val="0"/>
          <c:showVal val="1"/>
          <c:showCatName val="0"/>
          <c:showSerName val="0"/>
          <c:showPercent val="0"/>
          <c:showBubbleSize val="0"/>
        </c:dLbls>
        <c:gapWidth val="95"/>
        <c:gapDepth val="95"/>
        <c:shape val="box"/>
        <c:axId val="509591368"/>
        <c:axId val="509584312"/>
        <c:axId val="0"/>
      </c:bar3DChart>
      <c:catAx>
        <c:axId val="509591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509584312"/>
        <c:crosses val="autoZero"/>
        <c:auto val="1"/>
        <c:lblAlgn val="ctr"/>
        <c:lblOffset val="100"/>
        <c:noMultiLvlLbl val="0"/>
      </c:catAx>
      <c:valAx>
        <c:axId val="509584312"/>
        <c:scaling>
          <c:orientation val="minMax"/>
        </c:scaling>
        <c:delete val="1"/>
        <c:axPos val="l"/>
        <c:numFmt formatCode="General" sourceLinked="1"/>
        <c:majorTickMark val="none"/>
        <c:minorTickMark val="none"/>
        <c:tickLblPos val="nextTo"/>
        <c:crossAx val="509591368"/>
        <c:crosses val="autoZero"/>
        <c:crossBetween val="between"/>
      </c:valAx>
      <c:spPr>
        <a:blipFill>
          <a:blip xmlns:r="http://schemas.openxmlformats.org/officeDocument/2006/relationships" r:embed="rId3"/>
          <a:tile tx="0" ty="0" sx="100000" sy="100000" flip="none" algn="tl"/>
        </a:blipFill>
        <a:ln>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841813042600446E-2"/>
          <c:y val="0.16608859475387663"/>
          <c:w val="0.95519418424841362"/>
          <c:h val="0.54084171770195388"/>
        </c:manualLayout>
      </c:layout>
      <c:barChart>
        <c:barDir val="col"/>
        <c:grouping val="stacked"/>
        <c:varyColors val="0"/>
        <c:ser>
          <c:idx val="0"/>
          <c:order val="0"/>
          <c:tx>
            <c:strRef>
              <c:f>'PUBLIKIMI K.K PLANET STRATEGJIK'!$Z$8</c:f>
              <c:strCache>
                <c:ptCount val="1"/>
                <c:pt idx="0">
                  <c:v>Harta zonale </c:v>
                </c:pt>
              </c:strCache>
            </c:strRef>
          </c:tx>
          <c:spPr>
            <a:solidFill>
              <a:schemeClr val="accent1"/>
            </a:solidFill>
            <a:ln>
              <a:noFill/>
            </a:ln>
            <a:effectLst/>
          </c:spPr>
          <c:invertIfNegative val="0"/>
          <c:dLbls>
            <c:dLbl>
              <c:idx val="0"/>
              <c:layout>
                <c:manualLayout>
                  <c:x val="4.5146726862302479E-3"/>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03-4223-87C1-5AFCA48FB66B}"/>
                </c:ext>
              </c:extLst>
            </c:dLbl>
            <c:dLbl>
              <c:idx val="2"/>
              <c:layout>
                <c:manualLayout>
                  <c:x val="3.0097817908201654E-3"/>
                  <c:y val="-0.152777777777777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03-4223-87C1-5AFCA48FB66B}"/>
                </c:ext>
              </c:extLst>
            </c:dLbl>
            <c:dLbl>
              <c:idx val="3"/>
              <c:layout>
                <c:manualLayout>
                  <c:x val="9.029345372460482E-3"/>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03-4223-87C1-5AFCA48FB66B}"/>
                </c:ext>
              </c:extLst>
            </c:dLbl>
            <c:dLbl>
              <c:idx val="4"/>
              <c:layout>
                <c:manualLayout>
                  <c:x val="2.4078254326561323E-2"/>
                  <c:y val="-0.28240740740740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03-4223-87C1-5AFCA48FB66B}"/>
                </c:ext>
              </c:extLst>
            </c:dLbl>
            <c:dLbl>
              <c:idx val="5"/>
              <c:layout>
                <c:manualLayout>
                  <c:x val="6.0195635816403309E-3"/>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03-4223-87C1-5AFCA48FB66B}"/>
                </c:ext>
              </c:extLst>
            </c:dLbl>
            <c:dLbl>
              <c:idx val="6"/>
              <c:layout>
                <c:manualLayout>
                  <c:x val="4.514672686230221E-3"/>
                  <c:y val="-0.115740740740740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03-4223-87C1-5AFCA48FB66B}"/>
                </c:ext>
              </c:extLst>
            </c:dLbl>
            <c:dLbl>
              <c:idx val="7"/>
              <c:layout>
                <c:manualLayout>
                  <c:x val="0"/>
                  <c:y val="-0.129629629629629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E03-4223-87C1-5AFCA48FB66B}"/>
                </c:ext>
              </c:extLst>
            </c:dLbl>
            <c:dLbl>
              <c:idx val="8"/>
              <c:layout>
                <c:manualLayout>
                  <c:x val="-1.504890895410138E-3"/>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E03-4223-87C1-5AFCA48FB66B}"/>
                </c:ext>
              </c:extLst>
            </c:dLbl>
            <c:dLbl>
              <c:idx val="9"/>
              <c:layout>
                <c:manualLayout>
                  <c:x val="5.5178695402705158E-17"/>
                  <c:y val="-0.194444444444444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E03-4223-87C1-5AFCA48FB66B}"/>
                </c:ext>
              </c:extLst>
            </c:dLbl>
            <c:dLbl>
              <c:idx val="11"/>
              <c:layout>
                <c:manualLayout>
                  <c:x val="-5.5178695402705158E-17"/>
                  <c:y val="-0.1481481481481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E03-4223-87C1-5AFCA48FB66B}"/>
                </c:ext>
              </c:extLst>
            </c:dLbl>
            <c:dLbl>
              <c:idx val="12"/>
              <c:layout>
                <c:manualLayout>
                  <c:x val="9.0293453724604959E-3"/>
                  <c:y val="-0.291666666666666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E03-4223-87C1-5AFCA48FB66B}"/>
                </c:ext>
              </c:extLst>
            </c:dLbl>
            <c:dLbl>
              <c:idx val="13"/>
              <c:layout>
                <c:manualLayout>
                  <c:x val="6.0195635816402762E-3"/>
                  <c:y val="-0.180555555555555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E03-4223-87C1-5AFCA48FB66B}"/>
                </c:ext>
              </c:extLst>
            </c:dLbl>
            <c:dLbl>
              <c:idx val="14"/>
              <c:layout>
                <c:manualLayout>
                  <c:x val="4.5146726862302479E-3"/>
                  <c:y val="-0.152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E03-4223-87C1-5AFCA48FB66B}"/>
                </c:ext>
              </c:extLst>
            </c:dLbl>
            <c:dLbl>
              <c:idx val="15"/>
              <c:layout>
                <c:manualLayout>
                  <c:x val="9.0293453724604421E-3"/>
                  <c:y val="-0.203703703703703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E03-4223-87C1-5AFCA48FB66B}"/>
                </c:ext>
              </c:extLst>
            </c:dLbl>
            <c:dLbl>
              <c:idx val="16"/>
              <c:layout>
                <c:manualLayout>
                  <c:x val="2.2573363431151131E-2"/>
                  <c:y val="-0.245370370370370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E03-4223-87C1-5AFCA48FB66B}"/>
                </c:ext>
              </c:extLst>
            </c:dLbl>
            <c:dLbl>
              <c:idx val="17"/>
              <c:layout>
                <c:manualLayout>
                  <c:x val="4.5146726862302479E-3"/>
                  <c:y val="-0.134259259259259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E03-4223-87C1-5AFCA48FB66B}"/>
                </c:ext>
              </c:extLst>
            </c:dLbl>
            <c:dLbl>
              <c:idx val="18"/>
              <c:layout>
                <c:manualLayout>
                  <c:x val="0"/>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E03-4223-87C1-5AFCA48FB66B}"/>
                </c:ext>
              </c:extLst>
            </c:dLbl>
            <c:dLbl>
              <c:idx val="19"/>
              <c:layout>
                <c:manualLayout>
                  <c:x val="0"/>
                  <c:y val="-0.199074074074074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E03-4223-87C1-5AFCA48FB66B}"/>
                </c:ext>
              </c:extLst>
            </c:dLbl>
            <c:dLbl>
              <c:idx val="20"/>
              <c:layout>
                <c:manualLayout>
                  <c:x val="9.0293453724604959E-3"/>
                  <c:y val="-0.194444444444444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E03-4223-87C1-5AFCA48FB66B}"/>
                </c:ext>
              </c:extLst>
            </c:dLbl>
            <c:dLbl>
              <c:idx val="21"/>
              <c:layout>
                <c:manualLayout>
                  <c:x val="1.8058690744920992E-2"/>
                  <c:y val="-0.240740740740740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E03-4223-87C1-5AFCA48FB66B}"/>
                </c:ext>
              </c:extLst>
            </c:dLbl>
            <c:dLbl>
              <c:idx val="23"/>
              <c:layout>
                <c:manualLayout>
                  <c:x val="3.0097817908201654E-3"/>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E03-4223-87C1-5AFCA48FB66B}"/>
                </c:ext>
              </c:extLst>
            </c:dLbl>
            <c:dLbl>
              <c:idx val="24"/>
              <c:layout>
                <c:manualLayout>
                  <c:x val="7.5244544770504138E-3"/>
                  <c:y val="-0.1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E03-4223-87C1-5AFCA48FB66B}"/>
                </c:ext>
              </c:extLst>
            </c:dLbl>
            <c:dLbl>
              <c:idx val="26"/>
              <c:layout>
                <c:manualLayout>
                  <c:x val="-1.1035739080541032E-16"/>
                  <c:y val="-0.106481481481481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E03-4223-87C1-5AFCA48FB66B}"/>
                </c:ext>
              </c:extLst>
            </c:dLbl>
            <c:dLbl>
              <c:idx val="27"/>
              <c:layout>
                <c:manualLayout>
                  <c:x val="-3.009781790820276E-3"/>
                  <c:y val="-0.13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E03-4223-87C1-5AFCA48FB66B}"/>
                </c:ext>
              </c:extLst>
            </c:dLbl>
            <c:dLbl>
              <c:idx val="28"/>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E03-4223-87C1-5AFCA48FB66B}"/>
                </c:ext>
              </c:extLst>
            </c:dLbl>
            <c:dLbl>
              <c:idx val="29"/>
              <c:layout>
                <c:manualLayout>
                  <c:x val="-9.0293453724604959E-3"/>
                  <c:y val="-0.226851851851851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E03-4223-87C1-5AFCA48FB66B}"/>
                </c:ext>
              </c:extLst>
            </c:dLbl>
            <c:dLbl>
              <c:idx val="30"/>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E03-4223-87C1-5AFCA48FB66B}"/>
                </c:ext>
              </c:extLst>
            </c:dLbl>
            <c:dLbl>
              <c:idx val="31"/>
              <c:layout>
                <c:manualLayout>
                  <c:x val="-4.5146726862302479E-3"/>
                  <c:y val="-0.199074074074074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E03-4223-87C1-5AFCA48FB66B}"/>
                </c:ext>
              </c:extLst>
            </c:dLbl>
            <c:dLbl>
              <c:idx val="32"/>
              <c:layout>
                <c:manualLayout>
                  <c:x val="-1.053423626787069E-2"/>
                  <c:y val="-0.254629629629629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E03-4223-87C1-5AFCA48FB66B}"/>
                </c:ext>
              </c:extLst>
            </c:dLbl>
            <c:dLbl>
              <c:idx val="33"/>
              <c:layout>
                <c:manualLayout>
                  <c:x val="-3.0097817908201654E-3"/>
                  <c:y val="-0.125000000000000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E03-4223-87C1-5AFCA48FB66B}"/>
                </c:ext>
              </c:extLst>
            </c:dLbl>
            <c:dLbl>
              <c:idx val="34"/>
              <c:layout>
                <c:manualLayout>
                  <c:x val="-1.1035739080541032E-16"/>
                  <c:y val="-0.115740740740740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4E03-4223-87C1-5AFCA48FB66B}"/>
                </c:ext>
              </c:extLst>
            </c:dLbl>
            <c:dLbl>
              <c:idx val="35"/>
              <c:layout>
                <c:manualLayout>
                  <c:x val="0"/>
                  <c:y val="-0.120370370370370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4E03-4223-87C1-5AFCA48FB66B}"/>
                </c:ext>
              </c:extLst>
            </c:dLbl>
            <c:dLbl>
              <c:idx val="36"/>
              <c:layout>
                <c:manualLayout>
                  <c:x val="-3.0097817908203862E-3"/>
                  <c:y val="-0.180555555555555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4E03-4223-87C1-5AFCA48FB66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STRATEGJIK'!$Y$9:$Y$47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K.K PLANET STRATEGJIK'!$Z$9:$Z$47</c:f>
              <c:numCache>
                <c:formatCode>General</c:formatCode>
                <c:ptCount val="39"/>
                <c:pt idx="0">
                  <c:v>1</c:v>
                </c:pt>
                <c:pt idx="1">
                  <c:v>0</c:v>
                </c:pt>
                <c:pt idx="2">
                  <c:v>1</c:v>
                </c:pt>
                <c:pt idx="3">
                  <c:v>1</c:v>
                </c:pt>
                <c:pt idx="4">
                  <c:v>0</c:v>
                </c:pt>
                <c:pt idx="5">
                  <c:v>1</c:v>
                </c:pt>
                <c:pt idx="6">
                  <c:v>0</c:v>
                </c:pt>
                <c:pt idx="7">
                  <c:v>0</c:v>
                </c:pt>
                <c:pt idx="8">
                  <c:v>1</c:v>
                </c:pt>
                <c:pt idx="9">
                  <c:v>0</c:v>
                </c:pt>
                <c:pt idx="10">
                  <c:v>1</c:v>
                </c:pt>
                <c:pt idx="11">
                  <c:v>1</c:v>
                </c:pt>
                <c:pt idx="12">
                  <c:v>1</c:v>
                </c:pt>
                <c:pt idx="13">
                  <c:v>0</c:v>
                </c:pt>
                <c:pt idx="14">
                  <c:v>1</c:v>
                </c:pt>
                <c:pt idx="15">
                  <c:v>0</c:v>
                </c:pt>
                <c:pt idx="16">
                  <c:v>1</c:v>
                </c:pt>
                <c:pt idx="17">
                  <c:v>0</c:v>
                </c:pt>
                <c:pt idx="18">
                  <c:v>1</c:v>
                </c:pt>
                <c:pt idx="19">
                  <c:v>0</c:v>
                </c:pt>
                <c:pt idx="20">
                  <c:v>1</c:v>
                </c:pt>
                <c:pt idx="21">
                  <c:v>1</c:v>
                </c:pt>
                <c:pt idx="22">
                  <c:v>1</c:v>
                </c:pt>
                <c:pt idx="23">
                  <c:v>1</c:v>
                </c:pt>
                <c:pt idx="24">
                  <c:v>1</c:v>
                </c:pt>
                <c:pt idx="25">
                  <c:v>0</c:v>
                </c:pt>
                <c:pt idx="26">
                  <c:v>0</c:v>
                </c:pt>
                <c:pt idx="27">
                  <c:v>0</c:v>
                </c:pt>
                <c:pt idx="28">
                  <c:v>1</c:v>
                </c:pt>
                <c:pt idx="29">
                  <c:v>1</c:v>
                </c:pt>
                <c:pt idx="30">
                  <c:v>1</c:v>
                </c:pt>
                <c:pt idx="31">
                  <c:v>0</c:v>
                </c:pt>
                <c:pt idx="32">
                  <c:v>0</c:v>
                </c:pt>
                <c:pt idx="33">
                  <c:v>0</c:v>
                </c:pt>
                <c:pt idx="34">
                  <c:v>0</c:v>
                </c:pt>
                <c:pt idx="35">
                  <c:v>0</c:v>
                </c:pt>
                <c:pt idx="36">
                  <c:v>0</c:v>
                </c:pt>
                <c:pt idx="37">
                  <c:v>0</c:v>
                </c:pt>
                <c:pt idx="38">
                  <c:v>19</c:v>
                </c:pt>
              </c:numCache>
            </c:numRef>
          </c:val>
          <c:extLst>
            <c:ext xmlns:c16="http://schemas.microsoft.com/office/drawing/2014/chart" uri="{C3380CC4-5D6E-409C-BE32-E72D297353CC}">
              <c16:uniqueId val="{00000021-4E03-4223-87C1-5AFCA48FB66B}"/>
            </c:ext>
          </c:extLst>
        </c:ser>
        <c:dLbls>
          <c:showLegendKey val="0"/>
          <c:showVal val="1"/>
          <c:showCatName val="0"/>
          <c:showSerName val="0"/>
          <c:showPercent val="0"/>
          <c:showBubbleSize val="0"/>
        </c:dLbls>
        <c:gapWidth val="95"/>
        <c:overlap val="100"/>
        <c:axId val="509587056"/>
        <c:axId val="509585488"/>
      </c:barChart>
      <c:catAx>
        <c:axId val="50958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509585488"/>
        <c:crosses val="autoZero"/>
        <c:auto val="1"/>
        <c:lblAlgn val="ctr"/>
        <c:lblOffset val="100"/>
        <c:noMultiLvlLbl val="0"/>
      </c:catAx>
      <c:valAx>
        <c:axId val="509585488"/>
        <c:scaling>
          <c:orientation val="minMax"/>
        </c:scaling>
        <c:delete val="1"/>
        <c:axPos val="l"/>
        <c:numFmt formatCode="General" sourceLinked="1"/>
        <c:majorTickMark val="none"/>
        <c:minorTickMark val="none"/>
        <c:tickLblPos val="nextTo"/>
        <c:crossAx val="5095870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'AKTET E  KUVENDIT '!$O$7:$O$8</c:f>
              <c:strCache>
                <c:ptCount val="2"/>
                <c:pt idx="1">
                  <c:v>Rregullore për transparencë</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Schoolbook" panose="020406040505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KUVENDIT '!$N$9:$N$47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KUVENDIT '!$O$9:$O$47</c:f>
              <c:numCache>
                <c:formatCode>General</c:formatCode>
                <c:ptCount val="39"/>
                <c:pt idx="0">
                  <c:v>0</c:v>
                </c:pt>
                <c:pt idx="1">
                  <c:v>1</c:v>
                </c:pt>
                <c:pt idx="2">
                  <c:v>0</c:v>
                </c:pt>
                <c:pt idx="3">
                  <c:v>1</c:v>
                </c:pt>
                <c:pt idx="4">
                  <c:v>1</c:v>
                </c:pt>
                <c:pt idx="5">
                  <c:v>1</c:v>
                </c:pt>
                <c:pt idx="6">
                  <c:v>0</c:v>
                </c:pt>
                <c:pt idx="7">
                  <c:v>1</c:v>
                </c:pt>
                <c:pt idx="8">
                  <c:v>1</c:v>
                </c:pt>
                <c:pt idx="9">
                  <c:v>1</c:v>
                </c:pt>
                <c:pt idx="10">
                  <c:v>1</c:v>
                </c:pt>
                <c:pt idx="11">
                  <c:v>1</c:v>
                </c:pt>
                <c:pt idx="12">
                  <c:v>1</c:v>
                </c:pt>
                <c:pt idx="13">
                  <c:v>0</c:v>
                </c:pt>
                <c:pt idx="14">
                  <c:v>1</c:v>
                </c:pt>
                <c:pt idx="15">
                  <c:v>1</c:v>
                </c:pt>
                <c:pt idx="16">
                  <c:v>1</c:v>
                </c:pt>
                <c:pt idx="17">
                  <c:v>0</c:v>
                </c:pt>
                <c:pt idx="18">
                  <c:v>0</c:v>
                </c:pt>
                <c:pt idx="19">
                  <c:v>0</c:v>
                </c:pt>
                <c:pt idx="20">
                  <c:v>1</c:v>
                </c:pt>
                <c:pt idx="21">
                  <c:v>1</c:v>
                </c:pt>
                <c:pt idx="22">
                  <c:v>0</c:v>
                </c:pt>
                <c:pt idx="23">
                  <c:v>1</c:v>
                </c:pt>
                <c:pt idx="24">
                  <c:v>1</c:v>
                </c:pt>
                <c:pt idx="25">
                  <c:v>0</c:v>
                </c:pt>
                <c:pt idx="26">
                  <c:v>1</c:v>
                </c:pt>
                <c:pt idx="27">
                  <c:v>0</c:v>
                </c:pt>
                <c:pt idx="28">
                  <c:v>1</c:v>
                </c:pt>
                <c:pt idx="29">
                  <c:v>1</c:v>
                </c:pt>
                <c:pt idx="30">
                  <c:v>0</c:v>
                </c:pt>
                <c:pt idx="31">
                  <c:v>1</c:v>
                </c:pt>
                <c:pt idx="32">
                  <c:v>0</c:v>
                </c:pt>
                <c:pt idx="33">
                  <c:v>0</c:v>
                </c:pt>
                <c:pt idx="34">
                  <c:v>0</c:v>
                </c:pt>
                <c:pt idx="35">
                  <c:v>1</c:v>
                </c:pt>
                <c:pt idx="36">
                  <c:v>0</c:v>
                </c:pt>
                <c:pt idx="37">
                  <c:v>0</c:v>
                </c:pt>
                <c:pt idx="38">
                  <c:v>22</c:v>
                </c:pt>
              </c:numCache>
            </c:numRef>
          </c:val>
          <c:extLst>
            <c:ext xmlns:c16="http://schemas.microsoft.com/office/drawing/2014/chart" uri="{C3380CC4-5D6E-409C-BE32-E72D297353CC}">
              <c16:uniqueId val="{00000000-FEC1-4583-A22A-7E7295737EE8}"/>
            </c:ext>
          </c:extLst>
        </c:ser>
        <c:ser>
          <c:idx val="1"/>
          <c:order val="1"/>
          <c:tx>
            <c:strRef>
              <c:f>'AKTET E  KUVENDIT '!$P$7:$P$8</c:f>
              <c:strCache>
                <c:ptCount val="2"/>
                <c:pt idx="1">
                  <c:v>Rregullore për transparencë</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KUVENDIT '!$N$9:$N$47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KUVENDIT '!$P$9:$P$47</c:f>
              <c:numCache>
                <c:formatCode>General</c:formatCode>
                <c:ptCount val="39"/>
                <c:pt idx="36">
                  <c:v>0</c:v>
                </c:pt>
              </c:numCache>
            </c:numRef>
          </c:val>
          <c:extLst>
            <c:ext xmlns:c16="http://schemas.microsoft.com/office/drawing/2014/chart" uri="{C3380CC4-5D6E-409C-BE32-E72D297353CC}">
              <c16:uniqueId val="{00000001-FEC1-4583-A22A-7E7295737EE8}"/>
            </c:ext>
          </c:extLst>
        </c:ser>
        <c:dLbls>
          <c:showLegendKey val="0"/>
          <c:showVal val="1"/>
          <c:showCatName val="0"/>
          <c:showSerName val="0"/>
          <c:showPercent val="0"/>
          <c:showBubbleSize val="0"/>
        </c:dLbls>
        <c:gapWidth val="150"/>
        <c:overlap val="-25"/>
        <c:axId val="509584704"/>
        <c:axId val="509582352"/>
      </c:barChart>
      <c:catAx>
        <c:axId val="50958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j-lt"/>
                <a:ea typeface="+mn-ea"/>
                <a:cs typeface="+mn-cs"/>
              </a:defRPr>
            </a:pPr>
            <a:endParaRPr lang="en-US"/>
          </a:p>
        </c:txPr>
        <c:crossAx val="509582352"/>
        <c:crosses val="autoZero"/>
        <c:auto val="1"/>
        <c:lblAlgn val="ctr"/>
        <c:lblOffset val="100"/>
        <c:noMultiLvlLbl val="0"/>
      </c:catAx>
      <c:valAx>
        <c:axId val="509582352"/>
        <c:scaling>
          <c:orientation val="minMax"/>
        </c:scaling>
        <c:delete val="1"/>
        <c:axPos val="l"/>
        <c:numFmt formatCode="General" sourceLinked="1"/>
        <c:majorTickMark val="none"/>
        <c:minorTickMark val="none"/>
        <c:tickLblPos val="nextTo"/>
        <c:crossAx val="509584704"/>
        <c:crosses val="autoZero"/>
        <c:crossBetween val="between"/>
      </c:valAx>
      <c:spPr>
        <a:noFill/>
        <a:ln>
          <a:noFill/>
        </a:ln>
        <a:effectLst/>
      </c:spPr>
    </c:plotArea>
    <c:legend>
      <c:legendPos val="t"/>
      <c:legendEntry>
        <c:idx val="1"/>
        <c:delete val="1"/>
      </c:legendEntry>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'PUBLIKIMI K.K PLANET STRATEGJIK'!$M$6:$M$7</c:f>
              <c:strCache>
                <c:ptCount val="2"/>
                <c:pt idx="1">
                  <c:v>Plani integritetit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Century Schoolbook" panose="020406040505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STRATEGJIK'!$L$8:$L$46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K.K PLANET STRATEGJIK'!$M$8:$M$46</c:f>
              <c:numCache>
                <c:formatCode>General</c:formatCode>
                <c:ptCount val="39"/>
                <c:pt idx="0">
                  <c:v>1</c:v>
                </c:pt>
                <c:pt idx="1">
                  <c:v>1</c:v>
                </c:pt>
                <c:pt idx="2">
                  <c:v>0</c:v>
                </c:pt>
                <c:pt idx="3">
                  <c:v>0</c:v>
                </c:pt>
                <c:pt idx="4">
                  <c:v>1</c:v>
                </c:pt>
                <c:pt idx="5">
                  <c:v>1</c:v>
                </c:pt>
                <c:pt idx="6">
                  <c:v>0</c:v>
                </c:pt>
                <c:pt idx="7">
                  <c:v>1</c:v>
                </c:pt>
                <c:pt idx="8">
                  <c:v>1</c:v>
                </c:pt>
                <c:pt idx="9">
                  <c:v>0</c:v>
                </c:pt>
                <c:pt idx="10">
                  <c:v>1</c:v>
                </c:pt>
                <c:pt idx="11">
                  <c:v>1</c:v>
                </c:pt>
                <c:pt idx="12">
                  <c:v>1</c:v>
                </c:pt>
                <c:pt idx="13">
                  <c:v>1</c:v>
                </c:pt>
                <c:pt idx="14">
                  <c:v>1</c:v>
                </c:pt>
                <c:pt idx="15">
                  <c:v>1</c:v>
                </c:pt>
                <c:pt idx="16">
                  <c:v>1</c:v>
                </c:pt>
                <c:pt idx="17">
                  <c:v>0</c:v>
                </c:pt>
                <c:pt idx="18">
                  <c:v>1</c:v>
                </c:pt>
                <c:pt idx="19">
                  <c:v>1</c:v>
                </c:pt>
                <c:pt idx="20">
                  <c:v>0</c:v>
                </c:pt>
                <c:pt idx="21">
                  <c:v>1</c:v>
                </c:pt>
                <c:pt idx="22">
                  <c:v>0</c:v>
                </c:pt>
                <c:pt idx="23">
                  <c:v>1</c:v>
                </c:pt>
                <c:pt idx="24">
                  <c:v>1</c:v>
                </c:pt>
                <c:pt idx="25">
                  <c:v>0</c:v>
                </c:pt>
                <c:pt idx="26">
                  <c:v>0</c:v>
                </c:pt>
                <c:pt idx="27">
                  <c:v>0</c:v>
                </c:pt>
                <c:pt idx="28">
                  <c:v>1</c:v>
                </c:pt>
                <c:pt idx="29">
                  <c:v>0</c:v>
                </c:pt>
                <c:pt idx="30">
                  <c:v>0</c:v>
                </c:pt>
                <c:pt idx="31">
                  <c:v>1</c:v>
                </c:pt>
                <c:pt idx="32">
                  <c:v>0</c:v>
                </c:pt>
                <c:pt idx="33">
                  <c:v>0</c:v>
                </c:pt>
                <c:pt idx="34">
                  <c:v>0</c:v>
                </c:pt>
                <c:pt idx="35">
                  <c:v>0</c:v>
                </c:pt>
                <c:pt idx="36">
                  <c:v>0</c:v>
                </c:pt>
                <c:pt idx="37">
                  <c:v>0</c:v>
                </c:pt>
                <c:pt idx="38">
                  <c:v>20</c:v>
                </c:pt>
              </c:numCache>
            </c:numRef>
          </c:val>
          <c:extLst>
            <c:ext xmlns:c16="http://schemas.microsoft.com/office/drawing/2014/chart" uri="{C3380CC4-5D6E-409C-BE32-E72D297353CC}">
              <c16:uniqueId val="{00000000-9E4E-4C68-B6BC-CDE5C00861FE}"/>
            </c:ext>
          </c:extLst>
        </c:ser>
        <c:dLbls>
          <c:showLegendKey val="0"/>
          <c:showVal val="1"/>
          <c:showCatName val="0"/>
          <c:showSerName val="0"/>
          <c:showPercent val="0"/>
          <c:showBubbleSize val="0"/>
        </c:dLbls>
        <c:gapWidth val="150"/>
        <c:overlap val="-25"/>
        <c:axId val="509590976"/>
        <c:axId val="509587448"/>
      </c:barChart>
      <c:catAx>
        <c:axId val="50959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509587448"/>
        <c:crosses val="autoZero"/>
        <c:auto val="1"/>
        <c:lblAlgn val="ctr"/>
        <c:lblOffset val="100"/>
        <c:noMultiLvlLbl val="0"/>
      </c:catAx>
      <c:valAx>
        <c:axId val="509587448"/>
        <c:scaling>
          <c:orientation val="minMax"/>
        </c:scaling>
        <c:delete val="1"/>
        <c:axPos val="l"/>
        <c:numFmt formatCode="General" sourceLinked="1"/>
        <c:majorTickMark val="none"/>
        <c:minorTickMark val="none"/>
        <c:tickLblPos val="nextTo"/>
        <c:crossAx val="5095909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sz="800" b="1">
          <a:latin typeface="Century Schoolbook" panose="02040604050505020304" pitchFamily="18"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'AKTET E KRYETARIT '!$W$2</c:f>
              <c:strCache>
                <c:ptCount val="1"/>
                <c:pt idx="0">
                  <c:v>Publikimi i vendimeve të kryetarit të komunës</c:v>
                </c:pt>
              </c:strCache>
            </c:strRef>
          </c:tx>
          <c:spPr>
            <a:solidFill>
              <a:schemeClr val="accent1"/>
            </a:solidFill>
            <a:ln>
              <a:noFill/>
            </a:ln>
            <a:effectLst/>
          </c:spPr>
          <c:invertIfNegative val="0"/>
          <c:dLbls>
            <c:dLbl>
              <c:idx val="0"/>
              <c:layout>
                <c:manualLayout>
                  <c:x val="1.265689273283409E-2"/>
                  <c:y val="-0.125509883903357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5B8-4826-9717-2FDC1BC4BA6B}"/>
                </c:ext>
              </c:extLst>
            </c:dLbl>
            <c:dLbl>
              <c:idx val="1"/>
              <c:layout>
                <c:manualLayout>
                  <c:x val="2.7423267587807193E-2"/>
                  <c:y val="-0.320050203953561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5B8-4826-9717-2FDC1BC4BA6B}"/>
                </c:ext>
              </c:extLst>
            </c:dLbl>
            <c:dLbl>
              <c:idx val="3"/>
              <c:layout>
                <c:manualLayout>
                  <c:x val="0"/>
                  <c:y val="-6.90304361468466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5B8-4826-9717-2FDC1BC4BA6B}"/>
                </c:ext>
              </c:extLst>
            </c:dLbl>
            <c:dLbl>
              <c:idx val="4"/>
              <c:layout>
                <c:manualLayout>
                  <c:x val="-1.933669607377786E-17"/>
                  <c:y val="-0.301223721368057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B8-4826-9717-2FDC1BC4BA6B}"/>
                </c:ext>
              </c:extLst>
            </c:dLbl>
            <c:dLbl>
              <c:idx val="7"/>
              <c:layout>
                <c:manualLayout>
                  <c:x val="1.4766374854973065E-2"/>
                  <c:y val="-0.194540320050204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B8-4826-9717-2FDC1BC4BA6B}"/>
                </c:ext>
              </c:extLst>
            </c:dLbl>
            <c:dLbl>
              <c:idx val="9"/>
              <c:layout>
                <c:manualLayout>
                  <c:x val="6.3284463664170449E-3"/>
                  <c:y val="-0.200815814245371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B8-4826-9717-2FDC1BC4BA6B}"/>
                </c:ext>
              </c:extLst>
            </c:dLbl>
            <c:dLbl>
              <c:idx val="10"/>
              <c:layout>
                <c:manualLayout>
                  <c:x val="2.1094821221390148E-3"/>
                  <c:y val="-0.301223721368057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5B8-4826-9717-2FDC1BC4BA6B}"/>
                </c:ext>
              </c:extLst>
            </c:dLbl>
            <c:dLbl>
              <c:idx val="11"/>
              <c:layout>
                <c:manualLayout>
                  <c:x val="4.2189642442780296E-3"/>
                  <c:y val="-7.5305930342014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5B8-4826-9717-2FDC1BC4BA6B}"/>
                </c:ext>
              </c:extLst>
            </c:dLbl>
            <c:dLbl>
              <c:idx val="13"/>
              <c:layout>
                <c:manualLayout>
                  <c:x val="-2.3204303343529242E-2"/>
                  <c:y val="-0.219642296830875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5B8-4826-9717-2FDC1BC4BA6B}"/>
                </c:ext>
              </c:extLst>
            </c:dLbl>
            <c:dLbl>
              <c:idx val="14"/>
              <c:layout>
                <c:manualLayout>
                  <c:x val="4.2189642442780296E-3"/>
                  <c:y val="-0.213366802635707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5B8-4826-9717-2FDC1BC4BA6B}"/>
                </c:ext>
              </c:extLst>
            </c:dLbl>
            <c:dLbl>
              <c:idx val="15"/>
              <c:layout>
                <c:manualLayout>
                  <c:x val="2.3204303343529162E-2"/>
                  <c:y val="-0.125509883903357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5B8-4826-9717-2FDC1BC4BA6B}"/>
                </c:ext>
              </c:extLst>
            </c:dLbl>
            <c:dLbl>
              <c:idx val="18"/>
              <c:layout>
                <c:manualLayout>
                  <c:x val="8.4379284885559829E-3"/>
                  <c:y val="-0.163162849074364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5B8-4826-9717-2FDC1BC4BA6B}"/>
                </c:ext>
              </c:extLst>
            </c:dLbl>
            <c:dLbl>
              <c:idx val="21"/>
              <c:layout>
                <c:manualLayout>
                  <c:x val="-6.3284463664170449E-3"/>
                  <c:y val="-0.219642296830875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B8-4826-9717-2FDC1BC4BA6B}"/>
                </c:ext>
              </c:extLst>
            </c:dLbl>
            <c:dLbl>
              <c:idx val="23"/>
              <c:layout>
                <c:manualLayout>
                  <c:x val="2.953274970994613E-2"/>
                  <c:y val="-0.219642296830875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5B8-4826-9717-2FDC1BC4BA6B}"/>
                </c:ext>
              </c:extLst>
            </c:dLbl>
            <c:dLbl>
              <c:idx val="24"/>
              <c:layout>
                <c:manualLayout>
                  <c:x val="3.164223183208522E-2"/>
                  <c:y val="-0.100407907122685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5B8-4826-9717-2FDC1BC4BA6B}"/>
                </c:ext>
              </c:extLst>
            </c:dLbl>
            <c:dLbl>
              <c:idx val="26"/>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8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13-35B8-4826-9717-2FDC1BC4BA6B}"/>
                </c:ext>
              </c:extLst>
            </c:dLbl>
            <c:dLbl>
              <c:idx val="28"/>
              <c:layout>
                <c:manualLayout>
                  <c:x val="1.265689273283409E-2"/>
                  <c:y val="-0.232193285221211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5B8-4826-9717-2FDC1BC4BA6B}"/>
                </c:ext>
              </c:extLst>
            </c:dLbl>
            <c:dLbl>
              <c:idx val="30"/>
              <c:layout>
                <c:manualLayout>
                  <c:x val="2.1094821221390149E-2"/>
                  <c:y val="-0.251019767806714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5B8-4826-9717-2FDC1BC4BA6B}"/>
                </c:ext>
              </c:extLst>
            </c:dLbl>
            <c:dLbl>
              <c:idx val="35"/>
              <c:layout>
                <c:manualLayout>
                  <c:x val="-1.0547410610695074E-2"/>
                  <c:y val="-0.219642296830875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5B8-4826-9717-2FDC1BC4BA6B}"/>
                </c:ext>
              </c:extLst>
            </c:dLbl>
            <c:dLbl>
              <c:idx val="37"/>
              <c:layout>
                <c:manualLayout>
                  <c:x val="0"/>
                  <c:y val="-0.125509883903357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5B8-4826-9717-2FDC1BC4BA6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KRYETARIT '!$V$3:$V$41</c:f>
              <c:strCache>
                <c:ptCount val="39"/>
                <c:pt idx="0">
                  <c:v>Deçan</c:v>
                </c:pt>
                <c:pt idx="1">
                  <c:v>Ferizaj</c:v>
                </c:pt>
                <c:pt idx="2">
                  <c:v>Fushe Kosovë</c:v>
                </c:pt>
                <c:pt idx="3">
                  <c:v>Gjakovë</c:v>
                </c:pt>
                <c:pt idx="4">
                  <c:v>Gjilan </c:v>
                </c:pt>
                <c:pt idx="5">
                  <c:v>Gllogoc </c:v>
                </c:pt>
                <c:pt idx="6">
                  <c:v>Graçanicë</c:v>
                </c:pt>
                <c:pt idx="7">
                  <c:v>Hani i Elezit</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KRYETARIT '!$W$3:$W$41</c:f>
              <c:numCache>
                <c:formatCode>General</c:formatCode>
                <c:ptCount val="39"/>
                <c:pt idx="0">
                  <c:v>301</c:v>
                </c:pt>
                <c:pt idx="1">
                  <c:v>169</c:v>
                </c:pt>
                <c:pt idx="2">
                  <c:v>0</c:v>
                </c:pt>
                <c:pt idx="3">
                  <c:v>189</c:v>
                </c:pt>
                <c:pt idx="4">
                  <c:v>88</c:v>
                </c:pt>
                <c:pt idx="5">
                  <c:v>5</c:v>
                </c:pt>
                <c:pt idx="6">
                  <c:v>22</c:v>
                </c:pt>
                <c:pt idx="7">
                  <c:v>1</c:v>
                </c:pt>
                <c:pt idx="8">
                  <c:v>0</c:v>
                </c:pt>
                <c:pt idx="9">
                  <c:v>0</c:v>
                </c:pt>
                <c:pt idx="10">
                  <c:v>257</c:v>
                </c:pt>
                <c:pt idx="11">
                  <c:v>5</c:v>
                </c:pt>
                <c:pt idx="12">
                  <c:v>49</c:v>
                </c:pt>
                <c:pt idx="13">
                  <c:v>115</c:v>
                </c:pt>
                <c:pt idx="14">
                  <c:v>111</c:v>
                </c:pt>
                <c:pt idx="15">
                  <c:v>47</c:v>
                </c:pt>
                <c:pt idx="16">
                  <c:v>43</c:v>
                </c:pt>
                <c:pt idx="17">
                  <c:v>0</c:v>
                </c:pt>
                <c:pt idx="18">
                  <c:v>134</c:v>
                </c:pt>
                <c:pt idx="19">
                  <c:v>0</c:v>
                </c:pt>
                <c:pt idx="20">
                  <c:v>0</c:v>
                </c:pt>
                <c:pt idx="21">
                  <c:v>234</c:v>
                </c:pt>
                <c:pt idx="22">
                  <c:v>152</c:v>
                </c:pt>
                <c:pt idx="23">
                  <c:v>415</c:v>
                </c:pt>
                <c:pt idx="24">
                  <c:v>517</c:v>
                </c:pt>
                <c:pt idx="25">
                  <c:v>0</c:v>
                </c:pt>
                <c:pt idx="26">
                  <c:v>66</c:v>
                </c:pt>
                <c:pt idx="27">
                  <c:v>0</c:v>
                </c:pt>
                <c:pt idx="28">
                  <c:v>167</c:v>
                </c:pt>
                <c:pt idx="29">
                  <c:v>15</c:v>
                </c:pt>
                <c:pt idx="30">
                  <c:v>48</c:v>
                </c:pt>
                <c:pt idx="31">
                  <c:v>42</c:v>
                </c:pt>
                <c:pt idx="32">
                  <c:v>0</c:v>
                </c:pt>
                <c:pt idx="33">
                  <c:v>0</c:v>
                </c:pt>
                <c:pt idx="34">
                  <c:v>0</c:v>
                </c:pt>
                <c:pt idx="35">
                  <c:v>247</c:v>
                </c:pt>
                <c:pt idx="36">
                  <c:v>10</c:v>
                </c:pt>
                <c:pt idx="37">
                  <c:v>475</c:v>
                </c:pt>
                <c:pt idx="38">
                  <c:v>3934</c:v>
                </c:pt>
              </c:numCache>
            </c:numRef>
          </c:val>
          <c:extLst>
            <c:ext xmlns:c16="http://schemas.microsoft.com/office/drawing/2014/chart" uri="{C3380CC4-5D6E-409C-BE32-E72D297353CC}">
              <c16:uniqueId val="{00000000-35B8-4826-9717-2FDC1BC4BA6B}"/>
            </c:ext>
          </c:extLst>
        </c:ser>
        <c:dLbls>
          <c:showLegendKey val="0"/>
          <c:showVal val="1"/>
          <c:showCatName val="0"/>
          <c:showSerName val="0"/>
          <c:showPercent val="0"/>
          <c:showBubbleSize val="0"/>
        </c:dLbls>
        <c:gapWidth val="150"/>
        <c:overlap val="-25"/>
        <c:axId val="509581960"/>
        <c:axId val="509588232"/>
      </c:barChart>
      <c:catAx>
        <c:axId val="509581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509588232"/>
        <c:crosses val="autoZero"/>
        <c:auto val="1"/>
        <c:lblAlgn val="ctr"/>
        <c:lblOffset val="100"/>
        <c:noMultiLvlLbl val="0"/>
      </c:catAx>
      <c:valAx>
        <c:axId val="509588232"/>
        <c:scaling>
          <c:orientation val="minMax"/>
        </c:scaling>
        <c:delete val="1"/>
        <c:axPos val="l"/>
        <c:numFmt formatCode="General" sourceLinked="1"/>
        <c:majorTickMark val="none"/>
        <c:minorTickMark val="none"/>
        <c:tickLblPos val="nextTo"/>
        <c:crossAx val="5095819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'AKTET E KRYETARIT '!$AP$3</c:f>
              <c:strCache>
                <c:ptCount val="1"/>
                <c:pt idx="0">
                  <c:v>Plani i punës së Kryetarit të komunës</c:v>
                </c:pt>
              </c:strCache>
            </c:strRef>
          </c:tx>
          <c:spPr>
            <a:solidFill>
              <a:schemeClr val="accent1"/>
            </a:solidFill>
            <a:ln>
              <a:noFill/>
            </a:ln>
            <a:effectLst/>
          </c:spPr>
          <c:invertIfNegative val="0"/>
          <c:dLbls>
            <c:dLbl>
              <c:idx val="0"/>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137-4DBB-B6B5-D5E03C0E1907}"/>
                </c:ext>
              </c:extLst>
            </c:dLbl>
            <c:dLbl>
              <c:idx val="15"/>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137-4DBB-B6B5-D5E03C0E1907}"/>
                </c:ext>
              </c:extLst>
            </c:dLbl>
            <c:dLbl>
              <c:idx val="38"/>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137-4DBB-B6B5-D5E03C0E190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KRYETARIT '!$AO$4:$AO$43</c:f>
              <c:strCache>
                <c:ptCount val="39"/>
                <c:pt idx="0">
                  <c:v>Deçan</c:v>
                </c:pt>
                <c:pt idx="1">
                  <c:v>Ferizaj</c:v>
                </c:pt>
                <c:pt idx="2">
                  <c:v>Fushe Kosovë</c:v>
                </c:pt>
                <c:pt idx="3">
                  <c:v>Gjakovë</c:v>
                </c:pt>
                <c:pt idx="4">
                  <c:v>Gjilan </c:v>
                </c:pt>
                <c:pt idx="5">
                  <c:v>Gllogoc </c:v>
                </c:pt>
                <c:pt idx="6">
                  <c:v>Graçanicë</c:v>
                </c:pt>
                <c:pt idx="7">
                  <c:v>Hani i Elezit</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KRYETARIT '!$AP$4:$AP$43</c:f>
              <c:numCache>
                <c:formatCode>General</c:formatCode>
                <c:ptCount val="40"/>
                <c:pt idx="0">
                  <c:v>0</c:v>
                </c:pt>
                <c:pt idx="1">
                  <c:v>1</c:v>
                </c:pt>
                <c:pt idx="2">
                  <c:v>0</c:v>
                </c:pt>
                <c:pt idx="3">
                  <c:v>1</c:v>
                </c:pt>
                <c:pt idx="4">
                  <c:v>2</c:v>
                </c:pt>
                <c:pt idx="5">
                  <c:v>1</c:v>
                </c:pt>
                <c:pt idx="6">
                  <c:v>0</c:v>
                </c:pt>
                <c:pt idx="7">
                  <c:v>0</c:v>
                </c:pt>
                <c:pt idx="8">
                  <c:v>0</c:v>
                </c:pt>
                <c:pt idx="9">
                  <c:v>0</c:v>
                </c:pt>
                <c:pt idx="10">
                  <c:v>1</c:v>
                </c:pt>
                <c:pt idx="11">
                  <c:v>1</c:v>
                </c:pt>
                <c:pt idx="12">
                  <c:v>1</c:v>
                </c:pt>
                <c:pt idx="13">
                  <c:v>1</c:v>
                </c:pt>
                <c:pt idx="14">
                  <c:v>1</c:v>
                </c:pt>
                <c:pt idx="15">
                  <c:v>0</c:v>
                </c:pt>
                <c:pt idx="16">
                  <c:v>1</c:v>
                </c:pt>
                <c:pt idx="17">
                  <c:v>0</c:v>
                </c:pt>
                <c:pt idx="18">
                  <c:v>1</c:v>
                </c:pt>
                <c:pt idx="19">
                  <c:v>0</c:v>
                </c:pt>
                <c:pt idx="20">
                  <c:v>1</c:v>
                </c:pt>
                <c:pt idx="21">
                  <c:v>0</c:v>
                </c:pt>
                <c:pt idx="22">
                  <c:v>0</c:v>
                </c:pt>
                <c:pt idx="23">
                  <c:v>1</c:v>
                </c:pt>
                <c:pt idx="24">
                  <c:v>1</c:v>
                </c:pt>
                <c:pt idx="25">
                  <c:v>0</c:v>
                </c:pt>
                <c:pt idx="26">
                  <c:v>1</c:v>
                </c:pt>
                <c:pt idx="27">
                  <c:v>0</c:v>
                </c:pt>
                <c:pt idx="28">
                  <c:v>1</c:v>
                </c:pt>
                <c:pt idx="29">
                  <c:v>0</c:v>
                </c:pt>
                <c:pt idx="30">
                  <c:v>1</c:v>
                </c:pt>
                <c:pt idx="31">
                  <c:v>1</c:v>
                </c:pt>
                <c:pt idx="32">
                  <c:v>0</c:v>
                </c:pt>
                <c:pt idx="33">
                  <c:v>0</c:v>
                </c:pt>
                <c:pt idx="34">
                  <c:v>0</c:v>
                </c:pt>
                <c:pt idx="35">
                  <c:v>1</c:v>
                </c:pt>
                <c:pt idx="36">
                  <c:v>0</c:v>
                </c:pt>
                <c:pt idx="37">
                  <c:v>0</c:v>
                </c:pt>
                <c:pt idx="38">
                  <c:v>20</c:v>
                </c:pt>
              </c:numCache>
            </c:numRef>
          </c:val>
          <c:extLst>
            <c:ext xmlns:c16="http://schemas.microsoft.com/office/drawing/2014/chart" uri="{C3380CC4-5D6E-409C-BE32-E72D297353CC}">
              <c16:uniqueId val="{00000002-C137-4DBB-B6B5-D5E03C0E1907}"/>
            </c:ext>
          </c:extLst>
        </c:ser>
        <c:dLbls>
          <c:showLegendKey val="0"/>
          <c:showVal val="1"/>
          <c:showCatName val="0"/>
          <c:showSerName val="0"/>
          <c:showPercent val="0"/>
          <c:showBubbleSize val="0"/>
        </c:dLbls>
        <c:gapWidth val="150"/>
        <c:overlap val="-25"/>
        <c:axId val="1793574656"/>
        <c:axId val="1793575072"/>
      </c:barChart>
      <c:catAx>
        <c:axId val="179357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j-lt"/>
                <a:ea typeface="+mn-ea"/>
                <a:cs typeface="+mn-cs"/>
              </a:defRPr>
            </a:pPr>
            <a:endParaRPr lang="en-US"/>
          </a:p>
        </c:txPr>
        <c:crossAx val="1793575072"/>
        <c:crosses val="autoZero"/>
        <c:auto val="1"/>
        <c:lblAlgn val="ctr"/>
        <c:lblOffset val="100"/>
        <c:noMultiLvlLbl val="0"/>
      </c:catAx>
      <c:valAx>
        <c:axId val="1793575072"/>
        <c:scaling>
          <c:orientation val="minMax"/>
        </c:scaling>
        <c:delete val="1"/>
        <c:axPos val="l"/>
        <c:numFmt formatCode="General" sourceLinked="1"/>
        <c:majorTickMark val="none"/>
        <c:minorTickMark val="none"/>
        <c:tickLblPos val="nextTo"/>
        <c:crossAx val="17935746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'AKTET E KRYETARIT '!$AM$2:$AM$3</c:f>
              <c:strCache>
                <c:ptCount val="2"/>
                <c:pt idx="1">
                  <c:v>Publikimi i Raportit të kryetarit të komunës</c:v>
                </c:pt>
              </c:strCache>
            </c:strRef>
          </c:tx>
          <c:spPr>
            <a:solidFill>
              <a:schemeClr val="accent1"/>
            </a:solidFill>
            <a:ln>
              <a:noFill/>
            </a:ln>
            <a:effectLst/>
          </c:spPr>
          <c:invertIfNegative val="0"/>
          <c:dLbls>
            <c:dLbl>
              <c:idx val="0"/>
              <c:layout>
                <c:manualLayout>
                  <c:x val="-2.2158209616662972E-3"/>
                  <c:y val="-0.304798962386511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D3-4C03-8497-52AAE7375595}"/>
                </c:ext>
              </c:extLst>
            </c:dLbl>
            <c:dLbl>
              <c:idx val="1"/>
              <c:layout>
                <c:manualLayout>
                  <c:x val="-2.2158209616663024E-3"/>
                  <c:y val="-0.214007782101167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D3-4C03-8497-52AAE7375595}"/>
                </c:ext>
              </c:extLst>
            </c:dLbl>
            <c:dLbl>
              <c:idx val="4"/>
              <c:layout>
                <c:manualLayout>
                  <c:x val="-4.4316419233326153E-3"/>
                  <c:y val="-0.27237328553775142"/>
                </c:manualLayout>
              </c:layout>
              <c:showLegendKey val="0"/>
              <c:showVal val="1"/>
              <c:showCatName val="0"/>
              <c:showSerName val="0"/>
              <c:showPercent val="0"/>
              <c:showBubbleSize val="0"/>
              <c:extLst>
                <c:ext xmlns:c15="http://schemas.microsoft.com/office/drawing/2012/chart" uri="{CE6537A1-D6FC-4f65-9D91-7224C49458BB}">
                  <c15:layout>
                    <c:manualLayout>
                      <c:w val="2.6600843407758167E-2"/>
                      <c:h val="8.6543705383130595E-2"/>
                    </c:manualLayout>
                  </c15:layout>
                </c:ext>
                <c:ext xmlns:c16="http://schemas.microsoft.com/office/drawing/2014/chart" uri="{C3380CC4-5D6E-409C-BE32-E72D297353CC}">
                  <c16:uniqueId val="{00000004-5DD3-4C03-8497-52AAE7375595}"/>
                </c:ext>
              </c:extLst>
            </c:dLbl>
            <c:dLbl>
              <c:idx val="5"/>
              <c:layout>
                <c:manualLayout>
                  <c:x val="-2.2158209616663176E-3"/>
                  <c:y val="-0.233463035019455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D3-4C03-8497-52AAE7375595}"/>
                </c:ext>
              </c:extLst>
            </c:dLbl>
            <c:dLbl>
              <c:idx val="8"/>
              <c:layout>
                <c:manualLayout>
                  <c:x val="-2.2158209616662972E-3"/>
                  <c:y val="-0.188067444876783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D3-4C03-8497-52AAE7375595}"/>
                </c:ext>
              </c:extLst>
            </c:dLbl>
            <c:dLbl>
              <c:idx val="9"/>
              <c:layout>
                <c:manualLayout>
                  <c:x val="-2.2158209616662972E-3"/>
                  <c:y val="-0.239948119325551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DD3-4C03-8497-52AAE7375595}"/>
                </c:ext>
              </c:extLst>
            </c:dLbl>
            <c:dLbl>
              <c:idx val="12"/>
              <c:layout>
                <c:manualLayout>
                  <c:x val="-8.8632838466652306E-3"/>
                  <c:y val="-0.246433203631647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DD3-4C03-8497-52AAE7375595}"/>
                </c:ext>
              </c:extLst>
            </c:dLbl>
            <c:dLbl>
              <c:idx val="13"/>
              <c:layout>
                <c:manualLayout>
                  <c:x val="-6.6474628849988917E-3"/>
                  <c:y val="-0.239948119325551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DD3-4C03-8497-52AAE7375595}"/>
                </c:ext>
              </c:extLst>
            </c:dLbl>
            <c:dLbl>
              <c:idx val="16"/>
              <c:layout>
                <c:manualLayout>
                  <c:x val="-1.3294925769997783E-2"/>
                  <c:y val="-0.207522697795071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DD3-4C03-8497-52AAE7375595}"/>
                </c:ext>
              </c:extLst>
            </c:dLbl>
            <c:dLbl>
              <c:idx val="17"/>
              <c:layout>
                <c:manualLayout>
                  <c:x val="-1.3294925769997783E-2"/>
                  <c:y val="-0.220492866407263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DD3-4C03-8497-52AAE7375595}"/>
                </c:ext>
              </c:extLst>
            </c:dLbl>
            <c:dLbl>
              <c:idx val="21"/>
              <c:layout>
                <c:manualLayout>
                  <c:x val="2.2158209616662972E-3"/>
                  <c:y val="-0.207522697795071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DD3-4C03-8497-52AAE7375595}"/>
                </c:ext>
              </c:extLst>
            </c:dLbl>
            <c:dLbl>
              <c:idx val="23"/>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61A-444E-B8CA-95D12F75AB9B}"/>
                </c:ext>
              </c:extLst>
            </c:dLbl>
            <c:dLbl>
              <c:idx val="24"/>
              <c:layout>
                <c:manualLayout>
                  <c:x val="-1.9942388654996677E-2"/>
                  <c:y val="-0.259403372243839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DD3-4C03-8497-52AAE7375595}"/>
                </c:ext>
              </c:extLst>
            </c:dLbl>
            <c:dLbl>
              <c:idx val="25"/>
              <c:layout>
                <c:manualLayout>
                  <c:x val="-6.6474628849989732E-3"/>
                  <c:y val="-0.207522697795071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DD3-4C03-8497-52AAE7375595}"/>
                </c:ext>
              </c:extLst>
            </c:dLbl>
            <c:dLbl>
              <c:idx val="27"/>
              <c:layout>
                <c:manualLayout>
                  <c:x val="-1.1079104808331486E-2"/>
                  <c:y val="-0.201037613488975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DD3-4C03-8497-52AAE7375595}"/>
                </c:ext>
              </c:extLst>
            </c:dLbl>
            <c:dLbl>
              <c:idx val="30"/>
              <c:layout>
                <c:manualLayout>
                  <c:x val="-1.7726567693330461E-2"/>
                  <c:y val="-0.194552529182879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DD3-4C03-8497-52AAE7375595}"/>
                </c:ext>
              </c:extLst>
            </c:dLbl>
            <c:dLbl>
              <c:idx val="33"/>
              <c:layout>
                <c:manualLayout>
                  <c:x val="0"/>
                  <c:y val="-0.207522697795071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DD3-4C03-8497-52AAE7375595}"/>
                </c:ext>
              </c:extLst>
            </c:dLbl>
            <c:dLbl>
              <c:idx val="36"/>
              <c:layout>
                <c:manualLayout>
                  <c:x val="-1.9942388654996677E-2"/>
                  <c:y val="-0.278858625162127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DD3-4C03-8497-52AAE7375595}"/>
                </c:ext>
              </c:extLst>
            </c:dLbl>
            <c:dLbl>
              <c:idx val="38"/>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61A-444E-B8CA-95D12F75AB9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KRYETARIT '!$AL$4:$AL$43</c:f>
              <c:strCache>
                <c:ptCount val="39"/>
                <c:pt idx="0">
                  <c:v>Deçan</c:v>
                </c:pt>
                <c:pt idx="1">
                  <c:v>Ferizaj</c:v>
                </c:pt>
                <c:pt idx="2">
                  <c:v>Fushe Kosovë</c:v>
                </c:pt>
                <c:pt idx="3">
                  <c:v>Gjakovë</c:v>
                </c:pt>
                <c:pt idx="4">
                  <c:v>Gjilan </c:v>
                </c:pt>
                <c:pt idx="5">
                  <c:v>Gllogoc </c:v>
                </c:pt>
                <c:pt idx="6">
                  <c:v>Graçanicë</c:v>
                </c:pt>
                <c:pt idx="7">
                  <c:v>Hani i Elezit</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KRYETARIT '!$AM$4:$AM$43</c:f>
              <c:numCache>
                <c:formatCode>General</c:formatCode>
                <c:ptCount val="40"/>
                <c:pt idx="0">
                  <c:v>1</c:v>
                </c:pt>
                <c:pt idx="1">
                  <c:v>1</c:v>
                </c:pt>
                <c:pt idx="2">
                  <c:v>0</c:v>
                </c:pt>
                <c:pt idx="3">
                  <c:v>1</c:v>
                </c:pt>
                <c:pt idx="4">
                  <c:v>1</c:v>
                </c:pt>
                <c:pt idx="5">
                  <c:v>1</c:v>
                </c:pt>
                <c:pt idx="6">
                  <c:v>1</c:v>
                </c:pt>
                <c:pt idx="7">
                  <c:v>1</c:v>
                </c:pt>
                <c:pt idx="8">
                  <c:v>0</c:v>
                </c:pt>
                <c:pt idx="9">
                  <c:v>0</c:v>
                </c:pt>
                <c:pt idx="10">
                  <c:v>1</c:v>
                </c:pt>
                <c:pt idx="11">
                  <c:v>0</c:v>
                </c:pt>
                <c:pt idx="12">
                  <c:v>0</c:v>
                </c:pt>
                <c:pt idx="13">
                  <c:v>0</c:v>
                </c:pt>
                <c:pt idx="14">
                  <c:v>1</c:v>
                </c:pt>
                <c:pt idx="15">
                  <c:v>1</c:v>
                </c:pt>
                <c:pt idx="16">
                  <c:v>1</c:v>
                </c:pt>
                <c:pt idx="17">
                  <c:v>0</c:v>
                </c:pt>
                <c:pt idx="18">
                  <c:v>1</c:v>
                </c:pt>
                <c:pt idx="19">
                  <c:v>0</c:v>
                </c:pt>
                <c:pt idx="20">
                  <c:v>1</c:v>
                </c:pt>
                <c:pt idx="21">
                  <c:v>0</c:v>
                </c:pt>
                <c:pt idx="22">
                  <c:v>0</c:v>
                </c:pt>
                <c:pt idx="23">
                  <c:v>2</c:v>
                </c:pt>
                <c:pt idx="24">
                  <c:v>1</c:v>
                </c:pt>
                <c:pt idx="25">
                  <c:v>0</c:v>
                </c:pt>
                <c:pt idx="26">
                  <c:v>1</c:v>
                </c:pt>
                <c:pt idx="27">
                  <c:v>0</c:v>
                </c:pt>
                <c:pt idx="28">
                  <c:v>1</c:v>
                </c:pt>
                <c:pt idx="29">
                  <c:v>1</c:v>
                </c:pt>
                <c:pt idx="30">
                  <c:v>1</c:v>
                </c:pt>
                <c:pt idx="31">
                  <c:v>1</c:v>
                </c:pt>
                <c:pt idx="32">
                  <c:v>0</c:v>
                </c:pt>
                <c:pt idx="33">
                  <c:v>0</c:v>
                </c:pt>
                <c:pt idx="34">
                  <c:v>0</c:v>
                </c:pt>
                <c:pt idx="35">
                  <c:v>1</c:v>
                </c:pt>
                <c:pt idx="36">
                  <c:v>0</c:v>
                </c:pt>
                <c:pt idx="37">
                  <c:v>1</c:v>
                </c:pt>
                <c:pt idx="38">
                  <c:v>23</c:v>
                </c:pt>
              </c:numCache>
            </c:numRef>
          </c:val>
          <c:extLst>
            <c:ext xmlns:c16="http://schemas.microsoft.com/office/drawing/2014/chart" uri="{C3380CC4-5D6E-409C-BE32-E72D297353CC}">
              <c16:uniqueId val="{00000000-5DD3-4C03-8497-52AAE7375595}"/>
            </c:ext>
          </c:extLst>
        </c:ser>
        <c:dLbls>
          <c:showLegendKey val="0"/>
          <c:showVal val="1"/>
          <c:showCatName val="0"/>
          <c:showSerName val="0"/>
          <c:showPercent val="0"/>
          <c:showBubbleSize val="0"/>
        </c:dLbls>
        <c:gapWidth val="150"/>
        <c:overlap val="-25"/>
        <c:axId val="509583528"/>
        <c:axId val="509589016"/>
      </c:barChart>
      <c:catAx>
        <c:axId val="509583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509589016"/>
        <c:crosses val="autoZero"/>
        <c:auto val="1"/>
        <c:lblAlgn val="ctr"/>
        <c:lblOffset val="100"/>
        <c:noMultiLvlLbl val="0"/>
      </c:catAx>
      <c:valAx>
        <c:axId val="509589016"/>
        <c:scaling>
          <c:orientation val="minMax"/>
        </c:scaling>
        <c:delete val="1"/>
        <c:axPos val="l"/>
        <c:numFmt formatCode="General" sourceLinked="1"/>
        <c:majorTickMark val="none"/>
        <c:minorTickMark val="none"/>
        <c:tickLblPos val="nextTo"/>
        <c:crossAx val="509583528"/>
        <c:crosses val="autoZero"/>
        <c:crossBetween val="between"/>
      </c:valAx>
      <c:spPr>
        <a:blipFill>
          <a:blip xmlns:r="http://schemas.openxmlformats.org/officeDocument/2006/relationships" r:embed="rId3"/>
          <a:tile tx="0" ty="0" sx="100000" sy="100000" flip="none" algn="tl"/>
        </a:blipFill>
        <a:ln w="25400">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'AKTET E KRYETARIT '!$AJ$3</c:f>
              <c:strCache>
                <c:ptCount val="1"/>
                <c:pt idx="0">
                  <c:v>Takimet publike të Kryetarit të Komunës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KRYETARIT '!$AI$4:$AI$43</c:f>
              <c:strCache>
                <c:ptCount val="39"/>
                <c:pt idx="0">
                  <c:v>Deçan</c:v>
                </c:pt>
                <c:pt idx="1">
                  <c:v>Ferizaj</c:v>
                </c:pt>
                <c:pt idx="2">
                  <c:v>Fushe Kosovë</c:v>
                </c:pt>
                <c:pt idx="3">
                  <c:v>Gjakovë</c:v>
                </c:pt>
                <c:pt idx="4">
                  <c:v>Gjilan </c:v>
                </c:pt>
                <c:pt idx="5">
                  <c:v>Gllogoc </c:v>
                </c:pt>
                <c:pt idx="6">
                  <c:v>Graçanicë</c:v>
                </c:pt>
                <c:pt idx="7">
                  <c:v>Hani i Elezit</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KRYETARIT '!$AJ$4:$AJ$43</c:f>
              <c:numCache>
                <c:formatCode>General</c:formatCode>
                <c:ptCount val="40"/>
                <c:pt idx="0">
                  <c:v>0</c:v>
                </c:pt>
                <c:pt idx="1">
                  <c:v>2</c:v>
                </c:pt>
                <c:pt idx="2">
                  <c:v>0</c:v>
                </c:pt>
                <c:pt idx="3">
                  <c:v>2</c:v>
                </c:pt>
                <c:pt idx="4">
                  <c:v>2</c:v>
                </c:pt>
                <c:pt idx="5">
                  <c:v>2</c:v>
                </c:pt>
                <c:pt idx="6">
                  <c:v>0</c:v>
                </c:pt>
                <c:pt idx="7">
                  <c:v>0</c:v>
                </c:pt>
                <c:pt idx="8">
                  <c:v>2</c:v>
                </c:pt>
                <c:pt idx="9">
                  <c:v>0</c:v>
                </c:pt>
                <c:pt idx="10">
                  <c:v>2</c:v>
                </c:pt>
                <c:pt idx="11">
                  <c:v>2</c:v>
                </c:pt>
                <c:pt idx="12">
                  <c:v>0</c:v>
                </c:pt>
                <c:pt idx="13">
                  <c:v>2</c:v>
                </c:pt>
                <c:pt idx="14">
                  <c:v>2</c:v>
                </c:pt>
                <c:pt idx="15">
                  <c:v>2</c:v>
                </c:pt>
                <c:pt idx="16">
                  <c:v>2</c:v>
                </c:pt>
                <c:pt idx="17">
                  <c:v>0</c:v>
                </c:pt>
                <c:pt idx="18">
                  <c:v>1</c:v>
                </c:pt>
                <c:pt idx="19">
                  <c:v>0</c:v>
                </c:pt>
                <c:pt idx="20">
                  <c:v>2</c:v>
                </c:pt>
                <c:pt idx="21">
                  <c:v>2</c:v>
                </c:pt>
                <c:pt idx="22">
                  <c:v>1</c:v>
                </c:pt>
                <c:pt idx="23">
                  <c:v>2</c:v>
                </c:pt>
                <c:pt idx="24">
                  <c:v>2</c:v>
                </c:pt>
                <c:pt idx="25">
                  <c:v>0</c:v>
                </c:pt>
                <c:pt idx="26">
                  <c:v>2</c:v>
                </c:pt>
                <c:pt idx="27">
                  <c:v>0</c:v>
                </c:pt>
                <c:pt idx="28">
                  <c:v>2</c:v>
                </c:pt>
                <c:pt idx="29">
                  <c:v>1</c:v>
                </c:pt>
                <c:pt idx="30">
                  <c:v>2</c:v>
                </c:pt>
                <c:pt idx="31">
                  <c:v>2</c:v>
                </c:pt>
                <c:pt idx="32">
                  <c:v>0</c:v>
                </c:pt>
                <c:pt idx="33">
                  <c:v>0</c:v>
                </c:pt>
                <c:pt idx="34">
                  <c:v>0</c:v>
                </c:pt>
                <c:pt idx="35">
                  <c:v>0</c:v>
                </c:pt>
                <c:pt idx="36">
                  <c:v>0</c:v>
                </c:pt>
                <c:pt idx="37">
                  <c:v>2</c:v>
                </c:pt>
                <c:pt idx="38">
                  <c:v>24</c:v>
                </c:pt>
              </c:numCache>
            </c:numRef>
          </c:val>
          <c:extLst>
            <c:ext xmlns:c16="http://schemas.microsoft.com/office/drawing/2014/chart" uri="{C3380CC4-5D6E-409C-BE32-E72D297353CC}">
              <c16:uniqueId val="{00000000-375A-48B4-B822-2C8C89242FDD}"/>
            </c:ext>
          </c:extLst>
        </c:ser>
        <c:dLbls>
          <c:showLegendKey val="0"/>
          <c:showVal val="1"/>
          <c:showCatName val="0"/>
          <c:showSerName val="0"/>
          <c:showPercent val="0"/>
          <c:showBubbleSize val="0"/>
        </c:dLbls>
        <c:gapWidth val="150"/>
        <c:overlap val="-25"/>
        <c:axId val="509579216"/>
        <c:axId val="509579608"/>
      </c:barChart>
      <c:catAx>
        <c:axId val="50957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509579608"/>
        <c:crosses val="autoZero"/>
        <c:auto val="1"/>
        <c:lblAlgn val="ctr"/>
        <c:lblOffset val="100"/>
        <c:noMultiLvlLbl val="0"/>
      </c:catAx>
      <c:valAx>
        <c:axId val="509579608"/>
        <c:scaling>
          <c:orientation val="minMax"/>
        </c:scaling>
        <c:delete val="1"/>
        <c:axPos val="l"/>
        <c:numFmt formatCode="General" sourceLinked="1"/>
        <c:majorTickMark val="none"/>
        <c:minorTickMark val="none"/>
        <c:tickLblPos val="nextTo"/>
        <c:crossAx val="5095792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17367650136011E-2"/>
          <c:y val="0.21120211893074609"/>
          <c:w val="0.96652019250889309"/>
          <c:h val="0.4374112913673725"/>
        </c:manualLayout>
      </c:layout>
      <c:barChart>
        <c:barDir val="col"/>
        <c:grouping val="clustered"/>
        <c:varyColors val="0"/>
        <c:ser>
          <c:idx val="0"/>
          <c:order val="0"/>
          <c:tx>
            <c:strRef>
              <c:f>'AKTET E KRYETARIT '!$AM$3</c:f>
              <c:strCache>
                <c:ptCount val="1"/>
                <c:pt idx="0">
                  <c:v>Lista e pronave komunale, pronave të cilat planifikohen të jepen në shfrytëzim,</c:v>
                </c:pt>
              </c:strCache>
            </c:strRef>
          </c:tx>
          <c:spPr>
            <a:solidFill>
              <a:schemeClr val="accent1"/>
            </a:solidFill>
            <a:ln>
              <a:noFill/>
            </a:ln>
            <a:effectLst/>
          </c:spPr>
          <c:invertIfNegative val="0"/>
          <c:dLbls>
            <c:dLbl>
              <c:idx val="38"/>
              <c:layout>
                <c:manualLayout>
                  <c:x val="-1.9624945486262538E-2"/>
                  <c:y val="-7.3578595317725759E-2"/>
                </c:manualLayout>
              </c:layout>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D85-4D40-AB4B-95AC93B1769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'AKTET E KRYETARIT '!$AL$4:$AL$43</c:f>
              <c:strCache>
                <c:ptCount val="39"/>
                <c:pt idx="0">
                  <c:v>Deçan</c:v>
                </c:pt>
                <c:pt idx="1">
                  <c:v>Ferizaj</c:v>
                </c:pt>
                <c:pt idx="2">
                  <c:v>Fushe Kosovë</c:v>
                </c:pt>
                <c:pt idx="3">
                  <c:v>Gjakovë</c:v>
                </c:pt>
                <c:pt idx="4">
                  <c:v>Gjilan </c:v>
                </c:pt>
                <c:pt idx="5">
                  <c:v>Gllogoc </c:v>
                </c:pt>
                <c:pt idx="6">
                  <c:v>Graçanicë</c:v>
                </c:pt>
                <c:pt idx="7">
                  <c:v>Hani i Elezit</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KRYETARIT '!$AM$4:$AM$43</c:f>
              <c:numCache>
                <c:formatCode>General</c:formatCode>
                <c:ptCount val="40"/>
                <c:pt idx="0">
                  <c:v>0</c:v>
                </c:pt>
                <c:pt idx="1">
                  <c:v>1</c:v>
                </c:pt>
                <c:pt idx="2">
                  <c:v>0</c:v>
                </c:pt>
                <c:pt idx="3">
                  <c:v>1</c:v>
                </c:pt>
                <c:pt idx="4">
                  <c:v>0</c:v>
                </c:pt>
                <c:pt idx="5">
                  <c:v>1</c:v>
                </c:pt>
                <c:pt idx="6">
                  <c:v>1</c:v>
                </c:pt>
                <c:pt idx="7">
                  <c:v>1</c:v>
                </c:pt>
                <c:pt idx="8">
                  <c:v>0</c:v>
                </c:pt>
                <c:pt idx="9">
                  <c:v>0</c:v>
                </c:pt>
                <c:pt idx="10">
                  <c:v>1</c:v>
                </c:pt>
                <c:pt idx="11">
                  <c:v>1</c:v>
                </c:pt>
                <c:pt idx="12">
                  <c:v>1</c:v>
                </c:pt>
                <c:pt idx="13">
                  <c:v>0</c:v>
                </c:pt>
                <c:pt idx="14">
                  <c:v>1</c:v>
                </c:pt>
                <c:pt idx="15">
                  <c:v>1</c:v>
                </c:pt>
                <c:pt idx="16">
                  <c:v>1</c:v>
                </c:pt>
                <c:pt idx="17">
                  <c:v>0</c:v>
                </c:pt>
                <c:pt idx="18">
                  <c:v>1</c:v>
                </c:pt>
                <c:pt idx="19">
                  <c:v>0</c:v>
                </c:pt>
                <c:pt idx="20">
                  <c:v>0</c:v>
                </c:pt>
                <c:pt idx="21">
                  <c:v>0</c:v>
                </c:pt>
                <c:pt idx="22">
                  <c:v>1</c:v>
                </c:pt>
                <c:pt idx="23">
                  <c:v>1</c:v>
                </c:pt>
                <c:pt idx="24">
                  <c:v>1</c:v>
                </c:pt>
                <c:pt idx="25">
                  <c:v>0</c:v>
                </c:pt>
                <c:pt idx="26">
                  <c:v>1</c:v>
                </c:pt>
                <c:pt idx="27">
                  <c:v>0</c:v>
                </c:pt>
                <c:pt idx="28">
                  <c:v>1</c:v>
                </c:pt>
                <c:pt idx="29">
                  <c:v>0</c:v>
                </c:pt>
                <c:pt idx="30">
                  <c:v>1</c:v>
                </c:pt>
                <c:pt idx="31">
                  <c:v>1</c:v>
                </c:pt>
                <c:pt idx="32">
                  <c:v>0</c:v>
                </c:pt>
                <c:pt idx="33">
                  <c:v>0</c:v>
                </c:pt>
                <c:pt idx="34">
                  <c:v>0</c:v>
                </c:pt>
                <c:pt idx="35">
                  <c:v>0</c:v>
                </c:pt>
                <c:pt idx="36">
                  <c:v>0</c:v>
                </c:pt>
                <c:pt idx="37">
                  <c:v>1</c:v>
                </c:pt>
                <c:pt idx="38">
                  <c:v>20</c:v>
                </c:pt>
              </c:numCache>
            </c:numRef>
          </c:val>
          <c:extLst>
            <c:ext xmlns:c16="http://schemas.microsoft.com/office/drawing/2014/chart" uri="{C3380CC4-5D6E-409C-BE32-E72D297353CC}">
              <c16:uniqueId val="{00000000-188A-43DB-8C56-AAF2C5580DC5}"/>
            </c:ext>
          </c:extLst>
        </c:ser>
        <c:ser>
          <c:idx val="1"/>
          <c:order val="1"/>
          <c:tx>
            <c:strRef>
              <c:f>'AKTET E KRYETARIT '!$AN$3</c:f>
              <c:strCache>
                <c:ptCount val="1"/>
                <c:pt idx="0">
                  <c:v>Lista e pronave komunale të dhëna në shfrytëzim </c:v>
                </c:pt>
              </c:strCache>
            </c:strRef>
          </c:tx>
          <c:spPr>
            <a:solidFill>
              <a:schemeClr val="accent2"/>
            </a:solidFill>
            <a:ln>
              <a:noFill/>
            </a:ln>
            <a:effectLst/>
          </c:spPr>
          <c:invertIfNegative val="0"/>
          <c:dLbls>
            <c:dLbl>
              <c:idx val="0"/>
              <c:layout>
                <c:manualLayout>
                  <c:x val="0"/>
                  <c:y val="-0.137111517367458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8A-43DB-8C56-AAF2C5580DC5}"/>
                </c:ext>
              </c:extLst>
            </c:dLbl>
            <c:dLbl>
              <c:idx val="1"/>
              <c:layout>
                <c:manualLayout>
                  <c:x val="1.0462439840970915E-2"/>
                  <c:y val="-0.15996343692870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8A-43DB-8C56-AAF2C5580DC5}"/>
                </c:ext>
              </c:extLst>
            </c:dLbl>
            <c:dLbl>
              <c:idx val="2"/>
              <c:layout>
                <c:manualLayout>
                  <c:x val="6.2774639045825482E-3"/>
                  <c:y val="-0.182815356489945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8A-43DB-8C56-AAF2C5580DC5}"/>
                </c:ext>
              </c:extLst>
            </c:dLbl>
            <c:dLbl>
              <c:idx val="3"/>
              <c:layout>
                <c:manualLayout>
                  <c:x val="4.1849759363883658E-3"/>
                  <c:y val="-0.123400365630713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8A-43DB-8C56-AAF2C5580DC5}"/>
                </c:ext>
              </c:extLst>
            </c:dLbl>
            <c:dLbl>
              <c:idx val="4"/>
              <c:layout>
                <c:manualLayout>
                  <c:x val="1.0462439840970896E-2"/>
                  <c:y val="-0.123400365630713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88A-43DB-8C56-AAF2C5580DC5}"/>
                </c:ext>
              </c:extLst>
            </c:dLbl>
            <c:dLbl>
              <c:idx val="5"/>
              <c:layout>
                <c:manualLayout>
                  <c:x val="8.3699518727767125E-3"/>
                  <c:y val="-0.123400365630713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88A-43DB-8C56-AAF2C5580DC5}"/>
                </c:ext>
              </c:extLst>
            </c:dLbl>
            <c:dLbl>
              <c:idx val="6"/>
              <c:layout>
                <c:manualLayout>
                  <c:x val="4.1849759363883658E-3"/>
                  <c:y val="-0.164533820840950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88A-43DB-8C56-AAF2C5580DC5}"/>
                </c:ext>
              </c:extLst>
            </c:dLbl>
            <c:dLbl>
              <c:idx val="7"/>
              <c:layout>
                <c:manualLayout>
                  <c:x val="6.2774639045825482E-3"/>
                  <c:y val="-0.164533820840950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88A-43DB-8C56-AAF2C5580DC5}"/>
                </c:ext>
              </c:extLst>
            </c:dLbl>
            <c:dLbl>
              <c:idx val="8"/>
              <c:layout>
                <c:manualLayout>
                  <c:x val="6.2774639045825482E-3"/>
                  <c:y val="-0.164533820840950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88A-43DB-8C56-AAF2C5580DC5}"/>
                </c:ext>
              </c:extLst>
            </c:dLbl>
            <c:dLbl>
              <c:idx val="9"/>
              <c:layout>
                <c:manualLayout>
                  <c:x val="0"/>
                  <c:y val="-0.187385740402193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88A-43DB-8C56-AAF2C5580DC5}"/>
                </c:ext>
              </c:extLst>
            </c:dLbl>
            <c:dLbl>
              <c:idx val="10"/>
              <c:layout>
                <c:manualLayout>
                  <c:x val="6.2774639045825101E-3"/>
                  <c:y val="-0.187385740402193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88A-43DB-8C56-AAF2C5580DC5}"/>
                </c:ext>
              </c:extLst>
            </c:dLbl>
            <c:dLbl>
              <c:idx val="11"/>
              <c:layout>
                <c:manualLayout>
                  <c:x val="6.2774639045825101E-3"/>
                  <c:y val="-0.214808043875685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88A-43DB-8C56-AAF2C5580DC5}"/>
                </c:ext>
              </c:extLst>
            </c:dLbl>
            <c:dLbl>
              <c:idx val="12"/>
              <c:layout>
                <c:manualLayout>
                  <c:x val="1.2554927809165058E-2"/>
                  <c:y val="-0.182815356489945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88A-43DB-8C56-AAF2C5580DC5}"/>
                </c:ext>
              </c:extLst>
            </c:dLbl>
            <c:dLbl>
              <c:idx val="13"/>
              <c:layout>
                <c:manualLayout>
                  <c:x val="4.1849759363883276E-3"/>
                  <c:y val="-0.141681901279707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88A-43DB-8C56-AAF2C5580DC5}"/>
                </c:ext>
              </c:extLst>
            </c:dLbl>
            <c:dLbl>
              <c:idx val="14"/>
              <c:layout>
                <c:manualLayout>
                  <c:x val="-7.6723672515374723E-17"/>
                  <c:y val="-0.169104204753199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88A-43DB-8C56-AAF2C5580DC5}"/>
                </c:ext>
              </c:extLst>
            </c:dLbl>
            <c:dLbl>
              <c:idx val="15"/>
              <c:layout>
                <c:manualLayout>
                  <c:x val="0"/>
                  <c:y val="-0.182815356489945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88A-43DB-8C56-AAF2C5580DC5}"/>
                </c:ext>
              </c:extLst>
            </c:dLbl>
            <c:dLbl>
              <c:idx val="16"/>
              <c:layout>
                <c:manualLayout>
                  <c:x val="2.0924879681941829E-3"/>
                  <c:y val="-0.173674588665447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88A-43DB-8C56-AAF2C5580DC5}"/>
                </c:ext>
              </c:extLst>
            </c:dLbl>
            <c:dLbl>
              <c:idx val="17"/>
              <c:layout>
                <c:manualLayout>
                  <c:x val="6.2774639045825482E-3"/>
                  <c:y val="-0.182815356489945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88A-43DB-8C56-AAF2C5580DC5}"/>
                </c:ext>
              </c:extLst>
            </c:dLbl>
            <c:dLbl>
              <c:idx val="18"/>
              <c:layout>
                <c:manualLayout>
                  <c:x val="1.0462439840970915E-2"/>
                  <c:y val="-0.191956124314442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88A-43DB-8C56-AAF2C5580DC5}"/>
                </c:ext>
              </c:extLst>
            </c:dLbl>
            <c:dLbl>
              <c:idx val="19"/>
              <c:layout>
                <c:manualLayout>
                  <c:x val="1.255492780916502E-2"/>
                  <c:y val="-0.182815356489945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88A-43DB-8C56-AAF2C5580DC5}"/>
                </c:ext>
              </c:extLst>
            </c:dLbl>
            <c:dLbl>
              <c:idx val="20"/>
              <c:layout>
                <c:manualLayout>
                  <c:x val="1.0462439840970915E-2"/>
                  <c:y val="-0.182815356489945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88A-43DB-8C56-AAF2C5580DC5}"/>
                </c:ext>
              </c:extLst>
            </c:dLbl>
            <c:dLbl>
              <c:idx val="21"/>
              <c:layout>
                <c:manualLayout>
                  <c:x val="1.255492780916502E-2"/>
                  <c:y val="-0.196526508226691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88A-43DB-8C56-AAF2C5580DC5}"/>
                </c:ext>
              </c:extLst>
            </c:dLbl>
            <c:dLbl>
              <c:idx val="22"/>
              <c:layout>
                <c:manualLayout>
                  <c:x val="1.255492780916502E-2"/>
                  <c:y val="-0.178244972577696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88A-43DB-8C56-AAF2C5580DC5}"/>
                </c:ext>
              </c:extLst>
            </c:dLbl>
            <c:dLbl>
              <c:idx val="23"/>
              <c:layout>
                <c:manualLayout>
                  <c:x val="8.3699518727766552E-3"/>
                  <c:y val="-0.15996343692870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88A-43DB-8C56-AAF2C5580DC5}"/>
                </c:ext>
              </c:extLst>
            </c:dLbl>
            <c:dLbl>
              <c:idx val="24"/>
              <c:layout>
                <c:manualLayout>
                  <c:x val="2.0924879681941061E-3"/>
                  <c:y val="-0.19652650822669107"/>
                </c:manualLayout>
              </c:layout>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188A-43DB-8C56-AAF2C5580DC5}"/>
                </c:ext>
              </c:extLst>
            </c:dLbl>
            <c:dLbl>
              <c:idx val="25"/>
              <c:layout>
                <c:manualLayout>
                  <c:x val="0"/>
                  <c:y val="-0.155393053016453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88A-43DB-8C56-AAF2C5580DC5}"/>
                </c:ext>
              </c:extLst>
            </c:dLbl>
            <c:dLbl>
              <c:idx val="26"/>
              <c:layout>
                <c:manualLayout>
                  <c:x val="0"/>
                  <c:y val="-0.191956124314442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188A-43DB-8C56-AAF2C5580DC5}"/>
                </c:ext>
              </c:extLst>
            </c:dLbl>
            <c:dLbl>
              <c:idx val="27"/>
              <c:layout>
                <c:manualLayout>
                  <c:x val="0"/>
                  <c:y val="-0.169104204753199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188A-43DB-8C56-AAF2C5580DC5}"/>
                </c:ext>
              </c:extLst>
            </c:dLbl>
            <c:dLbl>
              <c:idx val="28"/>
              <c:layout>
                <c:manualLayout>
                  <c:x val="0"/>
                  <c:y val="-0.141681901279707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188A-43DB-8C56-AAF2C5580DC5}"/>
                </c:ext>
              </c:extLst>
            </c:dLbl>
            <c:dLbl>
              <c:idx val="29"/>
              <c:layout>
                <c:manualLayout>
                  <c:x val="-2.0924879681943364E-3"/>
                  <c:y val="-0.178244972577696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188A-43DB-8C56-AAF2C5580DC5}"/>
                </c:ext>
              </c:extLst>
            </c:dLbl>
            <c:dLbl>
              <c:idx val="30"/>
              <c:layout>
                <c:manualLayout>
                  <c:x val="0"/>
                  <c:y val="-0.132541133455210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188A-43DB-8C56-AAF2C5580DC5}"/>
                </c:ext>
              </c:extLst>
            </c:dLbl>
            <c:dLbl>
              <c:idx val="31"/>
              <c:layout>
                <c:manualLayout>
                  <c:x val="4.1849759363883658E-3"/>
                  <c:y val="-0.146252285191956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188A-43DB-8C56-AAF2C5580DC5}"/>
                </c:ext>
              </c:extLst>
            </c:dLbl>
            <c:dLbl>
              <c:idx val="32"/>
              <c:layout>
                <c:manualLayout>
                  <c:x val="0"/>
                  <c:y val="-0.182815356489945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188A-43DB-8C56-AAF2C5580DC5}"/>
                </c:ext>
              </c:extLst>
            </c:dLbl>
            <c:dLbl>
              <c:idx val="33"/>
              <c:layout>
                <c:manualLayout>
                  <c:x val="-2.0924879681941829E-3"/>
                  <c:y val="-0.141681901279707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188A-43DB-8C56-AAF2C5580DC5}"/>
                </c:ext>
              </c:extLst>
            </c:dLbl>
            <c:dLbl>
              <c:idx val="34"/>
              <c:layout>
                <c:manualLayout>
                  <c:x val="-4.1849759363883658E-3"/>
                  <c:y val="-0.146252285191956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188A-43DB-8C56-AAF2C5580DC5}"/>
                </c:ext>
              </c:extLst>
            </c:dLbl>
            <c:dLbl>
              <c:idx val="35"/>
              <c:layout>
                <c:manualLayout>
                  <c:x val="-6.2774639045825482E-3"/>
                  <c:y val="-0.146252285191956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188A-43DB-8C56-AAF2C5580DC5}"/>
                </c:ext>
              </c:extLst>
            </c:dLbl>
            <c:dLbl>
              <c:idx val="36"/>
              <c:layout>
                <c:manualLayout>
                  <c:x val="-1.0462439840970915E-2"/>
                  <c:y val="-0.137111517367458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188A-43DB-8C56-AAF2C5580DC5}"/>
                </c:ext>
              </c:extLst>
            </c:dLbl>
            <c:dLbl>
              <c:idx val="37"/>
              <c:layout>
                <c:manualLayout>
                  <c:x val="-6.2774639045827018E-3"/>
                  <c:y val="-0.109689213893967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188A-43DB-8C56-AAF2C5580DC5}"/>
                </c:ext>
              </c:extLst>
            </c:dLbl>
            <c:dLbl>
              <c:idx val="38"/>
              <c:layout>
                <c:manualLayout>
                  <c:x val="2.0924879681940294E-3"/>
                  <c:y val="-0.11882998171846434"/>
                </c:manualLayout>
              </c:layout>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188A-43DB-8C56-AAF2C5580DC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'AKTET E KRYETARIT '!$AL$4:$AL$43</c:f>
              <c:strCache>
                <c:ptCount val="39"/>
                <c:pt idx="0">
                  <c:v>Deçan</c:v>
                </c:pt>
                <c:pt idx="1">
                  <c:v>Ferizaj</c:v>
                </c:pt>
                <c:pt idx="2">
                  <c:v>Fushe Kosovë</c:v>
                </c:pt>
                <c:pt idx="3">
                  <c:v>Gjakovë</c:v>
                </c:pt>
                <c:pt idx="4">
                  <c:v>Gjilan </c:v>
                </c:pt>
                <c:pt idx="5">
                  <c:v>Gllogoc </c:v>
                </c:pt>
                <c:pt idx="6">
                  <c:v>Graçanicë</c:v>
                </c:pt>
                <c:pt idx="7">
                  <c:v>Hani i Elezit</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KRYETARIT '!$AN$4:$AN$43</c:f>
              <c:numCache>
                <c:formatCode>General</c:formatCode>
                <c:ptCount val="40"/>
                <c:pt idx="0">
                  <c:v>0</c:v>
                </c:pt>
                <c:pt idx="1">
                  <c:v>1</c:v>
                </c:pt>
                <c:pt idx="2">
                  <c:v>0</c:v>
                </c:pt>
                <c:pt idx="3">
                  <c:v>1</c:v>
                </c:pt>
                <c:pt idx="4">
                  <c:v>1</c:v>
                </c:pt>
                <c:pt idx="5">
                  <c:v>1</c:v>
                </c:pt>
                <c:pt idx="6">
                  <c:v>1</c:v>
                </c:pt>
                <c:pt idx="7">
                  <c:v>1</c:v>
                </c:pt>
                <c:pt idx="8">
                  <c:v>1</c:v>
                </c:pt>
                <c:pt idx="9">
                  <c:v>0</c:v>
                </c:pt>
                <c:pt idx="10">
                  <c:v>0</c:v>
                </c:pt>
                <c:pt idx="11">
                  <c:v>0</c:v>
                </c:pt>
                <c:pt idx="12">
                  <c:v>1</c:v>
                </c:pt>
                <c:pt idx="13">
                  <c:v>0</c:v>
                </c:pt>
                <c:pt idx="14">
                  <c:v>1</c:v>
                </c:pt>
                <c:pt idx="15">
                  <c:v>1</c:v>
                </c:pt>
                <c:pt idx="16">
                  <c:v>1</c:v>
                </c:pt>
                <c:pt idx="17">
                  <c:v>0</c:v>
                </c:pt>
                <c:pt idx="18">
                  <c:v>1</c:v>
                </c:pt>
                <c:pt idx="19">
                  <c:v>0</c:v>
                </c:pt>
                <c:pt idx="20">
                  <c:v>0</c:v>
                </c:pt>
                <c:pt idx="21">
                  <c:v>0</c:v>
                </c:pt>
                <c:pt idx="22">
                  <c:v>1</c:v>
                </c:pt>
                <c:pt idx="23">
                  <c:v>1</c:v>
                </c:pt>
                <c:pt idx="24">
                  <c:v>0</c:v>
                </c:pt>
                <c:pt idx="25">
                  <c:v>0</c:v>
                </c:pt>
                <c:pt idx="26">
                  <c:v>1</c:v>
                </c:pt>
                <c:pt idx="27">
                  <c:v>0</c:v>
                </c:pt>
                <c:pt idx="28">
                  <c:v>0</c:v>
                </c:pt>
                <c:pt idx="29">
                  <c:v>0</c:v>
                </c:pt>
                <c:pt idx="30">
                  <c:v>1</c:v>
                </c:pt>
                <c:pt idx="31">
                  <c:v>1</c:v>
                </c:pt>
                <c:pt idx="32">
                  <c:v>0</c:v>
                </c:pt>
                <c:pt idx="33">
                  <c:v>0</c:v>
                </c:pt>
                <c:pt idx="34">
                  <c:v>0</c:v>
                </c:pt>
                <c:pt idx="35">
                  <c:v>0</c:v>
                </c:pt>
                <c:pt idx="36">
                  <c:v>0</c:v>
                </c:pt>
                <c:pt idx="37">
                  <c:v>1</c:v>
                </c:pt>
                <c:pt idx="38">
                  <c:v>18</c:v>
                </c:pt>
              </c:numCache>
            </c:numRef>
          </c:val>
          <c:extLst>
            <c:ext xmlns:c16="http://schemas.microsoft.com/office/drawing/2014/chart" uri="{C3380CC4-5D6E-409C-BE32-E72D297353CC}">
              <c16:uniqueId val="{00000001-188A-43DB-8C56-AAF2C5580DC5}"/>
            </c:ext>
          </c:extLst>
        </c:ser>
        <c:dLbls>
          <c:showLegendKey val="0"/>
          <c:showVal val="1"/>
          <c:showCatName val="0"/>
          <c:showSerName val="0"/>
          <c:showPercent val="0"/>
          <c:showBubbleSize val="0"/>
        </c:dLbls>
        <c:gapWidth val="150"/>
        <c:overlap val="-25"/>
        <c:axId val="705028968"/>
        <c:axId val="705029360"/>
      </c:barChart>
      <c:catAx>
        <c:axId val="705028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65000"/>
                    <a:lumOff val="35000"/>
                  </a:schemeClr>
                </a:solidFill>
                <a:latin typeface="Century Schoolbook" panose="02040604050505020304" pitchFamily="18" charset="0"/>
                <a:ea typeface="+mn-ea"/>
                <a:cs typeface="+mn-cs"/>
              </a:defRPr>
            </a:pPr>
            <a:endParaRPr lang="en-US"/>
          </a:p>
        </c:txPr>
        <c:crossAx val="705029360"/>
        <c:crosses val="autoZero"/>
        <c:auto val="1"/>
        <c:lblAlgn val="ctr"/>
        <c:lblOffset val="100"/>
        <c:noMultiLvlLbl val="0"/>
      </c:catAx>
      <c:valAx>
        <c:axId val="705029360"/>
        <c:scaling>
          <c:orientation val="minMax"/>
        </c:scaling>
        <c:delete val="1"/>
        <c:axPos val="l"/>
        <c:numFmt formatCode="General" sourceLinked="1"/>
        <c:majorTickMark val="none"/>
        <c:minorTickMark val="none"/>
        <c:tickLblPos val="nextTo"/>
        <c:crossAx val="7050289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263952724885097E-2"/>
          <c:y val="0.24746089339215008"/>
          <c:w val="0.95184942000437733"/>
          <c:h val="0.3284172174462896"/>
        </c:manualLayout>
      </c:layout>
      <c:barChart>
        <c:barDir val="col"/>
        <c:grouping val="clustered"/>
        <c:varyColors val="0"/>
        <c:ser>
          <c:idx val="0"/>
          <c:order val="0"/>
          <c:tx>
            <c:strRef>
              <c:f>'PUBLIKIMI K.K PLANET STRATEGJIK'!$N$7</c:f>
              <c:strCache>
                <c:ptCount val="1"/>
                <c:pt idx="0">
                  <c:v>Raporti për qasje në dokumente publike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STRATEGJIK'!$M$8:$M$47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K.K PLANET STRATEGJIK'!$N$8:$N$47</c:f>
              <c:numCache>
                <c:formatCode>General</c:formatCode>
                <c:ptCount val="40"/>
                <c:pt idx="0">
                  <c:v>0</c:v>
                </c:pt>
                <c:pt idx="1">
                  <c:v>1</c:v>
                </c:pt>
                <c:pt idx="2">
                  <c:v>0</c:v>
                </c:pt>
                <c:pt idx="3">
                  <c:v>0</c:v>
                </c:pt>
                <c:pt idx="4">
                  <c:v>1</c:v>
                </c:pt>
                <c:pt idx="5">
                  <c:v>1</c:v>
                </c:pt>
                <c:pt idx="6">
                  <c:v>1</c:v>
                </c:pt>
                <c:pt idx="7">
                  <c:v>1</c:v>
                </c:pt>
                <c:pt idx="8">
                  <c:v>1</c:v>
                </c:pt>
                <c:pt idx="9">
                  <c:v>0</c:v>
                </c:pt>
                <c:pt idx="10">
                  <c:v>1</c:v>
                </c:pt>
                <c:pt idx="11">
                  <c:v>0</c:v>
                </c:pt>
                <c:pt idx="12">
                  <c:v>0</c:v>
                </c:pt>
                <c:pt idx="13">
                  <c:v>0</c:v>
                </c:pt>
                <c:pt idx="14">
                  <c:v>1</c:v>
                </c:pt>
                <c:pt idx="15">
                  <c:v>1</c:v>
                </c:pt>
                <c:pt idx="16">
                  <c:v>1</c:v>
                </c:pt>
                <c:pt idx="17">
                  <c:v>0</c:v>
                </c:pt>
                <c:pt idx="18">
                  <c:v>0</c:v>
                </c:pt>
                <c:pt idx="19">
                  <c:v>0</c:v>
                </c:pt>
                <c:pt idx="20">
                  <c:v>0</c:v>
                </c:pt>
                <c:pt idx="21">
                  <c:v>0</c:v>
                </c:pt>
                <c:pt idx="22">
                  <c:v>1</c:v>
                </c:pt>
                <c:pt idx="23">
                  <c:v>1</c:v>
                </c:pt>
                <c:pt idx="24">
                  <c:v>1</c:v>
                </c:pt>
                <c:pt idx="25">
                  <c:v>0</c:v>
                </c:pt>
                <c:pt idx="26">
                  <c:v>1</c:v>
                </c:pt>
                <c:pt idx="27">
                  <c:v>0</c:v>
                </c:pt>
                <c:pt idx="28">
                  <c:v>1</c:v>
                </c:pt>
                <c:pt idx="29">
                  <c:v>0</c:v>
                </c:pt>
                <c:pt idx="30">
                  <c:v>1</c:v>
                </c:pt>
                <c:pt idx="31">
                  <c:v>1</c:v>
                </c:pt>
                <c:pt idx="32">
                  <c:v>0</c:v>
                </c:pt>
                <c:pt idx="33">
                  <c:v>0</c:v>
                </c:pt>
                <c:pt idx="34">
                  <c:v>0</c:v>
                </c:pt>
                <c:pt idx="35">
                  <c:v>0</c:v>
                </c:pt>
                <c:pt idx="36">
                  <c:v>0</c:v>
                </c:pt>
                <c:pt idx="37">
                  <c:v>1</c:v>
                </c:pt>
                <c:pt idx="38">
                  <c:v>18</c:v>
                </c:pt>
              </c:numCache>
            </c:numRef>
          </c:val>
          <c:extLst>
            <c:ext xmlns:c16="http://schemas.microsoft.com/office/drawing/2014/chart" uri="{C3380CC4-5D6E-409C-BE32-E72D297353CC}">
              <c16:uniqueId val="{00000000-8EDD-4D76-A497-2A0EDC2D5B4D}"/>
            </c:ext>
          </c:extLst>
        </c:ser>
        <c:dLbls>
          <c:showLegendKey val="0"/>
          <c:showVal val="1"/>
          <c:showCatName val="0"/>
          <c:showSerName val="0"/>
          <c:showPercent val="0"/>
          <c:showBubbleSize val="0"/>
        </c:dLbls>
        <c:gapWidth val="150"/>
        <c:overlap val="-25"/>
        <c:axId val="705030144"/>
        <c:axId val="705032496"/>
      </c:barChart>
      <c:catAx>
        <c:axId val="70503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705032496"/>
        <c:crosses val="autoZero"/>
        <c:auto val="1"/>
        <c:lblAlgn val="ctr"/>
        <c:lblOffset val="100"/>
        <c:noMultiLvlLbl val="0"/>
      </c:catAx>
      <c:valAx>
        <c:axId val="705032496"/>
        <c:scaling>
          <c:orientation val="minMax"/>
        </c:scaling>
        <c:delete val="1"/>
        <c:axPos val="l"/>
        <c:numFmt formatCode="General" sourceLinked="1"/>
        <c:majorTickMark val="none"/>
        <c:minorTickMark val="none"/>
        <c:tickLblPos val="nextTo"/>
        <c:crossAx val="7050301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'PUBLIKIMI I FTESAVE '!$M$7</c:f>
              <c:strCache>
                <c:ptCount val="1"/>
                <c:pt idx="0">
                  <c:v>Njoftime për mbledhjet e Komitetit për Politik dhe Financa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I FTESAVE '!$L$8:$L$46</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'PUBLIKIMI I FTESAVE '!$M$8:$M$46</c:f>
              <c:numCache>
                <c:formatCode>General</c:formatCode>
                <c:ptCount val="39"/>
                <c:pt idx="0">
                  <c:v>9</c:v>
                </c:pt>
                <c:pt idx="1">
                  <c:v>8</c:v>
                </c:pt>
                <c:pt idx="2">
                  <c:v>0</c:v>
                </c:pt>
                <c:pt idx="3">
                  <c:v>4</c:v>
                </c:pt>
                <c:pt idx="4">
                  <c:v>4</c:v>
                </c:pt>
                <c:pt idx="5">
                  <c:v>8</c:v>
                </c:pt>
                <c:pt idx="6">
                  <c:v>11</c:v>
                </c:pt>
                <c:pt idx="7">
                  <c:v>8</c:v>
                </c:pt>
                <c:pt idx="8">
                  <c:v>9</c:v>
                </c:pt>
                <c:pt idx="9">
                  <c:v>0</c:v>
                </c:pt>
                <c:pt idx="10">
                  <c:v>10</c:v>
                </c:pt>
                <c:pt idx="11">
                  <c:v>8</c:v>
                </c:pt>
                <c:pt idx="12">
                  <c:v>10</c:v>
                </c:pt>
                <c:pt idx="13">
                  <c:v>0</c:v>
                </c:pt>
                <c:pt idx="14">
                  <c:v>7</c:v>
                </c:pt>
                <c:pt idx="15">
                  <c:v>6</c:v>
                </c:pt>
                <c:pt idx="16">
                  <c:v>10</c:v>
                </c:pt>
                <c:pt idx="17">
                  <c:v>1</c:v>
                </c:pt>
                <c:pt idx="18">
                  <c:v>8</c:v>
                </c:pt>
                <c:pt idx="19">
                  <c:v>0</c:v>
                </c:pt>
                <c:pt idx="20">
                  <c:v>6</c:v>
                </c:pt>
                <c:pt idx="21">
                  <c:v>7</c:v>
                </c:pt>
                <c:pt idx="22">
                  <c:v>8</c:v>
                </c:pt>
                <c:pt idx="23">
                  <c:v>10</c:v>
                </c:pt>
                <c:pt idx="24">
                  <c:v>10</c:v>
                </c:pt>
                <c:pt idx="25">
                  <c:v>0</c:v>
                </c:pt>
                <c:pt idx="26">
                  <c:v>9</c:v>
                </c:pt>
                <c:pt idx="27">
                  <c:v>0</c:v>
                </c:pt>
                <c:pt idx="28">
                  <c:v>7</c:v>
                </c:pt>
                <c:pt idx="29">
                  <c:v>12</c:v>
                </c:pt>
                <c:pt idx="30">
                  <c:v>10</c:v>
                </c:pt>
                <c:pt idx="31">
                  <c:v>8</c:v>
                </c:pt>
                <c:pt idx="32">
                  <c:v>0</c:v>
                </c:pt>
                <c:pt idx="33">
                  <c:v>0</c:v>
                </c:pt>
                <c:pt idx="34">
                  <c:v>0</c:v>
                </c:pt>
                <c:pt idx="35">
                  <c:v>0</c:v>
                </c:pt>
                <c:pt idx="36">
                  <c:v>2</c:v>
                </c:pt>
                <c:pt idx="37">
                  <c:v>8</c:v>
                </c:pt>
              </c:numCache>
            </c:numRef>
          </c:val>
          <c:extLst>
            <c:ext xmlns:c16="http://schemas.microsoft.com/office/drawing/2014/chart" uri="{C3380CC4-5D6E-409C-BE32-E72D297353CC}">
              <c16:uniqueId val="{00000000-2799-4DDA-A509-925DABCC8BDA}"/>
            </c:ext>
          </c:extLst>
        </c:ser>
        <c:ser>
          <c:idx val="1"/>
          <c:order val="1"/>
          <c:tx>
            <c:strRef>
              <c:f>'PUBLIKIMI I FTESAVE '!$N$7</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I FTESAVE '!$L$8:$L$46</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'PUBLIKIMI I FTESAVE '!$N$8:$N$46</c:f>
              <c:numCache>
                <c:formatCode>General</c:formatCode>
                <c:ptCount val="39"/>
              </c:numCache>
            </c:numRef>
          </c:val>
          <c:extLst>
            <c:ext xmlns:c16="http://schemas.microsoft.com/office/drawing/2014/chart" uri="{C3380CC4-5D6E-409C-BE32-E72D297353CC}">
              <c16:uniqueId val="{00000001-2799-4DDA-A509-925DABCC8BDA}"/>
            </c:ext>
          </c:extLst>
        </c:ser>
        <c:dLbls>
          <c:showLegendKey val="0"/>
          <c:showVal val="1"/>
          <c:showCatName val="0"/>
          <c:showSerName val="0"/>
          <c:showPercent val="0"/>
          <c:showBubbleSize val="0"/>
        </c:dLbls>
        <c:gapWidth val="150"/>
        <c:overlap val="-25"/>
        <c:axId val="509591760"/>
        <c:axId val="509602736"/>
      </c:barChart>
      <c:catAx>
        <c:axId val="50959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lumMod val="65000"/>
                    <a:lumOff val="35000"/>
                  </a:schemeClr>
                </a:solidFill>
                <a:latin typeface="+mj-lt"/>
                <a:ea typeface="+mn-ea"/>
                <a:cs typeface="+mn-cs"/>
              </a:defRPr>
            </a:pPr>
            <a:endParaRPr lang="en-US"/>
          </a:p>
        </c:txPr>
        <c:crossAx val="509602736"/>
        <c:crosses val="autoZero"/>
        <c:auto val="1"/>
        <c:lblAlgn val="ctr"/>
        <c:lblOffset val="100"/>
        <c:noMultiLvlLbl val="0"/>
      </c:catAx>
      <c:valAx>
        <c:axId val="509602736"/>
        <c:scaling>
          <c:orientation val="minMax"/>
        </c:scaling>
        <c:delete val="1"/>
        <c:axPos val="l"/>
        <c:numFmt formatCode="General" sourceLinked="1"/>
        <c:majorTickMark val="none"/>
        <c:minorTickMark val="none"/>
        <c:tickLblPos val="nextTo"/>
        <c:crossAx val="509591760"/>
        <c:crosses val="autoZero"/>
        <c:crossBetween val="between"/>
      </c:valAx>
      <c:spPr>
        <a:noFill/>
        <a:ln>
          <a:noFill/>
        </a:ln>
        <a:effectLst/>
      </c:spPr>
    </c:plotArea>
    <c:legend>
      <c:legendPos val="t"/>
      <c:overlay val="0"/>
      <c:spPr>
        <a:solidFill>
          <a:schemeClr val="bg1"/>
        </a:solidFill>
        <a:ln>
          <a:noFill/>
        </a:ln>
        <a:effectLst/>
      </c:spPr>
      <c:txPr>
        <a:bodyPr rot="0" spcFirstLastPara="1" vertOverflow="ellipsis" vert="horz" wrap="square" anchor="ctr" anchorCtr="1"/>
        <a:lstStyle/>
        <a:p>
          <a:pPr>
            <a:defRPr sz="6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531928548507861E-2"/>
          <c:y val="0.21903706009306825"/>
          <c:w val="0.96577174029307944"/>
          <c:h val="0.38268179561514298"/>
        </c:manualLayout>
      </c:layout>
      <c:barChart>
        <c:barDir val="col"/>
        <c:grouping val="clustered"/>
        <c:varyColors val="0"/>
        <c:ser>
          <c:idx val="0"/>
          <c:order val="0"/>
          <c:tx>
            <c:strRef>
              <c:f>'TRANSPARENCA FINANCIARE '!$D$7</c:f>
              <c:strCache>
                <c:ptCount val="1"/>
                <c:pt idx="0">
                  <c:v>Publikimi i planit të buxhetit për vitin 2024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'!$C$8:$C$46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'!$D$8:$D$46</c:f>
              <c:numCache>
                <c:formatCode>General</c:formatCode>
                <c:ptCount val="39"/>
                <c:pt idx="0">
                  <c:v>1</c:v>
                </c:pt>
                <c:pt idx="1">
                  <c:v>1</c:v>
                </c:pt>
                <c:pt idx="2">
                  <c:v>0</c:v>
                </c:pt>
                <c:pt idx="3">
                  <c:v>1</c:v>
                </c:pt>
                <c:pt idx="4">
                  <c:v>1</c:v>
                </c:pt>
                <c:pt idx="5">
                  <c:v>1</c:v>
                </c:pt>
                <c:pt idx="6">
                  <c:v>1</c:v>
                </c:pt>
                <c:pt idx="7">
                  <c:v>1</c:v>
                </c:pt>
                <c:pt idx="8">
                  <c:v>1</c:v>
                </c:pt>
                <c:pt idx="9">
                  <c:v>1</c:v>
                </c:pt>
                <c:pt idx="10">
                  <c:v>1</c:v>
                </c:pt>
                <c:pt idx="11">
                  <c:v>1</c:v>
                </c:pt>
                <c:pt idx="12">
                  <c:v>1</c:v>
                </c:pt>
                <c:pt idx="13">
                  <c:v>0</c:v>
                </c:pt>
                <c:pt idx="14">
                  <c:v>1</c:v>
                </c:pt>
                <c:pt idx="15">
                  <c:v>1</c:v>
                </c:pt>
                <c:pt idx="16">
                  <c:v>1</c:v>
                </c:pt>
                <c:pt idx="17">
                  <c:v>0</c:v>
                </c:pt>
                <c:pt idx="18">
                  <c:v>1</c:v>
                </c:pt>
                <c:pt idx="19">
                  <c:v>0</c:v>
                </c:pt>
                <c:pt idx="20">
                  <c:v>1</c:v>
                </c:pt>
                <c:pt idx="21">
                  <c:v>1</c:v>
                </c:pt>
                <c:pt idx="22">
                  <c:v>1</c:v>
                </c:pt>
                <c:pt idx="23">
                  <c:v>1</c:v>
                </c:pt>
                <c:pt idx="24">
                  <c:v>1</c:v>
                </c:pt>
                <c:pt idx="25">
                  <c:v>0</c:v>
                </c:pt>
                <c:pt idx="26">
                  <c:v>1</c:v>
                </c:pt>
                <c:pt idx="27">
                  <c:v>0</c:v>
                </c:pt>
                <c:pt idx="28">
                  <c:v>1</c:v>
                </c:pt>
                <c:pt idx="29">
                  <c:v>1</c:v>
                </c:pt>
                <c:pt idx="30">
                  <c:v>1</c:v>
                </c:pt>
                <c:pt idx="31">
                  <c:v>1</c:v>
                </c:pt>
                <c:pt idx="32">
                  <c:v>0</c:v>
                </c:pt>
                <c:pt idx="33">
                  <c:v>0</c:v>
                </c:pt>
                <c:pt idx="34">
                  <c:v>0</c:v>
                </c:pt>
                <c:pt idx="35">
                  <c:v>0</c:v>
                </c:pt>
                <c:pt idx="36">
                  <c:v>0</c:v>
                </c:pt>
                <c:pt idx="37">
                  <c:v>1</c:v>
                </c:pt>
                <c:pt idx="38">
                  <c:v>27</c:v>
                </c:pt>
              </c:numCache>
            </c:numRef>
          </c:val>
          <c:extLst>
            <c:ext xmlns:c16="http://schemas.microsoft.com/office/drawing/2014/chart" uri="{C3380CC4-5D6E-409C-BE32-E72D297353CC}">
              <c16:uniqueId val="{00000000-B7B2-4332-8B76-F51B824E84E7}"/>
            </c:ext>
          </c:extLst>
        </c:ser>
        <c:dLbls>
          <c:showLegendKey val="0"/>
          <c:showVal val="1"/>
          <c:showCatName val="0"/>
          <c:showSerName val="0"/>
          <c:showPercent val="0"/>
          <c:showBubbleSize val="0"/>
        </c:dLbls>
        <c:gapWidth val="150"/>
        <c:overlap val="-25"/>
        <c:axId val="705008192"/>
        <c:axId val="705004664"/>
      </c:barChart>
      <c:catAx>
        <c:axId val="70500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705004664"/>
        <c:crosses val="autoZero"/>
        <c:auto val="1"/>
        <c:lblAlgn val="ctr"/>
        <c:lblOffset val="100"/>
        <c:noMultiLvlLbl val="0"/>
      </c:catAx>
      <c:valAx>
        <c:axId val="705004664"/>
        <c:scaling>
          <c:orientation val="minMax"/>
        </c:scaling>
        <c:delete val="1"/>
        <c:axPos val="l"/>
        <c:numFmt formatCode="General" sourceLinked="1"/>
        <c:majorTickMark val="none"/>
        <c:minorTickMark val="none"/>
        <c:tickLblPos val="nextTo"/>
        <c:crossAx val="7050081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'!$R$6:$R$7</c:f>
              <c:strCache>
                <c:ptCount val="2"/>
                <c:pt idx="1">
                  <c:v>Publikimi i KAB-it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 Antiqua" panose="0204060205030503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'!$Q$8:$Q$46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'!$R$8:$R$46</c:f>
              <c:numCache>
                <c:formatCode>General</c:formatCode>
                <c:ptCount val="39"/>
                <c:pt idx="0">
                  <c:v>1</c:v>
                </c:pt>
                <c:pt idx="1">
                  <c:v>1</c:v>
                </c:pt>
                <c:pt idx="2">
                  <c:v>1</c:v>
                </c:pt>
                <c:pt idx="3">
                  <c:v>1</c:v>
                </c:pt>
                <c:pt idx="4">
                  <c:v>1</c:v>
                </c:pt>
                <c:pt idx="5">
                  <c:v>1</c:v>
                </c:pt>
                <c:pt idx="6">
                  <c:v>1</c:v>
                </c:pt>
                <c:pt idx="7">
                  <c:v>1</c:v>
                </c:pt>
                <c:pt idx="8">
                  <c:v>1</c:v>
                </c:pt>
                <c:pt idx="9">
                  <c:v>0</c:v>
                </c:pt>
                <c:pt idx="10">
                  <c:v>1</c:v>
                </c:pt>
                <c:pt idx="11">
                  <c:v>1</c:v>
                </c:pt>
                <c:pt idx="12">
                  <c:v>1</c:v>
                </c:pt>
                <c:pt idx="13">
                  <c:v>0</c:v>
                </c:pt>
                <c:pt idx="14">
                  <c:v>1</c:v>
                </c:pt>
                <c:pt idx="15">
                  <c:v>1</c:v>
                </c:pt>
                <c:pt idx="16">
                  <c:v>1</c:v>
                </c:pt>
                <c:pt idx="17">
                  <c:v>1</c:v>
                </c:pt>
                <c:pt idx="18">
                  <c:v>1</c:v>
                </c:pt>
                <c:pt idx="19">
                  <c:v>1</c:v>
                </c:pt>
                <c:pt idx="20">
                  <c:v>1</c:v>
                </c:pt>
                <c:pt idx="21">
                  <c:v>1</c:v>
                </c:pt>
                <c:pt idx="22">
                  <c:v>1</c:v>
                </c:pt>
                <c:pt idx="23">
                  <c:v>1</c:v>
                </c:pt>
                <c:pt idx="24">
                  <c:v>1</c:v>
                </c:pt>
                <c:pt idx="25">
                  <c:v>0</c:v>
                </c:pt>
                <c:pt idx="26">
                  <c:v>1</c:v>
                </c:pt>
                <c:pt idx="27">
                  <c:v>0</c:v>
                </c:pt>
                <c:pt idx="28">
                  <c:v>1</c:v>
                </c:pt>
                <c:pt idx="29">
                  <c:v>0</c:v>
                </c:pt>
                <c:pt idx="30">
                  <c:v>1</c:v>
                </c:pt>
                <c:pt idx="31">
                  <c:v>1</c:v>
                </c:pt>
                <c:pt idx="32">
                  <c:v>0</c:v>
                </c:pt>
                <c:pt idx="33">
                  <c:v>0</c:v>
                </c:pt>
                <c:pt idx="34">
                  <c:v>0</c:v>
                </c:pt>
                <c:pt idx="35">
                  <c:v>0</c:v>
                </c:pt>
                <c:pt idx="36">
                  <c:v>0</c:v>
                </c:pt>
                <c:pt idx="37">
                  <c:v>1</c:v>
                </c:pt>
                <c:pt idx="38">
                  <c:v>28</c:v>
                </c:pt>
              </c:numCache>
            </c:numRef>
          </c:val>
          <c:extLst>
            <c:ext xmlns:c16="http://schemas.microsoft.com/office/drawing/2014/chart" uri="{C3380CC4-5D6E-409C-BE32-E72D297353CC}">
              <c16:uniqueId val="{00000000-A24D-4ABA-A896-A00E7A9CDB79}"/>
            </c:ext>
          </c:extLst>
        </c:ser>
        <c:dLbls>
          <c:showLegendKey val="0"/>
          <c:showVal val="1"/>
          <c:showCatName val="0"/>
          <c:showSerName val="0"/>
          <c:showPercent val="0"/>
          <c:showBubbleSize val="0"/>
        </c:dLbls>
        <c:gapWidth val="150"/>
        <c:overlap val="-25"/>
        <c:axId val="705006232"/>
        <c:axId val="705007800"/>
      </c:barChart>
      <c:catAx>
        <c:axId val="705006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705007800"/>
        <c:crosses val="autoZero"/>
        <c:auto val="1"/>
        <c:lblAlgn val="ctr"/>
        <c:lblOffset val="100"/>
        <c:noMultiLvlLbl val="0"/>
      </c:catAx>
      <c:valAx>
        <c:axId val="705007800"/>
        <c:scaling>
          <c:orientation val="minMax"/>
        </c:scaling>
        <c:delete val="1"/>
        <c:axPos val="l"/>
        <c:numFmt formatCode="General" sourceLinked="1"/>
        <c:majorTickMark val="none"/>
        <c:minorTickMark val="none"/>
        <c:tickLblPos val="nextTo"/>
        <c:crossAx val="705006232"/>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'TRANSPARENCA FINANCIARE '!$U$7</c:f>
              <c:strCache>
                <c:ptCount val="1"/>
                <c:pt idx="0">
                  <c:v>Publikimi i raporteve periodike financiare</c:v>
                </c:pt>
              </c:strCache>
            </c:strRef>
          </c:tx>
          <c:spPr>
            <a:solidFill>
              <a:schemeClr val="accent1"/>
            </a:solidFill>
            <a:ln>
              <a:noFill/>
            </a:ln>
            <a:effectLst/>
          </c:spPr>
          <c:invertIfNegative val="0"/>
          <c:dLbls>
            <c:dLbl>
              <c:idx val="0"/>
              <c:layout>
                <c:manualLayout>
                  <c:x val="-4.4316419233325945E-3"/>
                  <c:y val="-0.148548278190411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45F-4CAC-A549-EBD248812C22}"/>
                </c:ext>
              </c:extLst>
            </c:dLbl>
            <c:dLbl>
              <c:idx val="1"/>
              <c:layout>
                <c:manualLayout>
                  <c:x val="0"/>
                  <c:y val="-0.168804861580013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45F-4CAC-A549-EBD248812C22}"/>
                </c:ext>
              </c:extLst>
            </c:dLbl>
            <c:dLbl>
              <c:idx val="2"/>
              <c:layout>
                <c:manualLayout>
                  <c:x val="8.8632838466651785E-3"/>
                  <c:y val="-0.229574611748818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45F-4CAC-A549-EBD248812C22}"/>
                </c:ext>
              </c:extLst>
            </c:dLbl>
            <c:dLbl>
              <c:idx val="3"/>
              <c:layout>
                <c:manualLayout>
                  <c:x val="2.2158209616662955E-2"/>
                  <c:y val="-0.276839972991222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45F-4CAC-A549-EBD248812C22}"/>
                </c:ext>
              </c:extLst>
            </c:dLbl>
            <c:dLbl>
              <c:idx val="4"/>
              <c:layout>
                <c:manualLayout>
                  <c:x val="6.6474628849988917E-3"/>
                  <c:y val="-0.155300472653612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45F-4CAC-A549-EBD248812C22}"/>
                </c:ext>
              </c:extLst>
            </c:dLbl>
            <c:dLbl>
              <c:idx val="5"/>
              <c:layout>
                <c:manualLayout>
                  <c:x val="-2.0311457508917339E-17"/>
                  <c:y val="-0.209318028359216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45F-4CAC-A549-EBD248812C22}"/>
                </c:ext>
              </c:extLst>
            </c:dLbl>
            <c:dLbl>
              <c:idx val="6"/>
              <c:layout>
                <c:manualLayout>
                  <c:x val="-6.6474628849988717E-3"/>
                  <c:y val="-0.168804861580013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45F-4CAC-A549-EBD248812C22}"/>
                </c:ext>
              </c:extLst>
            </c:dLbl>
            <c:dLbl>
              <c:idx val="7"/>
              <c:layout>
                <c:manualLayout>
                  <c:x val="-1.1079104808331486E-2"/>
                  <c:y val="-0.202565833896016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5F-4CAC-A549-EBD248812C22}"/>
                </c:ext>
              </c:extLst>
            </c:dLbl>
            <c:dLbl>
              <c:idx val="8"/>
              <c:layout>
                <c:manualLayout>
                  <c:x val="-2.2158209616662972E-3"/>
                  <c:y val="-0.155300472653612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45F-4CAC-A549-EBD248812C22}"/>
                </c:ext>
              </c:extLst>
            </c:dLbl>
            <c:dLbl>
              <c:idx val="9"/>
              <c:layout>
                <c:manualLayout>
                  <c:x val="0"/>
                  <c:y val="-0.209318028359216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45F-4CAC-A549-EBD248812C22}"/>
                </c:ext>
              </c:extLst>
            </c:dLbl>
            <c:dLbl>
              <c:idx val="10"/>
              <c:layout>
                <c:manualLayout>
                  <c:x val="-2.2158209616662972E-3"/>
                  <c:y val="-0.155300472653612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45F-4CAC-A549-EBD248812C22}"/>
                </c:ext>
              </c:extLst>
            </c:dLbl>
            <c:dLbl>
              <c:idx val="11"/>
              <c:layout>
                <c:manualLayout>
                  <c:x val="2.2158209616662569E-3"/>
                  <c:y val="-0.121539500337609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45F-4CAC-A549-EBD248812C22}"/>
                </c:ext>
              </c:extLst>
            </c:dLbl>
            <c:dLbl>
              <c:idx val="12"/>
              <c:layout>
                <c:manualLayout>
                  <c:x val="-4.0622915017834678E-17"/>
                  <c:y val="-0.182309250506414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5F-4CAC-A549-EBD248812C22}"/>
                </c:ext>
              </c:extLst>
            </c:dLbl>
            <c:dLbl>
              <c:idx val="13"/>
              <c:layout>
                <c:manualLayout>
                  <c:x val="-4.4316419233325945E-3"/>
                  <c:y val="-9.45307224848076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45F-4CAC-A549-EBD248812C22}"/>
                </c:ext>
              </c:extLst>
            </c:dLbl>
            <c:dLbl>
              <c:idx val="14"/>
              <c:layout>
                <c:manualLayout>
                  <c:x val="-4.4316419233325945E-3"/>
                  <c:y val="-0.189061444969615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45F-4CAC-A549-EBD248812C22}"/>
                </c:ext>
              </c:extLst>
            </c:dLbl>
            <c:dLbl>
              <c:idx val="15"/>
              <c:layout>
                <c:manualLayout>
                  <c:x val="0"/>
                  <c:y val="-0.276839972991222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5F-4CAC-A549-EBD248812C22}"/>
                </c:ext>
              </c:extLst>
            </c:dLbl>
            <c:dLbl>
              <c:idx val="16"/>
              <c:layout>
                <c:manualLayout>
                  <c:x val="0"/>
                  <c:y val="-0.141796083727211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45F-4CAC-A549-EBD248812C22}"/>
                </c:ext>
              </c:extLst>
            </c:dLbl>
            <c:dLbl>
              <c:idx val="17"/>
              <c:layout>
                <c:manualLayout>
                  <c:x val="6.6474628849988917E-3"/>
                  <c:y val="-0.209318028359216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5F-4CAC-A549-EBD248812C22}"/>
                </c:ext>
              </c:extLst>
            </c:dLbl>
            <c:dLbl>
              <c:idx val="18"/>
              <c:layout>
                <c:manualLayout>
                  <c:x val="6.647462884998811E-3"/>
                  <c:y val="-0.168804861580013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45F-4CAC-A549-EBD248812C22}"/>
                </c:ext>
              </c:extLst>
            </c:dLbl>
            <c:dLbl>
              <c:idx val="19"/>
              <c:layout>
                <c:manualLayout>
                  <c:x val="4.4316419233325945E-3"/>
                  <c:y val="-0.202565833896016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45F-4CAC-A549-EBD248812C22}"/>
                </c:ext>
              </c:extLst>
            </c:dLbl>
            <c:dLbl>
              <c:idx val="20"/>
              <c:layout>
                <c:manualLayout>
                  <c:x val="0"/>
                  <c:y val="-0.155300472653612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45F-4CAC-A549-EBD248812C22}"/>
                </c:ext>
              </c:extLst>
            </c:dLbl>
            <c:dLbl>
              <c:idx val="21"/>
              <c:layout>
                <c:manualLayout>
                  <c:x val="2.2158209616662972E-3"/>
                  <c:y val="-0.256583389601620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45F-4CAC-A549-EBD248812C22}"/>
                </c:ext>
              </c:extLst>
            </c:dLbl>
            <c:dLbl>
              <c:idx val="22"/>
              <c:layout>
                <c:manualLayout>
                  <c:x val="4.4316419233325138E-3"/>
                  <c:y val="-0.209318028359216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45F-4CAC-A549-EBD248812C22}"/>
                </c:ext>
              </c:extLst>
            </c:dLbl>
            <c:dLbl>
              <c:idx val="23"/>
              <c:layout>
                <c:manualLayout>
                  <c:x val="4.4316419233325945E-3"/>
                  <c:y val="-0.222822417285617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45F-4CAC-A549-EBD248812C22}"/>
                </c:ext>
              </c:extLst>
            </c:dLbl>
            <c:dLbl>
              <c:idx val="24"/>
              <c:layout>
                <c:manualLayout>
                  <c:x val="6.6474628849988917E-3"/>
                  <c:y val="-0.20256583389601621"/>
                </c:manualLayout>
              </c:layout>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645F-4CAC-A549-EBD248812C22}"/>
                </c:ext>
              </c:extLst>
            </c:dLbl>
            <c:dLbl>
              <c:idx val="25"/>
              <c:layout>
                <c:manualLayout>
                  <c:x val="-1.1079104808331568E-2"/>
                  <c:y val="-0.283592167454422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45F-4CAC-A549-EBD248812C22}"/>
                </c:ext>
              </c:extLst>
            </c:dLbl>
            <c:dLbl>
              <c:idx val="26"/>
              <c:layout>
                <c:manualLayout>
                  <c:x val="2.215820961666135E-3"/>
                  <c:y val="-0.270087778528021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45F-4CAC-A549-EBD248812C22}"/>
                </c:ext>
              </c:extLst>
            </c:dLbl>
            <c:dLbl>
              <c:idx val="27"/>
              <c:layout>
                <c:manualLayout>
                  <c:x val="4.4316419233325945E-3"/>
                  <c:y val="-0.202565833896016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45F-4CAC-A549-EBD248812C22}"/>
                </c:ext>
              </c:extLst>
            </c:dLbl>
            <c:dLbl>
              <c:idx val="28"/>
              <c:layout>
                <c:manualLayout>
                  <c:x val="6.6474628849989732E-3"/>
                  <c:y val="-0.168804861580013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645F-4CAC-A549-EBD248812C22}"/>
                </c:ext>
              </c:extLst>
            </c:dLbl>
            <c:dLbl>
              <c:idx val="29"/>
              <c:layout>
                <c:manualLayout>
                  <c:x val="4.4316419233325138E-3"/>
                  <c:y val="-0.168804861580013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645F-4CAC-A549-EBD248812C22}"/>
                </c:ext>
              </c:extLst>
            </c:dLbl>
            <c:dLbl>
              <c:idx val="30"/>
              <c:layout>
                <c:manualLayout>
                  <c:x val="1.1079104808331325E-2"/>
                  <c:y val="-0.216070222822417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645F-4CAC-A549-EBD248812C22}"/>
                </c:ext>
              </c:extLst>
            </c:dLbl>
            <c:dLbl>
              <c:idx val="31"/>
              <c:layout>
                <c:manualLayout>
                  <c:x val="8.8632838466651889E-3"/>
                  <c:y val="-0.310600945307224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645F-4CAC-A549-EBD248812C22}"/>
                </c:ext>
              </c:extLst>
            </c:dLbl>
            <c:dLbl>
              <c:idx val="32"/>
              <c:layout>
                <c:manualLayout>
                  <c:x val="6.6474628849988917E-3"/>
                  <c:y val="-0.162052667116812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645F-4CAC-A549-EBD248812C22}"/>
                </c:ext>
              </c:extLst>
            </c:dLbl>
            <c:dLbl>
              <c:idx val="33"/>
              <c:layout>
                <c:manualLayout>
                  <c:x val="2.2158209616662972E-3"/>
                  <c:y val="-0.148548278190411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645F-4CAC-A549-EBD248812C22}"/>
                </c:ext>
              </c:extLst>
            </c:dLbl>
            <c:dLbl>
              <c:idx val="34"/>
              <c:layout>
                <c:manualLayout>
                  <c:x val="2.2158209616662972E-3"/>
                  <c:y val="-0.175557056043214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645F-4CAC-A549-EBD248812C22}"/>
                </c:ext>
              </c:extLst>
            </c:dLbl>
            <c:dLbl>
              <c:idx val="35"/>
              <c:layout>
                <c:manualLayout>
                  <c:x val="0"/>
                  <c:y val="-0.195813639432815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645F-4CAC-A549-EBD248812C22}"/>
                </c:ext>
              </c:extLst>
            </c:dLbl>
            <c:dLbl>
              <c:idx val="36"/>
              <c:layout>
                <c:manualLayout>
                  <c:x val="0"/>
                  <c:y val="-0.168804861580013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645F-4CAC-A549-EBD248812C22}"/>
                </c:ext>
              </c:extLst>
            </c:dLbl>
            <c:dLbl>
              <c:idx val="37"/>
              <c:layout>
                <c:manualLayout>
                  <c:x val="-4.4316419233325945E-3"/>
                  <c:y val="-0.229574611748818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645F-4CAC-A549-EBD248812C22}"/>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Century Schoolbook" panose="020406040505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'!$T$8:$T$47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'!$U$8:$U$47</c:f>
              <c:numCache>
                <c:formatCode>General</c:formatCode>
                <c:ptCount val="40"/>
                <c:pt idx="0">
                  <c:v>3</c:v>
                </c:pt>
                <c:pt idx="1">
                  <c:v>3</c:v>
                </c:pt>
                <c:pt idx="2">
                  <c:v>0</c:v>
                </c:pt>
                <c:pt idx="3">
                  <c:v>0</c:v>
                </c:pt>
                <c:pt idx="4">
                  <c:v>3</c:v>
                </c:pt>
                <c:pt idx="5">
                  <c:v>3</c:v>
                </c:pt>
                <c:pt idx="6">
                  <c:v>3</c:v>
                </c:pt>
                <c:pt idx="7">
                  <c:v>3</c:v>
                </c:pt>
                <c:pt idx="8">
                  <c:v>3</c:v>
                </c:pt>
                <c:pt idx="9">
                  <c:v>0</c:v>
                </c:pt>
                <c:pt idx="10">
                  <c:v>3</c:v>
                </c:pt>
                <c:pt idx="11">
                  <c:v>1</c:v>
                </c:pt>
                <c:pt idx="12">
                  <c:v>2</c:v>
                </c:pt>
                <c:pt idx="13">
                  <c:v>0</c:v>
                </c:pt>
                <c:pt idx="14">
                  <c:v>3</c:v>
                </c:pt>
                <c:pt idx="15">
                  <c:v>3</c:v>
                </c:pt>
                <c:pt idx="16">
                  <c:v>3</c:v>
                </c:pt>
                <c:pt idx="17">
                  <c:v>1</c:v>
                </c:pt>
                <c:pt idx="18">
                  <c:v>3</c:v>
                </c:pt>
                <c:pt idx="19">
                  <c:v>1</c:v>
                </c:pt>
                <c:pt idx="20">
                  <c:v>2</c:v>
                </c:pt>
                <c:pt idx="21">
                  <c:v>3</c:v>
                </c:pt>
                <c:pt idx="22">
                  <c:v>3</c:v>
                </c:pt>
                <c:pt idx="23">
                  <c:v>3</c:v>
                </c:pt>
                <c:pt idx="24">
                  <c:v>1</c:v>
                </c:pt>
                <c:pt idx="25">
                  <c:v>0</c:v>
                </c:pt>
                <c:pt idx="26">
                  <c:v>3</c:v>
                </c:pt>
                <c:pt idx="27">
                  <c:v>0</c:v>
                </c:pt>
                <c:pt idx="28">
                  <c:v>3</c:v>
                </c:pt>
                <c:pt idx="29">
                  <c:v>3</c:v>
                </c:pt>
                <c:pt idx="30">
                  <c:v>2</c:v>
                </c:pt>
                <c:pt idx="31">
                  <c:v>3</c:v>
                </c:pt>
                <c:pt idx="32">
                  <c:v>0</c:v>
                </c:pt>
                <c:pt idx="33">
                  <c:v>0</c:v>
                </c:pt>
                <c:pt idx="34">
                  <c:v>0</c:v>
                </c:pt>
                <c:pt idx="35">
                  <c:v>1</c:v>
                </c:pt>
                <c:pt idx="36">
                  <c:v>0</c:v>
                </c:pt>
                <c:pt idx="37">
                  <c:v>3</c:v>
                </c:pt>
                <c:pt idx="38">
                  <c:v>28</c:v>
                </c:pt>
              </c:numCache>
            </c:numRef>
          </c:val>
          <c:extLst>
            <c:ext xmlns:c16="http://schemas.microsoft.com/office/drawing/2014/chart" uri="{C3380CC4-5D6E-409C-BE32-E72D297353CC}">
              <c16:uniqueId val="{00000000-645F-4CAC-A549-EBD248812C22}"/>
            </c:ext>
          </c:extLst>
        </c:ser>
        <c:dLbls>
          <c:showLegendKey val="0"/>
          <c:showVal val="1"/>
          <c:showCatName val="0"/>
          <c:showSerName val="0"/>
          <c:showPercent val="0"/>
          <c:showBubbleSize val="0"/>
        </c:dLbls>
        <c:gapWidth val="95"/>
        <c:overlap val="100"/>
        <c:axId val="705019560"/>
        <c:axId val="705025048"/>
      </c:barChart>
      <c:catAx>
        <c:axId val="705019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705025048"/>
        <c:crosses val="autoZero"/>
        <c:auto val="1"/>
        <c:lblAlgn val="ctr"/>
        <c:lblOffset val="100"/>
        <c:noMultiLvlLbl val="0"/>
      </c:catAx>
      <c:valAx>
        <c:axId val="705025048"/>
        <c:scaling>
          <c:orientation val="minMax"/>
        </c:scaling>
        <c:delete val="1"/>
        <c:axPos val="l"/>
        <c:numFmt formatCode="General" sourceLinked="1"/>
        <c:majorTickMark val="none"/>
        <c:minorTickMark val="none"/>
        <c:tickLblPos val="nextTo"/>
        <c:crossAx val="7050195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latin typeface="Century Schoolbook" panose="02040604050505020304" pitchFamily="18"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Book Antiqua" panose="02040602050305030304" pitchFamily="18" charset="0"/>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897458179448185E-2"/>
          <c:y val="0.17990895295902884"/>
          <c:w val="0.97547012304539493"/>
          <c:h val="0.48602774425579198"/>
        </c:manualLayout>
      </c:layout>
      <c:bar3DChart>
        <c:barDir val="col"/>
        <c:grouping val="clustered"/>
        <c:varyColors val="0"/>
        <c:ser>
          <c:idx val="0"/>
          <c:order val="0"/>
          <c:tx>
            <c:strRef>
              <c:f>'TRANSPARENCA FINANCIARE '!$O$7</c:f>
              <c:strCache>
                <c:ptCount val="1"/>
                <c:pt idx="0">
                  <c:v>Publikimi i raportit  vjetor financiar </c:v>
                </c:pt>
              </c:strCache>
            </c:strRef>
          </c:tx>
          <c:spPr>
            <a:solidFill>
              <a:schemeClr val="accent1"/>
            </a:solidFill>
            <a:ln>
              <a:noFill/>
            </a:ln>
            <a:effectLst/>
            <a:sp3d/>
          </c:spPr>
          <c:invertIfNegative val="0"/>
          <c:dLbls>
            <c:dLbl>
              <c:idx val="2"/>
              <c:layout>
                <c:manualLayout>
                  <c:x val="1.2093360744951022E-2"/>
                  <c:y val="-0.188163884673748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EF-4C57-B832-AA0B1D891253}"/>
                </c:ext>
              </c:extLst>
            </c:dLbl>
            <c:dLbl>
              <c:idx val="5"/>
              <c:layout>
                <c:manualLayout>
                  <c:x val="3.386141008586286E-2"/>
                  <c:y val="-0.24886191198786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EF-4C57-B832-AA0B1D891253}"/>
                </c:ext>
              </c:extLst>
            </c:dLbl>
            <c:dLbl>
              <c:idx val="7"/>
              <c:layout>
                <c:manualLayout>
                  <c:x val="3.6280082234853024E-2"/>
                  <c:y val="-0.273141122913505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EF-4C57-B832-AA0B1D891253}"/>
                </c:ext>
              </c:extLst>
            </c:dLbl>
            <c:dLbl>
              <c:idx val="9"/>
              <c:layout>
                <c:manualLayout>
                  <c:x val="1.693070504293143E-2"/>
                  <c:y val="-0.339908952959028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EF-4C57-B832-AA0B1D891253}"/>
                </c:ext>
              </c:extLst>
            </c:dLbl>
            <c:dLbl>
              <c:idx val="11"/>
              <c:layout>
                <c:manualLayout>
                  <c:x val="1.2093360744950977E-2"/>
                  <c:y val="-0.273141122913505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EEF-4C57-B832-AA0B1D891253}"/>
                </c:ext>
              </c:extLst>
            </c:dLbl>
            <c:dLbl>
              <c:idx val="13"/>
              <c:layout>
                <c:manualLayout>
                  <c:x val="2.4186721489901602E-3"/>
                  <c:y val="-0.267071320182094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EEF-4C57-B832-AA0B1D891253}"/>
                </c:ext>
              </c:extLst>
            </c:dLbl>
            <c:dLbl>
              <c:idx val="15"/>
              <c:layout>
                <c:manualLayout>
                  <c:x val="-2.4186721489902487E-3"/>
                  <c:y val="-0.254931714719271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EEF-4C57-B832-AA0B1D891253}"/>
                </c:ext>
              </c:extLst>
            </c:dLbl>
            <c:dLbl>
              <c:idx val="17"/>
              <c:layout>
                <c:manualLayout>
                  <c:x val="-2.4186721489902045E-3"/>
                  <c:y val="-0.297420333839150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EEF-4C57-B832-AA0B1D891253}"/>
                </c:ext>
              </c:extLst>
            </c:dLbl>
            <c:dLbl>
              <c:idx val="19"/>
              <c:layout>
                <c:manualLayout>
                  <c:x val="-4.8373442979804089E-3"/>
                  <c:y val="-0.23065250379362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EEF-4C57-B832-AA0B1D891253}"/>
                </c:ext>
              </c:extLst>
            </c:dLbl>
            <c:dLbl>
              <c:idx val="21"/>
              <c:layout>
                <c:manualLayout>
                  <c:x val="-2.4186721489902929E-3"/>
                  <c:y val="-0.303490136570561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EEF-4C57-B832-AA0B1D891253}"/>
                </c:ext>
              </c:extLst>
            </c:dLbl>
            <c:dLbl>
              <c:idx val="23"/>
              <c:layout>
                <c:manualLayout>
                  <c:x val="-4.8373442979804974E-3"/>
                  <c:y val="-0.23065250379362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EEF-4C57-B832-AA0B1D891253}"/>
                </c:ext>
              </c:extLst>
            </c:dLbl>
            <c:dLbl>
              <c:idx val="25"/>
              <c:layout>
                <c:manualLayout>
                  <c:x val="2.4186721489901156E-3"/>
                  <c:y val="-0.261001517450682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EEF-4C57-B832-AA0B1D891253}"/>
                </c:ext>
              </c:extLst>
            </c:dLbl>
            <c:dLbl>
              <c:idx val="27"/>
              <c:layout>
                <c:manualLayout>
                  <c:x val="4.8373442979803205E-3"/>
                  <c:y val="-0.224582701062215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EEF-4C57-B832-AA0B1D891253}"/>
                </c:ext>
              </c:extLst>
            </c:dLbl>
            <c:dLbl>
              <c:idx val="29"/>
              <c:layout>
                <c:manualLayout>
                  <c:x val="-7.2560164469705245E-3"/>
                  <c:y val="-0.206373292867981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EEF-4C57-B832-AA0B1D891253}"/>
                </c:ext>
              </c:extLst>
            </c:dLbl>
            <c:dLbl>
              <c:idx val="31"/>
              <c:layout>
                <c:manualLayout>
                  <c:x val="-1.209336074495111E-2"/>
                  <c:y val="-0.279210925644916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EEF-4C57-B832-AA0B1D891253}"/>
                </c:ext>
              </c:extLst>
            </c:dLbl>
            <c:dLbl>
              <c:idx val="33"/>
              <c:layout>
                <c:manualLayout>
                  <c:x val="0"/>
                  <c:y val="-0.333839150227617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EEF-4C57-B832-AA0B1D891253}"/>
                </c:ext>
              </c:extLst>
            </c:dLbl>
            <c:dLbl>
              <c:idx val="35"/>
              <c:layout>
                <c:manualLayout>
                  <c:x val="2.4186721489902045E-3"/>
                  <c:y val="-0.28528072837632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EEF-4C57-B832-AA0B1D891253}"/>
                </c:ext>
              </c:extLst>
            </c:dLbl>
            <c:dLbl>
              <c:idx val="37"/>
              <c:layout>
                <c:manualLayout>
                  <c:x val="-4.8373442979804089E-3"/>
                  <c:y val="-0.206373292867981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EEF-4C57-B832-AA0B1D89125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'!$N$8:$N$46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'!$O$8:$O$46</c:f>
              <c:numCache>
                <c:formatCode>General</c:formatCode>
                <c:ptCount val="39"/>
                <c:pt idx="0">
                  <c:v>0</c:v>
                </c:pt>
                <c:pt idx="1">
                  <c:v>1</c:v>
                </c:pt>
                <c:pt idx="2">
                  <c:v>0</c:v>
                </c:pt>
                <c:pt idx="3">
                  <c:v>0</c:v>
                </c:pt>
                <c:pt idx="4">
                  <c:v>1</c:v>
                </c:pt>
                <c:pt idx="5">
                  <c:v>1</c:v>
                </c:pt>
                <c:pt idx="6">
                  <c:v>1</c:v>
                </c:pt>
                <c:pt idx="7">
                  <c:v>1</c:v>
                </c:pt>
                <c:pt idx="8">
                  <c:v>1</c:v>
                </c:pt>
                <c:pt idx="9">
                  <c:v>0</c:v>
                </c:pt>
                <c:pt idx="10">
                  <c:v>1</c:v>
                </c:pt>
                <c:pt idx="11">
                  <c:v>1</c:v>
                </c:pt>
                <c:pt idx="12">
                  <c:v>1</c:v>
                </c:pt>
                <c:pt idx="13">
                  <c:v>0</c:v>
                </c:pt>
                <c:pt idx="14">
                  <c:v>1</c:v>
                </c:pt>
                <c:pt idx="15">
                  <c:v>1</c:v>
                </c:pt>
                <c:pt idx="16">
                  <c:v>1</c:v>
                </c:pt>
                <c:pt idx="17">
                  <c:v>0</c:v>
                </c:pt>
                <c:pt idx="18">
                  <c:v>1</c:v>
                </c:pt>
                <c:pt idx="19">
                  <c:v>0</c:v>
                </c:pt>
                <c:pt idx="20">
                  <c:v>0</c:v>
                </c:pt>
                <c:pt idx="21">
                  <c:v>1</c:v>
                </c:pt>
                <c:pt idx="22">
                  <c:v>1</c:v>
                </c:pt>
                <c:pt idx="23">
                  <c:v>1</c:v>
                </c:pt>
                <c:pt idx="24">
                  <c:v>1</c:v>
                </c:pt>
                <c:pt idx="25">
                  <c:v>0</c:v>
                </c:pt>
                <c:pt idx="26">
                  <c:v>3</c:v>
                </c:pt>
                <c:pt idx="27">
                  <c:v>0</c:v>
                </c:pt>
                <c:pt idx="28">
                  <c:v>1</c:v>
                </c:pt>
                <c:pt idx="29">
                  <c:v>0</c:v>
                </c:pt>
                <c:pt idx="30">
                  <c:v>1</c:v>
                </c:pt>
                <c:pt idx="31">
                  <c:v>1</c:v>
                </c:pt>
                <c:pt idx="32">
                  <c:v>0</c:v>
                </c:pt>
                <c:pt idx="33">
                  <c:v>0</c:v>
                </c:pt>
                <c:pt idx="34">
                  <c:v>0</c:v>
                </c:pt>
                <c:pt idx="35">
                  <c:v>1</c:v>
                </c:pt>
                <c:pt idx="36">
                  <c:v>0</c:v>
                </c:pt>
                <c:pt idx="37">
                  <c:v>1</c:v>
                </c:pt>
                <c:pt idx="38">
                  <c:v>25</c:v>
                </c:pt>
              </c:numCache>
            </c:numRef>
          </c:val>
          <c:extLst>
            <c:ext xmlns:c16="http://schemas.microsoft.com/office/drawing/2014/chart" uri="{C3380CC4-5D6E-409C-BE32-E72D297353CC}">
              <c16:uniqueId val="{00000000-5EEF-4C57-B832-AA0B1D891253}"/>
            </c:ext>
          </c:extLst>
        </c:ser>
        <c:dLbls>
          <c:showLegendKey val="0"/>
          <c:showVal val="1"/>
          <c:showCatName val="0"/>
          <c:showSerName val="0"/>
          <c:showPercent val="0"/>
          <c:showBubbleSize val="0"/>
        </c:dLbls>
        <c:gapWidth val="150"/>
        <c:shape val="box"/>
        <c:axId val="705019168"/>
        <c:axId val="705026224"/>
        <c:axId val="0"/>
      </c:bar3DChart>
      <c:catAx>
        <c:axId val="70501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705026224"/>
        <c:crosses val="autoZero"/>
        <c:auto val="1"/>
        <c:lblAlgn val="ctr"/>
        <c:lblOffset val="100"/>
        <c:noMultiLvlLbl val="0"/>
      </c:catAx>
      <c:valAx>
        <c:axId val="705026224"/>
        <c:scaling>
          <c:orientation val="minMax"/>
        </c:scaling>
        <c:delete val="1"/>
        <c:axPos val="l"/>
        <c:numFmt formatCode="General" sourceLinked="1"/>
        <c:majorTickMark val="none"/>
        <c:minorTickMark val="none"/>
        <c:tickLblPos val="nextTo"/>
        <c:crossAx val="705019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10216784717749E-2"/>
          <c:y val="0.14608706237791955"/>
          <c:w val="0.957072333118695"/>
          <c:h val="0.45964257981455764"/>
        </c:manualLayout>
      </c:layout>
      <c:barChart>
        <c:barDir val="col"/>
        <c:grouping val="clustered"/>
        <c:varyColors val="0"/>
        <c:ser>
          <c:idx val="0"/>
          <c:order val="0"/>
          <c:tx>
            <c:strRef>
              <c:f>'TRANSPARENCA FINANCIARE '!$X$7</c:f>
              <c:strCache>
                <c:ptCount val="1"/>
                <c:pt idx="0">
                  <c:v>Publikimi i njoftimeve për  diskutime buxhetore</c:v>
                </c:pt>
              </c:strCache>
            </c:strRef>
          </c:tx>
          <c:spPr>
            <a:solidFill>
              <a:schemeClr val="accent1"/>
            </a:solidFill>
            <a:ln>
              <a:noFill/>
            </a:ln>
            <a:effectLst/>
          </c:spPr>
          <c:invertIfNegative val="0"/>
          <c:dLbls>
            <c:dLbl>
              <c:idx val="0"/>
              <c:layout>
                <c:manualLayout>
                  <c:x val="2.2158209616662972E-3"/>
                  <c:y val="-0.2281597117982588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DE-46D0-AF05-EFDE30945224}"/>
                </c:ext>
              </c:extLst>
            </c:dLbl>
            <c:dLbl>
              <c:idx val="1"/>
              <c:layout>
                <c:manualLayout>
                  <c:x val="4.4316419233325849E-3"/>
                  <c:y val="-0.2341639147403182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DE-46D0-AF05-EFDE30945224}"/>
                </c:ext>
              </c:extLst>
            </c:dLbl>
            <c:dLbl>
              <c:idx val="2"/>
              <c:layout>
                <c:manualLayout>
                  <c:x val="1.7726567693330378E-2"/>
                  <c:y val="-0.2461723206244371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DE-46D0-AF05-EFDE30945224}"/>
                </c:ext>
              </c:extLst>
            </c:dLbl>
            <c:dLbl>
              <c:idx val="3"/>
              <c:layout>
                <c:manualLayout>
                  <c:x val="2.2158209616662972E-3"/>
                  <c:y val="-8.40588411888321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8DE-46D0-AF05-EFDE30945224}"/>
                </c:ext>
              </c:extLst>
            </c:dLbl>
            <c:dLbl>
              <c:idx val="5"/>
              <c:layout>
                <c:manualLayout>
                  <c:x val="8.9212224604854912E-3"/>
                  <c:y val="-0.1142667426585730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8DE-46D0-AF05-EFDE30945224}"/>
                </c:ext>
              </c:extLst>
            </c:dLbl>
            <c:dLbl>
              <c:idx val="8"/>
              <c:layout>
                <c:manualLayout>
                  <c:x val="4.4316419233325537E-3"/>
                  <c:y val="-0.2281597117982587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8DE-46D0-AF05-EFDE30945224}"/>
                </c:ext>
              </c:extLst>
            </c:dLbl>
            <c:dLbl>
              <c:idx val="11"/>
              <c:layout>
                <c:manualLayout>
                  <c:x val="-2.042248495373163E-3"/>
                  <c:y val="-0.3653421572479125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8DE-46D0-AF05-EFDE30945224}"/>
                </c:ext>
              </c:extLst>
            </c:dLbl>
            <c:dLbl>
              <c:idx val="12"/>
              <c:layout>
                <c:manualLayout>
                  <c:x val="0"/>
                  <c:y val="-0.3045209650972124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48DE-46D0-AF05-EFDE30945224}"/>
                </c:ext>
              </c:extLst>
            </c:dLbl>
            <c:dLbl>
              <c:idx val="14"/>
              <c:layout>
                <c:manualLayout>
                  <c:x val="6.6474628849988518E-3"/>
                  <c:y val="-0.1441008706094266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8DE-46D0-AF05-EFDE30945224}"/>
                </c:ext>
              </c:extLst>
            </c:dLbl>
            <c:dLbl>
              <c:idx val="17"/>
              <c:layout>
                <c:manualLayout>
                  <c:x val="1.3294925769997783E-2"/>
                  <c:y val="-0.2161513059141398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8DE-46D0-AF05-EFDE30945224}"/>
                </c:ext>
              </c:extLst>
            </c:dLbl>
            <c:dLbl>
              <c:idx val="20"/>
              <c:layout>
                <c:manualLayout>
                  <c:x val="0"/>
                  <c:y val="-0.1140798558991294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8DE-46D0-AF05-EFDE30945224}"/>
                </c:ext>
              </c:extLst>
            </c:dLbl>
            <c:dLbl>
              <c:idx val="22"/>
              <c:layout>
                <c:manualLayout>
                  <c:x val="2.2158209616662972E-3"/>
                  <c:y val="-0.1681176823776644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8DE-46D0-AF05-EFDE30945224}"/>
                </c:ext>
              </c:extLst>
            </c:dLbl>
            <c:dLbl>
              <c:idx val="23"/>
              <c:layout>
                <c:manualLayout>
                  <c:x val="-8.8632838466651889E-3"/>
                  <c:y val="-0.1741218853197238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8DE-46D0-AF05-EFDE30945224}"/>
                </c:ext>
              </c:extLst>
            </c:dLbl>
            <c:dLbl>
              <c:idx val="24"/>
              <c:layout>
                <c:manualLayout>
                  <c:x val="-8.1245830035669357E-17"/>
                  <c:y val="-3.60252176523566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48DE-46D0-AF05-EFDE30945224}"/>
                </c:ext>
              </c:extLst>
            </c:dLbl>
            <c:dLbl>
              <c:idx val="27"/>
              <c:layout>
                <c:manualLayout>
                  <c:x val="-6.4391500321958287E-3"/>
                  <c:y val="-0.1003469436313434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48DE-46D0-AF05-EFDE30945224}"/>
                </c:ext>
              </c:extLst>
            </c:dLbl>
            <c:dLbl>
              <c:idx val="28"/>
              <c:layout>
                <c:manualLayout>
                  <c:x val="6.647462884998811E-3"/>
                  <c:y val="-0.1981386970879615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48DE-46D0-AF05-EFDE30945224}"/>
                </c:ext>
              </c:extLst>
            </c:dLbl>
            <c:dLbl>
              <c:idx val="29"/>
              <c:layout>
                <c:manualLayout>
                  <c:x val="4.4316419233325945E-3"/>
                  <c:y val="-0.1801260882617833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48DE-46D0-AF05-EFDE30945224}"/>
                </c:ext>
              </c:extLst>
            </c:dLbl>
            <c:dLbl>
              <c:idx val="30"/>
              <c:layout>
                <c:manualLayout>
                  <c:x val="4.4316419233324323E-3"/>
                  <c:y val="-0.2401681176823776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48DE-46D0-AF05-EFDE30945224}"/>
                </c:ext>
              </c:extLst>
            </c:dLbl>
            <c:dLbl>
              <c:idx val="31"/>
              <c:layout>
                <c:manualLayout>
                  <c:x val="4.4316419233325945E-3"/>
                  <c:y val="-0.2221555088561993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48DE-46D0-AF05-EFDE30945224}"/>
                </c:ext>
              </c:extLst>
            </c:dLbl>
            <c:dLbl>
              <c:idx val="32"/>
              <c:layout>
                <c:manualLayout>
                  <c:x val="8.8632838466651889E-3"/>
                  <c:y val="-0.1981386970879615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48DE-46D0-AF05-EFDE30945224}"/>
                </c:ext>
              </c:extLst>
            </c:dLbl>
            <c:dLbl>
              <c:idx val="33"/>
              <c:layout>
                <c:manualLayout>
                  <c:x val="1.1079104808331486E-2"/>
                  <c:y val="-0.20414290003002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48DE-46D0-AF05-EFDE30945224}"/>
                </c:ext>
              </c:extLst>
            </c:dLbl>
            <c:dLbl>
              <c:idx val="38"/>
              <c:layout>
                <c:manualLayout>
                  <c:x val="-2.1579628830384119E-2"/>
                  <c:y val="-1.4054813773717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48DE-46D0-AF05-EFDE3094522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'TRANSPARENCA FINANCIARE '!$W$8:$W$47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'!$X$8:$X$47</c:f>
              <c:numCache>
                <c:formatCode>General</c:formatCode>
                <c:ptCount val="40"/>
                <c:pt idx="0">
                  <c:v>7</c:v>
                </c:pt>
                <c:pt idx="1">
                  <c:v>2</c:v>
                </c:pt>
                <c:pt idx="2">
                  <c:v>2</c:v>
                </c:pt>
                <c:pt idx="3">
                  <c:v>2</c:v>
                </c:pt>
                <c:pt idx="4">
                  <c:v>13</c:v>
                </c:pt>
                <c:pt idx="5">
                  <c:v>1</c:v>
                </c:pt>
                <c:pt idx="6">
                  <c:v>1</c:v>
                </c:pt>
                <c:pt idx="7">
                  <c:v>1</c:v>
                </c:pt>
                <c:pt idx="8">
                  <c:v>0</c:v>
                </c:pt>
                <c:pt idx="9">
                  <c:v>0</c:v>
                </c:pt>
                <c:pt idx="10">
                  <c:v>0</c:v>
                </c:pt>
                <c:pt idx="11">
                  <c:v>2</c:v>
                </c:pt>
                <c:pt idx="12">
                  <c:v>2</c:v>
                </c:pt>
                <c:pt idx="13">
                  <c:v>0</c:v>
                </c:pt>
                <c:pt idx="14">
                  <c:v>3</c:v>
                </c:pt>
                <c:pt idx="15">
                  <c:v>0</c:v>
                </c:pt>
                <c:pt idx="16">
                  <c:v>4</c:v>
                </c:pt>
                <c:pt idx="17">
                  <c:v>2</c:v>
                </c:pt>
                <c:pt idx="18">
                  <c:v>2</c:v>
                </c:pt>
                <c:pt idx="19">
                  <c:v>0</c:v>
                </c:pt>
                <c:pt idx="20">
                  <c:v>1</c:v>
                </c:pt>
                <c:pt idx="21">
                  <c:v>0</c:v>
                </c:pt>
                <c:pt idx="22">
                  <c:v>0</c:v>
                </c:pt>
                <c:pt idx="23">
                  <c:v>9</c:v>
                </c:pt>
                <c:pt idx="24">
                  <c:v>16</c:v>
                </c:pt>
                <c:pt idx="25">
                  <c:v>0</c:v>
                </c:pt>
                <c:pt idx="26">
                  <c:v>18</c:v>
                </c:pt>
                <c:pt idx="27">
                  <c:v>0</c:v>
                </c:pt>
                <c:pt idx="28">
                  <c:v>0</c:v>
                </c:pt>
                <c:pt idx="29">
                  <c:v>0</c:v>
                </c:pt>
                <c:pt idx="30">
                  <c:v>0</c:v>
                </c:pt>
                <c:pt idx="31">
                  <c:v>0</c:v>
                </c:pt>
                <c:pt idx="32">
                  <c:v>0</c:v>
                </c:pt>
                <c:pt idx="33">
                  <c:v>0</c:v>
                </c:pt>
                <c:pt idx="34">
                  <c:v>0</c:v>
                </c:pt>
                <c:pt idx="35">
                  <c:v>0</c:v>
                </c:pt>
                <c:pt idx="36">
                  <c:v>0</c:v>
                </c:pt>
                <c:pt idx="37">
                  <c:v>6</c:v>
                </c:pt>
                <c:pt idx="38">
                  <c:v>19</c:v>
                </c:pt>
              </c:numCache>
            </c:numRef>
          </c:val>
          <c:extLst>
            <c:ext xmlns:c16="http://schemas.microsoft.com/office/drawing/2014/chart" uri="{C3380CC4-5D6E-409C-BE32-E72D297353CC}">
              <c16:uniqueId val="{00000000-48DE-46D0-AF05-EFDE30945224}"/>
            </c:ext>
          </c:extLst>
        </c:ser>
        <c:ser>
          <c:idx val="1"/>
          <c:order val="1"/>
          <c:tx>
            <c:strRef>
              <c:f>'TRANSPARENCA FINANCIARE '!$Y$7</c:f>
              <c:strCache>
                <c:ptCount val="1"/>
                <c:pt idx="0">
                  <c:v>Raporti nga  dëgjimet buxhetore </c:v>
                </c:pt>
              </c:strCache>
            </c:strRef>
          </c:tx>
          <c:spPr>
            <a:solidFill>
              <a:schemeClr val="accent2"/>
            </a:solidFill>
            <a:ln>
              <a:noFill/>
            </a:ln>
            <a:effectLst/>
          </c:spPr>
          <c:invertIfNegative val="0"/>
          <c:dLbls>
            <c:dLbl>
              <c:idx val="3"/>
              <c:layout>
                <c:manualLayout>
                  <c:x val="2.2158209616662972E-3"/>
                  <c:y val="4.20294205944160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8DE-46D0-AF05-EFDE30945224}"/>
                </c:ext>
              </c:extLst>
            </c:dLbl>
            <c:dLbl>
              <c:idx val="5"/>
              <c:layout>
                <c:manualLayout>
                  <c:x val="2.6589851539995567E-2"/>
                  <c:y val="-0.306214350045031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8DE-46D0-AF05-EFDE30945224}"/>
                </c:ext>
              </c:extLst>
            </c:dLbl>
            <c:dLbl>
              <c:idx val="6"/>
              <c:layout>
                <c:manualLayout>
                  <c:x val="8.8632838466651698E-3"/>
                  <c:y val="-0.1561092764935454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8DE-46D0-AF05-EFDE30945224}"/>
                </c:ext>
              </c:extLst>
            </c:dLbl>
            <c:dLbl>
              <c:idx val="7"/>
              <c:layout>
                <c:manualLayout>
                  <c:x val="8.6318515321536469E-3"/>
                  <c:y val="-9.11283838113106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48DE-46D0-AF05-EFDE30945224}"/>
                </c:ext>
              </c:extLst>
            </c:dLbl>
            <c:dLbl>
              <c:idx val="9"/>
              <c:layout>
                <c:manualLayout>
                  <c:x val="0"/>
                  <c:y val="-0.1801260882617833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8DE-46D0-AF05-EFDE30945224}"/>
                </c:ext>
              </c:extLst>
            </c:dLbl>
            <c:dLbl>
              <c:idx val="10"/>
              <c:layout>
                <c:manualLayout>
                  <c:x val="-4.0622915017834678E-17"/>
                  <c:y val="-0.1561092764935454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8DE-46D0-AF05-EFDE30945224}"/>
                </c:ext>
              </c:extLst>
            </c:dLbl>
            <c:dLbl>
              <c:idx val="11"/>
              <c:layout>
                <c:manualLayout>
                  <c:x val="4.4316419233326352E-3"/>
                  <c:y val="1.20084058841188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8DE-46D0-AF05-EFDE30945224}"/>
                </c:ext>
              </c:extLst>
            </c:dLbl>
            <c:dLbl>
              <c:idx val="12"/>
              <c:layout>
                <c:manualLayout>
                  <c:x val="2.2158209616662972E-3"/>
                  <c:y val="-0.1561092764935454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8DE-46D0-AF05-EFDE30945224}"/>
                </c:ext>
              </c:extLst>
            </c:dLbl>
            <c:dLbl>
              <c:idx val="13"/>
              <c:layout>
                <c:manualLayout>
                  <c:x val="0"/>
                  <c:y val="-0.186130291203842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8DE-46D0-AF05-EFDE30945224}"/>
                </c:ext>
              </c:extLst>
            </c:dLbl>
            <c:dLbl>
              <c:idx val="15"/>
              <c:layout>
                <c:manualLayout>
                  <c:x val="6.6474628849988917E-3"/>
                  <c:y val="-0.2341639147403182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8DE-46D0-AF05-EFDE30945224}"/>
                </c:ext>
              </c:extLst>
            </c:dLbl>
            <c:dLbl>
              <c:idx val="16"/>
              <c:layout>
                <c:manualLayout>
                  <c:x val="4.4316419233325945E-3"/>
                  <c:y val="-0.2041429000300210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8DE-46D0-AF05-EFDE30945224}"/>
                </c:ext>
              </c:extLst>
            </c:dLbl>
            <c:dLbl>
              <c:idx val="18"/>
              <c:layout>
                <c:manualLayout>
                  <c:x val="1.1079104808331486E-2"/>
                  <c:y val="-7.80546382467727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8DE-46D0-AF05-EFDE30945224}"/>
                </c:ext>
              </c:extLst>
            </c:dLbl>
            <c:dLbl>
              <c:idx val="19"/>
              <c:layout>
                <c:manualLayout>
                  <c:x val="-2.2158209616662972E-3"/>
                  <c:y val="-0.1140798558991294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8DE-46D0-AF05-EFDE30945224}"/>
                </c:ext>
              </c:extLst>
            </c:dLbl>
            <c:dLbl>
              <c:idx val="20"/>
              <c:layout>
                <c:manualLayout>
                  <c:x val="1.7726567693330378E-2"/>
                  <c:y val="-0.192134494145902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8DE-46D0-AF05-EFDE30945224}"/>
                </c:ext>
              </c:extLst>
            </c:dLbl>
            <c:dLbl>
              <c:idx val="21"/>
              <c:layout>
                <c:manualLayout>
                  <c:x val="-8.1245830035669357E-17"/>
                  <c:y val="-7.20504353047133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8DE-46D0-AF05-EFDE30945224}"/>
                </c:ext>
              </c:extLst>
            </c:dLbl>
            <c:dLbl>
              <c:idx val="22"/>
              <c:layout>
                <c:manualLayout>
                  <c:x val="4.4316419233325138E-3"/>
                  <c:y val="-1.80126088261783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8DE-46D0-AF05-EFDE30945224}"/>
                </c:ext>
              </c:extLst>
            </c:dLbl>
            <c:dLbl>
              <c:idx val="25"/>
              <c:layout>
                <c:manualLayout>
                  <c:x val="-8.1245830035669357E-17"/>
                  <c:y val="-3.00210147102972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48DE-46D0-AF05-EFDE30945224}"/>
                </c:ext>
              </c:extLst>
            </c:dLbl>
            <c:dLbl>
              <c:idx val="27"/>
              <c:layout>
                <c:manualLayout>
                  <c:x val="-6.946169719778089E-5"/>
                  <c:y val="-0.1929965711418890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48DE-46D0-AF05-EFDE30945224}"/>
                </c:ext>
              </c:extLst>
            </c:dLbl>
            <c:dLbl>
              <c:idx val="28"/>
              <c:layout>
                <c:manualLayout>
                  <c:x val="1.3155977846619706E-2"/>
                  <c:y val="-0.2407080527442854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48DE-46D0-AF05-EFDE30945224}"/>
                </c:ext>
              </c:extLst>
            </c:dLbl>
            <c:dLbl>
              <c:idx val="29"/>
              <c:layout>
                <c:manualLayout>
                  <c:x val="8.8632111584892835E-3"/>
                  <c:y val="-0.2761413080568021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48DE-46D0-AF05-EFDE30945224}"/>
                </c:ext>
              </c:extLst>
            </c:dLbl>
            <c:dLbl>
              <c:idx val="30"/>
              <c:layout>
                <c:manualLayout>
                  <c:x val="4.4316419233325945E-3"/>
                  <c:y val="-9.00630441308916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48DE-46D0-AF05-EFDE30945224}"/>
                </c:ext>
              </c:extLst>
            </c:dLbl>
            <c:dLbl>
              <c:idx val="31"/>
              <c:layout>
                <c:manualLayout>
                  <c:x val="6.6474628849988917E-3"/>
                  <c:y val="-5.40378264785350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48DE-46D0-AF05-EFDE30945224}"/>
                </c:ext>
              </c:extLst>
            </c:dLbl>
            <c:dLbl>
              <c:idx val="32"/>
              <c:layout>
                <c:manualLayout>
                  <c:x val="1.3294925769997783E-2"/>
                  <c:y val="-9.00630441308916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48DE-46D0-AF05-EFDE30945224}"/>
                </c:ext>
              </c:extLst>
            </c:dLbl>
            <c:dLbl>
              <c:idx val="33"/>
              <c:layout>
                <c:manualLayout>
                  <c:x val="1.5510746731664082E-2"/>
                  <c:y val="-7.80546382467727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48DE-46D0-AF05-EFDE30945224}"/>
                </c:ext>
              </c:extLst>
            </c:dLbl>
            <c:dLbl>
              <c:idx val="34"/>
              <c:layout>
                <c:manualLayout>
                  <c:x val="1.9942388654996677E-2"/>
                  <c:y val="-0.1741218853197238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48DE-46D0-AF05-EFDE30945224}"/>
                </c:ext>
              </c:extLst>
            </c:dLbl>
            <c:dLbl>
              <c:idx val="35"/>
              <c:layout>
                <c:manualLayout>
                  <c:x val="1.7726567693330378E-2"/>
                  <c:y val="-0.2281597117982587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48DE-46D0-AF05-EFDE30945224}"/>
                </c:ext>
              </c:extLst>
            </c:dLbl>
            <c:dLbl>
              <c:idx val="36"/>
              <c:layout>
                <c:manualLayout>
                  <c:x val="4.4316419233325945E-3"/>
                  <c:y val="-0.1681176823776644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48DE-46D0-AF05-EFDE30945224}"/>
                </c:ext>
              </c:extLst>
            </c:dLbl>
            <c:dLbl>
              <c:idx val="37"/>
              <c:layout>
                <c:manualLayout>
                  <c:x val="1.1079104808331486E-2"/>
                  <c:y val="-0.1621134794356049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48DE-46D0-AF05-EFDE3094522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'TRANSPARENCA FINANCIARE '!$W$8:$W$47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'!$Y$8:$Y$47</c:f>
              <c:numCache>
                <c:formatCode>General</c:formatCode>
                <c:ptCount val="40"/>
                <c:pt idx="0">
                  <c:v>0</c:v>
                </c:pt>
                <c:pt idx="1">
                  <c:v>7</c:v>
                </c:pt>
                <c:pt idx="2">
                  <c:v>0</c:v>
                </c:pt>
                <c:pt idx="3">
                  <c:v>1</c:v>
                </c:pt>
                <c:pt idx="4">
                  <c:v>1</c:v>
                </c:pt>
                <c:pt idx="5">
                  <c:v>1</c:v>
                </c:pt>
                <c:pt idx="6">
                  <c:v>1</c:v>
                </c:pt>
                <c:pt idx="7">
                  <c:v>1</c:v>
                </c:pt>
                <c:pt idx="8">
                  <c:v>3</c:v>
                </c:pt>
                <c:pt idx="9">
                  <c:v>0</c:v>
                </c:pt>
                <c:pt idx="10">
                  <c:v>1</c:v>
                </c:pt>
                <c:pt idx="11">
                  <c:v>1</c:v>
                </c:pt>
                <c:pt idx="12">
                  <c:v>1</c:v>
                </c:pt>
                <c:pt idx="13">
                  <c:v>0</c:v>
                </c:pt>
                <c:pt idx="14">
                  <c:v>1</c:v>
                </c:pt>
                <c:pt idx="15">
                  <c:v>1</c:v>
                </c:pt>
                <c:pt idx="16">
                  <c:v>3</c:v>
                </c:pt>
                <c:pt idx="17">
                  <c:v>0</c:v>
                </c:pt>
                <c:pt idx="18">
                  <c:v>3</c:v>
                </c:pt>
                <c:pt idx="19">
                  <c:v>0</c:v>
                </c:pt>
                <c:pt idx="20">
                  <c:v>1</c:v>
                </c:pt>
                <c:pt idx="21">
                  <c:v>1</c:v>
                </c:pt>
                <c:pt idx="22">
                  <c:v>0</c:v>
                </c:pt>
                <c:pt idx="23">
                  <c:v>1</c:v>
                </c:pt>
                <c:pt idx="24">
                  <c:v>2</c:v>
                </c:pt>
                <c:pt idx="25">
                  <c:v>0</c:v>
                </c:pt>
                <c:pt idx="26">
                  <c:v>1</c:v>
                </c:pt>
                <c:pt idx="27">
                  <c:v>0</c:v>
                </c:pt>
                <c:pt idx="28">
                  <c:v>1</c:v>
                </c:pt>
                <c:pt idx="29">
                  <c:v>0</c:v>
                </c:pt>
                <c:pt idx="30">
                  <c:v>0</c:v>
                </c:pt>
                <c:pt idx="31">
                  <c:v>1</c:v>
                </c:pt>
                <c:pt idx="32">
                  <c:v>0</c:v>
                </c:pt>
                <c:pt idx="33">
                  <c:v>0</c:v>
                </c:pt>
                <c:pt idx="34">
                  <c:v>0</c:v>
                </c:pt>
                <c:pt idx="35">
                  <c:v>0</c:v>
                </c:pt>
                <c:pt idx="36">
                  <c:v>0</c:v>
                </c:pt>
                <c:pt idx="37">
                  <c:v>1</c:v>
                </c:pt>
                <c:pt idx="38">
                  <c:v>23</c:v>
                </c:pt>
              </c:numCache>
            </c:numRef>
          </c:val>
          <c:extLst>
            <c:ext xmlns:c16="http://schemas.microsoft.com/office/drawing/2014/chart" uri="{C3380CC4-5D6E-409C-BE32-E72D297353CC}">
              <c16:uniqueId val="{00000001-48DE-46D0-AF05-EFDE30945224}"/>
            </c:ext>
          </c:extLst>
        </c:ser>
        <c:dLbls>
          <c:dLblPos val="outEnd"/>
          <c:showLegendKey val="0"/>
          <c:showVal val="1"/>
          <c:showCatName val="0"/>
          <c:showSerName val="0"/>
          <c:showPercent val="0"/>
          <c:showBubbleSize val="0"/>
        </c:dLbls>
        <c:gapWidth val="199"/>
        <c:axId val="705021520"/>
        <c:axId val="705021128"/>
      </c:barChart>
      <c:catAx>
        <c:axId val="70502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cap="none" spc="0" normalizeH="0" baseline="0">
                <a:solidFill>
                  <a:schemeClr val="tx1">
                    <a:lumMod val="65000"/>
                    <a:lumOff val="35000"/>
                  </a:schemeClr>
                </a:solidFill>
                <a:latin typeface="Century Schoolbook" panose="02040604050505020304" pitchFamily="18" charset="0"/>
                <a:ea typeface="+mn-ea"/>
                <a:cs typeface="+mn-cs"/>
              </a:defRPr>
            </a:pPr>
            <a:endParaRPr lang="en-US"/>
          </a:p>
        </c:txPr>
        <c:crossAx val="705021128"/>
        <c:crosses val="autoZero"/>
        <c:auto val="1"/>
        <c:lblAlgn val="ctr"/>
        <c:lblOffset val="100"/>
        <c:noMultiLvlLbl val="0"/>
      </c:catAx>
      <c:valAx>
        <c:axId val="705021128"/>
        <c:scaling>
          <c:orientation val="minMax"/>
        </c:scaling>
        <c:delete val="1"/>
        <c:axPos val="l"/>
        <c:numFmt formatCode="General" sourceLinked="1"/>
        <c:majorTickMark val="none"/>
        <c:minorTickMark val="none"/>
        <c:tickLblPos val="nextTo"/>
        <c:crossAx val="705021520"/>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374030578329271E-2"/>
          <c:y val="0.20458749169158155"/>
          <c:w val="0.96897850653667184"/>
          <c:h val="0.36738867963983163"/>
        </c:manualLayout>
      </c:layout>
      <c:barChart>
        <c:barDir val="col"/>
        <c:grouping val="clustered"/>
        <c:varyColors val="0"/>
        <c:ser>
          <c:idx val="0"/>
          <c:order val="0"/>
          <c:tx>
            <c:strRef>
              <c:f>'TRANSPARENCA FINANCIARE '!$AH$7</c:f>
              <c:strCache>
                <c:ptCount val="1"/>
                <c:pt idx="0">
                  <c:v>Publikimi i raportit të auditorit të jashtëm</c:v>
                </c:pt>
              </c:strCache>
            </c:strRef>
          </c:tx>
          <c:spPr>
            <a:solidFill>
              <a:schemeClr val="accent1"/>
            </a:solidFill>
            <a:ln>
              <a:noFill/>
            </a:ln>
            <a:effectLst/>
          </c:spPr>
          <c:invertIfNegative val="0"/>
          <c:dLbls>
            <c:dLbl>
              <c:idx val="23"/>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76C-439E-B05E-A7E8F4964F6F}"/>
                </c:ext>
              </c:extLst>
            </c:dLbl>
            <c:dLbl>
              <c:idx val="38"/>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76C-439E-B05E-A7E8F4964F6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'!$AG$8:$AG$47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'!$AH$8:$AH$47</c:f>
              <c:numCache>
                <c:formatCode>General</c:formatCode>
                <c:ptCount val="40"/>
                <c:pt idx="0">
                  <c:v>0</c:v>
                </c:pt>
                <c:pt idx="1">
                  <c:v>1</c:v>
                </c:pt>
                <c:pt idx="2">
                  <c:v>0</c:v>
                </c:pt>
                <c:pt idx="3">
                  <c:v>0</c:v>
                </c:pt>
                <c:pt idx="4">
                  <c:v>1</c:v>
                </c:pt>
                <c:pt idx="5">
                  <c:v>1</c:v>
                </c:pt>
                <c:pt idx="6">
                  <c:v>0</c:v>
                </c:pt>
                <c:pt idx="7">
                  <c:v>1</c:v>
                </c:pt>
                <c:pt idx="8">
                  <c:v>1</c:v>
                </c:pt>
                <c:pt idx="9">
                  <c:v>0</c:v>
                </c:pt>
                <c:pt idx="10">
                  <c:v>1</c:v>
                </c:pt>
                <c:pt idx="11">
                  <c:v>0</c:v>
                </c:pt>
                <c:pt idx="12">
                  <c:v>1</c:v>
                </c:pt>
                <c:pt idx="13">
                  <c:v>0</c:v>
                </c:pt>
                <c:pt idx="14">
                  <c:v>0</c:v>
                </c:pt>
                <c:pt idx="15">
                  <c:v>1</c:v>
                </c:pt>
                <c:pt idx="16">
                  <c:v>1</c:v>
                </c:pt>
                <c:pt idx="17">
                  <c:v>0</c:v>
                </c:pt>
                <c:pt idx="18">
                  <c:v>1</c:v>
                </c:pt>
                <c:pt idx="19">
                  <c:v>0</c:v>
                </c:pt>
                <c:pt idx="20">
                  <c:v>0</c:v>
                </c:pt>
                <c:pt idx="21">
                  <c:v>0</c:v>
                </c:pt>
                <c:pt idx="22">
                  <c:v>1</c:v>
                </c:pt>
                <c:pt idx="23">
                  <c:v>0</c:v>
                </c:pt>
                <c:pt idx="24">
                  <c:v>1</c:v>
                </c:pt>
                <c:pt idx="25">
                  <c:v>0</c:v>
                </c:pt>
                <c:pt idx="26">
                  <c:v>1</c:v>
                </c:pt>
                <c:pt idx="27">
                  <c:v>0</c:v>
                </c:pt>
                <c:pt idx="28">
                  <c:v>1</c:v>
                </c:pt>
                <c:pt idx="29">
                  <c:v>0</c:v>
                </c:pt>
                <c:pt idx="30">
                  <c:v>0</c:v>
                </c:pt>
                <c:pt idx="31">
                  <c:v>1</c:v>
                </c:pt>
                <c:pt idx="32">
                  <c:v>0</c:v>
                </c:pt>
                <c:pt idx="33">
                  <c:v>0</c:v>
                </c:pt>
                <c:pt idx="34">
                  <c:v>0</c:v>
                </c:pt>
                <c:pt idx="35">
                  <c:v>0</c:v>
                </c:pt>
                <c:pt idx="36">
                  <c:v>0</c:v>
                </c:pt>
                <c:pt idx="37">
                  <c:v>1</c:v>
                </c:pt>
                <c:pt idx="38">
                  <c:v>16</c:v>
                </c:pt>
              </c:numCache>
            </c:numRef>
          </c:val>
          <c:extLst>
            <c:ext xmlns:c16="http://schemas.microsoft.com/office/drawing/2014/chart" uri="{C3380CC4-5D6E-409C-BE32-E72D297353CC}">
              <c16:uniqueId val="{00000000-5A95-4316-9194-A5D3FCF27B4A}"/>
            </c:ext>
          </c:extLst>
        </c:ser>
        <c:dLbls>
          <c:showLegendKey val="0"/>
          <c:showVal val="1"/>
          <c:showCatName val="0"/>
          <c:showSerName val="0"/>
          <c:showPercent val="0"/>
          <c:showBubbleSize val="0"/>
        </c:dLbls>
        <c:gapWidth val="150"/>
        <c:overlap val="-25"/>
        <c:axId val="705019952"/>
        <c:axId val="705021912"/>
      </c:barChart>
      <c:catAx>
        <c:axId val="70501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lumMod val="65000"/>
                    <a:lumOff val="35000"/>
                  </a:schemeClr>
                </a:solidFill>
                <a:latin typeface="Garamond" panose="02020404030301010803" pitchFamily="18" charset="0"/>
                <a:ea typeface="Calibri" panose="020F0502020204030204" pitchFamily="34" charset="0"/>
                <a:cs typeface="Calibri" panose="020F0502020204030204" pitchFamily="34" charset="0"/>
              </a:defRPr>
            </a:pPr>
            <a:endParaRPr lang="en-US"/>
          </a:p>
        </c:txPr>
        <c:crossAx val="705021912"/>
        <c:crosses val="autoZero"/>
        <c:auto val="1"/>
        <c:lblAlgn val="ctr"/>
        <c:lblOffset val="100"/>
        <c:noMultiLvlLbl val="0"/>
      </c:catAx>
      <c:valAx>
        <c:axId val="705021912"/>
        <c:scaling>
          <c:orientation val="minMax"/>
        </c:scaling>
        <c:delete val="1"/>
        <c:axPos val="l"/>
        <c:numFmt formatCode="General" sourceLinked="1"/>
        <c:majorTickMark val="none"/>
        <c:minorTickMark val="none"/>
        <c:tickLblPos val="nextTo"/>
        <c:crossAx val="705019952"/>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700" b="0" i="0" u="none" strike="noStrike" kern="1200" baseline="0">
                <a:solidFill>
                  <a:schemeClr val="tx1">
                    <a:lumMod val="65000"/>
                    <a:lumOff val="35000"/>
                  </a:schemeClr>
                </a:solidFill>
                <a:latin typeface="+mj-lt"/>
                <a:ea typeface="Calibri" panose="020F0502020204030204" pitchFamily="34" charset="0"/>
                <a:cs typeface="Calibri" panose="020F0502020204030204" pitchFamily="34" charset="0"/>
              </a:defRPr>
            </a:pPr>
            <a:endParaRPr lang="en-US"/>
          </a:p>
        </c:txPr>
      </c:legendEntry>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j-lt"/>
              <a:ea typeface="Calibri" panose="020F0502020204030204" pitchFamily="34" charset="0"/>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'!$AL$7</c:f>
              <c:strCache>
                <c:ptCount val="1"/>
                <c:pt idx="0">
                  <c:v>Investimet kapitale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Century Schoolbook" panose="020406040505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'!$AK$8:$AK$47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'!$AL$8:$AL$47</c:f>
              <c:numCache>
                <c:formatCode>General</c:formatCode>
                <c:ptCount val="40"/>
                <c:pt idx="0">
                  <c:v>0</c:v>
                </c:pt>
                <c:pt idx="1">
                  <c:v>1</c:v>
                </c:pt>
                <c:pt idx="2">
                  <c:v>0</c:v>
                </c:pt>
                <c:pt idx="3">
                  <c:v>0</c:v>
                </c:pt>
                <c:pt idx="4">
                  <c:v>0</c:v>
                </c:pt>
                <c:pt idx="5">
                  <c:v>1</c:v>
                </c:pt>
                <c:pt idx="6">
                  <c:v>1</c:v>
                </c:pt>
                <c:pt idx="7">
                  <c:v>1</c:v>
                </c:pt>
                <c:pt idx="8">
                  <c:v>0</c:v>
                </c:pt>
                <c:pt idx="9">
                  <c:v>0</c:v>
                </c:pt>
                <c:pt idx="10">
                  <c:v>0</c:v>
                </c:pt>
                <c:pt idx="11">
                  <c:v>1</c:v>
                </c:pt>
                <c:pt idx="12">
                  <c:v>1</c:v>
                </c:pt>
                <c:pt idx="13">
                  <c:v>0</c:v>
                </c:pt>
                <c:pt idx="14">
                  <c:v>1</c:v>
                </c:pt>
                <c:pt idx="15">
                  <c:v>0</c:v>
                </c:pt>
                <c:pt idx="16">
                  <c:v>0</c:v>
                </c:pt>
                <c:pt idx="17">
                  <c:v>0</c:v>
                </c:pt>
                <c:pt idx="18">
                  <c:v>0</c:v>
                </c:pt>
                <c:pt idx="19">
                  <c:v>0</c:v>
                </c:pt>
                <c:pt idx="20">
                  <c:v>0</c:v>
                </c:pt>
                <c:pt idx="21">
                  <c:v>1</c:v>
                </c:pt>
                <c:pt idx="22">
                  <c:v>1</c:v>
                </c:pt>
                <c:pt idx="23">
                  <c:v>1</c:v>
                </c:pt>
                <c:pt idx="24">
                  <c:v>1</c:v>
                </c:pt>
                <c:pt idx="25">
                  <c:v>0</c:v>
                </c:pt>
                <c:pt idx="26">
                  <c:v>1</c:v>
                </c:pt>
                <c:pt idx="27">
                  <c:v>0</c:v>
                </c:pt>
                <c:pt idx="28">
                  <c:v>1</c:v>
                </c:pt>
                <c:pt idx="29">
                  <c:v>0</c:v>
                </c:pt>
                <c:pt idx="30">
                  <c:v>0</c:v>
                </c:pt>
                <c:pt idx="31">
                  <c:v>1</c:v>
                </c:pt>
                <c:pt idx="32">
                  <c:v>0</c:v>
                </c:pt>
                <c:pt idx="33">
                  <c:v>0</c:v>
                </c:pt>
                <c:pt idx="34">
                  <c:v>0</c:v>
                </c:pt>
                <c:pt idx="35">
                  <c:v>0</c:v>
                </c:pt>
                <c:pt idx="36">
                  <c:v>0</c:v>
                </c:pt>
                <c:pt idx="37">
                  <c:v>1</c:v>
                </c:pt>
                <c:pt idx="38">
                  <c:v>15</c:v>
                </c:pt>
              </c:numCache>
            </c:numRef>
          </c:val>
          <c:extLst>
            <c:ext xmlns:c16="http://schemas.microsoft.com/office/drawing/2014/chart" uri="{C3380CC4-5D6E-409C-BE32-E72D297353CC}">
              <c16:uniqueId val="{00000000-2D6A-4293-A023-47ED9482619B}"/>
            </c:ext>
          </c:extLst>
        </c:ser>
        <c:dLbls>
          <c:showLegendKey val="0"/>
          <c:showVal val="1"/>
          <c:showCatName val="0"/>
          <c:showSerName val="0"/>
          <c:showPercent val="0"/>
          <c:showBubbleSize val="0"/>
        </c:dLbls>
        <c:gapWidth val="150"/>
        <c:overlap val="-25"/>
        <c:axId val="705023872"/>
        <c:axId val="705016032"/>
      </c:barChart>
      <c:catAx>
        <c:axId val="70502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705016032"/>
        <c:crosses val="autoZero"/>
        <c:auto val="1"/>
        <c:lblAlgn val="ctr"/>
        <c:lblOffset val="100"/>
        <c:noMultiLvlLbl val="0"/>
      </c:catAx>
      <c:valAx>
        <c:axId val="705016032"/>
        <c:scaling>
          <c:orientation val="minMax"/>
        </c:scaling>
        <c:delete val="1"/>
        <c:axPos val="l"/>
        <c:numFmt formatCode="General" sourceLinked="1"/>
        <c:majorTickMark val="none"/>
        <c:minorTickMark val="none"/>
        <c:tickLblPos val="nextTo"/>
        <c:crossAx val="705023872"/>
        <c:crosses val="autoZero"/>
        <c:crossBetween val="between"/>
      </c:valAx>
      <c:spPr>
        <a:blipFill>
          <a:blip xmlns:r="http://schemas.openxmlformats.org/officeDocument/2006/relationships" r:embed="rId3"/>
          <a:tile tx="0" ty="0" sx="100000" sy="100000" flip="none" algn="tl"/>
        </a:blipFill>
        <a:ln>
          <a:noFill/>
        </a:ln>
        <a:effectLst/>
      </c:spPr>
    </c:plotArea>
    <c:legend>
      <c:legendPos val="t"/>
      <c:legendEntry>
        <c:idx val="0"/>
        <c:txPr>
          <a:bodyPr rot="0" spcFirstLastPara="1" vertOverflow="ellipsis" vert="horz" wrap="square" anchor="ctr" anchorCtr="1"/>
          <a:lstStyle/>
          <a:p>
            <a:pPr>
              <a:defRPr sz="700" b="1" i="0" u="none" strike="noStrike" kern="1200" baseline="0">
                <a:solidFill>
                  <a:schemeClr val="tx1">
                    <a:lumMod val="65000"/>
                    <a:lumOff val="35000"/>
                  </a:schemeClr>
                </a:solidFill>
                <a:latin typeface="+mj-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'!$O$7</c:f>
              <c:strCache>
                <c:ptCount val="1"/>
                <c:pt idx="0">
                  <c:v>Buxhetimin me pjesëmarrje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Schoolbook" panose="020406040505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'!$N$8:$N$46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'!$O$8:$O$46</c:f>
              <c:numCache>
                <c:formatCode>General</c:formatCode>
                <c:ptCount val="39"/>
                <c:pt idx="0">
                  <c:v>0</c:v>
                </c:pt>
                <c:pt idx="1">
                  <c:v>1</c:v>
                </c:pt>
                <c:pt idx="2">
                  <c:v>0</c:v>
                </c:pt>
                <c:pt idx="3">
                  <c:v>0</c:v>
                </c:pt>
                <c:pt idx="4">
                  <c:v>1</c:v>
                </c:pt>
                <c:pt idx="5">
                  <c:v>1</c:v>
                </c:pt>
                <c:pt idx="6">
                  <c:v>0</c:v>
                </c:pt>
                <c:pt idx="7">
                  <c:v>0</c:v>
                </c:pt>
                <c:pt idx="8">
                  <c:v>1</c:v>
                </c:pt>
                <c:pt idx="9">
                  <c:v>0</c:v>
                </c:pt>
                <c:pt idx="10">
                  <c:v>0</c:v>
                </c:pt>
                <c:pt idx="11">
                  <c:v>0</c:v>
                </c:pt>
                <c:pt idx="12">
                  <c:v>0</c:v>
                </c:pt>
                <c:pt idx="13">
                  <c:v>0</c:v>
                </c:pt>
                <c:pt idx="14">
                  <c:v>0</c:v>
                </c:pt>
                <c:pt idx="15">
                  <c:v>0</c:v>
                </c:pt>
                <c:pt idx="16">
                  <c:v>0</c:v>
                </c:pt>
                <c:pt idx="17">
                  <c:v>0</c:v>
                </c:pt>
                <c:pt idx="18">
                  <c:v>1</c:v>
                </c:pt>
                <c:pt idx="19">
                  <c:v>0</c:v>
                </c:pt>
                <c:pt idx="20">
                  <c:v>0</c:v>
                </c:pt>
                <c:pt idx="21">
                  <c:v>1</c:v>
                </c:pt>
                <c:pt idx="22">
                  <c:v>1</c:v>
                </c:pt>
                <c:pt idx="23">
                  <c:v>1</c:v>
                </c:pt>
                <c:pt idx="24">
                  <c:v>1</c:v>
                </c:pt>
                <c:pt idx="25">
                  <c:v>0</c:v>
                </c:pt>
                <c:pt idx="26">
                  <c:v>0</c:v>
                </c:pt>
                <c:pt idx="27">
                  <c:v>0</c:v>
                </c:pt>
                <c:pt idx="28">
                  <c:v>1</c:v>
                </c:pt>
                <c:pt idx="29">
                  <c:v>0</c:v>
                </c:pt>
                <c:pt idx="30">
                  <c:v>0</c:v>
                </c:pt>
                <c:pt idx="31">
                  <c:v>1</c:v>
                </c:pt>
                <c:pt idx="32">
                  <c:v>0</c:v>
                </c:pt>
                <c:pt idx="33">
                  <c:v>0</c:v>
                </c:pt>
                <c:pt idx="34">
                  <c:v>0</c:v>
                </c:pt>
                <c:pt idx="35">
                  <c:v>0</c:v>
                </c:pt>
                <c:pt idx="36">
                  <c:v>0</c:v>
                </c:pt>
                <c:pt idx="37">
                  <c:v>0</c:v>
                </c:pt>
                <c:pt idx="38">
                  <c:v>11</c:v>
                </c:pt>
              </c:numCache>
            </c:numRef>
          </c:val>
          <c:extLst>
            <c:ext xmlns:c16="http://schemas.microsoft.com/office/drawing/2014/chart" uri="{C3380CC4-5D6E-409C-BE32-E72D297353CC}">
              <c16:uniqueId val="{00000000-3ECA-43DE-BE47-B959B1F77119}"/>
            </c:ext>
          </c:extLst>
        </c:ser>
        <c:dLbls>
          <c:showLegendKey val="0"/>
          <c:showVal val="1"/>
          <c:showCatName val="0"/>
          <c:showSerName val="0"/>
          <c:showPercent val="0"/>
          <c:showBubbleSize val="0"/>
        </c:dLbls>
        <c:gapWidth val="150"/>
        <c:overlap val="-25"/>
        <c:axId val="705020344"/>
        <c:axId val="705016424"/>
      </c:barChart>
      <c:catAx>
        <c:axId val="705020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705016424"/>
        <c:crosses val="autoZero"/>
        <c:auto val="1"/>
        <c:lblAlgn val="ctr"/>
        <c:lblOffset val="100"/>
        <c:noMultiLvlLbl val="0"/>
      </c:catAx>
      <c:valAx>
        <c:axId val="705016424"/>
        <c:scaling>
          <c:orientation val="minMax"/>
        </c:scaling>
        <c:delete val="1"/>
        <c:axPos val="l"/>
        <c:numFmt formatCode="General" sourceLinked="1"/>
        <c:majorTickMark val="none"/>
        <c:minorTickMark val="none"/>
        <c:tickLblPos val="nextTo"/>
        <c:crossAx val="7050203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baseline="0">
                <a:solidFill>
                  <a:schemeClr val="tx1">
                    <a:lumMod val="65000"/>
                    <a:lumOff val="35000"/>
                  </a:schemeClr>
                </a:solidFill>
                <a:latin typeface="Garamond" panose="02020404030301010803" pitchFamily="18" charset="0"/>
                <a:ea typeface="+mn-ea"/>
                <a:cs typeface="+mn-cs"/>
              </a:defRPr>
            </a:pPr>
            <a:r>
              <a:rPr kumimoji="0" lang="en-US" sz="800" b="0" i="0" u="none" strike="noStrike" kern="0" cap="none" spc="0" normalizeH="0" baseline="0" noProof="0">
                <a:ln>
                  <a:noFill/>
                </a:ln>
                <a:solidFill>
                  <a:sysClr val="windowText" lastClr="000000">
                    <a:lumMod val="65000"/>
                    <a:lumOff val="35000"/>
                  </a:sysClr>
                </a:solidFill>
                <a:effectLst/>
                <a:uLnTx/>
                <a:uFillTx/>
                <a:latin typeface="Garamond" panose="02020404030301010803" pitchFamily="18" charset="0"/>
              </a:rPr>
              <a:t>Transparenca buxhetore në komuna  </a:t>
            </a:r>
          </a:p>
        </c:rich>
      </c:tx>
      <c:overlay val="0"/>
      <c:spPr>
        <a:noFill/>
        <a:ln>
          <a:noFill/>
        </a:ln>
        <a:effectLst/>
      </c:spPr>
      <c:txPr>
        <a:bodyPr rot="0" spcFirstLastPara="1" vertOverflow="ellipsis" vert="horz" wrap="square" anchor="ctr" anchorCtr="1"/>
        <a:lstStyle/>
        <a:p>
          <a:pPr>
            <a:defRPr sz="800" b="0" i="0" u="none" strike="noStrike"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lineChart>
        <c:grouping val="standard"/>
        <c:varyColors val="0"/>
        <c:ser>
          <c:idx val="0"/>
          <c:order val="0"/>
          <c:tx>
            <c:strRef>
              <c:f>'TRANSPARENCA FINANCIARE '!$C$8</c:f>
              <c:strCache>
                <c:ptCount val="1"/>
                <c:pt idx="0">
                  <c:v>Deçan</c:v>
                </c:pt>
              </c:strCache>
            </c:strRef>
          </c:tx>
          <c:spPr>
            <a:ln w="28575" cap="rnd">
              <a:solidFill>
                <a:schemeClr val="accent1"/>
              </a:solidFill>
              <a:round/>
            </a:ln>
            <a:effectLst/>
          </c:spPr>
          <c:marker>
            <c:symbol val="circle"/>
            <c:size val="5"/>
            <c:spPr>
              <a:solidFill>
                <a:schemeClr val="accent1"/>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'!$D$8:$L$8</c:f>
              <c:numCache>
                <c:formatCode>General</c:formatCode>
                <c:ptCount val="9"/>
                <c:pt idx="0">
                  <c:v>1</c:v>
                </c:pt>
                <c:pt idx="1">
                  <c:v>1</c:v>
                </c:pt>
                <c:pt idx="2">
                  <c:v>3</c:v>
                </c:pt>
                <c:pt idx="3">
                  <c:v>0</c:v>
                </c:pt>
                <c:pt idx="4">
                  <c:v>7</c:v>
                </c:pt>
                <c:pt idx="5">
                  <c:v>0</c:v>
                </c:pt>
                <c:pt idx="6">
                  <c:v>0</c:v>
                </c:pt>
                <c:pt idx="7">
                  <c:v>0</c:v>
                </c:pt>
                <c:pt idx="8">
                  <c:v>0</c:v>
                </c:pt>
              </c:numCache>
            </c:numRef>
          </c:val>
          <c:smooth val="0"/>
          <c:extLst>
            <c:ext xmlns:c16="http://schemas.microsoft.com/office/drawing/2014/chart" uri="{C3380CC4-5D6E-409C-BE32-E72D297353CC}">
              <c16:uniqueId val="{00000000-006F-4833-81CA-3952FB0DB0AB}"/>
            </c:ext>
          </c:extLst>
        </c:ser>
        <c:ser>
          <c:idx val="1"/>
          <c:order val="1"/>
          <c:tx>
            <c:strRef>
              <c:f>'TRANSPARENCA FINANCIARE '!$C$9</c:f>
              <c:strCache>
                <c:ptCount val="1"/>
                <c:pt idx="0">
                  <c:v>Ferizaj</c:v>
                </c:pt>
              </c:strCache>
            </c:strRef>
          </c:tx>
          <c:spPr>
            <a:ln w="28575" cap="rnd">
              <a:solidFill>
                <a:schemeClr val="accent2"/>
              </a:solidFill>
              <a:round/>
            </a:ln>
            <a:effectLst/>
          </c:spPr>
          <c:marker>
            <c:symbol val="circle"/>
            <c:size val="5"/>
            <c:spPr>
              <a:solidFill>
                <a:schemeClr val="accent2"/>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'!$D$9:$L$9</c:f>
              <c:numCache>
                <c:formatCode>General</c:formatCode>
                <c:ptCount val="9"/>
                <c:pt idx="0">
                  <c:v>1</c:v>
                </c:pt>
                <c:pt idx="1">
                  <c:v>1</c:v>
                </c:pt>
                <c:pt idx="2">
                  <c:v>3</c:v>
                </c:pt>
                <c:pt idx="3">
                  <c:v>1</c:v>
                </c:pt>
                <c:pt idx="4">
                  <c:v>2</c:v>
                </c:pt>
                <c:pt idx="5">
                  <c:v>1</c:v>
                </c:pt>
                <c:pt idx="6">
                  <c:v>1</c:v>
                </c:pt>
                <c:pt idx="7">
                  <c:v>7</c:v>
                </c:pt>
                <c:pt idx="8">
                  <c:v>1</c:v>
                </c:pt>
              </c:numCache>
            </c:numRef>
          </c:val>
          <c:smooth val="0"/>
          <c:extLst>
            <c:ext xmlns:c16="http://schemas.microsoft.com/office/drawing/2014/chart" uri="{C3380CC4-5D6E-409C-BE32-E72D297353CC}">
              <c16:uniqueId val="{00000001-006F-4833-81CA-3952FB0DB0AB}"/>
            </c:ext>
          </c:extLst>
        </c:ser>
        <c:ser>
          <c:idx val="2"/>
          <c:order val="2"/>
          <c:tx>
            <c:strRef>
              <c:f>'TRANSPARENCA FINANCIARE '!$C$10</c:f>
              <c:strCache>
                <c:ptCount val="1"/>
                <c:pt idx="0">
                  <c:v>Fushe Kosovë</c:v>
                </c:pt>
              </c:strCache>
            </c:strRef>
          </c:tx>
          <c:spPr>
            <a:ln w="28575" cap="rnd">
              <a:solidFill>
                <a:schemeClr val="accent3"/>
              </a:solidFill>
              <a:round/>
            </a:ln>
            <a:effectLst/>
          </c:spPr>
          <c:marker>
            <c:symbol val="circle"/>
            <c:size val="5"/>
            <c:spPr>
              <a:solidFill>
                <a:schemeClr val="accent3"/>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'!$D$10:$L$10</c:f>
              <c:numCache>
                <c:formatCode>General</c:formatCode>
                <c:ptCount val="9"/>
                <c:pt idx="0">
                  <c:v>0</c:v>
                </c:pt>
                <c:pt idx="1">
                  <c:v>1</c:v>
                </c:pt>
                <c:pt idx="2">
                  <c:v>0</c:v>
                </c:pt>
                <c:pt idx="3">
                  <c:v>0</c:v>
                </c:pt>
                <c:pt idx="4">
                  <c:v>2</c:v>
                </c:pt>
                <c:pt idx="5">
                  <c:v>0</c:v>
                </c:pt>
                <c:pt idx="6">
                  <c:v>0</c:v>
                </c:pt>
                <c:pt idx="7">
                  <c:v>0</c:v>
                </c:pt>
                <c:pt idx="8">
                  <c:v>0</c:v>
                </c:pt>
              </c:numCache>
            </c:numRef>
          </c:val>
          <c:smooth val="0"/>
          <c:extLst>
            <c:ext xmlns:c16="http://schemas.microsoft.com/office/drawing/2014/chart" uri="{C3380CC4-5D6E-409C-BE32-E72D297353CC}">
              <c16:uniqueId val="{00000002-006F-4833-81CA-3952FB0DB0AB}"/>
            </c:ext>
          </c:extLst>
        </c:ser>
        <c:ser>
          <c:idx val="3"/>
          <c:order val="3"/>
          <c:tx>
            <c:strRef>
              <c:f>'TRANSPARENCA FINANCIARE '!$C$11</c:f>
              <c:strCache>
                <c:ptCount val="1"/>
                <c:pt idx="0">
                  <c:v>Gjakovë</c:v>
                </c:pt>
              </c:strCache>
            </c:strRef>
          </c:tx>
          <c:spPr>
            <a:ln w="28575" cap="rnd">
              <a:solidFill>
                <a:schemeClr val="accent4"/>
              </a:solidFill>
              <a:round/>
            </a:ln>
            <a:effectLst/>
          </c:spPr>
          <c:marker>
            <c:symbol val="circle"/>
            <c:size val="5"/>
            <c:spPr>
              <a:solidFill>
                <a:schemeClr val="accent4"/>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'!$D$11:$L$11</c:f>
              <c:numCache>
                <c:formatCode>General</c:formatCode>
                <c:ptCount val="9"/>
                <c:pt idx="0">
                  <c:v>1</c:v>
                </c:pt>
                <c:pt idx="1">
                  <c:v>1</c:v>
                </c:pt>
                <c:pt idx="2">
                  <c:v>0</c:v>
                </c:pt>
                <c:pt idx="3">
                  <c:v>0</c:v>
                </c:pt>
                <c:pt idx="4">
                  <c:v>2</c:v>
                </c:pt>
                <c:pt idx="5">
                  <c:v>0</c:v>
                </c:pt>
                <c:pt idx="6">
                  <c:v>0</c:v>
                </c:pt>
                <c:pt idx="7">
                  <c:v>1</c:v>
                </c:pt>
                <c:pt idx="8">
                  <c:v>0</c:v>
                </c:pt>
              </c:numCache>
            </c:numRef>
          </c:val>
          <c:smooth val="0"/>
          <c:extLst>
            <c:ext xmlns:c16="http://schemas.microsoft.com/office/drawing/2014/chart" uri="{C3380CC4-5D6E-409C-BE32-E72D297353CC}">
              <c16:uniqueId val="{00000003-006F-4833-81CA-3952FB0DB0AB}"/>
            </c:ext>
          </c:extLst>
        </c:ser>
        <c:ser>
          <c:idx val="4"/>
          <c:order val="4"/>
          <c:tx>
            <c:strRef>
              <c:f>'TRANSPARENCA FINANCIARE '!$C$12</c:f>
              <c:strCache>
                <c:ptCount val="1"/>
                <c:pt idx="0">
                  <c:v>Gjilan </c:v>
                </c:pt>
              </c:strCache>
            </c:strRef>
          </c:tx>
          <c:spPr>
            <a:ln w="28575" cap="rnd">
              <a:solidFill>
                <a:schemeClr val="accent5"/>
              </a:solidFill>
              <a:round/>
            </a:ln>
            <a:effectLst/>
          </c:spPr>
          <c:marker>
            <c:symbol val="circle"/>
            <c:size val="5"/>
            <c:spPr>
              <a:solidFill>
                <a:schemeClr val="accent5"/>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'!$D$12:$L$12</c:f>
              <c:numCache>
                <c:formatCode>General</c:formatCode>
                <c:ptCount val="9"/>
                <c:pt idx="0">
                  <c:v>1</c:v>
                </c:pt>
                <c:pt idx="1">
                  <c:v>1</c:v>
                </c:pt>
                <c:pt idx="2">
                  <c:v>3</c:v>
                </c:pt>
                <c:pt idx="3">
                  <c:v>1</c:v>
                </c:pt>
                <c:pt idx="4">
                  <c:v>13</c:v>
                </c:pt>
                <c:pt idx="5">
                  <c:v>1</c:v>
                </c:pt>
                <c:pt idx="6">
                  <c:v>0</c:v>
                </c:pt>
                <c:pt idx="7">
                  <c:v>1</c:v>
                </c:pt>
                <c:pt idx="8">
                  <c:v>1</c:v>
                </c:pt>
              </c:numCache>
            </c:numRef>
          </c:val>
          <c:smooth val="0"/>
          <c:extLst>
            <c:ext xmlns:c16="http://schemas.microsoft.com/office/drawing/2014/chart" uri="{C3380CC4-5D6E-409C-BE32-E72D297353CC}">
              <c16:uniqueId val="{00000004-006F-4833-81CA-3952FB0DB0AB}"/>
            </c:ext>
          </c:extLst>
        </c:ser>
        <c:ser>
          <c:idx val="5"/>
          <c:order val="5"/>
          <c:tx>
            <c:strRef>
              <c:f>'TRANSPARENCA FINANCIARE '!$C$13</c:f>
              <c:strCache>
                <c:ptCount val="1"/>
                <c:pt idx="0">
                  <c:v>Gllogoc </c:v>
                </c:pt>
              </c:strCache>
            </c:strRef>
          </c:tx>
          <c:spPr>
            <a:ln w="28575" cap="rnd">
              <a:solidFill>
                <a:schemeClr val="accent6"/>
              </a:solidFill>
              <a:round/>
            </a:ln>
            <a:effectLst/>
          </c:spPr>
          <c:marker>
            <c:symbol val="circle"/>
            <c:size val="5"/>
            <c:spPr>
              <a:solidFill>
                <a:schemeClr val="accent6"/>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'!$D$13:$L$13</c:f>
              <c:numCache>
                <c:formatCode>General</c:formatCode>
                <c:ptCount val="9"/>
                <c:pt idx="0">
                  <c:v>1</c:v>
                </c:pt>
                <c:pt idx="1">
                  <c:v>1</c:v>
                </c:pt>
                <c:pt idx="2">
                  <c:v>3</c:v>
                </c:pt>
                <c:pt idx="3">
                  <c:v>1</c:v>
                </c:pt>
                <c:pt idx="4">
                  <c:v>1</c:v>
                </c:pt>
                <c:pt idx="5">
                  <c:v>1</c:v>
                </c:pt>
                <c:pt idx="6">
                  <c:v>1</c:v>
                </c:pt>
                <c:pt idx="7">
                  <c:v>1</c:v>
                </c:pt>
                <c:pt idx="8">
                  <c:v>1</c:v>
                </c:pt>
              </c:numCache>
            </c:numRef>
          </c:val>
          <c:smooth val="0"/>
          <c:extLst>
            <c:ext xmlns:c16="http://schemas.microsoft.com/office/drawing/2014/chart" uri="{C3380CC4-5D6E-409C-BE32-E72D297353CC}">
              <c16:uniqueId val="{00000005-006F-4833-81CA-3952FB0DB0AB}"/>
            </c:ext>
          </c:extLst>
        </c:ser>
        <c:ser>
          <c:idx val="6"/>
          <c:order val="6"/>
          <c:tx>
            <c:strRef>
              <c:f>'TRANSPARENCA FINANCIARE '!$C$14</c:f>
              <c:strCache>
                <c:ptCount val="1"/>
                <c:pt idx="0">
                  <c:v>Graçanicë</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'!$D$14:$L$14</c:f>
              <c:numCache>
                <c:formatCode>General</c:formatCode>
                <c:ptCount val="9"/>
                <c:pt idx="0">
                  <c:v>1</c:v>
                </c:pt>
                <c:pt idx="1">
                  <c:v>1</c:v>
                </c:pt>
                <c:pt idx="2">
                  <c:v>3</c:v>
                </c:pt>
                <c:pt idx="3">
                  <c:v>1</c:v>
                </c:pt>
                <c:pt idx="4">
                  <c:v>1</c:v>
                </c:pt>
                <c:pt idx="5">
                  <c:v>0</c:v>
                </c:pt>
                <c:pt idx="6">
                  <c:v>1</c:v>
                </c:pt>
                <c:pt idx="7">
                  <c:v>1</c:v>
                </c:pt>
                <c:pt idx="8">
                  <c:v>0</c:v>
                </c:pt>
              </c:numCache>
            </c:numRef>
          </c:val>
          <c:smooth val="0"/>
          <c:extLst>
            <c:ext xmlns:c16="http://schemas.microsoft.com/office/drawing/2014/chart" uri="{C3380CC4-5D6E-409C-BE32-E72D297353CC}">
              <c16:uniqueId val="{00000006-006F-4833-81CA-3952FB0DB0AB}"/>
            </c:ext>
          </c:extLst>
        </c:ser>
        <c:ser>
          <c:idx val="7"/>
          <c:order val="7"/>
          <c:tx>
            <c:strRef>
              <c:f>'TRANSPARENCA FINANCIARE '!$C$15</c:f>
              <c:strCache>
                <c:ptCount val="1"/>
                <c:pt idx="0">
                  <c:v>Hani Elezit </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'!$D$15:$L$15</c:f>
              <c:numCache>
                <c:formatCode>General</c:formatCode>
                <c:ptCount val="9"/>
                <c:pt idx="0">
                  <c:v>1</c:v>
                </c:pt>
                <c:pt idx="1">
                  <c:v>1</c:v>
                </c:pt>
                <c:pt idx="2">
                  <c:v>3</c:v>
                </c:pt>
                <c:pt idx="3">
                  <c:v>1</c:v>
                </c:pt>
                <c:pt idx="4">
                  <c:v>1</c:v>
                </c:pt>
                <c:pt idx="5">
                  <c:v>1</c:v>
                </c:pt>
                <c:pt idx="6">
                  <c:v>1</c:v>
                </c:pt>
                <c:pt idx="7">
                  <c:v>1</c:v>
                </c:pt>
                <c:pt idx="8">
                  <c:v>0</c:v>
                </c:pt>
              </c:numCache>
            </c:numRef>
          </c:val>
          <c:smooth val="0"/>
          <c:extLst>
            <c:ext xmlns:c16="http://schemas.microsoft.com/office/drawing/2014/chart" uri="{C3380CC4-5D6E-409C-BE32-E72D297353CC}">
              <c16:uniqueId val="{00000007-006F-4833-81CA-3952FB0DB0AB}"/>
            </c:ext>
          </c:extLst>
        </c:ser>
        <c:ser>
          <c:idx val="8"/>
          <c:order val="8"/>
          <c:tx>
            <c:strRef>
              <c:f>'TRANSPARENCA FINANCIARE '!$C$16</c:f>
              <c:strCache>
                <c:ptCount val="1"/>
                <c:pt idx="0">
                  <c:v>Istog </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'!$D$16:$L$16</c:f>
              <c:numCache>
                <c:formatCode>General</c:formatCode>
                <c:ptCount val="9"/>
                <c:pt idx="0">
                  <c:v>1</c:v>
                </c:pt>
                <c:pt idx="1">
                  <c:v>1</c:v>
                </c:pt>
                <c:pt idx="2">
                  <c:v>3</c:v>
                </c:pt>
                <c:pt idx="3">
                  <c:v>1</c:v>
                </c:pt>
                <c:pt idx="4">
                  <c:v>0</c:v>
                </c:pt>
                <c:pt idx="5">
                  <c:v>1</c:v>
                </c:pt>
                <c:pt idx="6">
                  <c:v>0</c:v>
                </c:pt>
                <c:pt idx="7">
                  <c:v>3</c:v>
                </c:pt>
                <c:pt idx="8">
                  <c:v>1</c:v>
                </c:pt>
              </c:numCache>
            </c:numRef>
          </c:val>
          <c:smooth val="0"/>
          <c:extLst>
            <c:ext xmlns:c16="http://schemas.microsoft.com/office/drawing/2014/chart" uri="{C3380CC4-5D6E-409C-BE32-E72D297353CC}">
              <c16:uniqueId val="{00000008-006F-4833-81CA-3952FB0DB0AB}"/>
            </c:ext>
          </c:extLst>
        </c:ser>
        <c:ser>
          <c:idx val="9"/>
          <c:order val="9"/>
          <c:tx>
            <c:strRef>
              <c:f>'TRANSPARENCA FINANCIARE '!$C$17</c:f>
              <c:strCache>
                <c:ptCount val="1"/>
                <c:pt idx="0">
                  <c:v>Junik </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'!$D$17:$L$17</c:f>
              <c:numCache>
                <c:formatCode>General</c:formatCode>
                <c:ptCount val="9"/>
                <c:pt idx="0">
                  <c:v>1</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9-006F-4833-81CA-3952FB0DB0AB}"/>
            </c:ext>
          </c:extLst>
        </c:ser>
        <c:ser>
          <c:idx val="10"/>
          <c:order val="10"/>
          <c:tx>
            <c:strRef>
              <c:f>'TRANSPARENCA FINANCIARE '!$C$18</c:f>
              <c:strCache>
                <c:ptCount val="1"/>
                <c:pt idx="0">
                  <c:v>Kamenicë</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'!$D$18:$L$18</c:f>
              <c:numCache>
                <c:formatCode>General</c:formatCode>
                <c:ptCount val="9"/>
                <c:pt idx="0">
                  <c:v>1</c:v>
                </c:pt>
                <c:pt idx="1">
                  <c:v>1</c:v>
                </c:pt>
                <c:pt idx="2">
                  <c:v>3</c:v>
                </c:pt>
                <c:pt idx="3">
                  <c:v>1</c:v>
                </c:pt>
                <c:pt idx="4">
                  <c:v>0</c:v>
                </c:pt>
                <c:pt idx="5">
                  <c:v>1</c:v>
                </c:pt>
                <c:pt idx="6">
                  <c:v>0</c:v>
                </c:pt>
                <c:pt idx="7">
                  <c:v>1</c:v>
                </c:pt>
                <c:pt idx="8">
                  <c:v>0</c:v>
                </c:pt>
              </c:numCache>
            </c:numRef>
          </c:val>
          <c:smooth val="0"/>
          <c:extLst>
            <c:ext xmlns:c16="http://schemas.microsoft.com/office/drawing/2014/chart" uri="{C3380CC4-5D6E-409C-BE32-E72D297353CC}">
              <c16:uniqueId val="{0000000A-006F-4833-81CA-3952FB0DB0AB}"/>
            </c:ext>
          </c:extLst>
        </c:ser>
        <c:ser>
          <c:idx val="11"/>
          <c:order val="11"/>
          <c:tx>
            <c:strRef>
              <c:f>'TRANSPARENCA FINANCIARE '!$C$19</c:f>
              <c:strCache>
                <c:ptCount val="1"/>
                <c:pt idx="0">
                  <c:v>Kaçanik </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'!$D$19:$L$19</c:f>
              <c:numCache>
                <c:formatCode>General</c:formatCode>
                <c:ptCount val="9"/>
                <c:pt idx="0">
                  <c:v>1</c:v>
                </c:pt>
                <c:pt idx="1">
                  <c:v>1</c:v>
                </c:pt>
                <c:pt idx="2">
                  <c:v>1</c:v>
                </c:pt>
                <c:pt idx="3">
                  <c:v>1</c:v>
                </c:pt>
                <c:pt idx="4">
                  <c:v>2</c:v>
                </c:pt>
                <c:pt idx="5">
                  <c:v>0</c:v>
                </c:pt>
                <c:pt idx="6">
                  <c:v>1</c:v>
                </c:pt>
                <c:pt idx="7">
                  <c:v>1</c:v>
                </c:pt>
                <c:pt idx="8">
                  <c:v>0</c:v>
                </c:pt>
              </c:numCache>
            </c:numRef>
          </c:val>
          <c:smooth val="0"/>
          <c:extLst>
            <c:ext xmlns:c16="http://schemas.microsoft.com/office/drawing/2014/chart" uri="{C3380CC4-5D6E-409C-BE32-E72D297353CC}">
              <c16:uniqueId val="{0000000B-006F-4833-81CA-3952FB0DB0AB}"/>
            </c:ext>
          </c:extLst>
        </c:ser>
        <c:ser>
          <c:idx val="12"/>
          <c:order val="12"/>
          <c:tx>
            <c:strRef>
              <c:f>'TRANSPARENCA FINANCIARE '!$C$20</c:f>
              <c:strCache>
                <c:ptCount val="1"/>
                <c:pt idx="0">
                  <c:v>Klinë</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'!$D$20:$L$20</c:f>
              <c:numCache>
                <c:formatCode>General</c:formatCode>
                <c:ptCount val="9"/>
                <c:pt idx="0">
                  <c:v>1</c:v>
                </c:pt>
                <c:pt idx="1">
                  <c:v>1</c:v>
                </c:pt>
                <c:pt idx="2">
                  <c:v>2</c:v>
                </c:pt>
                <c:pt idx="3">
                  <c:v>1</c:v>
                </c:pt>
                <c:pt idx="4">
                  <c:v>2</c:v>
                </c:pt>
                <c:pt idx="5">
                  <c:v>1</c:v>
                </c:pt>
                <c:pt idx="6">
                  <c:v>1</c:v>
                </c:pt>
                <c:pt idx="7">
                  <c:v>1</c:v>
                </c:pt>
                <c:pt idx="8">
                  <c:v>0</c:v>
                </c:pt>
              </c:numCache>
            </c:numRef>
          </c:val>
          <c:smooth val="0"/>
          <c:extLst>
            <c:ext xmlns:c16="http://schemas.microsoft.com/office/drawing/2014/chart" uri="{C3380CC4-5D6E-409C-BE32-E72D297353CC}">
              <c16:uniqueId val="{0000000C-006F-4833-81CA-3952FB0DB0AB}"/>
            </c:ext>
          </c:extLst>
        </c:ser>
        <c:ser>
          <c:idx val="13"/>
          <c:order val="13"/>
          <c:tx>
            <c:strRef>
              <c:f>'TRANSPARENCA FINANCIARE '!$C$21</c:f>
              <c:strCache>
                <c:ptCount val="1"/>
                <c:pt idx="0">
                  <c:v>Kllokot </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'!$D$21:$L$21</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D-006F-4833-81CA-3952FB0DB0AB}"/>
            </c:ext>
          </c:extLst>
        </c:ser>
        <c:ser>
          <c:idx val="14"/>
          <c:order val="14"/>
          <c:tx>
            <c:strRef>
              <c:f>'TRANSPARENCA FINANCIARE '!$C$22</c:f>
              <c:strCache>
                <c:ptCount val="1"/>
                <c:pt idx="0">
                  <c:v>Lipjan </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'!$D$22:$L$22</c:f>
              <c:numCache>
                <c:formatCode>General</c:formatCode>
                <c:ptCount val="9"/>
                <c:pt idx="0">
                  <c:v>1</c:v>
                </c:pt>
                <c:pt idx="1">
                  <c:v>1</c:v>
                </c:pt>
                <c:pt idx="2">
                  <c:v>3</c:v>
                </c:pt>
                <c:pt idx="3">
                  <c:v>1</c:v>
                </c:pt>
                <c:pt idx="4">
                  <c:v>3</c:v>
                </c:pt>
                <c:pt idx="5">
                  <c:v>0</c:v>
                </c:pt>
                <c:pt idx="6">
                  <c:v>1</c:v>
                </c:pt>
                <c:pt idx="7">
                  <c:v>1</c:v>
                </c:pt>
                <c:pt idx="8">
                  <c:v>0</c:v>
                </c:pt>
              </c:numCache>
            </c:numRef>
          </c:val>
          <c:smooth val="0"/>
          <c:extLst>
            <c:ext xmlns:c16="http://schemas.microsoft.com/office/drawing/2014/chart" uri="{C3380CC4-5D6E-409C-BE32-E72D297353CC}">
              <c16:uniqueId val="{0000000E-006F-4833-81CA-3952FB0DB0AB}"/>
            </c:ext>
          </c:extLst>
        </c:ser>
        <c:ser>
          <c:idx val="15"/>
          <c:order val="15"/>
          <c:tx>
            <c:strRef>
              <c:f>'TRANSPARENCA FINANCIARE '!$C$23</c:f>
              <c:strCache>
                <c:ptCount val="1"/>
                <c:pt idx="0">
                  <c:v>Malishevë</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'!$D$23:$L$23</c:f>
              <c:numCache>
                <c:formatCode>General</c:formatCode>
                <c:ptCount val="9"/>
                <c:pt idx="0">
                  <c:v>1</c:v>
                </c:pt>
                <c:pt idx="1">
                  <c:v>1</c:v>
                </c:pt>
                <c:pt idx="2">
                  <c:v>3</c:v>
                </c:pt>
                <c:pt idx="3">
                  <c:v>1</c:v>
                </c:pt>
                <c:pt idx="4">
                  <c:v>0</c:v>
                </c:pt>
                <c:pt idx="5">
                  <c:v>1</c:v>
                </c:pt>
                <c:pt idx="6">
                  <c:v>0</c:v>
                </c:pt>
                <c:pt idx="7">
                  <c:v>1</c:v>
                </c:pt>
                <c:pt idx="8">
                  <c:v>0</c:v>
                </c:pt>
              </c:numCache>
            </c:numRef>
          </c:val>
          <c:smooth val="0"/>
          <c:extLst>
            <c:ext xmlns:c16="http://schemas.microsoft.com/office/drawing/2014/chart" uri="{C3380CC4-5D6E-409C-BE32-E72D297353CC}">
              <c16:uniqueId val="{0000000F-006F-4833-81CA-3952FB0DB0AB}"/>
            </c:ext>
          </c:extLst>
        </c:ser>
        <c:ser>
          <c:idx val="16"/>
          <c:order val="16"/>
          <c:tx>
            <c:strRef>
              <c:f>'TRANSPARENCA FINANCIARE '!$C$24</c:f>
              <c:strCache>
                <c:ptCount val="1"/>
                <c:pt idx="0">
                  <c:v>Mitrovicë</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'!$D$24:$L$24</c:f>
              <c:numCache>
                <c:formatCode>General</c:formatCode>
                <c:ptCount val="9"/>
                <c:pt idx="0">
                  <c:v>1</c:v>
                </c:pt>
                <c:pt idx="1">
                  <c:v>1</c:v>
                </c:pt>
                <c:pt idx="2">
                  <c:v>3</c:v>
                </c:pt>
                <c:pt idx="3">
                  <c:v>1</c:v>
                </c:pt>
                <c:pt idx="4">
                  <c:v>4</c:v>
                </c:pt>
                <c:pt idx="5">
                  <c:v>1</c:v>
                </c:pt>
                <c:pt idx="6">
                  <c:v>0</c:v>
                </c:pt>
                <c:pt idx="7">
                  <c:v>3</c:v>
                </c:pt>
                <c:pt idx="8">
                  <c:v>0</c:v>
                </c:pt>
              </c:numCache>
            </c:numRef>
          </c:val>
          <c:smooth val="0"/>
          <c:extLst>
            <c:ext xmlns:c16="http://schemas.microsoft.com/office/drawing/2014/chart" uri="{C3380CC4-5D6E-409C-BE32-E72D297353CC}">
              <c16:uniqueId val="{00000010-006F-4833-81CA-3952FB0DB0AB}"/>
            </c:ext>
          </c:extLst>
        </c:ser>
        <c:ser>
          <c:idx val="17"/>
          <c:order val="17"/>
          <c:tx>
            <c:strRef>
              <c:f>'TRANSPARENCA FINANCIARE '!$C$25</c:f>
              <c:strCache>
                <c:ptCount val="1"/>
                <c:pt idx="0">
                  <c:v>Novobërdë</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'!$D$25:$L$25</c:f>
              <c:numCache>
                <c:formatCode>General</c:formatCode>
                <c:ptCount val="9"/>
                <c:pt idx="0">
                  <c:v>0</c:v>
                </c:pt>
                <c:pt idx="1">
                  <c:v>1</c:v>
                </c:pt>
                <c:pt idx="2">
                  <c:v>1</c:v>
                </c:pt>
                <c:pt idx="3">
                  <c:v>0</c:v>
                </c:pt>
                <c:pt idx="4">
                  <c:v>2</c:v>
                </c:pt>
                <c:pt idx="5">
                  <c:v>0</c:v>
                </c:pt>
                <c:pt idx="6">
                  <c:v>0</c:v>
                </c:pt>
                <c:pt idx="7">
                  <c:v>0</c:v>
                </c:pt>
                <c:pt idx="8">
                  <c:v>0</c:v>
                </c:pt>
              </c:numCache>
            </c:numRef>
          </c:val>
          <c:smooth val="0"/>
          <c:extLst>
            <c:ext xmlns:c16="http://schemas.microsoft.com/office/drawing/2014/chart" uri="{C3380CC4-5D6E-409C-BE32-E72D297353CC}">
              <c16:uniqueId val="{00000011-006F-4833-81CA-3952FB0DB0AB}"/>
            </c:ext>
          </c:extLst>
        </c:ser>
        <c:ser>
          <c:idx val="18"/>
          <c:order val="18"/>
          <c:tx>
            <c:strRef>
              <c:f>'TRANSPARENCA FINANCIARE '!$C$26</c:f>
              <c:strCache>
                <c:ptCount val="1"/>
                <c:pt idx="0">
                  <c:v>Obiliq</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'!$D$26:$L$26</c:f>
              <c:numCache>
                <c:formatCode>General</c:formatCode>
                <c:ptCount val="9"/>
                <c:pt idx="0">
                  <c:v>1</c:v>
                </c:pt>
                <c:pt idx="1">
                  <c:v>1</c:v>
                </c:pt>
                <c:pt idx="2">
                  <c:v>3</c:v>
                </c:pt>
                <c:pt idx="3">
                  <c:v>1</c:v>
                </c:pt>
                <c:pt idx="4">
                  <c:v>2</c:v>
                </c:pt>
                <c:pt idx="5">
                  <c:v>1</c:v>
                </c:pt>
                <c:pt idx="6">
                  <c:v>0</c:v>
                </c:pt>
                <c:pt idx="7">
                  <c:v>3</c:v>
                </c:pt>
                <c:pt idx="8">
                  <c:v>1</c:v>
                </c:pt>
              </c:numCache>
            </c:numRef>
          </c:val>
          <c:smooth val="0"/>
          <c:extLst>
            <c:ext xmlns:c16="http://schemas.microsoft.com/office/drawing/2014/chart" uri="{C3380CC4-5D6E-409C-BE32-E72D297353CC}">
              <c16:uniqueId val="{00000012-006F-4833-81CA-3952FB0DB0AB}"/>
            </c:ext>
          </c:extLst>
        </c:ser>
        <c:ser>
          <c:idx val="19"/>
          <c:order val="19"/>
          <c:tx>
            <c:strRef>
              <c:f>'TRANSPARENCA FINANCIARE '!$C$27</c:f>
              <c:strCache>
                <c:ptCount val="1"/>
                <c:pt idx="0">
                  <c:v>Partesh </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'!$D$27:$L$27</c:f>
              <c:numCache>
                <c:formatCode>General</c:formatCode>
                <c:ptCount val="9"/>
                <c:pt idx="0">
                  <c:v>0</c:v>
                </c:pt>
                <c:pt idx="1">
                  <c:v>1</c:v>
                </c:pt>
                <c:pt idx="2">
                  <c:v>1</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13-006F-4833-81CA-3952FB0DB0AB}"/>
            </c:ext>
          </c:extLst>
        </c:ser>
        <c:ser>
          <c:idx val="20"/>
          <c:order val="20"/>
          <c:tx>
            <c:strRef>
              <c:f>'TRANSPARENCA FINANCIARE '!$C$28</c:f>
              <c:strCache>
                <c:ptCount val="1"/>
                <c:pt idx="0">
                  <c:v>Pejë </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'!$D$28:$L$28</c:f>
              <c:numCache>
                <c:formatCode>General</c:formatCode>
                <c:ptCount val="9"/>
                <c:pt idx="0">
                  <c:v>1</c:v>
                </c:pt>
                <c:pt idx="1">
                  <c:v>1</c:v>
                </c:pt>
                <c:pt idx="2">
                  <c:v>2</c:v>
                </c:pt>
                <c:pt idx="3">
                  <c:v>0</c:v>
                </c:pt>
                <c:pt idx="4">
                  <c:v>1</c:v>
                </c:pt>
                <c:pt idx="5">
                  <c:v>0</c:v>
                </c:pt>
                <c:pt idx="6">
                  <c:v>0</c:v>
                </c:pt>
                <c:pt idx="7">
                  <c:v>1</c:v>
                </c:pt>
                <c:pt idx="8">
                  <c:v>0</c:v>
                </c:pt>
              </c:numCache>
            </c:numRef>
          </c:val>
          <c:smooth val="0"/>
          <c:extLst>
            <c:ext xmlns:c16="http://schemas.microsoft.com/office/drawing/2014/chart" uri="{C3380CC4-5D6E-409C-BE32-E72D297353CC}">
              <c16:uniqueId val="{00000014-006F-4833-81CA-3952FB0DB0AB}"/>
            </c:ext>
          </c:extLst>
        </c:ser>
        <c:ser>
          <c:idx val="21"/>
          <c:order val="21"/>
          <c:tx>
            <c:strRef>
              <c:f>'TRANSPARENCA FINANCIARE '!$C$29</c:f>
              <c:strCache>
                <c:ptCount val="1"/>
                <c:pt idx="0">
                  <c:v>Podujevë</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'!$D$29:$L$29</c:f>
              <c:numCache>
                <c:formatCode>General</c:formatCode>
                <c:ptCount val="9"/>
                <c:pt idx="0">
                  <c:v>1</c:v>
                </c:pt>
                <c:pt idx="1">
                  <c:v>1</c:v>
                </c:pt>
                <c:pt idx="2">
                  <c:v>3</c:v>
                </c:pt>
                <c:pt idx="3">
                  <c:v>1</c:v>
                </c:pt>
                <c:pt idx="4">
                  <c:v>0</c:v>
                </c:pt>
                <c:pt idx="5">
                  <c:v>0</c:v>
                </c:pt>
                <c:pt idx="6">
                  <c:v>1</c:v>
                </c:pt>
                <c:pt idx="7">
                  <c:v>1</c:v>
                </c:pt>
                <c:pt idx="8">
                  <c:v>1</c:v>
                </c:pt>
              </c:numCache>
            </c:numRef>
          </c:val>
          <c:smooth val="0"/>
          <c:extLst>
            <c:ext xmlns:c16="http://schemas.microsoft.com/office/drawing/2014/chart" uri="{C3380CC4-5D6E-409C-BE32-E72D297353CC}">
              <c16:uniqueId val="{00000015-006F-4833-81CA-3952FB0DB0AB}"/>
            </c:ext>
          </c:extLst>
        </c:ser>
        <c:ser>
          <c:idx val="22"/>
          <c:order val="22"/>
          <c:tx>
            <c:strRef>
              <c:f>'TRANSPARENCA FINANCIARE '!$C$30</c:f>
              <c:strCache>
                <c:ptCount val="1"/>
                <c:pt idx="0">
                  <c:v>Prishtinë</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'!$D$30:$L$30</c:f>
              <c:numCache>
                <c:formatCode>General</c:formatCode>
                <c:ptCount val="9"/>
                <c:pt idx="0">
                  <c:v>1</c:v>
                </c:pt>
                <c:pt idx="1">
                  <c:v>1</c:v>
                </c:pt>
                <c:pt idx="2">
                  <c:v>3</c:v>
                </c:pt>
                <c:pt idx="3">
                  <c:v>1</c:v>
                </c:pt>
                <c:pt idx="4">
                  <c:v>0</c:v>
                </c:pt>
                <c:pt idx="5">
                  <c:v>1</c:v>
                </c:pt>
                <c:pt idx="6">
                  <c:v>1</c:v>
                </c:pt>
                <c:pt idx="7">
                  <c:v>0</c:v>
                </c:pt>
                <c:pt idx="8">
                  <c:v>1</c:v>
                </c:pt>
              </c:numCache>
            </c:numRef>
          </c:val>
          <c:smooth val="0"/>
          <c:extLst>
            <c:ext xmlns:c16="http://schemas.microsoft.com/office/drawing/2014/chart" uri="{C3380CC4-5D6E-409C-BE32-E72D297353CC}">
              <c16:uniqueId val="{00000016-006F-4833-81CA-3952FB0DB0AB}"/>
            </c:ext>
          </c:extLst>
        </c:ser>
        <c:ser>
          <c:idx val="24"/>
          <c:order val="23"/>
          <c:tx>
            <c:strRef>
              <c:f>'TRANSPARENCA FINANCIARE '!$C$32</c:f>
              <c:strCache>
                <c:ptCount val="1"/>
                <c:pt idx="0">
                  <c:v>Rahovec</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'!$D$32:$L$32</c:f>
              <c:numCache>
                <c:formatCode>General</c:formatCode>
                <c:ptCount val="9"/>
                <c:pt idx="0">
                  <c:v>1</c:v>
                </c:pt>
                <c:pt idx="1">
                  <c:v>1</c:v>
                </c:pt>
                <c:pt idx="2">
                  <c:v>1</c:v>
                </c:pt>
                <c:pt idx="3">
                  <c:v>1</c:v>
                </c:pt>
                <c:pt idx="4">
                  <c:v>16</c:v>
                </c:pt>
                <c:pt idx="5">
                  <c:v>1</c:v>
                </c:pt>
                <c:pt idx="6">
                  <c:v>1</c:v>
                </c:pt>
                <c:pt idx="7">
                  <c:v>2</c:v>
                </c:pt>
                <c:pt idx="8">
                  <c:v>1</c:v>
                </c:pt>
              </c:numCache>
            </c:numRef>
          </c:val>
          <c:smooth val="0"/>
          <c:extLst>
            <c:ext xmlns:c16="http://schemas.microsoft.com/office/drawing/2014/chart" uri="{C3380CC4-5D6E-409C-BE32-E72D297353CC}">
              <c16:uniqueId val="{00000017-006F-4833-81CA-3952FB0DB0AB}"/>
            </c:ext>
          </c:extLst>
        </c:ser>
        <c:ser>
          <c:idx val="25"/>
          <c:order val="24"/>
          <c:tx>
            <c:strRef>
              <c:f>'TRANSPARENCA FINANCIARE '!$C$33</c:f>
              <c:strCache>
                <c:ptCount val="1"/>
                <c:pt idx="0">
                  <c:v>Ranillug </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'!$D$33:$L$33</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18-006F-4833-81CA-3952FB0DB0AB}"/>
            </c:ext>
          </c:extLst>
        </c:ser>
        <c:ser>
          <c:idx val="26"/>
          <c:order val="25"/>
          <c:tx>
            <c:strRef>
              <c:f>'TRANSPARENCA FINANCIARE '!$C$34</c:f>
              <c:strCache>
                <c:ptCount val="1"/>
                <c:pt idx="0">
                  <c:v>Shtime </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'!$D$34:$L$34</c:f>
              <c:numCache>
                <c:formatCode>General</c:formatCode>
                <c:ptCount val="9"/>
                <c:pt idx="0">
                  <c:v>1</c:v>
                </c:pt>
                <c:pt idx="1">
                  <c:v>1</c:v>
                </c:pt>
                <c:pt idx="2">
                  <c:v>3</c:v>
                </c:pt>
                <c:pt idx="3">
                  <c:v>3</c:v>
                </c:pt>
                <c:pt idx="4">
                  <c:v>18</c:v>
                </c:pt>
                <c:pt idx="5">
                  <c:v>1</c:v>
                </c:pt>
                <c:pt idx="6">
                  <c:v>1</c:v>
                </c:pt>
                <c:pt idx="7">
                  <c:v>1</c:v>
                </c:pt>
                <c:pt idx="8">
                  <c:v>0</c:v>
                </c:pt>
              </c:numCache>
            </c:numRef>
          </c:val>
          <c:smooth val="0"/>
          <c:extLst>
            <c:ext xmlns:c16="http://schemas.microsoft.com/office/drawing/2014/chart" uri="{C3380CC4-5D6E-409C-BE32-E72D297353CC}">
              <c16:uniqueId val="{00000019-006F-4833-81CA-3952FB0DB0AB}"/>
            </c:ext>
          </c:extLst>
        </c:ser>
        <c:ser>
          <c:idx val="27"/>
          <c:order val="26"/>
          <c:tx>
            <c:strRef>
              <c:f>'TRANSPARENCA FINANCIARE '!$C$35</c:f>
              <c:strCache>
                <c:ptCount val="1"/>
                <c:pt idx="0">
                  <c:v>Shtërpcë</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'!$D$35:$L$35</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1A-006F-4833-81CA-3952FB0DB0AB}"/>
            </c:ext>
          </c:extLst>
        </c:ser>
        <c:ser>
          <c:idx val="28"/>
          <c:order val="27"/>
          <c:tx>
            <c:strRef>
              <c:f>'TRANSPARENCA FINANCIARE '!$C$36</c:f>
              <c:strCache>
                <c:ptCount val="1"/>
                <c:pt idx="0">
                  <c:v>Skenderaj </c:v>
                </c:pt>
              </c:strCache>
            </c:strRef>
          </c:tx>
          <c:spPr>
            <a:ln w="28575"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'!$D$36:$L$36</c:f>
              <c:numCache>
                <c:formatCode>General</c:formatCode>
                <c:ptCount val="9"/>
                <c:pt idx="0">
                  <c:v>1</c:v>
                </c:pt>
                <c:pt idx="1">
                  <c:v>1</c:v>
                </c:pt>
                <c:pt idx="2">
                  <c:v>3</c:v>
                </c:pt>
                <c:pt idx="3">
                  <c:v>1</c:v>
                </c:pt>
                <c:pt idx="4">
                  <c:v>0</c:v>
                </c:pt>
                <c:pt idx="5">
                  <c:v>1</c:v>
                </c:pt>
                <c:pt idx="6">
                  <c:v>1</c:v>
                </c:pt>
                <c:pt idx="7">
                  <c:v>1</c:v>
                </c:pt>
                <c:pt idx="8">
                  <c:v>1</c:v>
                </c:pt>
              </c:numCache>
            </c:numRef>
          </c:val>
          <c:smooth val="0"/>
          <c:extLst>
            <c:ext xmlns:c16="http://schemas.microsoft.com/office/drawing/2014/chart" uri="{C3380CC4-5D6E-409C-BE32-E72D297353CC}">
              <c16:uniqueId val="{0000001B-006F-4833-81CA-3952FB0DB0AB}"/>
            </c:ext>
          </c:extLst>
        </c:ser>
        <c:ser>
          <c:idx val="29"/>
          <c:order val="28"/>
          <c:tx>
            <c:strRef>
              <c:f>'TRANSPARENCA FINANCIARE '!$C$37</c:f>
              <c:strCache>
                <c:ptCount val="1"/>
                <c:pt idx="0">
                  <c:v>Suharekë</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'!$D$37:$L$37</c:f>
              <c:numCache>
                <c:formatCode>General</c:formatCode>
                <c:ptCount val="9"/>
                <c:pt idx="0">
                  <c:v>1</c:v>
                </c:pt>
                <c:pt idx="1">
                  <c:v>0</c:v>
                </c:pt>
                <c:pt idx="2">
                  <c:v>3</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1C-006F-4833-81CA-3952FB0DB0AB}"/>
            </c:ext>
          </c:extLst>
        </c:ser>
        <c:ser>
          <c:idx val="30"/>
          <c:order val="29"/>
          <c:tx>
            <c:strRef>
              <c:f>'TRANSPARENCA FINANCIARE '!$C$38</c:f>
              <c:strCache>
                <c:ptCount val="1"/>
                <c:pt idx="0">
                  <c:v>Viti </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'!$D$38:$L$38</c:f>
              <c:numCache>
                <c:formatCode>General</c:formatCode>
                <c:ptCount val="9"/>
                <c:pt idx="0">
                  <c:v>1</c:v>
                </c:pt>
                <c:pt idx="1">
                  <c:v>1</c:v>
                </c:pt>
                <c:pt idx="2">
                  <c:v>2</c:v>
                </c:pt>
                <c:pt idx="3">
                  <c:v>1</c:v>
                </c:pt>
                <c:pt idx="4">
                  <c:v>0</c:v>
                </c:pt>
                <c:pt idx="5">
                  <c:v>0</c:v>
                </c:pt>
                <c:pt idx="6">
                  <c:v>0</c:v>
                </c:pt>
                <c:pt idx="7">
                  <c:v>0</c:v>
                </c:pt>
                <c:pt idx="8">
                  <c:v>0</c:v>
                </c:pt>
              </c:numCache>
            </c:numRef>
          </c:val>
          <c:smooth val="0"/>
          <c:extLst>
            <c:ext xmlns:c16="http://schemas.microsoft.com/office/drawing/2014/chart" uri="{C3380CC4-5D6E-409C-BE32-E72D297353CC}">
              <c16:uniqueId val="{0000001D-006F-4833-81CA-3952FB0DB0AB}"/>
            </c:ext>
          </c:extLst>
        </c:ser>
        <c:ser>
          <c:idx val="31"/>
          <c:order val="30"/>
          <c:tx>
            <c:strRef>
              <c:f>'TRANSPARENCA FINANCIARE '!$C$39</c:f>
              <c:strCache>
                <c:ptCount val="1"/>
                <c:pt idx="0">
                  <c:v>Vushtrri </c:v>
                </c:pt>
              </c:strCache>
            </c:strRef>
          </c:tx>
          <c:spPr>
            <a:ln w="28575" cap="rnd">
              <a:solidFill>
                <a:schemeClr val="accent2">
                  <a:lumMod val="50000"/>
                </a:schemeClr>
              </a:solidFill>
              <a:round/>
            </a:ln>
            <a:effectLst/>
          </c:spPr>
          <c:marker>
            <c:symbol val="circle"/>
            <c:size val="5"/>
            <c:spPr>
              <a:solidFill>
                <a:schemeClr val="accent2">
                  <a:lumMod val="5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'!$D$39:$L$39</c:f>
              <c:numCache>
                <c:formatCode>General</c:formatCode>
                <c:ptCount val="9"/>
                <c:pt idx="0">
                  <c:v>1</c:v>
                </c:pt>
                <c:pt idx="1">
                  <c:v>1</c:v>
                </c:pt>
                <c:pt idx="2">
                  <c:v>3</c:v>
                </c:pt>
                <c:pt idx="3">
                  <c:v>1</c:v>
                </c:pt>
                <c:pt idx="4">
                  <c:v>0</c:v>
                </c:pt>
                <c:pt idx="5">
                  <c:v>1</c:v>
                </c:pt>
                <c:pt idx="6">
                  <c:v>1</c:v>
                </c:pt>
                <c:pt idx="7">
                  <c:v>1</c:v>
                </c:pt>
                <c:pt idx="8">
                  <c:v>1</c:v>
                </c:pt>
              </c:numCache>
            </c:numRef>
          </c:val>
          <c:smooth val="0"/>
          <c:extLst>
            <c:ext xmlns:c16="http://schemas.microsoft.com/office/drawing/2014/chart" uri="{C3380CC4-5D6E-409C-BE32-E72D297353CC}">
              <c16:uniqueId val="{0000001E-006F-4833-81CA-3952FB0DB0AB}"/>
            </c:ext>
          </c:extLst>
        </c:ser>
        <c:ser>
          <c:idx val="32"/>
          <c:order val="31"/>
          <c:tx>
            <c:strRef>
              <c:f>'TRANSPARENCA FINANCIARE '!$C$40</c:f>
              <c:strCache>
                <c:ptCount val="1"/>
                <c:pt idx="0">
                  <c:v>Zubin Potoku</c:v>
                </c:pt>
              </c:strCache>
            </c:strRef>
          </c:tx>
          <c:spPr>
            <a:ln w="28575" cap="rnd">
              <a:solidFill>
                <a:schemeClr val="accent3">
                  <a:lumMod val="50000"/>
                </a:schemeClr>
              </a:solidFill>
              <a:round/>
            </a:ln>
            <a:effectLst/>
          </c:spPr>
          <c:marker>
            <c:symbol val="circle"/>
            <c:size val="5"/>
            <c:spPr>
              <a:solidFill>
                <a:schemeClr val="accent3">
                  <a:lumMod val="5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'!$D$40:$L$40</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1F-006F-4833-81CA-3952FB0DB0AB}"/>
            </c:ext>
          </c:extLst>
        </c:ser>
        <c:ser>
          <c:idx val="33"/>
          <c:order val="32"/>
          <c:tx>
            <c:strRef>
              <c:f>'TRANSPARENCA FINANCIARE '!$C$41</c:f>
              <c:strCache>
                <c:ptCount val="1"/>
                <c:pt idx="0">
                  <c:v>Zveçan</c:v>
                </c:pt>
              </c:strCache>
            </c:strRef>
          </c:tx>
          <c:spPr>
            <a:ln w="28575" cap="rnd">
              <a:solidFill>
                <a:schemeClr val="accent4">
                  <a:lumMod val="50000"/>
                </a:schemeClr>
              </a:solidFill>
              <a:round/>
            </a:ln>
            <a:effectLst/>
          </c:spPr>
          <c:marker>
            <c:symbol val="circle"/>
            <c:size val="5"/>
            <c:spPr>
              <a:solidFill>
                <a:schemeClr val="accent4">
                  <a:lumMod val="5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'!$D$41:$L$41</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20-006F-4833-81CA-3952FB0DB0AB}"/>
            </c:ext>
          </c:extLst>
        </c:ser>
        <c:ser>
          <c:idx val="34"/>
          <c:order val="33"/>
          <c:tx>
            <c:strRef>
              <c:f>'TRANSPARENCA FINANCIARE '!$C$42</c:f>
              <c:strCache>
                <c:ptCount val="1"/>
                <c:pt idx="0">
                  <c:v>Leposaviq</c:v>
                </c:pt>
              </c:strCache>
            </c:strRef>
          </c:tx>
          <c:spPr>
            <a:ln w="28575" cap="rnd">
              <a:solidFill>
                <a:schemeClr val="accent5">
                  <a:lumMod val="50000"/>
                </a:schemeClr>
              </a:solidFill>
              <a:round/>
            </a:ln>
            <a:effectLst/>
          </c:spPr>
          <c:marker>
            <c:symbol val="circle"/>
            <c:size val="5"/>
            <c:spPr>
              <a:solidFill>
                <a:schemeClr val="accent5">
                  <a:lumMod val="5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'!$D$42:$L$42</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21-006F-4833-81CA-3952FB0DB0AB}"/>
            </c:ext>
          </c:extLst>
        </c:ser>
        <c:ser>
          <c:idx val="35"/>
          <c:order val="34"/>
          <c:tx>
            <c:strRef>
              <c:f>'TRANSPARENCA FINANCIARE '!$C$43</c:f>
              <c:strCache>
                <c:ptCount val="1"/>
                <c:pt idx="0">
                  <c:v>Mitrovica Veriore</c:v>
                </c:pt>
              </c:strCache>
            </c:strRef>
          </c:tx>
          <c:spPr>
            <a:ln w="28575" cap="rnd">
              <a:solidFill>
                <a:schemeClr val="accent6">
                  <a:lumMod val="50000"/>
                </a:schemeClr>
              </a:solidFill>
              <a:round/>
            </a:ln>
            <a:effectLst/>
          </c:spPr>
          <c:marker>
            <c:symbol val="circle"/>
            <c:size val="5"/>
            <c:spPr>
              <a:solidFill>
                <a:schemeClr val="accent6">
                  <a:lumMod val="5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'!$D$43:$L$43</c:f>
              <c:numCache>
                <c:formatCode>General</c:formatCode>
                <c:ptCount val="9"/>
                <c:pt idx="0">
                  <c:v>0</c:v>
                </c:pt>
                <c:pt idx="1">
                  <c:v>0</c:v>
                </c:pt>
                <c:pt idx="2">
                  <c:v>1</c:v>
                </c:pt>
                <c:pt idx="3">
                  <c:v>1</c:v>
                </c:pt>
                <c:pt idx="4">
                  <c:v>0</c:v>
                </c:pt>
                <c:pt idx="5">
                  <c:v>0</c:v>
                </c:pt>
                <c:pt idx="6">
                  <c:v>0</c:v>
                </c:pt>
                <c:pt idx="7">
                  <c:v>0</c:v>
                </c:pt>
                <c:pt idx="8">
                  <c:v>0</c:v>
                </c:pt>
              </c:numCache>
            </c:numRef>
          </c:val>
          <c:smooth val="0"/>
          <c:extLst>
            <c:ext xmlns:c16="http://schemas.microsoft.com/office/drawing/2014/chart" uri="{C3380CC4-5D6E-409C-BE32-E72D297353CC}">
              <c16:uniqueId val="{00000022-006F-4833-81CA-3952FB0DB0AB}"/>
            </c:ext>
          </c:extLst>
        </c:ser>
        <c:ser>
          <c:idx val="36"/>
          <c:order val="35"/>
          <c:tx>
            <c:strRef>
              <c:f>'TRANSPARENCA FINANCIARE '!$C$44</c:f>
              <c:strCache>
                <c:ptCount val="1"/>
                <c:pt idx="0">
                  <c:v>Mamushë</c:v>
                </c:pt>
              </c:strCache>
            </c:strRef>
          </c:tx>
          <c:spPr>
            <a:ln w="28575" cap="rnd">
              <a:solidFill>
                <a:schemeClr val="accent1">
                  <a:lumMod val="70000"/>
                  <a:lumOff val="30000"/>
                </a:schemeClr>
              </a:solidFill>
              <a:round/>
            </a:ln>
            <a:effectLst/>
          </c:spPr>
          <c:marker>
            <c:symbol val="circle"/>
            <c:size val="5"/>
            <c:spPr>
              <a:solidFill>
                <a:schemeClr val="accent1">
                  <a:lumMod val="70000"/>
                  <a:lumOff val="3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'!$D$44:$L$44</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23-006F-4833-81CA-3952FB0DB0AB}"/>
            </c:ext>
          </c:extLst>
        </c:ser>
        <c:ser>
          <c:idx val="37"/>
          <c:order val="36"/>
          <c:tx>
            <c:strRef>
              <c:f>'TRANSPARENCA FINANCIARE '!$C$45</c:f>
              <c:strCache>
                <c:ptCount val="1"/>
                <c:pt idx="0">
                  <c:v>Dragash</c:v>
                </c:pt>
              </c:strCache>
            </c:strRef>
          </c:tx>
          <c:spPr>
            <a:ln w="28575" cap="rnd">
              <a:solidFill>
                <a:schemeClr val="accent2">
                  <a:lumMod val="70000"/>
                  <a:lumOff val="30000"/>
                </a:schemeClr>
              </a:solidFill>
              <a:round/>
            </a:ln>
            <a:effectLst/>
          </c:spPr>
          <c:marker>
            <c:symbol val="circle"/>
            <c:size val="5"/>
            <c:spPr>
              <a:solidFill>
                <a:schemeClr val="accent2">
                  <a:lumMod val="70000"/>
                  <a:lumOff val="3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'!$D$45:$L$45</c:f>
              <c:numCache>
                <c:formatCode>General</c:formatCode>
                <c:ptCount val="9"/>
                <c:pt idx="0">
                  <c:v>1</c:v>
                </c:pt>
                <c:pt idx="1">
                  <c:v>1</c:v>
                </c:pt>
                <c:pt idx="2">
                  <c:v>3</c:v>
                </c:pt>
                <c:pt idx="3">
                  <c:v>1</c:v>
                </c:pt>
                <c:pt idx="4">
                  <c:v>6</c:v>
                </c:pt>
                <c:pt idx="5">
                  <c:v>1</c:v>
                </c:pt>
                <c:pt idx="6">
                  <c:v>1</c:v>
                </c:pt>
                <c:pt idx="7">
                  <c:v>1</c:v>
                </c:pt>
                <c:pt idx="8">
                  <c:v>0</c:v>
                </c:pt>
              </c:numCache>
            </c:numRef>
          </c:val>
          <c:smooth val="0"/>
          <c:extLst>
            <c:ext xmlns:c16="http://schemas.microsoft.com/office/drawing/2014/chart" uri="{C3380CC4-5D6E-409C-BE32-E72D297353CC}">
              <c16:uniqueId val="{00000024-006F-4833-81CA-3952FB0DB0AB}"/>
            </c:ext>
          </c:extLst>
        </c:ser>
        <c:ser>
          <c:idx val="38"/>
          <c:order val="37"/>
          <c:tx>
            <c:strRef>
              <c:f>'TRANSPARENCA FINANCIARE '!$C$46</c:f>
              <c:strCache>
                <c:ptCount val="1"/>
                <c:pt idx="0">
                  <c:v>TOTALI</c:v>
                </c:pt>
              </c:strCache>
            </c:strRef>
          </c:tx>
          <c:spPr>
            <a:ln w="28575" cap="rnd">
              <a:solidFill>
                <a:schemeClr val="accent3">
                  <a:lumMod val="70000"/>
                  <a:lumOff val="30000"/>
                </a:schemeClr>
              </a:solidFill>
              <a:round/>
            </a:ln>
            <a:effectLst/>
          </c:spPr>
          <c:marker>
            <c:symbol val="circle"/>
            <c:size val="5"/>
            <c:spPr>
              <a:solidFill>
                <a:schemeClr val="accent3">
                  <a:lumMod val="70000"/>
                  <a:lumOff val="30000"/>
                </a:schemeClr>
              </a:solidFill>
              <a:ln w="9525">
                <a:solidFill>
                  <a:schemeClr val="l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'!$D$46:$L$46</c:f>
              <c:numCache>
                <c:formatCode>General</c:formatCode>
                <c:ptCount val="9"/>
                <c:pt idx="0">
                  <c:v>27</c:v>
                </c:pt>
                <c:pt idx="1">
                  <c:v>28</c:v>
                </c:pt>
                <c:pt idx="2">
                  <c:v>28</c:v>
                </c:pt>
                <c:pt idx="3">
                  <c:v>25</c:v>
                </c:pt>
                <c:pt idx="4">
                  <c:v>19</c:v>
                </c:pt>
                <c:pt idx="5">
                  <c:v>16</c:v>
                </c:pt>
                <c:pt idx="6">
                  <c:v>15</c:v>
                </c:pt>
                <c:pt idx="7">
                  <c:v>23</c:v>
                </c:pt>
                <c:pt idx="8">
                  <c:v>11</c:v>
                </c:pt>
              </c:numCache>
            </c:numRef>
          </c:val>
          <c:smooth val="0"/>
          <c:extLst>
            <c:ext xmlns:c16="http://schemas.microsoft.com/office/drawing/2014/chart" uri="{C3380CC4-5D6E-409C-BE32-E72D297353CC}">
              <c16:uniqueId val="{00000025-006F-4833-81CA-3952FB0DB0AB}"/>
            </c:ext>
          </c:extLst>
        </c:ser>
        <c:dLbls>
          <c:showLegendKey val="0"/>
          <c:showVal val="1"/>
          <c:showCatName val="0"/>
          <c:showSerName val="0"/>
          <c:showPercent val="0"/>
          <c:showBubbleSize val="0"/>
        </c:dLbls>
        <c:marker val="1"/>
        <c:smooth val="0"/>
        <c:axId val="705018776"/>
        <c:axId val="705027400"/>
      </c:lineChart>
      <c:catAx>
        <c:axId val="705018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baseline="0">
                <a:solidFill>
                  <a:schemeClr val="tx1">
                    <a:lumMod val="65000"/>
                    <a:lumOff val="35000"/>
                  </a:schemeClr>
                </a:solidFill>
                <a:latin typeface="Garamond" panose="02020404030301010803" pitchFamily="18" charset="0"/>
                <a:ea typeface="+mn-ea"/>
                <a:cs typeface="+mn-cs"/>
              </a:defRPr>
            </a:pPr>
            <a:endParaRPr lang="en-US"/>
          </a:p>
        </c:txPr>
        <c:crossAx val="705027400"/>
        <c:crosses val="autoZero"/>
        <c:auto val="1"/>
        <c:lblAlgn val="ctr"/>
        <c:lblOffset val="100"/>
        <c:noMultiLvlLbl val="0"/>
      </c:catAx>
      <c:valAx>
        <c:axId val="705027400"/>
        <c:scaling>
          <c:orientation val="minMax"/>
        </c:scaling>
        <c:delete val="1"/>
        <c:axPos val="l"/>
        <c:numFmt formatCode="General" sourceLinked="1"/>
        <c:majorTickMark val="none"/>
        <c:minorTickMark val="none"/>
        <c:tickLblPos val="nextTo"/>
        <c:crossAx val="705018776"/>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814678501840224E-2"/>
          <c:y val="0.23355768647730915"/>
          <c:w val="0.97185537995237048"/>
          <c:h val="0.35370413681788127"/>
        </c:manualLayout>
      </c:layout>
      <c:barChart>
        <c:barDir val="col"/>
        <c:grouping val="clustered"/>
        <c:varyColors val="0"/>
        <c:ser>
          <c:idx val="0"/>
          <c:order val="0"/>
          <c:tx>
            <c:strRef>
              <c:f>'PROKURIMI '!$M$3:$M$7</c:f>
              <c:strCache>
                <c:ptCount val="5"/>
                <c:pt idx="4">
                  <c:v>Raporti i Prokurimit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'PROKURIMI '!$L$8:$L$45</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'PROKURIMI '!$M$8:$M$45</c:f>
              <c:numCache>
                <c:formatCode>General</c:formatCode>
                <c:ptCount val="38"/>
                <c:pt idx="0">
                  <c:v>0</c:v>
                </c:pt>
                <c:pt idx="1">
                  <c:v>1</c:v>
                </c:pt>
                <c:pt idx="2">
                  <c:v>0</c:v>
                </c:pt>
                <c:pt idx="3">
                  <c:v>0</c:v>
                </c:pt>
                <c:pt idx="4">
                  <c:v>1</c:v>
                </c:pt>
                <c:pt idx="5">
                  <c:v>1</c:v>
                </c:pt>
                <c:pt idx="6">
                  <c:v>1</c:v>
                </c:pt>
                <c:pt idx="7">
                  <c:v>0</c:v>
                </c:pt>
                <c:pt idx="8">
                  <c:v>1</c:v>
                </c:pt>
                <c:pt idx="9">
                  <c:v>0</c:v>
                </c:pt>
                <c:pt idx="10">
                  <c:v>1</c:v>
                </c:pt>
                <c:pt idx="11">
                  <c:v>1</c:v>
                </c:pt>
                <c:pt idx="12">
                  <c:v>0</c:v>
                </c:pt>
                <c:pt idx="13">
                  <c:v>0</c:v>
                </c:pt>
                <c:pt idx="14">
                  <c:v>1</c:v>
                </c:pt>
                <c:pt idx="15">
                  <c:v>1</c:v>
                </c:pt>
                <c:pt idx="16">
                  <c:v>1</c:v>
                </c:pt>
                <c:pt idx="17">
                  <c:v>0</c:v>
                </c:pt>
                <c:pt idx="18">
                  <c:v>1</c:v>
                </c:pt>
                <c:pt idx="19">
                  <c:v>0</c:v>
                </c:pt>
                <c:pt idx="20">
                  <c:v>0</c:v>
                </c:pt>
                <c:pt idx="21">
                  <c:v>1</c:v>
                </c:pt>
                <c:pt idx="22">
                  <c:v>0</c:v>
                </c:pt>
                <c:pt idx="23">
                  <c:v>1</c:v>
                </c:pt>
                <c:pt idx="24">
                  <c:v>1</c:v>
                </c:pt>
                <c:pt idx="25">
                  <c:v>0</c:v>
                </c:pt>
                <c:pt idx="26">
                  <c:v>1</c:v>
                </c:pt>
                <c:pt idx="27">
                  <c:v>0</c:v>
                </c:pt>
                <c:pt idx="28">
                  <c:v>1</c:v>
                </c:pt>
                <c:pt idx="29">
                  <c:v>1</c:v>
                </c:pt>
                <c:pt idx="30">
                  <c:v>1</c:v>
                </c:pt>
                <c:pt idx="31">
                  <c:v>1</c:v>
                </c:pt>
                <c:pt idx="32">
                  <c:v>0</c:v>
                </c:pt>
                <c:pt idx="33">
                  <c:v>0</c:v>
                </c:pt>
                <c:pt idx="34">
                  <c:v>0</c:v>
                </c:pt>
                <c:pt idx="35">
                  <c:v>0</c:v>
                </c:pt>
                <c:pt idx="36">
                  <c:v>0</c:v>
                </c:pt>
                <c:pt idx="37">
                  <c:v>0</c:v>
                </c:pt>
              </c:numCache>
            </c:numRef>
          </c:val>
          <c:extLst>
            <c:ext xmlns:c16="http://schemas.microsoft.com/office/drawing/2014/chart" uri="{C3380CC4-5D6E-409C-BE32-E72D297353CC}">
              <c16:uniqueId val="{00000000-31C0-4A9C-B38C-0F81090F78B4}"/>
            </c:ext>
          </c:extLst>
        </c:ser>
        <c:dLbls>
          <c:showLegendKey val="0"/>
          <c:showVal val="1"/>
          <c:showCatName val="0"/>
          <c:showSerName val="0"/>
          <c:showPercent val="0"/>
          <c:showBubbleSize val="0"/>
        </c:dLbls>
        <c:gapWidth val="95"/>
        <c:axId val="705024656"/>
        <c:axId val="705025440"/>
      </c:barChart>
      <c:catAx>
        <c:axId val="70502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lumMod val="65000"/>
                    <a:lumOff val="35000"/>
                  </a:schemeClr>
                </a:solidFill>
                <a:latin typeface="+mj-lt"/>
                <a:ea typeface="+mn-ea"/>
                <a:cs typeface="+mn-cs"/>
              </a:defRPr>
            </a:pPr>
            <a:endParaRPr lang="en-US"/>
          </a:p>
        </c:txPr>
        <c:crossAx val="705025440"/>
        <c:crosses val="autoZero"/>
        <c:auto val="1"/>
        <c:lblAlgn val="ctr"/>
        <c:lblOffset val="100"/>
        <c:noMultiLvlLbl val="0"/>
      </c:catAx>
      <c:valAx>
        <c:axId val="705025440"/>
        <c:scaling>
          <c:orientation val="minMax"/>
        </c:scaling>
        <c:delete val="1"/>
        <c:axPos val="l"/>
        <c:numFmt formatCode="General" sourceLinked="1"/>
        <c:majorTickMark val="none"/>
        <c:minorTickMark val="none"/>
        <c:tickLblPos val="nextTo"/>
        <c:crossAx val="7050246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'PUBLIKIMI I FTESAVE '!$P$7</c:f>
              <c:strCache>
                <c:ptCount val="1"/>
                <c:pt idx="0">
                  <c:v>Njoftimeve për komitetet për komunitete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I FTESAVE '!$O$8:$O$46</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'PUBLIKIMI I FTESAVE '!$P$8:$P$46</c:f>
              <c:numCache>
                <c:formatCode>General</c:formatCode>
                <c:ptCount val="39"/>
                <c:pt idx="0">
                  <c:v>0</c:v>
                </c:pt>
                <c:pt idx="1">
                  <c:v>4</c:v>
                </c:pt>
                <c:pt idx="2">
                  <c:v>0</c:v>
                </c:pt>
                <c:pt idx="3">
                  <c:v>0</c:v>
                </c:pt>
                <c:pt idx="4">
                  <c:v>1</c:v>
                </c:pt>
                <c:pt idx="5">
                  <c:v>0</c:v>
                </c:pt>
                <c:pt idx="6">
                  <c:v>7</c:v>
                </c:pt>
                <c:pt idx="7">
                  <c:v>9</c:v>
                </c:pt>
                <c:pt idx="8">
                  <c:v>0</c:v>
                </c:pt>
                <c:pt idx="9">
                  <c:v>0</c:v>
                </c:pt>
                <c:pt idx="10">
                  <c:v>10</c:v>
                </c:pt>
                <c:pt idx="11">
                  <c:v>9</c:v>
                </c:pt>
                <c:pt idx="12">
                  <c:v>6</c:v>
                </c:pt>
                <c:pt idx="13">
                  <c:v>0</c:v>
                </c:pt>
                <c:pt idx="14">
                  <c:v>6</c:v>
                </c:pt>
                <c:pt idx="15">
                  <c:v>7</c:v>
                </c:pt>
                <c:pt idx="16">
                  <c:v>9</c:v>
                </c:pt>
                <c:pt idx="17">
                  <c:v>1</c:v>
                </c:pt>
                <c:pt idx="18">
                  <c:v>0</c:v>
                </c:pt>
                <c:pt idx="19">
                  <c:v>0</c:v>
                </c:pt>
                <c:pt idx="20">
                  <c:v>3</c:v>
                </c:pt>
                <c:pt idx="21">
                  <c:v>5</c:v>
                </c:pt>
                <c:pt idx="22">
                  <c:v>9</c:v>
                </c:pt>
                <c:pt idx="23">
                  <c:v>5</c:v>
                </c:pt>
                <c:pt idx="24">
                  <c:v>5</c:v>
                </c:pt>
                <c:pt idx="25">
                  <c:v>0</c:v>
                </c:pt>
                <c:pt idx="26">
                  <c:v>9</c:v>
                </c:pt>
                <c:pt idx="27">
                  <c:v>0</c:v>
                </c:pt>
                <c:pt idx="28">
                  <c:v>0</c:v>
                </c:pt>
                <c:pt idx="29">
                  <c:v>0</c:v>
                </c:pt>
                <c:pt idx="30">
                  <c:v>0</c:v>
                </c:pt>
                <c:pt idx="31">
                  <c:v>11</c:v>
                </c:pt>
                <c:pt idx="32">
                  <c:v>0</c:v>
                </c:pt>
                <c:pt idx="33">
                  <c:v>0</c:v>
                </c:pt>
                <c:pt idx="34">
                  <c:v>0</c:v>
                </c:pt>
                <c:pt idx="35">
                  <c:v>0</c:v>
                </c:pt>
                <c:pt idx="36">
                  <c:v>2</c:v>
                </c:pt>
                <c:pt idx="37">
                  <c:v>8</c:v>
                </c:pt>
              </c:numCache>
            </c:numRef>
          </c:val>
          <c:extLst>
            <c:ext xmlns:c16="http://schemas.microsoft.com/office/drawing/2014/chart" uri="{C3380CC4-5D6E-409C-BE32-E72D297353CC}">
              <c16:uniqueId val="{00000000-A5FA-4784-94BD-379D6C3B9BFA}"/>
            </c:ext>
          </c:extLst>
        </c:ser>
        <c:dLbls>
          <c:showLegendKey val="0"/>
          <c:showVal val="1"/>
          <c:showCatName val="0"/>
          <c:showSerName val="0"/>
          <c:showPercent val="0"/>
          <c:showBubbleSize val="0"/>
        </c:dLbls>
        <c:gapWidth val="150"/>
        <c:overlap val="-25"/>
        <c:axId val="509596856"/>
        <c:axId val="509595288"/>
      </c:barChart>
      <c:catAx>
        <c:axId val="509596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crossAx val="509595288"/>
        <c:crosses val="autoZero"/>
        <c:auto val="1"/>
        <c:lblAlgn val="ctr"/>
        <c:lblOffset val="100"/>
        <c:noMultiLvlLbl val="0"/>
      </c:catAx>
      <c:valAx>
        <c:axId val="509595288"/>
        <c:scaling>
          <c:orientation val="minMax"/>
        </c:scaling>
        <c:delete val="1"/>
        <c:axPos val="l"/>
        <c:numFmt formatCode="General" sourceLinked="1"/>
        <c:majorTickMark val="none"/>
        <c:minorTickMark val="none"/>
        <c:tickLblPos val="nextTo"/>
        <c:crossAx val="5095968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i="1">
          <a:latin typeface="+mj-lt"/>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'KONSULLTIMET PUBLIKE '!$R$4</c:f>
              <c:strCache>
                <c:ptCount val="1"/>
                <c:pt idx="0">
                  <c:v>Publikimi i projekt-propozimeve te publikuar për konsultime publike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28"/>
              <c:layout>
                <c:manualLayout>
                  <c:x val="-1.0580890911014707E-2"/>
                  <c:y val="-0.2308499475341028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C89-4652-B9CB-798E6DA81382}"/>
                </c:ext>
              </c:extLst>
            </c:dLbl>
            <c:dLbl>
              <c:idx val="30"/>
              <c:layout>
                <c:manualLayout>
                  <c:x val="2.1161781822029413E-3"/>
                  <c:y val="-0.1154249737670514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C89-4652-B9CB-798E6DA81382}"/>
                </c:ext>
              </c:extLst>
            </c:dLbl>
            <c:dLbl>
              <c:idx val="31"/>
              <c:layout>
                <c:manualLayout>
                  <c:x val="6.3485345466088245E-3"/>
                  <c:y val="-0.2046169989506820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C89-4652-B9CB-798E6DA8138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'KONSULLTIMET PUBLIKE '!$Q$5:$Q$43</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c:v>
                </c:pt>
              </c:strCache>
            </c:strRef>
          </c:cat>
          <c:val>
            <c:numRef>
              <c:f>'KONSULLTIMET PUBLIKE '!$R$5:$R$43</c:f>
              <c:numCache>
                <c:formatCode>General</c:formatCode>
                <c:ptCount val="39"/>
                <c:pt idx="0">
                  <c:v>0</c:v>
                </c:pt>
                <c:pt idx="1">
                  <c:v>0</c:v>
                </c:pt>
                <c:pt idx="2">
                  <c:v>0</c:v>
                </c:pt>
                <c:pt idx="3">
                  <c:v>0</c:v>
                </c:pt>
                <c:pt idx="4">
                  <c:v>2</c:v>
                </c:pt>
                <c:pt idx="5">
                  <c:v>4</c:v>
                </c:pt>
                <c:pt idx="6">
                  <c:v>1</c:v>
                </c:pt>
                <c:pt idx="7">
                  <c:v>3</c:v>
                </c:pt>
                <c:pt idx="8">
                  <c:v>3</c:v>
                </c:pt>
                <c:pt idx="9">
                  <c:v>3</c:v>
                </c:pt>
                <c:pt idx="10">
                  <c:v>11</c:v>
                </c:pt>
                <c:pt idx="11">
                  <c:v>3</c:v>
                </c:pt>
                <c:pt idx="12">
                  <c:v>3</c:v>
                </c:pt>
                <c:pt idx="13">
                  <c:v>0</c:v>
                </c:pt>
                <c:pt idx="14">
                  <c:v>4</c:v>
                </c:pt>
                <c:pt idx="15">
                  <c:v>1</c:v>
                </c:pt>
                <c:pt idx="16">
                  <c:v>3</c:v>
                </c:pt>
                <c:pt idx="17">
                  <c:v>0</c:v>
                </c:pt>
                <c:pt idx="18">
                  <c:v>0</c:v>
                </c:pt>
                <c:pt idx="19">
                  <c:v>0</c:v>
                </c:pt>
                <c:pt idx="20">
                  <c:v>10</c:v>
                </c:pt>
                <c:pt idx="21">
                  <c:v>3</c:v>
                </c:pt>
                <c:pt idx="22">
                  <c:v>0</c:v>
                </c:pt>
                <c:pt idx="23">
                  <c:v>8</c:v>
                </c:pt>
                <c:pt idx="24">
                  <c:v>0</c:v>
                </c:pt>
                <c:pt idx="25">
                  <c:v>0</c:v>
                </c:pt>
                <c:pt idx="26">
                  <c:v>7</c:v>
                </c:pt>
                <c:pt idx="27">
                  <c:v>0</c:v>
                </c:pt>
                <c:pt idx="28">
                  <c:v>0</c:v>
                </c:pt>
                <c:pt idx="29">
                  <c:v>0</c:v>
                </c:pt>
                <c:pt idx="30">
                  <c:v>2</c:v>
                </c:pt>
                <c:pt idx="31">
                  <c:v>3</c:v>
                </c:pt>
                <c:pt idx="32">
                  <c:v>0</c:v>
                </c:pt>
                <c:pt idx="33">
                  <c:v>0</c:v>
                </c:pt>
                <c:pt idx="34">
                  <c:v>0</c:v>
                </c:pt>
                <c:pt idx="35">
                  <c:v>0</c:v>
                </c:pt>
                <c:pt idx="36">
                  <c:v>0</c:v>
                </c:pt>
                <c:pt idx="37">
                  <c:v>0</c:v>
                </c:pt>
                <c:pt idx="38">
                  <c:v>19</c:v>
                </c:pt>
              </c:numCache>
            </c:numRef>
          </c:val>
          <c:extLst>
            <c:ext xmlns:c16="http://schemas.microsoft.com/office/drawing/2014/chart" uri="{C3380CC4-5D6E-409C-BE32-E72D297353CC}">
              <c16:uniqueId val="{00000000-3C89-4652-B9CB-798E6DA81382}"/>
            </c:ext>
          </c:extLst>
        </c:ser>
        <c:ser>
          <c:idx val="1"/>
          <c:order val="1"/>
          <c:tx>
            <c:strRef>
              <c:f>'KONSULLTIMET PUBLIKE '!$S$4</c:f>
              <c:strCache>
                <c:ptCount val="1"/>
                <c:pt idx="0">
                  <c:v>Memorandumet shpjeguese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8.4647127288117567E-3"/>
                  <c:y val="-0.2203567681007345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3C89-4652-B9CB-798E6DA81382}"/>
                </c:ext>
              </c:extLst>
            </c:dLbl>
            <c:dLbl>
              <c:idx val="1"/>
              <c:layout>
                <c:manualLayout>
                  <c:x val="1.481324727542058E-2"/>
                  <c:y val="-0.2623294858342077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3C89-4652-B9CB-798E6DA81382}"/>
                </c:ext>
              </c:extLst>
            </c:dLbl>
            <c:dLbl>
              <c:idx val="2"/>
              <c:layout>
                <c:manualLayout>
                  <c:x val="1.269706909321763E-2"/>
                  <c:y val="-0.1941238195173138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3C89-4652-B9CB-798E6DA81382}"/>
                </c:ext>
              </c:extLst>
            </c:dLbl>
            <c:dLbl>
              <c:idx val="3"/>
              <c:layout>
                <c:manualLayout>
                  <c:x val="1.0580890911014688E-2"/>
                  <c:y val="-0.152151101783840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3C89-4652-B9CB-798E6DA81382}"/>
                </c:ext>
              </c:extLst>
            </c:dLbl>
            <c:dLbl>
              <c:idx val="4"/>
              <c:layout>
                <c:manualLayout>
                  <c:x val="1.6929425457623531E-2"/>
                  <c:y val="-0.2256033578174186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89-4652-B9CB-798E6DA81382}"/>
                </c:ext>
              </c:extLst>
            </c:dLbl>
            <c:dLbl>
              <c:idx val="7"/>
              <c:layout>
                <c:manualLayout>
                  <c:x val="0"/>
                  <c:y val="-0.2990556138509968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89-4652-B9CB-798E6DA81382}"/>
                </c:ext>
              </c:extLst>
            </c:dLbl>
            <c:dLbl>
              <c:idx val="8"/>
              <c:layout>
                <c:manualLayout>
                  <c:x val="4.2323563644058827E-3"/>
                  <c:y val="-0.2151101783840503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C89-4652-B9CB-798E6DA81382}"/>
                </c:ext>
              </c:extLst>
            </c:dLbl>
            <c:dLbl>
              <c:idx val="9"/>
              <c:layout>
                <c:manualLayout>
                  <c:x val="2.1161781822029413E-3"/>
                  <c:y val="-0.188877229800629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C89-4652-B9CB-798E6DA81382}"/>
                </c:ext>
              </c:extLst>
            </c:dLbl>
            <c:dLbl>
              <c:idx val="11"/>
              <c:layout>
                <c:manualLayout>
                  <c:x val="2.1161781822028637E-3"/>
                  <c:y val="-0.152151101783840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C89-4652-B9CB-798E6DA81382}"/>
                </c:ext>
              </c:extLst>
            </c:dLbl>
            <c:dLbl>
              <c:idx val="12"/>
              <c:layout>
                <c:manualLayout>
                  <c:x val="0"/>
                  <c:y val="-0.1469045120671564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C89-4652-B9CB-798E6DA81382}"/>
                </c:ext>
              </c:extLst>
            </c:dLbl>
            <c:dLbl>
              <c:idx val="13"/>
              <c:layout>
                <c:manualLayout>
                  <c:x val="0"/>
                  <c:y val="-8.91920251836307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C89-4652-B9CB-798E6DA81382}"/>
                </c:ext>
              </c:extLst>
            </c:dLbl>
            <c:dLbl>
              <c:idx val="14"/>
              <c:layout>
                <c:manualLayout>
                  <c:x val="1.0580890911014707E-2"/>
                  <c:y val="-0.2256033578174187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C89-4652-B9CB-798E6DA81382}"/>
                </c:ext>
              </c:extLst>
            </c:dLbl>
            <c:dLbl>
              <c:idx val="15"/>
              <c:layout>
                <c:manualLayout>
                  <c:x val="-2.1161781822029413E-3"/>
                  <c:y val="-0.2151101783840503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C89-4652-B9CB-798E6DA81382}"/>
                </c:ext>
              </c:extLst>
            </c:dLbl>
            <c:dLbl>
              <c:idx val="16"/>
              <c:layout>
                <c:manualLayout>
                  <c:x val="-4.2323563644058827E-3"/>
                  <c:y val="-0.2675760755508919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C89-4652-B9CB-798E6DA81382}"/>
                </c:ext>
              </c:extLst>
            </c:dLbl>
            <c:dLbl>
              <c:idx val="17"/>
              <c:layout>
                <c:manualLayout>
                  <c:x val="-2.1161781822029413E-3"/>
                  <c:y val="-0.2046169989506821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C89-4652-B9CB-798E6DA81382}"/>
                </c:ext>
              </c:extLst>
            </c:dLbl>
            <c:dLbl>
              <c:idx val="18"/>
              <c:layout>
                <c:manualLayout>
                  <c:x val="-4.2323563644059608E-3"/>
                  <c:y val="-0.1783840503672613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C89-4652-B9CB-798E6DA81382}"/>
                </c:ext>
              </c:extLst>
            </c:dLbl>
            <c:dLbl>
              <c:idx val="19"/>
              <c:layout>
                <c:manualLayout>
                  <c:x val="-7.7592303661194747E-17"/>
                  <c:y val="-0.2518363064008394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C89-4652-B9CB-798E6DA81382}"/>
                </c:ext>
              </c:extLst>
            </c:dLbl>
            <c:dLbl>
              <c:idx val="21"/>
              <c:layout>
                <c:manualLayout>
                  <c:x val="0"/>
                  <c:y val="-0.199370409233997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C89-4652-B9CB-798E6DA81382}"/>
                </c:ext>
              </c:extLst>
            </c:dLbl>
            <c:dLbl>
              <c:idx val="22"/>
              <c:layout>
                <c:manualLayout>
                  <c:x val="-2.1161781822029413E-3"/>
                  <c:y val="-0.1469045120671564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C89-4652-B9CB-798E6DA81382}"/>
                </c:ext>
              </c:extLst>
            </c:dLbl>
            <c:dLbl>
              <c:idx val="24"/>
              <c:layout>
                <c:manualLayout>
                  <c:x val="-2.1161781822029413E-3"/>
                  <c:y val="-0.1783840503672613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C89-4652-B9CB-798E6DA81382}"/>
                </c:ext>
              </c:extLst>
            </c:dLbl>
            <c:dLbl>
              <c:idx val="25"/>
              <c:layout>
                <c:manualLayout>
                  <c:x val="0"/>
                  <c:y val="-0.1941238195173138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C89-4652-B9CB-798E6DA81382}"/>
                </c:ext>
              </c:extLst>
            </c:dLbl>
            <c:dLbl>
              <c:idx val="27"/>
              <c:layout>
                <c:manualLayout>
                  <c:x val="-4.2323563644059608E-3"/>
                  <c:y val="-0.2833158447009444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C89-4652-B9CB-798E6DA81382}"/>
                </c:ext>
              </c:extLst>
            </c:dLbl>
            <c:dLbl>
              <c:idx val="29"/>
              <c:layout>
                <c:manualLayout>
                  <c:x val="-1.5518460732238949E-16"/>
                  <c:y val="-0.2151101783840504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C89-4652-B9CB-798E6DA81382}"/>
                </c:ext>
              </c:extLst>
            </c:dLbl>
            <c:dLbl>
              <c:idx val="32"/>
              <c:layout>
                <c:manualLayout>
                  <c:x val="2.1161781822027861E-3"/>
                  <c:y val="-0.1311647429171039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3C89-4652-B9CB-798E6DA81382}"/>
                </c:ext>
              </c:extLst>
            </c:dLbl>
            <c:dLbl>
              <c:idx val="33"/>
              <c:layout>
                <c:manualLayout>
                  <c:x val="2.1161781822029413E-3"/>
                  <c:y val="-0.2151101783840504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3C89-4652-B9CB-798E6DA81382}"/>
                </c:ext>
              </c:extLst>
            </c:dLbl>
            <c:dLbl>
              <c:idx val="34"/>
              <c:layout>
                <c:manualLayout>
                  <c:x val="-6.3485345466089797E-3"/>
                  <c:y val="-0.173137460650577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3C89-4652-B9CB-798E6DA81382}"/>
                </c:ext>
              </c:extLst>
            </c:dLbl>
            <c:dLbl>
              <c:idx val="35"/>
              <c:layout>
                <c:manualLayout>
                  <c:x val="-8.4647127288119215E-3"/>
                  <c:y val="-0.2098635886673662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3C89-4652-B9CB-798E6DA81382}"/>
                </c:ext>
              </c:extLst>
            </c:dLbl>
            <c:dLbl>
              <c:idx val="36"/>
              <c:layout>
                <c:manualLayout>
                  <c:x val="-1.0580890911014863E-2"/>
                  <c:y val="-0.2413431269674712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3C89-4652-B9CB-798E6DA81382}"/>
                </c:ext>
              </c:extLst>
            </c:dLbl>
            <c:dLbl>
              <c:idx val="37"/>
              <c:layout>
                <c:manualLayout>
                  <c:x val="-6.3485345466088245E-3"/>
                  <c:y val="-0.2256033578174187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3C89-4652-B9CB-798E6DA8138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'KONSULLTIMET PUBLIKE '!$Q$5:$Q$43</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c:v>
                </c:pt>
              </c:strCache>
            </c:strRef>
          </c:cat>
          <c:val>
            <c:numRef>
              <c:f>'KONSULLTIMET PUBLIKE '!$S$5:$S$43</c:f>
              <c:numCache>
                <c:formatCode>General</c:formatCode>
                <c:ptCount val="39"/>
                <c:pt idx="0">
                  <c:v>0</c:v>
                </c:pt>
                <c:pt idx="1">
                  <c:v>0</c:v>
                </c:pt>
                <c:pt idx="2">
                  <c:v>0</c:v>
                </c:pt>
                <c:pt idx="3">
                  <c:v>0</c:v>
                </c:pt>
                <c:pt idx="4">
                  <c:v>0</c:v>
                </c:pt>
                <c:pt idx="5">
                  <c:v>0</c:v>
                </c:pt>
                <c:pt idx="6">
                  <c:v>0</c:v>
                </c:pt>
                <c:pt idx="7">
                  <c:v>0</c:v>
                </c:pt>
                <c:pt idx="8">
                  <c:v>0</c:v>
                </c:pt>
                <c:pt idx="9">
                  <c:v>0</c:v>
                </c:pt>
                <c:pt idx="10">
                  <c:v>11</c:v>
                </c:pt>
                <c:pt idx="11">
                  <c:v>0</c:v>
                </c:pt>
                <c:pt idx="12">
                  <c:v>0</c:v>
                </c:pt>
                <c:pt idx="13">
                  <c:v>0</c:v>
                </c:pt>
                <c:pt idx="14">
                  <c:v>0</c:v>
                </c:pt>
                <c:pt idx="15">
                  <c:v>0</c:v>
                </c:pt>
                <c:pt idx="16">
                  <c:v>0</c:v>
                </c:pt>
                <c:pt idx="17">
                  <c:v>0</c:v>
                </c:pt>
                <c:pt idx="18">
                  <c:v>0</c:v>
                </c:pt>
                <c:pt idx="19">
                  <c:v>0</c:v>
                </c:pt>
                <c:pt idx="20">
                  <c:v>0</c:v>
                </c:pt>
                <c:pt idx="21">
                  <c:v>0</c:v>
                </c:pt>
                <c:pt idx="22">
                  <c:v>0</c:v>
                </c:pt>
                <c:pt idx="23">
                  <c:v>8</c:v>
                </c:pt>
                <c:pt idx="24">
                  <c:v>0</c:v>
                </c:pt>
                <c:pt idx="25">
                  <c:v>0</c:v>
                </c:pt>
                <c:pt idx="26">
                  <c:v>0</c:v>
                </c:pt>
                <c:pt idx="27">
                  <c:v>0</c:v>
                </c:pt>
                <c:pt idx="29">
                  <c:v>0</c:v>
                </c:pt>
                <c:pt idx="32">
                  <c:v>0</c:v>
                </c:pt>
                <c:pt idx="33">
                  <c:v>0</c:v>
                </c:pt>
                <c:pt idx="34">
                  <c:v>0</c:v>
                </c:pt>
                <c:pt idx="35">
                  <c:v>0</c:v>
                </c:pt>
                <c:pt idx="36">
                  <c:v>0</c:v>
                </c:pt>
                <c:pt idx="37">
                  <c:v>0</c:v>
                </c:pt>
                <c:pt idx="38">
                  <c:v>2</c:v>
                </c:pt>
              </c:numCache>
            </c:numRef>
          </c:val>
          <c:extLst>
            <c:ext xmlns:c16="http://schemas.microsoft.com/office/drawing/2014/chart" uri="{C3380CC4-5D6E-409C-BE32-E72D297353CC}">
              <c16:uniqueId val="{00000001-3C89-4652-B9CB-798E6DA81382}"/>
            </c:ext>
          </c:extLst>
        </c:ser>
        <c:dLbls>
          <c:dLblPos val="ctr"/>
          <c:showLegendKey val="0"/>
          <c:showVal val="1"/>
          <c:showCatName val="0"/>
          <c:showSerName val="0"/>
          <c:showPercent val="0"/>
          <c:showBubbleSize val="0"/>
        </c:dLbls>
        <c:gapWidth val="150"/>
        <c:overlap val="100"/>
        <c:axId val="705025832"/>
        <c:axId val="705027792"/>
      </c:barChart>
      <c:catAx>
        <c:axId val="7050258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1" i="1" u="none" strike="noStrike" kern="1200" baseline="0">
                <a:solidFill>
                  <a:schemeClr val="tx2"/>
                </a:solidFill>
                <a:latin typeface="+mj-lt"/>
                <a:ea typeface="+mn-ea"/>
                <a:cs typeface="+mn-cs"/>
              </a:defRPr>
            </a:pPr>
            <a:endParaRPr lang="en-US"/>
          </a:p>
        </c:txPr>
        <c:crossAx val="705027792"/>
        <c:crosses val="autoZero"/>
        <c:auto val="1"/>
        <c:lblAlgn val="ctr"/>
        <c:lblOffset val="100"/>
        <c:noMultiLvlLbl val="0"/>
      </c:catAx>
      <c:valAx>
        <c:axId val="705027792"/>
        <c:scaling>
          <c:orientation val="minMax"/>
        </c:scaling>
        <c:delete val="1"/>
        <c:axPos val="l"/>
        <c:numFmt formatCode="General" sourceLinked="1"/>
        <c:majorTickMark val="none"/>
        <c:minorTickMark val="none"/>
        <c:tickLblPos val="nextTo"/>
        <c:crossAx val="705025832"/>
        <c:crosses val="autoZero"/>
        <c:crossBetween val="between"/>
      </c:valAx>
      <c:spPr>
        <a:blipFill>
          <a:blip xmlns:r="http://schemas.openxmlformats.org/officeDocument/2006/relationships" r:embed="rId3"/>
          <a:tile tx="0" ty="0" sx="100000" sy="100000" flip="none" algn="tl"/>
        </a:blipFill>
        <a:ln>
          <a:noFill/>
        </a:ln>
        <a:effectLst/>
      </c:spPr>
    </c:plotArea>
    <c:legend>
      <c:legendPos val="b"/>
      <c:overlay val="0"/>
      <c:spPr>
        <a:noFill/>
        <a:ln>
          <a:noFill/>
        </a:ln>
        <a:effectLst/>
      </c:spPr>
      <c:txPr>
        <a:bodyPr rot="0" spcFirstLastPara="1" vertOverflow="ellipsis" vert="horz" wrap="square" anchor="ctr" anchorCtr="1"/>
        <a:lstStyle/>
        <a:p>
          <a:pPr>
            <a:defRPr sz="700" b="1" i="0" u="none" strike="noStrike" kern="1200" baseline="0">
              <a:solidFill>
                <a:schemeClr val="tx2"/>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'KONSULLTIMET PUBLIKE '!$W$4</c:f>
              <c:strCache>
                <c:ptCount val="1"/>
                <c:pt idx="0">
                  <c:v>Raporti  për  konsultime publik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'KONSULLTIMET PUBLIKE '!$V$5:$V$43</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c:v>
                </c:pt>
              </c:strCache>
            </c:strRef>
          </c:cat>
          <c:val>
            <c:numRef>
              <c:f>'KONSULLTIMET PUBLIKE '!$W$5:$W$43</c:f>
              <c:numCache>
                <c:formatCode>General</c:formatCode>
                <c:ptCount val="39"/>
                <c:pt idx="0">
                  <c:v>0</c:v>
                </c:pt>
                <c:pt idx="1">
                  <c:v>4</c:v>
                </c:pt>
                <c:pt idx="2">
                  <c:v>0</c:v>
                </c:pt>
                <c:pt idx="3">
                  <c:v>2</c:v>
                </c:pt>
                <c:pt idx="4">
                  <c:v>3</c:v>
                </c:pt>
                <c:pt idx="5">
                  <c:v>5</c:v>
                </c:pt>
                <c:pt idx="6">
                  <c:v>0</c:v>
                </c:pt>
                <c:pt idx="7">
                  <c:v>1</c:v>
                </c:pt>
                <c:pt idx="8">
                  <c:v>0</c:v>
                </c:pt>
                <c:pt idx="9">
                  <c:v>1</c:v>
                </c:pt>
                <c:pt idx="10">
                  <c:v>13</c:v>
                </c:pt>
                <c:pt idx="11">
                  <c:v>3</c:v>
                </c:pt>
                <c:pt idx="12">
                  <c:v>3</c:v>
                </c:pt>
                <c:pt idx="13">
                  <c:v>0</c:v>
                </c:pt>
                <c:pt idx="14">
                  <c:v>4</c:v>
                </c:pt>
                <c:pt idx="15">
                  <c:v>1</c:v>
                </c:pt>
                <c:pt idx="16">
                  <c:v>3</c:v>
                </c:pt>
                <c:pt idx="17">
                  <c:v>0</c:v>
                </c:pt>
                <c:pt idx="18">
                  <c:v>1</c:v>
                </c:pt>
                <c:pt idx="19">
                  <c:v>0</c:v>
                </c:pt>
                <c:pt idx="20">
                  <c:v>1</c:v>
                </c:pt>
                <c:pt idx="21">
                  <c:v>0</c:v>
                </c:pt>
                <c:pt idx="22">
                  <c:v>0</c:v>
                </c:pt>
                <c:pt idx="23">
                  <c:v>7</c:v>
                </c:pt>
                <c:pt idx="24">
                  <c:v>1</c:v>
                </c:pt>
                <c:pt idx="25">
                  <c:v>0</c:v>
                </c:pt>
                <c:pt idx="26">
                  <c:v>9</c:v>
                </c:pt>
                <c:pt idx="27">
                  <c:v>0</c:v>
                </c:pt>
                <c:pt idx="28">
                  <c:v>2</c:v>
                </c:pt>
                <c:pt idx="29">
                  <c:v>0</c:v>
                </c:pt>
                <c:pt idx="30">
                  <c:v>0</c:v>
                </c:pt>
                <c:pt idx="31">
                  <c:v>3</c:v>
                </c:pt>
                <c:pt idx="32">
                  <c:v>0</c:v>
                </c:pt>
                <c:pt idx="33">
                  <c:v>0</c:v>
                </c:pt>
                <c:pt idx="34">
                  <c:v>0</c:v>
                </c:pt>
                <c:pt idx="35">
                  <c:v>0</c:v>
                </c:pt>
                <c:pt idx="36">
                  <c:v>0</c:v>
                </c:pt>
                <c:pt idx="37">
                  <c:v>0</c:v>
                </c:pt>
                <c:pt idx="38">
                  <c:v>18</c:v>
                </c:pt>
              </c:numCache>
            </c:numRef>
          </c:val>
          <c:extLst>
            <c:ext xmlns:c16="http://schemas.microsoft.com/office/drawing/2014/chart" uri="{C3380CC4-5D6E-409C-BE32-E72D297353CC}">
              <c16:uniqueId val="{00000000-E277-4C16-AAF0-A2A0C4FCB72D}"/>
            </c:ext>
          </c:extLst>
        </c:ser>
        <c:ser>
          <c:idx val="1"/>
          <c:order val="1"/>
          <c:tx>
            <c:strRef>
              <c:f>'KONSULLTIMET PUBLIKE '!$X$4</c:f>
              <c:strCache>
                <c:ptCount val="1"/>
                <c:pt idx="0">
                  <c:v>Raporti vjetor I konsultimeve publike </c:v>
                </c:pt>
              </c:strCache>
            </c:strRef>
          </c:tx>
          <c:spPr>
            <a:solidFill>
              <a:schemeClr val="accent2"/>
            </a:solidFill>
            <a:ln>
              <a:noFill/>
            </a:ln>
            <a:effectLst/>
          </c:spPr>
          <c:invertIfNegative val="0"/>
          <c:dLbls>
            <c:dLbl>
              <c:idx val="0"/>
              <c:layout>
                <c:manualLayout>
                  <c:x val="0"/>
                  <c:y val="-0.1857923497267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77-4C16-AAF0-A2A0C4FCB72D}"/>
                </c:ext>
              </c:extLst>
            </c:dLbl>
            <c:dLbl>
              <c:idx val="1"/>
              <c:layout>
                <c:manualLayout>
                  <c:x val="6.6474628849988917E-3"/>
                  <c:y val="-0.180327868852459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77-4C16-AAF0-A2A0C4FCB72D}"/>
                </c:ext>
              </c:extLst>
            </c:dLbl>
            <c:dLbl>
              <c:idx val="2"/>
              <c:layout>
                <c:manualLayout>
                  <c:x val="2.2158209616662972E-3"/>
                  <c:y val="-0.1857923497267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77-4C16-AAF0-A2A0C4FCB72D}"/>
                </c:ext>
              </c:extLst>
            </c:dLbl>
            <c:dLbl>
              <c:idx val="3"/>
              <c:layout>
                <c:manualLayout>
                  <c:x val="2.2158209616662972E-3"/>
                  <c:y val="-0.267759562841530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77-4C16-AAF0-A2A0C4FCB72D}"/>
                </c:ext>
              </c:extLst>
            </c:dLbl>
            <c:dLbl>
              <c:idx val="4"/>
              <c:layout>
                <c:manualLayout>
                  <c:x val="-2.0311457508917339E-17"/>
                  <c:y val="-0.158469945355191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77-4C16-AAF0-A2A0C4FCB72D}"/>
                </c:ext>
              </c:extLst>
            </c:dLbl>
            <c:dLbl>
              <c:idx val="5"/>
              <c:layout>
                <c:manualLayout>
                  <c:x val="-2.2158209616662972E-3"/>
                  <c:y val="-0.136612021857923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277-4C16-AAF0-A2A0C4FCB72D}"/>
                </c:ext>
              </c:extLst>
            </c:dLbl>
            <c:dLbl>
              <c:idx val="6"/>
              <c:layout>
                <c:manualLayout>
                  <c:x val="2.2158209616662972E-3"/>
                  <c:y val="-0.180327868852459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277-4C16-AAF0-A2A0C4FCB72D}"/>
                </c:ext>
              </c:extLst>
            </c:dLbl>
            <c:dLbl>
              <c:idx val="7"/>
              <c:layout>
                <c:manualLayout>
                  <c:x val="4.4316419233325537E-3"/>
                  <c:y val="-0.174863387978142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277-4C16-AAF0-A2A0C4FCB72D}"/>
                </c:ext>
              </c:extLst>
            </c:dLbl>
            <c:dLbl>
              <c:idx val="8"/>
              <c:layout>
                <c:manualLayout>
                  <c:x val="6.6474628849988917E-3"/>
                  <c:y val="-0.169398907103825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277-4C16-AAF0-A2A0C4FCB72D}"/>
                </c:ext>
              </c:extLst>
            </c:dLbl>
            <c:dLbl>
              <c:idx val="9"/>
              <c:layout>
                <c:manualLayout>
                  <c:x val="2.2158209616662972E-3"/>
                  <c:y val="-0.10382513661202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277-4C16-AAF0-A2A0C4FCB72D}"/>
                </c:ext>
              </c:extLst>
            </c:dLbl>
            <c:dLbl>
              <c:idx val="11"/>
              <c:layout>
                <c:manualLayout>
                  <c:x val="-4.0622915017834678E-17"/>
                  <c:y val="-0.125683060109289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277-4C16-AAF0-A2A0C4FCB72D}"/>
                </c:ext>
              </c:extLst>
            </c:dLbl>
            <c:dLbl>
              <c:idx val="12"/>
              <c:layout>
                <c:manualLayout>
                  <c:x val="0"/>
                  <c:y val="-0.136612021857923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277-4C16-AAF0-A2A0C4FCB72D}"/>
                </c:ext>
              </c:extLst>
            </c:dLbl>
            <c:dLbl>
              <c:idx val="13"/>
              <c:layout>
                <c:manualLayout>
                  <c:x val="0"/>
                  <c:y val="-0.153005464480874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277-4C16-AAF0-A2A0C4FCB72D}"/>
                </c:ext>
              </c:extLst>
            </c:dLbl>
            <c:dLbl>
              <c:idx val="14"/>
              <c:layout>
                <c:manualLayout>
                  <c:x val="0"/>
                  <c:y val="-0.147540983606557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277-4C16-AAF0-A2A0C4FCB72D}"/>
                </c:ext>
              </c:extLst>
            </c:dLbl>
            <c:dLbl>
              <c:idx val="15"/>
              <c:layout>
                <c:manualLayout>
                  <c:x val="4.4316419233325138E-3"/>
                  <c:y val="-0.185792349726775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277-4C16-AAF0-A2A0C4FCB72D}"/>
                </c:ext>
              </c:extLst>
            </c:dLbl>
            <c:dLbl>
              <c:idx val="16"/>
              <c:layout>
                <c:manualLayout>
                  <c:x val="6.6474628849988917E-3"/>
                  <c:y val="-0.169398907103825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277-4C16-AAF0-A2A0C4FCB72D}"/>
                </c:ext>
              </c:extLst>
            </c:dLbl>
            <c:dLbl>
              <c:idx val="17"/>
              <c:layout>
                <c:manualLayout>
                  <c:x val="8.8632838466651889E-3"/>
                  <c:y val="-0.180327868852459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277-4C16-AAF0-A2A0C4FCB72D}"/>
                </c:ext>
              </c:extLst>
            </c:dLbl>
            <c:dLbl>
              <c:idx val="18"/>
              <c:layout>
                <c:manualLayout>
                  <c:x val="6.647462884998811E-3"/>
                  <c:y val="-0.158469945355191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277-4C16-AAF0-A2A0C4FCB72D}"/>
                </c:ext>
              </c:extLst>
            </c:dLbl>
            <c:dLbl>
              <c:idx val="19"/>
              <c:layout>
                <c:manualLayout>
                  <c:x val="6.647462884998811E-3"/>
                  <c:y val="-0.21311475409836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277-4C16-AAF0-A2A0C4FCB72D}"/>
                </c:ext>
              </c:extLst>
            </c:dLbl>
            <c:dLbl>
              <c:idx val="20"/>
              <c:layout>
                <c:manualLayout>
                  <c:x val="0"/>
                  <c:y val="-0.153005464480874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277-4C16-AAF0-A2A0C4FCB72D}"/>
                </c:ext>
              </c:extLst>
            </c:dLbl>
            <c:dLbl>
              <c:idx val="21"/>
              <c:layout>
                <c:manualLayout>
                  <c:x val="0"/>
                  <c:y val="-0.131147540983606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277-4C16-AAF0-A2A0C4FCB72D}"/>
                </c:ext>
              </c:extLst>
            </c:dLbl>
            <c:dLbl>
              <c:idx val="22"/>
              <c:layout>
                <c:manualLayout>
                  <c:x val="0"/>
                  <c:y val="-0.174863387978142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277-4C16-AAF0-A2A0C4FCB72D}"/>
                </c:ext>
              </c:extLst>
            </c:dLbl>
            <c:dLbl>
              <c:idx val="24"/>
              <c:layout>
                <c:manualLayout>
                  <c:x val="-1.1079104808331486E-2"/>
                  <c:y val="-0.147540983606557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277-4C16-AAF0-A2A0C4FCB72D}"/>
                </c:ext>
              </c:extLst>
            </c:dLbl>
            <c:dLbl>
              <c:idx val="25"/>
              <c:layout>
                <c:manualLayout>
                  <c:x val="-8.1245830035669357E-17"/>
                  <c:y val="-0.147540983606557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277-4C16-AAF0-A2A0C4FCB72D}"/>
                </c:ext>
              </c:extLst>
            </c:dLbl>
            <c:dLbl>
              <c:idx val="27"/>
              <c:layout>
                <c:manualLayout>
                  <c:x val="-6.6474628849989732E-3"/>
                  <c:y val="-0.207650273224043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277-4C16-AAF0-A2A0C4FCB72D}"/>
                </c:ext>
              </c:extLst>
            </c:dLbl>
            <c:dLbl>
              <c:idx val="28"/>
              <c:layout>
                <c:manualLayout>
                  <c:x val="0"/>
                  <c:y val="-0.191256830601092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E277-4C16-AAF0-A2A0C4FCB72D}"/>
                </c:ext>
              </c:extLst>
            </c:dLbl>
            <c:dLbl>
              <c:idx val="29"/>
              <c:layout>
                <c:manualLayout>
                  <c:x val="-2.2158209616662972E-3"/>
                  <c:y val="-0.1857923497267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E277-4C16-AAF0-A2A0C4FCB72D}"/>
                </c:ext>
              </c:extLst>
            </c:dLbl>
            <c:dLbl>
              <c:idx val="30"/>
              <c:layout>
                <c:manualLayout>
                  <c:x val="4.4316419233325945E-3"/>
                  <c:y val="-0.174863387978142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E277-4C16-AAF0-A2A0C4FCB72D}"/>
                </c:ext>
              </c:extLst>
            </c:dLbl>
            <c:dLbl>
              <c:idx val="31"/>
              <c:layout>
                <c:manualLayout>
                  <c:x val="8.8632838466651889E-3"/>
                  <c:y val="-0.158469945355191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E277-4C16-AAF0-A2A0C4FCB72D}"/>
                </c:ext>
              </c:extLst>
            </c:dLbl>
            <c:dLbl>
              <c:idx val="32"/>
              <c:layout>
                <c:manualLayout>
                  <c:x val="8.8632838466651889E-3"/>
                  <c:y val="-0.147540983606557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E277-4C16-AAF0-A2A0C4FCB72D}"/>
                </c:ext>
              </c:extLst>
            </c:dLbl>
            <c:dLbl>
              <c:idx val="33"/>
              <c:layout>
                <c:manualLayout>
                  <c:x val="1.3294925769997783E-2"/>
                  <c:y val="-0.180327868852459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E277-4C16-AAF0-A2A0C4FCB72D}"/>
                </c:ext>
              </c:extLst>
            </c:dLbl>
            <c:dLbl>
              <c:idx val="34"/>
              <c:layout>
                <c:manualLayout>
                  <c:x val="1.1079104808331486E-2"/>
                  <c:y val="-0.169398907103825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E277-4C16-AAF0-A2A0C4FCB72D}"/>
                </c:ext>
              </c:extLst>
            </c:dLbl>
            <c:dLbl>
              <c:idx val="35"/>
              <c:layout>
                <c:manualLayout>
                  <c:x val="8.8632838466650276E-3"/>
                  <c:y val="-0.153005464480874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E277-4C16-AAF0-A2A0C4FCB72D}"/>
                </c:ext>
              </c:extLst>
            </c:dLbl>
            <c:dLbl>
              <c:idx val="36"/>
              <c:layout>
                <c:manualLayout>
                  <c:x val="0"/>
                  <c:y val="-0.142076502732240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E277-4C16-AAF0-A2A0C4FCB72D}"/>
                </c:ext>
              </c:extLst>
            </c:dLbl>
            <c:dLbl>
              <c:idx val="37"/>
              <c:layout>
                <c:manualLayout>
                  <c:x val="-1.6249166007133871E-16"/>
                  <c:y val="-0.142076502732240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E277-4C16-AAF0-A2A0C4FCB72D}"/>
                </c:ext>
              </c:extLst>
            </c:dLbl>
            <c:dLbl>
              <c:idx val="38"/>
              <c:layout>
                <c:manualLayout>
                  <c:x val="-8.34313830356187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95-4B1A-8391-67A8C103F97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'KONSULLTIMET PUBLIKE '!$V$5:$V$43</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c:v>
                </c:pt>
              </c:strCache>
            </c:strRef>
          </c:cat>
          <c:val>
            <c:numRef>
              <c:f>'KONSULLTIMET PUBLIKE '!$X$5:$X$43</c:f>
              <c:numCache>
                <c:formatCode>General</c:formatCode>
                <c:ptCount val="39"/>
                <c:pt idx="0">
                  <c:v>0</c:v>
                </c:pt>
                <c:pt idx="1">
                  <c:v>1</c:v>
                </c:pt>
                <c:pt idx="2">
                  <c:v>0</c:v>
                </c:pt>
                <c:pt idx="3">
                  <c:v>0</c:v>
                </c:pt>
                <c:pt idx="4">
                  <c:v>1</c:v>
                </c:pt>
                <c:pt idx="5">
                  <c:v>1</c:v>
                </c:pt>
                <c:pt idx="6">
                  <c:v>0</c:v>
                </c:pt>
                <c:pt idx="7">
                  <c:v>1</c:v>
                </c:pt>
                <c:pt idx="8">
                  <c:v>1</c:v>
                </c:pt>
                <c:pt idx="9">
                  <c:v>0</c:v>
                </c:pt>
                <c:pt idx="10">
                  <c:v>1</c:v>
                </c:pt>
                <c:pt idx="11">
                  <c:v>1</c:v>
                </c:pt>
                <c:pt idx="12">
                  <c:v>1</c:v>
                </c:pt>
                <c:pt idx="13">
                  <c:v>0</c:v>
                </c:pt>
                <c:pt idx="14">
                  <c:v>1</c:v>
                </c:pt>
                <c:pt idx="15">
                  <c:v>1</c:v>
                </c:pt>
                <c:pt idx="16">
                  <c:v>1</c:v>
                </c:pt>
                <c:pt idx="17">
                  <c:v>0</c:v>
                </c:pt>
                <c:pt idx="18">
                  <c:v>1</c:v>
                </c:pt>
                <c:pt idx="19">
                  <c:v>0</c:v>
                </c:pt>
                <c:pt idx="20">
                  <c:v>1</c:v>
                </c:pt>
                <c:pt idx="21">
                  <c:v>1</c:v>
                </c:pt>
                <c:pt idx="22">
                  <c:v>0</c:v>
                </c:pt>
                <c:pt idx="23">
                  <c:v>1</c:v>
                </c:pt>
                <c:pt idx="24">
                  <c:v>1</c:v>
                </c:pt>
                <c:pt idx="25">
                  <c:v>0</c:v>
                </c:pt>
                <c:pt idx="26">
                  <c:v>1</c:v>
                </c:pt>
                <c:pt idx="27">
                  <c:v>0</c:v>
                </c:pt>
                <c:pt idx="28">
                  <c:v>0</c:v>
                </c:pt>
                <c:pt idx="29">
                  <c:v>0</c:v>
                </c:pt>
                <c:pt idx="30">
                  <c:v>0</c:v>
                </c:pt>
                <c:pt idx="31">
                  <c:v>1</c:v>
                </c:pt>
                <c:pt idx="32">
                  <c:v>0</c:v>
                </c:pt>
                <c:pt idx="33">
                  <c:v>0</c:v>
                </c:pt>
                <c:pt idx="34">
                  <c:v>0</c:v>
                </c:pt>
                <c:pt idx="35">
                  <c:v>0</c:v>
                </c:pt>
                <c:pt idx="36">
                  <c:v>0</c:v>
                </c:pt>
                <c:pt idx="37">
                  <c:v>0</c:v>
                </c:pt>
                <c:pt idx="38">
                  <c:v>18</c:v>
                </c:pt>
              </c:numCache>
            </c:numRef>
          </c:val>
          <c:extLst>
            <c:ext xmlns:c16="http://schemas.microsoft.com/office/drawing/2014/chart" uri="{C3380CC4-5D6E-409C-BE32-E72D297353CC}">
              <c16:uniqueId val="{00000001-E277-4C16-AAF0-A2A0C4FCB72D}"/>
            </c:ext>
          </c:extLst>
        </c:ser>
        <c:dLbls>
          <c:showLegendKey val="0"/>
          <c:showVal val="1"/>
          <c:showCatName val="0"/>
          <c:showSerName val="0"/>
          <c:showPercent val="0"/>
          <c:showBubbleSize val="0"/>
        </c:dLbls>
        <c:gapWidth val="150"/>
        <c:overlap val="-25"/>
        <c:axId val="705027008"/>
        <c:axId val="705028184"/>
      </c:barChart>
      <c:catAx>
        <c:axId val="70502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1" u="none" strike="noStrike" kern="1200" baseline="0">
                <a:solidFill>
                  <a:schemeClr val="tx1">
                    <a:lumMod val="65000"/>
                    <a:lumOff val="35000"/>
                  </a:schemeClr>
                </a:solidFill>
                <a:latin typeface="+mj-lt"/>
                <a:ea typeface="+mn-ea"/>
                <a:cs typeface="+mn-cs"/>
              </a:defRPr>
            </a:pPr>
            <a:endParaRPr lang="en-US"/>
          </a:p>
        </c:txPr>
        <c:crossAx val="705028184"/>
        <c:crosses val="autoZero"/>
        <c:auto val="1"/>
        <c:lblAlgn val="ctr"/>
        <c:lblOffset val="100"/>
        <c:noMultiLvlLbl val="0"/>
      </c:catAx>
      <c:valAx>
        <c:axId val="705028184"/>
        <c:scaling>
          <c:orientation val="minMax"/>
        </c:scaling>
        <c:delete val="1"/>
        <c:axPos val="l"/>
        <c:numFmt formatCode="General" sourceLinked="1"/>
        <c:majorTickMark val="none"/>
        <c:minorTickMark val="none"/>
        <c:tickLblPos val="nextTo"/>
        <c:crossAx val="7050270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'AKTET E  KUVENDIT '!$C$7</c:f>
              <c:strCache>
                <c:ptCount val="1"/>
                <c:pt idx="0">
                  <c:v>Numri i akteve të publikuar </c:v>
                </c:pt>
              </c:strCache>
            </c:strRef>
          </c:tx>
          <c:spPr>
            <a:solidFill>
              <a:schemeClr val="accent1"/>
            </a:solidFill>
            <a:ln>
              <a:noFill/>
            </a:ln>
            <a:effectLst/>
          </c:spPr>
          <c:invertIfNegative val="0"/>
          <c:dLbls>
            <c:dLbl>
              <c:idx val="0"/>
              <c:layout>
                <c:manualLayout>
                  <c:x val="4.4316419233325945E-3"/>
                  <c:y val="-0.14449127031908485"/>
                </c:manualLayout>
              </c:layout>
              <c:tx>
                <c:rich>
                  <a:bodyPr/>
                  <a:lstStyle/>
                  <a:p>
                    <a:r>
                      <a:rPr lang="en-US"/>
                      <a:t>34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3BC-48B6-8B02-DB086E4A5925}"/>
                </c:ext>
              </c:extLst>
            </c:dLbl>
            <c:dLbl>
              <c:idx val="2"/>
              <c:layout>
                <c:manualLayout>
                  <c:x val="-1.015572875445867E-17"/>
                  <c:y val="-0.156532209512342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BC-48B6-8B02-DB086E4A5925}"/>
                </c:ext>
              </c:extLst>
            </c:dLbl>
            <c:dLbl>
              <c:idx val="4"/>
              <c:layout>
                <c:manualLayout>
                  <c:x val="0"/>
                  <c:y val="-0.150511739915713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BC-48B6-8B02-DB086E4A5925}"/>
                </c:ext>
              </c:extLst>
            </c:dLbl>
            <c:dLbl>
              <c:idx val="6"/>
              <c:layout>
                <c:manualLayout>
                  <c:x val="-6.6474628849988917E-3"/>
                  <c:y val="-0.186634557495484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BC-48B6-8B02-DB086E4A5925}"/>
                </c:ext>
              </c:extLst>
            </c:dLbl>
            <c:dLbl>
              <c:idx val="8"/>
              <c:layout>
                <c:manualLayout>
                  <c:x val="0"/>
                  <c:y val="-0.144491270319084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BC-48B6-8B02-DB086E4A5925}"/>
                </c:ext>
              </c:extLst>
            </c:dLbl>
            <c:dLbl>
              <c:idx val="10"/>
              <c:layout>
                <c:manualLayout>
                  <c:x val="2.2158209616662972E-3"/>
                  <c:y val="-0.216736905478627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3BC-48B6-8B02-DB086E4A5925}"/>
                </c:ext>
              </c:extLst>
            </c:dLbl>
            <c:dLbl>
              <c:idx val="12"/>
              <c:layout>
                <c:manualLayout>
                  <c:x val="-4.0622915017834678E-17"/>
                  <c:y val="-0.120409391932570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3BC-48B6-8B02-DB086E4A5925}"/>
                </c:ext>
              </c:extLst>
            </c:dLbl>
            <c:dLbl>
              <c:idx val="14"/>
              <c:layout>
                <c:manualLayout>
                  <c:x val="-4.0622915017834678E-17"/>
                  <c:y val="-0.174593618302227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3BC-48B6-8B02-DB086E4A5925}"/>
                </c:ext>
              </c:extLst>
            </c:dLbl>
            <c:dLbl>
              <c:idx val="16"/>
              <c:layout>
                <c:manualLayout>
                  <c:x val="2.2158209616662161E-3"/>
                  <c:y val="-0.168573148705599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3BC-48B6-8B02-DB086E4A5925}"/>
                </c:ext>
              </c:extLst>
            </c:dLbl>
            <c:dLbl>
              <c:idx val="18"/>
              <c:layout>
                <c:manualLayout>
                  <c:x val="-8.1245830035669357E-17"/>
                  <c:y val="-0.114388922335942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3BC-48B6-8B02-DB086E4A5925}"/>
                </c:ext>
              </c:extLst>
            </c:dLbl>
            <c:dLbl>
              <c:idx val="20"/>
              <c:layout>
                <c:manualLayout>
                  <c:x val="0"/>
                  <c:y val="-0.138470800722456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3BC-48B6-8B02-DB086E4A5925}"/>
                </c:ext>
              </c:extLst>
            </c:dLbl>
            <c:dLbl>
              <c:idx val="22"/>
              <c:layout>
                <c:manualLayout>
                  <c:x val="-8.1245830035669357E-17"/>
                  <c:y val="-0.120409391932570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3BC-48B6-8B02-DB086E4A5925}"/>
                </c:ext>
              </c:extLst>
            </c:dLbl>
            <c:dLbl>
              <c:idx val="24"/>
              <c:layout>
                <c:manualLayout>
                  <c:x val="-8.1245830035669357E-17"/>
                  <c:y val="-0.150511739915713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3BC-48B6-8B02-DB086E4A5925}"/>
                </c:ext>
              </c:extLst>
            </c:dLbl>
            <c:dLbl>
              <c:idx val="26"/>
              <c:layout>
                <c:manualLayout>
                  <c:x val="-2.2158209616662972E-3"/>
                  <c:y val="-0.174593618302227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3BC-48B6-8B02-DB086E4A5925}"/>
                </c:ext>
              </c:extLst>
            </c:dLbl>
            <c:dLbl>
              <c:idx val="28"/>
              <c:layout>
                <c:manualLayout>
                  <c:x val="-6.6474628849989732E-3"/>
                  <c:y val="-0.126429861529199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3BC-48B6-8B02-DB086E4A5925}"/>
                </c:ext>
              </c:extLst>
            </c:dLbl>
            <c:dLbl>
              <c:idx val="30"/>
              <c:layout>
                <c:manualLayout>
                  <c:x val="-4.4316419233325945E-3"/>
                  <c:y val="-0.222757375075255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3BC-48B6-8B02-DB086E4A5925}"/>
                </c:ext>
              </c:extLst>
            </c:dLbl>
            <c:dLbl>
              <c:idx val="32"/>
              <c:layout>
                <c:manualLayout>
                  <c:x val="0"/>
                  <c:y val="-0.15653220951234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3BC-48B6-8B02-DB086E4A5925}"/>
                </c:ext>
              </c:extLst>
            </c:dLbl>
            <c:dLbl>
              <c:idx val="34"/>
              <c:layout>
                <c:manualLayout>
                  <c:x val="-1.1079104808331486E-2"/>
                  <c:y val="-0.132450331125827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3BC-48B6-8B02-DB086E4A5925}"/>
                </c:ext>
              </c:extLst>
            </c:dLbl>
            <c:dLbl>
              <c:idx val="36"/>
              <c:layout>
                <c:manualLayout>
                  <c:x val="-1.6249166007133871E-16"/>
                  <c:y val="-0.132450331125827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3BC-48B6-8B02-DB086E4A5925}"/>
                </c:ext>
              </c:extLst>
            </c:dLbl>
            <c:dLbl>
              <c:idx val="38"/>
              <c:tx>
                <c:rich>
                  <a:bodyPr/>
                  <a:lstStyle/>
                  <a:p>
                    <a:r>
                      <a:rPr lang="en-US"/>
                      <a:t>1203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F89-4C86-8FC1-94720C1E2813}"/>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Century Schoolbook" panose="020406040505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KUVENDIT '!$B$8:$B$46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KUVENDIT '!$C$8:$C$46</c:f>
              <c:numCache>
                <c:formatCode>General</c:formatCode>
                <c:ptCount val="39"/>
                <c:pt idx="0">
                  <c:v>0</c:v>
                </c:pt>
                <c:pt idx="1">
                  <c:v>67</c:v>
                </c:pt>
                <c:pt idx="2">
                  <c:v>23</c:v>
                </c:pt>
                <c:pt idx="3">
                  <c:v>14</c:v>
                </c:pt>
                <c:pt idx="4">
                  <c:v>2</c:v>
                </c:pt>
                <c:pt idx="5">
                  <c:v>29</c:v>
                </c:pt>
                <c:pt idx="6">
                  <c:v>62</c:v>
                </c:pt>
                <c:pt idx="7">
                  <c:v>35</c:v>
                </c:pt>
                <c:pt idx="8">
                  <c:v>53</c:v>
                </c:pt>
                <c:pt idx="9">
                  <c:v>2</c:v>
                </c:pt>
                <c:pt idx="10">
                  <c:v>67</c:v>
                </c:pt>
                <c:pt idx="11">
                  <c:v>38</c:v>
                </c:pt>
                <c:pt idx="12">
                  <c:v>38</c:v>
                </c:pt>
                <c:pt idx="13">
                  <c:v>0</c:v>
                </c:pt>
                <c:pt idx="14">
                  <c:v>34</c:v>
                </c:pt>
                <c:pt idx="15">
                  <c:v>47</c:v>
                </c:pt>
                <c:pt idx="16">
                  <c:v>29</c:v>
                </c:pt>
                <c:pt idx="17">
                  <c:v>3</c:v>
                </c:pt>
                <c:pt idx="18">
                  <c:v>30</c:v>
                </c:pt>
                <c:pt idx="19">
                  <c:v>9</c:v>
                </c:pt>
                <c:pt idx="20">
                  <c:v>87</c:v>
                </c:pt>
                <c:pt idx="21">
                  <c:v>28</c:v>
                </c:pt>
                <c:pt idx="22">
                  <c:v>17</c:v>
                </c:pt>
                <c:pt idx="23">
                  <c:v>74</c:v>
                </c:pt>
                <c:pt idx="24">
                  <c:v>52</c:v>
                </c:pt>
                <c:pt idx="25">
                  <c:v>22</c:v>
                </c:pt>
                <c:pt idx="26">
                  <c:v>64</c:v>
                </c:pt>
                <c:pt idx="27">
                  <c:v>0</c:v>
                </c:pt>
                <c:pt idx="28">
                  <c:v>25</c:v>
                </c:pt>
                <c:pt idx="29">
                  <c:v>32</c:v>
                </c:pt>
                <c:pt idx="30">
                  <c:v>32</c:v>
                </c:pt>
                <c:pt idx="31">
                  <c:v>36</c:v>
                </c:pt>
                <c:pt idx="32">
                  <c:v>0</c:v>
                </c:pt>
                <c:pt idx="33">
                  <c:v>2</c:v>
                </c:pt>
                <c:pt idx="34">
                  <c:v>0</c:v>
                </c:pt>
                <c:pt idx="35">
                  <c:v>29</c:v>
                </c:pt>
                <c:pt idx="36">
                  <c:v>11</c:v>
                </c:pt>
                <c:pt idx="37">
                  <c:v>22</c:v>
                </c:pt>
                <c:pt idx="38">
                  <c:v>1203</c:v>
                </c:pt>
              </c:numCache>
            </c:numRef>
          </c:val>
          <c:extLst>
            <c:ext xmlns:c16="http://schemas.microsoft.com/office/drawing/2014/chart" uri="{C3380CC4-5D6E-409C-BE32-E72D297353CC}">
              <c16:uniqueId val="{00000001-D3BC-48B6-8B02-DB086E4A5925}"/>
            </c:ext>
          </c:extLst>
        </c:ser>
        <c:dLbls>
          <c:showLegendKey val="0"/>
          <c:showVal val="1"/>
          <c:showCatName val="0"/>
          <c:showSerName val="0"/>
          <c:showPercent val="0"/>
          <c:showBubbleSize val="0"/>
        </c:dLbls>
        <c:gapWidth val="150"/>
        <c:overlap val="-25"/>
        <c:axId val="509590192"/>
        <c:axId val="509583920"/>
      </c:barChart>
      <c:catAx>
        <c:axId val="50959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509583920"/>
        <c:crosses val="autoZero"/>
        <c:auto val="1"/>
        <c:lblAlgn val="ctr"/>
        <c:lblOffset val="100"/>
        <c:noMultiLvlLbl val="0"/>
      </c:catAx>
      <c:valAx>
        <c:axId val="509583920"/>
        <c:scaling>
          <c:orientation val="minMax"/>
        </c:scaling>
        <c:delete val="1"/>
        <c:axPos val="l"/>
        <c:numFmt formatCode="General" sourceLinked="1"/>
        <c:majorTickMark val="none"/>
        <c:minorTickMark val="none"/>
        <c:tickLblPos val="nextTo"/>
        <c:crossAx val="5095901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latin typeface="Century Schoolbook" panose="020406040505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'AKTET E  KUVENDIT '!$N$1:$N$7</c:f>
              <c:strCache>
                <c:ptCount val="7"/>
                <c:pt idx="6">
                  <c:v>Numri i vendimeve të publikuara të kuvendit komunal</c:v>
                </c:pt>
              </c:strCache>
            </c:strRef>
          </c:tx>
          <c:spPr>
            <a:solidFill>
              <a:schemeClr val="accent1"/>
            </a:solidFill>
            <a:ln>
              <a:noFill/>
            </a:ln>
            <a:effectLst/>
          </c:spPr>
          <c:invertIfNegative val="0"/>
          <c:dLbls>
            <c:dLbl>
              <c:idx val="0"/>
              <c:layout>
                <c:manualLayout>
                  <c:x val="-2.2158209616662972E-3"/>
                  <c:y val="-0.12216404886561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67-4ED8-98D0-C2AA090EEFBB}"/>
                </c:ext>
              </c:extLst>
            </c:dLbl>
            <c:dLbl>
              <c:idx val="1"/>
              <c:layout>
                <c:manualLayout>
                  <c:x val="1.1079104808331486E-2"/>
                  <c:y val="-0.279232111692844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A67-4ED8-98D0-C2AA090EEFBB}"/>
                </c:ext>
              </c:extLst>
            </c:dLbl>
            <c:dLbl>
              <c:idx val="2"/>
              <c:layout>
                <c:manualLayout>
                  <c:x val="6.6474628849988917E-3"/>
                  <c:y val="-0.186154741128563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A67-4ED8-98D0-C2AA090EEFBB}"/>
                </c:ext>
              </c:extLst>
            </c:dLbl>
            <c:dLbl>
              <c:idx val="3"/>
              <c:layout>
                <c:manualLayout>
                  <c:x val="1.5510746731664082E-2"/>
                  <c:y val="-0.180337405468295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A67-4ED8-98D0-C2AA090EEFBB}"/>
                </c:ext>
              </c:extLst>
            </c:dLbl>
            <c:dLbl>
              <c:idx val="4"/>
              <c:layout>
                <c:manualLayout>
                  <c:x val="6.6474628849988917E-3"/>
                  <c:y val="-4.6538685282140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4A67-4ED8-98D0-C2AA090EEFBB}"/>
                </c:ext>
              </c:extLst>
            </c:dLbl>
            <c:dLbl>
              <c:idx val="5"/>
              <c:layout>
                <c:manualLayout>
                  <c:x val="-2.0311457508917339E-17"/>
                  <c:y val="-0.12798138452588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A67-4ED8-98D0-C2AA090EEFBB}"/>
                </c:ext>
              </c:extLst>
            </c:dLbl>
            <c:dLbl>
              <c:idx val="6"/>
              <c:layout>
                <c:manualLayout>
                  <c:x val="-2.2158209616662972E-3"/>
                  <c:y val="-9.3077370564281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4A67-4ED8-98D0-C2AA090EEFBB}"/>
                </c:ext>
              </c:extLst>
            </c:dLbl>
            <c:dLbl>
              <c:idx val="7"/>
              <c:layout>
                <c:manualLayout>
                  <c:x val="-1.3294925769997783E-2"/>
                  <c:y val="-0.273414776032577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A67-4ED8-98D0-C2AA090EEFBB}"/>
                </c:ext>
              </c:extLst>
            </c:dLbl>
            <c:dLbl>
              <c:idx val="8"/>
              <c:layout>
                <c:manualLayout>
                  <c:x val="-6.6474628849988917E-3"/>
                  <c:y val="-0.174520069808027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A67-4ED8-98D0-C2AA090EEFBB}"/>
                </c:ext>
              </c:extLst>
            </c:dLbl>
            <c:dLbl>
              <c:idx val="9"/>
              <c:layout>
                <c:manualLayout>
                  <c:x val="1.1079104808331486E-2"/>
                  <c:y val="-0.145433391506689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4A67-4ED8-98D0-C2AA090EEFBB}"/>
                </c:ext>
              </c:extLst>
            </c:dLbl>
            <c:dLbl>
              <c:idx val="10"/>
              <c:layout>
                <c:manualLayout>
                  <c:x val="6.6474628849988917E-3"/>
                  <c:y val="-0.23269342641070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A67-4ED8-98D0-C2AA090EEFBB}"/>
                </c:ext>
              </c:extLst>
            </c:dLbl>
            <c:dLbl>
              <c:idx val="11"/>
              <c:layout>
                <c:manualLayout>
                  <c:x val="-2.2158209616662972E-3"/>
                  <c:y val="-7.5625363583478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A67-4ED8-98D0-C2AA090EEFBB}"/>
                </c:ext>
              </c:extLst>
            </c:dLbl>
            <c:dLbl>
              <c:idx val="12"/>
              <c:layout>
                <c:manualLayout>
                  <c:x val="2.2158209616662569E-3"/>
                  <c:y val="-0.226876090750436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A67-4ED8-98D0-C2AA090EEFBB}"/>
                </c:ext>
              </c:extLst>
            </c:dLbl>
            <c:dLbl>
              <c:idx val="13"/>
              <c:layout>
                <c:manualLayout>
                  <c:x val="4.4316419233325945E-3"/>
                  <c:y val="-0.12216404886561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4A67-4ED8-98D0-C2AA090EEFBB}"/>
                </c:ext>
              </c:extLst>
            </c:dLbl>
            <c:dLbl>
              <c:idx val="14"/>
              <c:layout>
                <c:manualLayout>
                  <c:x val="2.2158209616662569E-3"/>
                  <c:y val="-0.209424083769633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A67-4ED8-98D0-C2AA090EEFBB}"/>
                </c:ext>
              </c:extLst>
            </c:dLbl>
            <c:dLbl>
              <c:idx val="15"/>
              <c:layout>
                <c:manualLayout>
                  <c:x val="1.3294925769997704E-2"/>
                  <c:y val="-0.273414776032577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A67-4ED8-98D0-C2AA090EEFBB}"/>
                </c:ext>
              </c:extLst>
            </c:dLbl>
            <c:dLbl>
              <c:idx val="16"/>
              <c:layout>
                <c:manualLayout>
                  <c:x val="1.5510746731664082E-2"/>
                  <c:y val="-0.191972076788830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A67-4ED8-98D0-C2AA090EEFBB}"/>
                </c:ext>
              </c:extLst>
            </c:dLbl>
            <c:dLbl>
              <c:idx val="17"/>
              <c:layout>
                <c:manualLayout>
                  <c:x val="6.6474628849988917E-3"/>
                  <c:y val="-5.81733566026759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4A67-4ED8-98D0-C2AA090EEFBB}"/>
                </c:ext>
              </c:extLst>
            </c:dLbl>
            <c:dLbl>
              <c:idx val="18"/>
              <c:layout>
                <c:manualLayout>
                  <c:x val="1.1079104808331406E-2"/>
                  <c:y val="-0.308318789994182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A67-4ED8-98D0-C2AA090EEFBB}"/>
                </c:ext>
              </c:extLst>
            </c:dLbl>
            <c:dLbl>
              <c:idx val="19"/>
              <c:layout>
                <c:manualLayout>
                  <c:x val="2.2158209616662972E-3"/>
                  <c:y val="-0.157068062827225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67-4ED8-98D0-C2AA090EEFBB}"/>
                </c:ext>
              </c:extLst>
            </c:dLbl>
            <c:dLbl>
              <c:idx val="20"/>
              <c:layout>
                <c:manualLayout>
                  <c:x val="8.8632838466651889E-3"/>
                  <c:y val="-9.3077141535318611E-2"/>
                </c:manualLayout>
              </c:layout>
              <c:showLegendKey val="0"/>
              <c:showVal val="1"/>
              <c:showCatName val="0"/>
              <c:showSerName val="0"/>
              <c:showPercent val="0"/>
              <c:showBubbleSize val="0"/>
              <c:extLst>
                <c:ext xmlns:c15="http://schemas.microsoft.com/office/drawing/2012/chart" uri="{CE6537A1-D6FC-4f65-9D91-7224C49458BB}">
                  <c15:layout>
                    <c:manualLayout>
                      <c:w val="2.6612009749612232E-2"/>
                      <c:h val="7.763257341523408E-2"/>
                    </c:manualLayout>
                  </c15:layout>
                </c:ext>
                <c:ext xmlns:c16="http://schemas.microsoft.com/office/drawing/2014/chart" uri="{C3380CC4-5D6E-409C-BE32-E72D297353CC}">
                  <c16:uniqueId val="{00000014-4A67-4ED8-98D0-C2AA090EEFBB}"/>
                </c:ext>
              </c:extLst>
            </c:dLbl>
            <c:dLbl>
              <c:idx val="21"/>
              <c:layout>
                <c:manualLayout>
                  <c:x val="1.3294925769997783E-2"/>
                  <c:y val="-0.197789412449098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67-4ED8-98D0-C2AA090EEFBB}"/>
                </c:ext>
              </c:extLst>
            </c:dLbl>
            <c:dLbl>
              <c:idx val="22"/>
              <c:layout>
                <c:manualLayout>
                  <c:x val="-8.1245830035669357E-17"/>
                  <c:y val="-8.14426992437463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A67-4ED8-98D0-C2AA090EEFBB}"/>
                </c:ext>
              </c:extLst>
            </c:dLbl>
            <c:dLbl>
              <c:idx val="23"/>
              <c:layout>
                <c:manualLayout>
                  <c:x val="6.647462884998811E-3"/>
                  <c:y val="-0.285049447353112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A67-4ED8-98D0-C2AA090EEFBB}"/>
                </c:ext>
              </c:extLst>
            </c:dLbl>
            <c:dLbl>
              <c:idx val="24"/>
              <c:layout>
                <c:manualLayout>
                  <c:x val="0"/>
                  <c:y val="-0.19197207678883077"/>
                </c:manualLayout>
              </c:layout>
              <c:tx>
                <c:rich>
                  <a:bodyPr/>
                  <a:lstStyle/>
                  <a:p>
                    <a:r>
                      <a:rPr lang="en-US"/>
                      <a:t>52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4A67-4ED8-98D0-C2AA090EEFBB}"/>
                </c:ext>
              </c:extLst>
            </c:dLbl>
            <c:dLbl>
              <c:idx val="25"/>
              <c:layout>
                <c:manualLayout>
                  <c:x val="-8.1245830035669357E-17"/>
                  <c:y val="-8.7260034904013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4A67-4ED8-98D0-C2AA090EEFBB}"/>
                </c:ext>
              </c:extLst>
            </c:dLbl>
            <c:dLbl>
              <c:idx val="26"/>
              <c:layout>
                <c:manualLayout>
                  <c:x val="2.215820961666135E-3"/>
                  <c:y val="-0.151250727166957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A67-4ED8-98D0-C2AA090EEFBB}"/>
                </c:ext>
              </c:extLst>
            </c:dLbl>
            <c:dLbl>
              <c:idx val="27"/>
              <c:layout>
                <c:manualLayout>
                  <c:x val="4.4316419233325945E-3"/>
                  <c:y val="-6.39906922629436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4A67-4ED8-98D0-C2AA090EEFBB}"/>
                </c:ext>
              </c:extLst>
            </c:dLbl>
            <c:dLbl>
              <c:idx val="28"/>
              <c:layout>
                <c:manualLayout>
                  <c:x val="0"/>
                  <c:y val="-0.151250727166957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67-4ED8-98D0-C2AA090EEFBB}"/>
                </c:ext>
              </c:extLst>
            </c:dLbl>
            <c:dLbl>
              <c:idx val="29"/>
              <c:layout>
                <c:manualLayout>
                  <c:x val="6.6474628849988917E-3"/>
                  <c:y val="-0.273414776032577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A67-4ED8-98D0-C2AA090EEFBB}"/>
                </c:ext>
              </c:extLst>
            </c:dLbl>
            <c:dLbl>
              <c:idx val="30"/>
              <c:layout>
                <c:manualLayout>
                  <c:x val="8.7237045572401936E-8"/>
                  <c:y val="-0.13379849115719178"/>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5475293596277414E-2"/>
                      <c:h val="0.26960465020406477"/>
                    </c:manualLayout>
                  </c15:layout>
                </c:ext>
                <c:ext xmlns:c16="http://schemas.microsoft.com/office/drawing/2014/chart" uri="{C3380CC4-5D6E-409C-BE32-E72D297353CC}">
                  <c16:uniqueId val="{00000009-4A67-4ED8-98D0-C2AA090EEFBB}"/>
                </c:ext>
              </c:extLst>
            </c:dLbl>
            <c:dLbl>
              <c:idx val="31"/>
              <c:layout>
                <c:manualLayout>
                  <c:x val="0"/>
                  <c:y val="-7.5625363583478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4A67-4ED8-98D0-C2AA090EEFBB}"/>
                </c:ext>
              </c:extLst>
            </c:dLbl>
            <c:dLbl>
              <c:idx val="32"/>
              <c:layout>
                <c:manualLayout>
                  <c:x val="2.215820961666135E-3"/>
                  <c:y val="-0.197789412449098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A67-4ED8-98D0-C2AA090EEFBB}"/>
                </c:ext>
              </c:extLst>
            </c:dLbl>
            <c:dLbl>
              <c:idx val="33"/>
              <c:layout>
                <c:manualLayout>
                  <c:x val="0"/>
                  <c:y val="-5.2356020942408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4A67-4ED8-98D0-C2AA090EEFBB}"/>
                </c:ext>
              </c:extLst>
            </c:dLbl>
            <c:dLbl>
              <c:idx val="34"/>
              <c:layout>
                <c:manualLayout>
                  <c:x val="0"/>
                  <c:y val="-0.244328097731239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A67-4ED8-98D0-C2AA090EEFBB}"/>
                </c:ext>
              </c:extLst>
            </c:dLbl>
            <c:dLbl>
              <c:idx val="35"/>
              <c:layout>
                <c:manualLayout>
                  <c:x val="0"/>
                  <c:y val="-8.72600349040140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A67-4ED8-98D0-C2AA090EEFBB}"/>
                </c:ext>
              </c:extLst>
            </c:dLbl>
            <c:dLbl>
              <c:idx val="36"/>
              <c:layout>
                <c:manualLayout>
                  <c:x val="8.72370457348936E-8"/>
                  <c:y val="-0.18033717643933253"/>
                </c:manualLayout>
              </c:layout>
              <c:showLegendKey val="0"/>
              <c:showVal val="1"/>
              <c:showCatName val="0"/>
              <c:showSerName val="0"/>
              <c:showPercent val="0"/>
              <c:showBubbleSize val="0"/>
              <c:extLst>
                <c:ext xmlns:c15="http://schemas.microsoft.com/office/drawing/2012/chart" uri="{CE6537A1-D6FC-4f65-9D91-7224C49458BB}">
                  <c15:layout>
                    <c:manualLayout>
                      <c:w val="8.8854420562818476E-3"/>
                      <c:h val="7.763257341523408E-2"/>
                    </c:manualLayout>
                  </c15:layout>
                </c:ext>
                <c:ext xmlns:c16="http://schemas.microsoft.com/office/drawing/2014/chart" uri="{C3380CC4-5D6E-409C-BE32-E72D297353CC}">
                  <c16:uniqueId val="{00000008-4A67-4ED8-98D0-C2AA090EEFBB}"/>
                </c:ext>
              </c:extLst>
            </c:dLbl>
            <c:dLbl>
              <c:idx val="38"/>
              <c:tx>
                <c:rich>
                  <a:bodyPr/>
                  <a:lstStyle/>
                  <a:p>
                    <a:r>
                      <a:rPr lang="en-US"/>
                      <a:t>1147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3D3-4B97-BD74-E1582BCA8F4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KUVENDIT '!$M$8:$M$47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KUVENDIT '!$N$8:$N$47</c:f>
              <c:numCache>
                <c:formatCode>General</c:formatCode>
                <c:ptCount val="40"/>
                <c:pt idx="0">
                  <c:v>0</c:v>
                </c:pt>
                <c:pt idx="1">
                  <c:v>66</c:v>
                </c:pt>
                <c:pt idx="2">
                  <c:v>22</c:v>
                </c:pt>
                <c:pt idx="3">
                  <c:v>12</c:v>
                </c:pt>
                <c:pt idx="4">
                  <c:v>0</c:v>
                </c:pt>
                <c:pt idx="5">
                  <c:v>26</c:v>
                </c:pt>
                <c:pt idx="6">
                  <c:v>62</c:v>
                </c:pt>
                <c:pt idx="7">
                  <c:v>23</c:v>
                </c:pt>
                <c:pt idx="8">
                  <c:v>45</c:v>
                </c:pt>
                <c:pt idx="9">
                  <c:v>1</c:v>
                </c:pt>
                <c:pt idx="10">
                  <c:v>67</c:v>
                </c:pt>
                <c:pt idx="11">
                  <c:v>35</c:v>
                </c:pt>
                <c:pt idx="12">
                  <c:v>37</c:v>
                </c:pt>
                <c:pt idx="13">
                  <c:v>0</c:v>
                </c:pt>
                <c:pt idx="14">
                  <c:v>34</c:v>
                </c:pt>
                <c:pt idx="15">
                  <c:v>46</c:v>
                </c:pt>
                <c:pt idx="16">
                  <c:v>28</c:v>
                </c:pt>
                <c:pt idx="17">
                  <c:v>2</c:v>
                </c:pt>
                <c:pt idx="18">
                  <c:v>26</c:v>
                </c:pt>
                <c:pt idx="19">
                  <c:v>7</c:v>
                </c:pt>
                <c:pt idx="20">
                  <c:v>85</c:v>
                </c:pt>
                <c:pt idx="21">
                  <c:v>27</c:v>
                </c:pt>
                <c:pt idx="22">
                  <c:v>16</c:v>
                </c:pt>
                <c:pt idx="23">
                  <c:v>72</c:v>
                </c:pt>
                <c:pt idx="24">
                  <c:v>50</c:v>
                </c:pt>
                <c:pt idx="25">
                  <c:v>22</c:v>
                </c:pt>
                <c:pt idx="26">
                  <c:v>61</c:v>
                </c:pt>
                <c:pt idx="27">
                  <c:v>0</c:v>
                </c:pt>
                <c:pt idx="28">
                  <c:v>23</c:v>
                </c:pt>
                <c:pt idx="29">
                  <c:v>30</c:v>
                </c:pt>
                <c:pt idx="30">
                  <c:v>31</c:v>
                </c:pt>
                <c:pt idx="31">
                  <c:v>36</c:v>
                </c:pt>
                <c:pt idx="32">
                  <c:v>0</c:v>
                </c:pt>
                <c:pt idx="33">
                  <c:v>1</c:v>
                </c:pt>
                <c:pt idx="34">
                  <c:v>0</c:v>
                </c:pt>
                <c:pt idx="35">
                  <c:v>24</c:v>
                </c:pt>
                <c:pt idx="36">
                  <c:v>11</c:v>
                </c:pt>
                <c:pt idx="37">
                  <c:v>22</c:v>
                </c:pt>
                <c:pt idx="38">
                  <c:v>1145</c:v>
                </c:pt>
              </c:numCache>
            </c:numRef>
          </c:val>
          <c:extLst>
            <c:ext xmlns:c16="http://schemas.microsoft.com/office/drawing/2014/chart" uri="{C3380CC4-5D6E-409C-BE32-E72D297353CC}">
              <c16:uniqueId val="{00000000-4A67-4ED8-98D0-C2AA090EEFBB}"/>
            </c:ext>
          </c:extLst>
        </c:ser>
        <c:dLbls>
          <c:showLegendKey val="0"/>
          <c:showVal val="1"/>
          <c:showCatName val="0"/>
          <c:showSerName val="0"/>
          <c:showPercent val="0"/>
          <c:showBubbleSize val="0"/>
        </c:dLbls>
        <c:gapWidth val="95"/>
        <c:overlap val="100"/>
        <c:axId val="509586664"/>
        <c:axId val="509590584"/>
      </c:barChart>
      <c:catAx>
        <c:axId val="509586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crossAx val="509590584"/>
        <c:crosses val="autoZero"/>
        <c:auto val="1"/>
        <c:lblAlgn val="ctr"/>
        <c:lblOffset val="100"/>
        <c:noMultiLvlLbl val="0"/>
      </c:catAx>
      <c:valAx>
        <c:axId val="509590584"/>
        <c:scaling>
          <c:orientation val="minMax"/>
        </c:scaling>
        <c:delete val="1"/>
        <c:axPos val="l"/>
        <c:numFmt formatCode="General" sourceLinked="1"/>
        <c:majorTickMark val="none"/>
        <c:minorTickMark val="none"/>
        <c:tickLblPos val="nextTo"/>
        <c:crossAx val="509586664"/>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legendEntry>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'AKTET E  KUVENDIT '!$N$13</c:f>
              <c:strCache>
                <c:ptCount val="1"/>
                <c:pt idx="0">
                  <c:v>Numri i rregulloreve të kuvendit të publikuara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KUVENDIT '!$M$14:$M$53</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KUVENDIT '!$N$14:$N$53</c:f>
              <c:numCache>
                <c:formatCode>General</c:formatCode>
                <c:ptCount val="40"/>
                <c:pt idx="0">
                  <c:v>0</c:v>
                </c:pt>
                <c:pt idx="1">
                  <c:v>1</c:v>
                </c:pt>
                <c:pt idx="2">
                  <c:v>1</c:v>
                </c:pt>
                <c:pt idx="3">
                  <c:v>2</c:v>
                </c:pt>
                <c:pt idx="4">
                  <c:v>2</c:v>
                </c:pt>
                <c:pt idx="5">
                  <c:v>3</c:v>
                </c:pt>
                <c:pt idx="6">
                  <c:v>1</c:v>
                </c:pt>
                <c:pt idx="7">
                  <c:v>2</c:v>
                </c:pt>
                <c:pt idx="8">
                  <c:v>8</c:v>
                </c:pt>
                <c:pt idx="9">
                  <c:v>1</c:v>
                </c:pt>
                <c:pt idx="10">
                  <c:v>0</c:v>
                </c:pt>
                <c:pt idx="11">
                  <c:v>3</c:v>
                </c:pt>
                <c:pt idx="12">
                  <c:v>1</c:v>
                </c:pt>
                <c:pt idx="13">
                  <c:v>0</c:v>
                </c:pt>
                <c:pt idx="14">
                  <c:v>0</c:v>
                </c:pt>
                <c:pt idx="15">
                  <c:v>1</c:v>
                </c:pt>
                <c:pt idx="16">
                  <c:v>1</c:v>
                </c:pt>
                <c:pt idx="17">
                  <c:v>1</c:v>
                </c:pt>
                <c:pt idx="18">
                  <c:v>4</c:v>
                </c:pt>
                <c:pt idx="19">
                  <c:v>2</c:v>
                </c:pt>
                <c:pt idx="20">
                  <c:v>2</c:v>
                </c:pt>
                <c:pt idx="21">
                  <c:v>1</c:v>
                </c:pt>
                <c:pt idx="22">
                  <c:v>1</c:v>
                </c:pt>
                <c:pt idx="23">
                  <c:v>2</c:v>
                </c:pt>
                <c:pt idx="24">
                  <c:v>2</c:v>
                </c:pt>
                <c:pt idx="25">
                  <c:v>0</c:v>
                </c:pt>
                <c:pt idx="26">
                  <c:v>3</c:v>
                </c:pt>
                <c:pt idx="27">
                  <c:v>0</c:v>
                </c:pt>
                <c:pt idx="28">
                  <c:v>2</c:v>
                </c:pt>
                <c:pt idx="29">
                  <c:v>2</c:v>
                </c:pt>
                <c:pt idx="30">
                  <c:v>1</c:v>
                </c:pt>
                <c:pt idx="31">
                  <c:v>0</c:v>
                </c:pt>
                <c:pt idx="32">
                  <c:v>0</c:v>
                </c:pt>
                <c:pt idx="33">
                  <c:v>1</c:v>
                </c:pt>
                <c:pt idx="34">
                  <c:v>0</c:v>
                </c:pt>
                <c:pt idx="35">
                  <c:v>5</c:v>
                </c:pt>
                <c:pt idx="36">
                  <c:v>0</c:v>
                </c:pt>
                <c:pt idx="37">
                  <c:v>0</c:v>
                </c:pt>
                <c:pt idx="38">
                  <c:v>54</c:v>
                </c:pt>
              </c:numCache>
            </c:numRef>
          </c:val>
          <c:extLst>
            <c:ext xmlns:c16="http://schemas.microsoft.com/office/drawing/2014/chart" uri="{C3380CC4-5D6E-409C-BE32-E72D297353CC}">
              <c16:uniqueId val="{00000000-1A20-4551-BB32-A50139F4EE1D}"/>
            </c:ext>
          </c:extLst>
        </c:ser>
        <c:dLbls>
          <c:showLegendKey val="0"/>
          <c:showVal val="1"/>
          <c:showCatName val="0"/>
          <c:showSerName val="0"/>
          <c:showPercent val="0"/>
          <c:showBubbleSize val="0"/>
        </c:dLbls>
        <c:gapWidth val="95"/>
        <c:axId val="480694880"/>
        <c:axId val="480696056"/>
      </c:barChart>
      <c:catAx>
        <c:axId val="48069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crossAx val="480696056"/>
        <c:crosses val="autoZero"/>
        <c:auto val="1"/>
        <c:lblAlgn val="ctr"/>
        <c:lblOffset val="100"/>
        <c:noMultiLvlLbl val="0"/>
      </c:catAx>
      <c:valAx>
        <c:axId val="480696056"/>
        <c:scaling>
          <c:orientation val="minMax"/>
        </c:scaling>
        <c:delete val="1"/>
        <c:axPos val="l"/>
        <c:numFmt formatCode="General" sourceLinked="1"/>
        <c:majorTickMark val="none"/>
        <c:minorTickMark val="none"/>
        <c:tickLblPos val="nextTo"/>
        <c:crossAx val="4806948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9913195585606093"/>
          <c:y val="0.13557888983307784"/>
          <c:w val="0.58357499655562595"/>
          <c:h val="0.82713691546282575"/>
        </c:manualLayout>
      </c:layout>
      <c:bar3DChart>
        <c:barDir val="bar"/>
        <c:grouping val="stacked"/>
        <c:varyColors val="0"/>
        <c:ser>
          <c:idx val="0"/>
          <c:order val="0"/>
          <c:tx>
            <c:strRef>
              <c:f>PROCESVERBALET!$C$8</c:f>
              <c:strCache>
                <c:ptCount val="1"/>
                <c:pt idx="0">
                  <c:v>Deçan</c:v>
                </c:pt>
              </c:strCache>
            </c:strRef>
          </c:tx>
          <c:spPr>
            <a:solidFill>
              <a:schemeClr val="accent1"/>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PROCESVERBALET!$D$8:$F$8</c:f>
              <c:numCache>
                <c:formatCode>General</c:formatCode>
                <c:ptCount val="3"/>
                <c:pt idx="0">
                  <c:v>4</c:v>
                </c:pt>
                <c:pt idx="1">
                  <c:v>6</c:v>
                </c:pt>
                <c:pt idx="2">
                  <c:v>0</c:v>
                </c:pt>
              </c:numCache>
            </c:numRef>
          </c:val>
          <c:extLst>
            <c:ext xmlns:c16="http://schemas.microsoft.com/office/drawing/2014/chart" uri="{C3380CC4-5D6E-409C-BE32-E72D297353CC}">
              <c16:uniqueId val="{00000000-0D74-4EDA-B286-59E06FA057D7}"/>
            </c:ext>
          </c:extLst>
        </c:ser>
        <c:ser>
          <c:idx val="1"/>
          <c:order val="1"/>
          <c:tx>
            <c:strRef>
              <c:f>PROCESVERBALET!$C$9</c:f>
              <c:strCache>
                <c:ptCount val="1"/>
                <c:pt idx="0">
                  <c:v>Ferizaj</c:v>
                </c:pt>
              </c:strCache>
            </c:strRef>
          </c:tx>
          <c:spPr>
            <a:solidFill>
              <a:schemeClr val="accent2"/>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PROCESVERBALET!$D$9:$F$9</c:f>
              <c:numCache>
                <c:formatCode>General</c:formatCode>
                <c:ptCount val="3"/>
                <c:pt idx="0">
                  <c:v>8</c:v>
                </c:pt>
                <c:pt idx="1">
                  <c:v>8</c:v>
                </c:pt>
                <c:pt idx="2">
                  <c:v>6</c:v>
                </c:pt>
              </c:numCache>
            </c:numRef>
          </c:val>
          <c:extLst>
            <c:ext xmlns:c16="http://schemas.microsoft.com/office/drawing/2014/chart" uri="{C3380CC4-5D6E-409C-BE32-E72D297353CC}">
              <c16:uniqueId val="{00000001-0D74-4EDA-B286-59E06FA057D7}"/>
            </c:ext>
          </c:extLst>
        </c:ser>
        <c:ser>
          <c:idx val="2"/>
          <c:order val="2"/>
          <c:tx>
            <c:strRef>
              <c:f>PROCESVERBALET!$C$10</c:f>
              <c:strCache>
                <c:ptCount val="1"/>
                <c:pt idx="0">
                  <c:v>Fushe Kosovë</c:v>
                </c:pt>
              </c:strCache>
            </c:strRef>
          </c:tx>
          <c:spPr>
            <a:solidFill>
              <a:schemeClr val="accent3"/>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PROCESVERBALET!$D$10:$F$10</c:f>
              <c:numCache>
                <c:formatCode>General</c:formatCode>
                <c:ptCount val="3"/>
                <c:pt idx="0">
                  <c:v>6</c:v>
                </c:pt>
                <c:pt idx="1">
                  <c:v>0</c:v>
                </c:pt>
                <c:pt idx="2">
                  <c:v>0</c:v>
                </c:pt>
              </c:numCache>
            </c:numRef>
          </c:val>
          <c:extLst>
            <c:ext xmlns:c16="http://schemas.microsoft.com/office/drawing/2014/chart" uri="{C3380CC4-5D6E-409C-BE32-E72D297353CC}">
              <c16:uniqueId val="{00000002-0D74-4EDA-B286-59E06FA057D7}"/>
            </c:ext>
          </c:extLst>
        </c:ser>
        <c:ser>
          <c:idx val="3"/>
          <c:order val="3"/>
          <c:tx>
            <c:strRef>
              <c:f>PROCESVERBALET!$C$11</c:f>
              <c:strCache>
                <c:ptCount val="1"/>
                <c:pt idx="0">
                  <c:v>Gjakovë</c:v>
                </c:pt>
              </c:strCache>
            </c:strRef>
          </c:tx>
          <c:spPr>
            <a:solidFill>
              <a:schemeClr val="accent4"/>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PROCESVERBALET!$D$11:$F$11</c:f>
              <c:numCache>
                <c:formatCode>General</c:formatCode>
                <c:ptCount val="3"/>
                <c:pt idx="0">
                  <c:v>9</c:v>
                </c:pt>
                <c:pt idx="1">
                  <c:v>0</c:v>
                </c:pt>
                <c:pt idx="2">
                  <c:v>0</c:v>
                </c:pt>
              </c:numCache>
            </c:numRef>
          </c:val>
          <c:extLst>
            <c:ext xmlns:c16="http://schemas.microsoft.com/office/drawing/2014/chart" uri="{C3380CC4-5D6E-409C-BE32-E72D297353CC}">
              <c16:uniqueId val="{00000003-0D74-4EDA-B286-59E06FA057D7}"/>
            </c:ext>
          </c:extLst>
        </c:ser>
        <c:ser>
          <c:idx val="4"/>
          <c:order val="4"/>
          <c:tx>
            <c:strRef>
              <c:f>PROCESVERBALET!$C$12</c:f>
              <c:strCache>
                <c:ptCount val="1"/>
                <c:pt idx="0">
                  <c:v>Gjilan </c:v>
                </c:pt>
              </c:strCache>
            </c:strRef>
          </c:tx>
          <c:spPr>
            <a:solidFill>
              <a:schemeClr val="accent5"/>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PROCESVERBALET!$D$12:$F$12</c:f>
              <c:numCache>
                <c:formatCode>General</c:formatCode>
                <c:ptCount val="3"/>
                <c:pt idx="0">
                  <c:v>7</c:v>
                </c:pt>
                <c:pt idx="1">
                  <c:v>4</c:v>
                </c:pt>
                <c:pt idx="2">
                  <c:v>1</c:v>
                </c:pt>
              </c:numCache>
            </c:numRef>
          </c:val>
          <c:extLst>
            <c:ext xmlns:c16="http://schemas.microsoft.com/office/drawing/2014/chart" uri="{C3380CC4-5D6E-409C-BE32-E72D297353CC}">
              <c16:uniqueId val="{00000004-0D74-4EDA-B286-59E06FA057D7}"/>
            </c:ext>
          </c:extLst>
        </c:ser>
        <c:ser>
          <c:idx val="5"/>
          <c:order val="5"/>
          <c:tx>
            <c:strRef>
              <c:f>PROCESVERBALET!$C$13</c:f>
              <c:strCache>
                <c:ptCount val="1"/>
                <c:pt idx="0">
                  <c:v>Gllogoc </c:v>
                </c:pt>
              </c:strCache>
            </c:strRef>
          </c:tx>
          <c:spPr>
            <a:solidFill>
              <a:schemeClr val="accent6"/>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PROCESVERBALET!$D$13:$F$13</c:f>
              <c:numCache>
                <c:formatCode>General</c:formatCode>
                <c:ptCount val="3"/>
                <c:pt idx="0">
                  <c:v>8</c:v>
                </c:pt>
                <c:pt idx="1">
                  <c:v>8</c:v>
                </c:pt>
                <c:pt idx="2">
                  <c:v>0</c:v>
                </c:pt>
              </c:numCache>
            </c:numRef>
          </c:val>
          <c:extLst>
            <c:ext xmlns:c16="http://schemas.microsoft.com/office/drawing/2014/chart" uri="{C3380CC4-5D6E-409C-BE32-E72D297353CC}">
              <c16:uniqueId val="{00000005-0D74-4EDA-B286-59E06FA057D7}"/>
            </c:ext>
          </c:extLst>
        </c:ser>
        <c:ser>
          <c:idx val="6"/>
          <c:order val="6"/>
          <c:tx>
            <c:strRef>
              <c:f>PROCESVERBALET!$C$14</c:f>
              <c:strCache>
                <c:ptCount val="1"/>
                <c:pt idx="0">
                  <c:v>Graçanicë</c:v>
                </c:pt>
              </c:strCache>
            </c:strRef>
          </c:tx>
          <c:spPr>
            <a:solidFill>
              <a:schemeClr val="accent1">
                <a:lumMod val="6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PROCESVERBALET!$D$14:$F$14</c:f>
              <c:numCache>
                <c:formatCode>General</c:formatCode>
                <c:ptCount val="3"/>
                <c:pt idx="0">
                  <c:v>13</c:v>
                </c:pt>
                <c:pt idx="1">
                  <c:v>0</c:v>
                </c:pt>
                <c:pt idx="2">
                  <c:v>0</c:v>
                </c:pt>
              </c:numCache>
            </c:numRef>
          </c:val>
          <c:extLst>
            <c:ext xmlns:c16="http://schemas.microsoft.com/office/drawing/2014/chart" uri="{C3380CC4-5D6E-409C-BE32-E72D297353CC}">
              <c16:uniqueId val="{00000006-0D74-4EDA-B286-59E06FA057D7}"/>
            </c:ext>
          </c:extLst>
        </c:ser>
        <c:ser>
          <c:idx val="7"/>
          <c:order val="7"/>
          <c:tx>
            <c:strRef>
              <c:f>PROCESVERBALET!$C$15</c:f>
              <c:strCache>
                <c:ptCount val="1"/>
                <c:pt idx="0">
                  <c:v>Hani Elezit </c:v>
                </c:pt>
              </c:strCache>
            </c:strRef>
          </c:tx>
          <c:spPr>
            <a:solidFill>
              <a:schemeClr val="accent2">
                <a:lumMod val="6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PROCESVERBALET!$D$15:$F$15</c:f>
              <c:numCache>
                <c:formatCode>General</c:formatCode>
                <c:ptCount val="3"/>
                <c:pt idx="0">
                  <c:v>8</c:v>
                </c:pt>
                <c:pt idx="1">
                  <c:v>8</c:v>
                </c:pt>
                <c:pt idx="2">
                  <c:v>8</c:v>
                </c:pt>
              </c:numCache>
            </c:numRef>
          </c:val>
          <c:extLst>
            <c:ext xmlns:c16="http://schemas.microsoft.com/office/drawing/2014/chart" uri="{C3380CC4-5D6E-409C-BE32-E72D297353CC}">
              <c16:uniqueId val="{00000007-0D74-4EDA-B286-59E06FA057D7}"/>
            </c:ext>
          </c:extLst>
        </c:ser>
        <c:ser>
          <c:idx val="8"/>
          <c:order val="8"/>
          <c:tx>
            <c:strRef>
              <c:f>PROCESVERBALET!$C$16</c:f>
              <c:strCache>
                <c:ptCount val="1"/>
                <c:pt idx="0">
                  <c:v>Istog </c:v>
                </c:pt>
              </c:strCache>
            </c:strRef>
          </c:tx>
          <c:spPr>
            <a:solidFill>
              <a:schemeClr val="accent3">
                <a:lumMod val="6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PROCESVERBALET!$D$16:$F$16</c:f>
              <c:numCache>
                <c:formatCode>General</c:formatCode>
                <c:ptCount val="3"/>
                <c:pt idx="0">
                  <c:v>5</c:v>
                </c:pt>
                <c:pt idx="1">
                  <c:v>7</c:v>
                </c:pt>
                <c:pt idx="2">
                  <c:v>0</c:v>
                </c:pt>
              </c:numCache>
            </c:numRef>
          </c:val>
          <c:extLst>
            <c:ext xmlns:c16="http://schemas.microsoft.com/office/drawing/2014/chart" uri="{C3380CC4-5D6E-409C-BE32-E72D297353CC}">
              <c16:uniqueId val="{00000008-0D74-4EDA-B286-59E06FA057D7}"/>
            </c:ext>
          </c:extLst>
        </c:ser>
        <c:ser>
          <c:idx val="9"/>
          <c:order val="9"/>
          <c:tx>
            <c:strRef>
              <c:f>PROCESVERBALET!$C$17</c:f>
              <c:strCache>
                <c:ptCount val="1"/>
                <c:pt idx="0">
                  <c:v>Junik </c:v>
                </c:pt>
              </c:strCache>
            </c:strRef>
          </c:tx>
          <c:spPr>
            <a:solidFill>
              <a:schemeClr val="accent4">
                <a:lumMod val="6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PROCESVERBALET!$D$17:$F$17</c:f>
              <c:numCache>
                <c:formatCode>General</c:formatCode>
                <c:ptCount val="3"/>
                <c:pt idx="0">
                  <c:v>10</c:v>
                </c:pt>
                <c:pt idx="1">
                  <c:v>0</c:v>
                </c:pt>
                <c:pt idx="2">
                  <c:v>0</c:v>
                </c:pt>
              </c:numCache>
            </c:numRef>
          </c:val>
          <c:extLst>
            <c:ext xmlns:c16="http://schemas.microsoft.com/office/drawing/2014/chart" uri="{C3380CC4-5D6E-409C-BE32-E72D297353CC}">
              <c16:uniqueId val="{00000009-0D74-4EDA-B286-59E06FA057D7}"/>
            </c:ext>
          </c:extLst>
        </c:ser>
        <c:ser>
          <c:idx val="10"/>
          <c:order val="10"/>
          <c:tx>
            <c:strRef>
              <c:f>PROCESVERBALET!$C$18</c:f>
              <c:strCache>
                <c:ptCount val="1"/>
                <c:pt idx="0">
                  <c:v>Kamenicë</c:v>
                </c:pt>
              </c:strCache>
            </c:strRef>
          </c:tx>
          <c:spPr>
            <a:solidFill>
              <a:schemeClr val="accent5">
                <a:lumMod val="6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PROCESVERBALET!$D$18:$F$18</c:f>
              <c:numCache>
                <c:formatCode>General</c:formatCode>
                <c:ptCount val="3"/>
                <c:pt idx="0">
                  <c:v>12</c:v>
                </c:pt>
                <c:pt idx="1">
                  <c:v>12</c:v>
                </c:pt>
                <c:pt idx="2">
                  <c:v>10</c:v>
                </c:pt>
              </c:numCache>
            </c:numRef>
          </c:val>
          <c:extLst>
            <c:ext xmlns:c16="http://schemas.microsoft.com/office/drawing/2014/chart" uri="{C3380CC4-5D6E-409C-BE32-E72D297353CC}">
              <c16:uniqueId val="{0000000A-0D74-4EDA-B286-59E06FA057D7}"/>
            </c:ext>
          </c:extLst>
        </c:ser>
        <c:ser>
          <c:idx val="11"/>
          <c:order val="11"/>
          <c:tx>
            <c:strRef>
              <c:f>PROCESVERBALET!$C$19</c:f>
              <c:strCache>
                <c:ptCount val="1"/>
                <c:pt idx="0">
                  <c:v>Kaçanik </c:v>
                </c:pt>
              </c:strCache>
            </c:strRef>
          </c:tx>
          <c:spPr>
            <a:solidFill>
              <a:schemeClr val="accent6">
                <a:lumMod val="6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PROCESVERBALET!$D$19:$F$19</c:f>
              <c:numCache>
                <c:formatCode>General</c:formatCode>
                <c:ptCount val="3"/>
                <c:pt idx="0">
                  <c:v>11</c:v>
                </c:pt>
                <c:pt idx="1">
                  <c:v>8</c:v>
                </c:pt>
                <c:pt idx="2">
                  <c:v>8</c:v>
                </c:pt>
              </c:numCache>
            </c:numRef>
          </c:val>
          <c:extLst>
            <c:ext xmlns:c16="http://schemas.microsoft.com/office/drawing/2014/chart" uri="{C3380CC4-5D6E-409C-BE32-E72D297353CC}">
              <c16:uniqueId val="{0000000B-0D74-4EDA-B286-59E06FA057D7}"/>
            </c:ext>
          </c:extLst>
        </c:ser>
        <c:ser>
          <c:idx val="12"/>
          <c:order val="12"/>
          <c:tx>
            <c:strRef>
              <c:f>PROCESVERBALET!$C$20</c:f>
              <c:strCache>
                <c:ptCount val="1"/>
                <c:pt idx="0">
                  <c:v>Klinë</c:v>
                </c:pt>
              </c:strCache>
            </c:strRef>
          </c:tx>
          <c:spPr>
            <a:solidFill>
              <a:schemeClr val="accent1">
                <a:lumMod val="80000"/>
                <a:lumOff val="2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PROCESVERBALET!$D$20:$F$20</c:f>
              <c:numCache>
                <c:formatCode>General</c:formatCode>
                <c:ptCount val="3"/>
                <c:pt idx="0">
                  <c:v>13</c:v>
                </c:pt>
                <c:pt idx="1">
                  <c:v>10</c:v>
                </c:pt>
                <c:pt idx="2">
                  <c:v>0</c:v>
                </c:pt>
              </c:numCache>
            </c:numRef>
          </c:val>
          <c:extLst>
            <c:ext xmlns:c16="http://schemas.microsoft.com/office/drawing/2014/chart" uri="{C3380CC4-5D6E-409C-BE32-E72D297353CC}">
              <c16:uniqueId val="{0000000C-0D74-4EDA-B286-59E06FA057D7}"/>
            </c:ext>
          </c:extLst>
        </c:ser>
        <c:ser>
          <c:idx val="13"/>
          <c:order val="13"/>
          <c:tx>
            <c:strRef>
              <c:f>PROCESVERBALET!$C$21</c:f>
              <c:strCache>
                <c:ptCount val="1"/>
                <c:pt idx="0">
                  <c:v>Kllokot </c:v>
                </c:pt>
              </c:strCache>
            </c:strRef>
          </c:tx>
          <c:spPr>
            <a:solidFill>
              <a:schemeClr val="accent2">
                <a:lumMod val="80000"/>
                <a:lumOff val="2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PROCESVERBALET!$D$21:$F$21</c:f>
              <c:numCache>
                <c:formatCode>General</c:formatCode>
                <c:ptCount val="3"/>
                <c:pt idx="0">
                  <c:v>0</c:v>
                </c:pt>
                <c:pt idx="1">
                  <c:v>0</c:v>
                </c:pt>
                <c:pt idx="2">
                  <c:v>0</c:v>
                </c:pt>
              </c:numCache>
            </c:numRef>
          </c:val>
          <c:extLst>
            <c:ext xmlns:c16="http://schemas.microsoft.com/office/drawing/2014/chart" uri="{C3380CC4-5D6E-409C-BE32-E72D297353CC}">
              <c16:uniqueId val="{0000000D-0D74-4EDA-B286-59E06FA057D7}"/>
            </c:ext>
          </c:extLst>
        </c:ser>
        <c:ser>
          <c:idx val="14"/>
          <c:order val="14"/>
          <c:tx>
            <c:strRef>
              <c:f>PROCESVERBALET!$C$22</c:f>
              <c:strCache>
                <c:ptCount val="1"/>
                <c:pt idx="0">
                  <c:v>Lipjan </c:v>
                </c:pt>
              </c:strCache>
            </c:strRef>
          </c:tx>
          <c:spPr>
            <a:solidFill>
              <a:schemeClr val="accent3">
                <a:lumMod val="80000"/>
                <a:lumOff val="2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PROCESVERBALET!$D$22:$F$22</c:f>
              <c:numCache>
                <c:formatCode>General</c:formatCode>
                <c:ptCount val="3"/>
                <c:pt idx="0">
                  <c:v>8</c:v>
                </c:pt>
                <c:pt idx="1">
                  <c:v>7</c:v>
                </c:pt>
                <c:pt idx="2">
                  <c:v>7</c:v>
                </c:pt>
              </c:numCache>
            </c:numRef>
          </c:val>
          <c:extLst>
            <c:ext xmlns:c16="http://schemas.microsoft.com/office/drawing/2014/chart" uri="{C3380CC4-5D6E-409C-BE32-E72D297353CC}">
              <c16:uniqueId val="{0000000E-0D74-4EDA-B286-59E06FA057D7}"/>
            </c:ext>
          </c:extLst>
        </c:ser>
        <c:ser>
          <c:idx val="15"/>
          <c:order val="15"/>
          <c:tx>
            <c:strRef>
              <c:f>PROCESVERBALET!$C$23</c:f>
              <c:strCache>
                <c:ptCount val="1"/>
                <c:pt idx="0">
                  <c:v>Malishevë</c:v>
                </c:pt>
              </c:strCache>
            </c:strRef>
          </c:tx>
          <c:spPr>
            <a:solidFill>
              <a:schemeClr val="accent4">
                <a:lumMod val="80000"/>
                <a:lumOff val="2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PROCESVERBALET!$D$23:$F$23</c:f>
              <c:numCache>
                <c:formatCode>General</c:formatCode>
                <c:ptCount val="3"/>
                <c:pt idx="0">
                  <c:v>9</c:v>
                </c:pt>
                <c:pt idx="1">
                  <c:v>9</c:v>
                </c:pt>
                <c:pt idx="2">
                  <c:v>2</c:v>
                </c:pt>
              </c:numCache>
            </c:numRef>
          </c:val>
          <c:extLst>
            <c:ext xmlns:c16="http://schemas.microsoft.com/office/drawing/2014/chart" uri="{C3380CC4-5D6E-409C-BE32-E72D297353CC}">
              <c16:uniqueId val="{0000000F-0D74-4EDA-B286-59E06FA057D7}"/>
            </c:ext>
          </c:extLst>
        </c:ser>
        <c:ser>
          <c:idx val="16"/>
          <c:order val="16"/>
          <c:tx>
            <c:strRef>
              <c:f>PROCESVERBALET!$C$24</c:f>
              <c:strCache>
                <c:ptCount val="1"/>
                <c:pt idx="0">
                  <c:v>Mitrovicë</c:v>
                </c:pt>
              </c:strCache>
            </c:strRef>
          </c:tx>
          <c:spPr>
            <a:solidFill>
              <a:schemeClr val="accent5">
                <a:lumMod val="80000"/>
                <a:lumOff val="2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PROCESVERBALET!$D$24:$F$24</c:f>
              <c:numCache>
                <c:formatCode>General</c:formatCode>
                <c:ptCount val="3"/>
                <c:pt idx="0">
                  <c:v>4</c:v>
                </c:pt>
                <c:pt idx="1">
                  <c:v>10</c:v>
                </c:pt>
                <c:pt idx="2">
                  <c:v>10</c:v>
                </c:pt>
              </c:numCache>
            </c:numRef>
          </c:val>
          <c:extLst>
            <c:ext xmlns:c16="http://schemas.microsoft.com/office/drawing/2014/chart" uri="{C3380CC4-5D6E-409C-BE32-E72D297353CC}">
              <c16:uniqueId val="{00000010-0D74-4EDA-B286-59E06FA057D7}"/>
            </c:ext>
          </c:extLst>
        </c:ser>
        <c:ser>
          <c:idx val="17"/>
          <c:order val="17"/>
          <c:tx>
            <c:strRef>
              <c:f>PROCESVERBALET!$C$25</c:f>
              <c:strCache>
                <c:ptCount val="1"/>
                <c:pt idx="0">
                  <c:v>Novobërdë</c:v>
                </c:pt>
              </c:strCache>
            </c:strRef>
          </c:tx>
          <c:spPr>
            <a:solidFill>
              <a:schemeClr val="accent6">
                <a:lumMod val="80000"/>
                <a:lumOff val="2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PROCESVERBALET!$D$25:$F$25</c:f>
              <c:numCache>
                <c:formatCode>General</c:formatCode>
                <c:ptCount val="3"/>
                <c:pt idx="0">
                  <c:v>0</c:v>
                </c:pt>
                <c:pt idx="1">
                  <c:v>1</c:v>
                </c:pt>
                <c:pt idx="2">
                  <c:v>1</c:v>
                </c:pt>
              </c:numCache>
            </c:numRef>
          </c:val>
          <c:extLst>
            <c:ext xmlns:c16="http://schemas.microsoft.com/office/drawing/2014/chart" uri="{C3380CC4-5D6E-409C-BE32-E72D297353CC}">
              <c16:uniqueId val="{00000011-0D74-4EDA-B286-59E06FA057D7}"/>
            </c:ext>
          </c:extLst>
        </c:ser>
        <c:ser>
          <c:idx val="18"/>
          <c:order val="18"/>
          <c:tx>
            <c:strRef>
              <c:f>PROCESVERBALET!$C$26</c:f>
              <c:strCache>
                <c:ptCount val="1"/>
                <c:pt idx="0">
                  <c:v>Obiliq</c:v>
                </c:pt>
              </c:strCache>
            </c:strRef>
          </c:tx>
          <c:spPr>
            <a:solidFill>
              <a:schemeClr val="accent1">
                <a:lumMod val="8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PROCESVERBALET!$D$26:$F$26</c:f>
              <c:numCache>
                <c:formatCode>General</c:formatCode>
                <c:ptCount val="3"/>
                <c:pt idx="0">
                  <c:v>13</c:v>
                </c:pt>
                <c:pt idx="1">
                  <c:v>8</c:v>
                </c:pt>
                <c:pt idx="2">
                  <c:v>0</c:v>
                </c:pt>
              </c:numCache>
            </c:numRef>
          </c:val>
          <c:extLst>
            <c:ext xmlns:c16="http://schemas.microsoft.com/office/drawing/2014/chart" uri="{C3380CC4-5D6E-409C-BE32-E72D297353CC}">
              <c16:uniqueId val="{00000012-0D74-4EDA-B286-59E06FA057D7}"/>
            </c:ext>
          </c:extLst>
        </c:ser>
        <c:ser>
          <c:idx val="19"/>
          <c:order val="19"/>
          <c:tx>
            <c:strRef>
              <c:f>PROCESVERBALET!$C$27</c:f>
              <c:strCache>
                <c:ptCount val="1"/>
                <c:pt idx="0">
                  <c:v>Partesh </c:v>
                </c:pt>
              </c:strCache>
            </c:strRef>
          </c:tx>
          <c:spPr>
            <a:solidFill>
              <a:schemeClr val="accent2">
                <a:lumMod val="8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PROCESVERBALET!$D$27:$F$27</c:f>
              <c:numCache>
                <c:formatCode>General</c:formatCode>
                <c:ptCount val="3"/>
                <c:pt idx="0">
                  <c:v>8</c:v>
                </c:pt>
                <c:pt idx="1">
                  <c:v>4</c:v>
                </c:pt>
                <c:pt idx="2">
                  <c:v>3</c:v>
                </c:pt>
              </c:numCache>
            </c:numRef>
          </c:val>
          <c:extLst>
            <c:ext xmlns:c16="http://schemas.microsoft.com/office/drawing/2014/chart" uri="{C3380CC4-5D6E-409C-BE32-E72D297353CC}">
              <c16:uniqueId val="{00000013-0D74-4EDA-B286-59E06FA057D7}"/>
            </c:ext>
          </c:extLst>
        </c:ser>
        <c:ser>
          <c:idx val="20"/>
          <c:order val="20"/>
          <c:tx>
            <c:strRef>
              <c:f>PROCESVERBALET!$C$28</c:f>
              <c:strCache>
                <c:ptCount val="1"/>
                <c:pt idx="0">
                  <c:v>Pejë </c:v>
                </c:pt>
              </c:strCache>
            </c:strRef>
          </c:tx>
          <c:spPr>
            <a:solidFill>
              <a:schemeClr val="accent3">
                <a:lumMod val="8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PROCESVERBALET!$D$28:$F$28</c:f>
              <c:numCache>
                <c:formatCode>General</c:formatCode>
                <c:ptCount val="3"/>
                <c:pt idx="0">
                  <c:v>6</c:v>
                </c:pt>
                <c:pt idx="1">
                  <c:v>4</c:v>
                </c:pt>
                <c:pt idx="2">
                  <c:v>0</c:v>
                </c:pt>
              </c:numCache>
            </c:numRef>
          </c:val>
          <c:extLst>
            <c:ext xmlns:c16="http://schemas.microsoft.com/office/drawing/2014/chart" uri="{C3380CC4-5D6E-409C-BE32-E72D297353CC}">
              <c16:uniqueId val="{00000014-0D74-4EDA-B286-59E06FA057D7}"/>
            </c:ext>
          </c:extLst>
        </c:ser>
        <c:ser>
          <c:idx val="21"/>
          <c:order val="21"/>
          <c:tx>
            <c:strRef>
              <c:f>PROCESVERBALET!$C$29</c:f>
              <c:strCache>
                <c:ptCount val="1"/>
                <c:pt idx="0">
                  <c:v>Podujevë</c:v>
                </c:pt>
              </c:strCache>
            </c:strRef>
          </c:tx>
          <c:spPr>
            <a:solidFill>
              <a:schemeClr val="accent4">
                <a:lumMod val="8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PROCESVERBALET!$D$29:$F$29</c:f>
              <c:numCache>
                <c:formatCode>General</c:formatCode>
                <c:ptCount val="3"/>
                <c:pt idx="0">
                  <c:v>12</c:v>
                </c:pt>
                <c:pt idx="1">
                  <c:v>8</c:v>
                </c:pt>
                <c:pt idx="2">
                  <c:v>7</c:v>
                </c:pt>
              </c:numCache>
            </c:numRef>
          </c:val>
          <c:extLst>
            <c:ext xmlns:c16="http://schemas.microsoft.com/office/drawing/2014/chart" uri="{C3380CC4-5D6E-409C-BE32-E72D297353CC}">
              <c16:uniqueId val="{00000015-0D74-4EDA-B286-59E06FA057D7}"/>
            </c:ext>
          </c:extLst>
        </c:ser>
        <c:ser>
          <c:idx val="22"/>
          <c:order val="22"/>
          <c:tx>
            <c:strRef>
              <c:f>PROCESVERBALET!$C$30</c:f>
              <c:strCache>
                <c:ptCount val="1"/>
                <c:pt idx="0">
                  <c:v>Prishtinë</c:v>
                </c:pt>
              </c:strCache>
            </c:strRef>
          </c:tx>
          <c:spPr>
            <a:solidFill>
              <a:schemeClr val="accent5">
                <a:lumMod val="8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PROCESVERBALET!$D$30:$F$30</c:f>
              <c:numCache>
                <c:formatCode>General</c:formatCode>
                <c:ptCount val="3"/>
                <c:pt idx="0">
                  <c:v>8</c:v>
                </c:pt>
                <c:pt idx="1">
                  <c:v>7</c:v>
                </c:pt>
                <c:pt idx="2">
                  <c:v>8</c:v>
                </c:pt>
              </c:numCache>
            </c:numRef>
          </c:val>
          <c:extLst>
            <c:ext xmlns:c16="http://schemas.microsoft.com/office/drawing/2014/chart" uri="{C3380CC4-5D6E-409C-BE32-E72D297353CC}">
              <c16:uniqueId val="{00000016-0D74-4EDA-B286-59E06FA057D7}"/>
            </c:ext>
          </c:extLst>
        </c:ser>
        <c:ser>
          <c:idx val="23"/>
          <c:order val="23"/>
          <c:tx>
            <c:strRef>
              <c:f>PROCESVERBALET!$C$31</c:f>
              <c:strCache>
                <c:ptCount val="1"/>
                <c:pt idx="0">
                  <c:v>Prizren </c:v>
                </c:pt>
              </c:strCache>
            </c:strRef>
          </c:tx>
          <c:spPr>
            <a:solidFill>
              <a:schemeClr val="accent6">
                <a:lumMod val="8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PROCESVERBALET!$D$31:$F$31</c:f>
              <c:numCache>
                <c:formatCode>General</c:formatCode>
                <c:ptCount val="3"/>
                <c:pt idx="0">
                  <c:v>8</c:v>
                </c:pt>
                <c:pt idx="1">
                  <c:v>3</c:v>
                </c:pt>
                <c:pt idx="2">
                  <c:v>0</c:v>
                </c:pt>
              </c:numCache>
            </c:numRef>
          </c:val>
          <c:extLst>
            <c:ext xmlns:c16="http://schemas.microsoft.com/office/drawing/2014/chart" uri="{C3380CC4-5D6E-409C-BE32-E72D297353CC}">
              <c16:uniqueId val="{00000017-0D74-4EDA-B286-59E06FA057D7}"/>
            </c:ext>
          </c:extLst>
        </c:ser>
        <c:ser>
          <c:idx val="24"/>
          <c:order val="24"/>
          <c:tx>
            <c:strRef>
              <c:f>PROCESVERBALET!$C$32</c:f>
              <c:strCache>
                <c:ptCount val="1"/>
                <c:pt idx="0">
                  <c:v>Rahovec</c:v>
                </c:pt>
              </c:strCache>
            </c:strRef>
          </c:tx>
          <c:spPr>
            <a:solidFill>
              <a:schemeClr val="accent1">
                <a:lumMod val="60000"/>
                <a:lumOff val="4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PROCESVERBALET!$D$32:$F$32</c:f>
              <c:numCache>
                <c:formatCode>General</c:formatCode>
                <c:ptCount val="3"/>
                <c:pt idx="0">
                  <c:v>13</c:v>
                </c:pt>
                <c:pt idx="1">
                  <c:v>10</c:v>
                </c:pt>
                <c:pt idx="2">
                  <c:v>5</c:v>
                </c:pt>
              </c:numCache>
            </c:numRef>
          </c:val>
          <c:extLst>
            <c:ext xmlns:c16="http://schemas.microsoft.com/office/drawing/2014/chart" uri="{C3380CC4-5D6E-409C-BE32-E72D297353CC}">
              <c16:uniqueId val="{00000018-0D74-4EDA-B286-59E06FA057D7}"/>
            </c:ext>
          </c:extLst>
        </c:ser>
        <c:ser>
          <c:idx val="25"/>
          <c:order val="25"/>
          <c:tx>
            <c:strRef>
              <c:f>PROCESVERBALET!$C$33</c:f>
              <c:strCache>
                <c:ptCount val="1"/>
                <c:pt idx="0">
                  <c:v>Ranillug </c:v>
                </c:pt>
              </c:strCache>
            </c:strRef>
          </c:tx>
          <c:spPr>
            <a:solidFill>
              <a:schemeClr val="accent2">
                <a:lumMod val="60000"/>
                <a:lumOff val="4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PROCESVERBALET!$D$33:$F$33</c:f>
              <c:numCache>
                <c:formatCode>General</c:formatCode>
                <c:ptCount val="3"/>
                <c:pt idx="0">
                  <c:v>0</c:v>
                </c:pt>
                <c:pt idx="1">
                  <c:v>0</c:v>
                </c:pt>
                <c:pt idx="2">
                  <c:v>0</c:v>
                </c:pt>
              </c:numCache>
            </c:numRef>
          </c:val>
          <c:extLst>
            <c:ext xmlns:c16="http://schemas.microsoft.com/office/drawing/2014/chart" uri="{C3380CC4-5D6E-409C-BE32-E72D297353CC}">
              <c16:uniqueId val="{00000019-0D74-4EDA-B286-59E06FA057D7}"/>
            </c:ext>
          </c:extLst>
        </c:ser>
        <c:ser>
          <c:idx val="26"/>
          <c:order val="26"/>
          <c:tx>
            <c:strRef>
              <c:f>PROCESVERBALET!$C$34</c:f>
              <c:strCache>
                <c:ptCount val="1"/>
                <c:pt idx="0">
                  <c:v>Shtime </c:v>
                </c:pt>
              </c:strCache>
            </c:strRef>
          </c:tx>
          <c:spPr>
            <a:solidFill>
              <a:schemeClr val="accent3">
                <a:lumMod val="60000"/>
                <a:lumOff val="4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PROCESVERBALET!$D$34:$F$34</c:f>
              <c:numCache>
                <c:formatCode>General</c:formatCode>
                <c:ptCount val="3"/>
                <c:pt idx="0">
                  <c:v>9</c:v>
                </c:pt>
                <c:pt idx="1">
                  <c:v>8</c:v>
                </c:pt>
                <c:pt idx="2">
                  <c:v>8</c:v>
                </c:pt>
              </c:numCache>
            </c:numRef>
          </c:val>
          <c:extLst>
            <c:ext xmlns:c16="http://schemas.microsoft.com/office/drawing/2014/chart" uri="{C3380CC4-5D6E-409C-BE32-E72D297353CC}">
              <c16:uniqueId val="{0000001A-0D74-4EDA-B286-59E06FA057D7}"/>
            </c:ext>
          </c:extLst>
        </c:ser>
        <c:ser>
          <c:idx val="27"/>
          <c:order val="27"/>
          <c:tx>
            <c:strRef>
              <c:f>PROCESVERBALET!$C$35</c:f>
              <c:strCache>
                <c:ptCount val="1"/>
                <c:pt idx="0">
                  <c:v>Shtërpcë</c:v>
                </c:pt>
              </c:strCache>
            </c:strRef>
          </c:tx>
          <c:spPr>
            <a:solidFill>
              <a:schemeClr val="accent4">
                <a:lumMod val="60000"/>
                <a:lumOff val="4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PROCESVERBALET!$D$35:$F$35</c:f>
              <c:numCache>
                <c:formatCode>General</c:formatCode>
                <c:ptCount val="3"/>
                <c:pt idx="0">
                  <c:v>0</c:v>
                </c:pt>
                <c:pt idx="1">
                  <c:v>0</c:v>
                </c:pt>
                <c:pt idx="2">
                  <c:v>0</c:v>
                </c:pt>
              </c:numCache>
            </c:numRef>
          </c:val>
          <c:extLst>
            <c:ext xmlns:c16="http://schemas.microsoft.com/office/drawing/2014/chart" uri="{C3380CC4-5D6E-409C-BE32-E72D297353CC}">
              <c16:uniqueId val="{0000001B-0D74-4EDA-B286-59E06FA057D7}"/>
            </c:ext>
          </c:extLst>
        </c:ser>
        <c:ser>
          <c:idx val="28"/>
          <c:order val="28"/>
          <c:tx>
            <c:strRef>
              <c:f>PROCESVERBALET!$C$36</c:f>
              <c:strCache>
                <c:ptCount val="1"/>
                <c:pt idx="0">
                  <c:v>Skenderaj </c:v>
                </c:pt>
              </c:strCache>
            </c:strRef>
          </c:tx>
          <c:spPr>
            <a:solidFill>
              <a:schemeClr val="accent5">
                <a:lumMod val="60000"/>
                <a:lumOff val="4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PROCESVERBALET!$D$36:$F$36</c:f>
              <c:numCache>
                <c:formatCode>General</c:formatCode>
                <c:ptCount val="3"/>
                <c:pt idx="0">
                  <c:v>9</c:v>
                </c:pt>
                <c:pt idx="1">
                  <c:v>7</c:v>
                </c:pt>
                <c:pt idx="2">
                  <c:v>0</c:v>
                </c:pt>
              </c:numCache>
            </c:numRef>
          </c:val>
          <c:extLst>
            <c:ext xmlns:c16="http://schemas.microsoft.com/office/drawing/2014/chart" uri="{C3380CC4-5D6E-409C-BE32-E72D297353CC}">
              <c16:uniqueId val="{0000001C-0D74-4EDA-B286-59E06FA057D7}"/>
            </c:ext>
          </c:extLst>
        </c:ser>
        <c:ser>
          <c:idx val="29"/>
          <c:order val="29"/>
          <c:tx>
            <c:strRef>
              <c:f>PROCESVERBALET!$C$37</c:f>
              <c:strCache>
                <c:ptCount val="1"/>
                <c:pt idx="0">
                  <c:v>Suharekë</c:v>
                </c:pt>
              </c:strCache>
            </c:strRef>
          </c:tx>
          <c:spPr>
            <a:solidFill>
              <a:schemeClr val="accent6">
                <a:lumMod val="60000"/>
                <a:lumOff val="4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PROCESVERBALET!$D$37:$F$37</c:f>
              <c:numCache>
                <c:formatCode>General</c:formatCode>
                <c:ptCount val="3"/>
                <c:pt idx="0">
                  <c:v>6</c:v>
                </c:pt>
                <c:pt idx="1">
                  <c:v>8</c:v>
                </c:pt>
                <c:pt idx="2">
                  <c:v>0</c:v>
                </c:pt>
              </c:numCache>
            </c:numRef>
          </c:val>
          <c:extLst>
            <c:ext xmlns:c16="http://schemas.microsoft.com/office/drawing/2014/chart" uri="{C3380CC4-5D6E-409C-BE32-E72D297353CC}">
              <c16:uniqueId val="{0000001D-0D74-4EDA-B286-59E06FA057D7}"/>
            </c:ext>
          </c:extLst>
        </c:ser>
        <c:ser>
          <c:idx val="30"/>
          <c:order val="30"/>
          <c:tx>
            <c:strRef>
              <c:f>PROCESVERBALET!$C$38</c:f>
              <c:strCache>
                <c:ptCount val="1"/>
                <c:pt idx="0">
                  <c:v>Viti </c:v>
                </c:pt>
              </c:strCache>
            </c:strRef>
          </c:tx>
          <c:spPr>
            <a:solidFill>
              <a:schemeClr val="accent1">
                <a:lumMod val="5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PROCESVERBALET!$D$38:$F$38</c:f>
              <c:numCache>
                <c:formatCode>General</c:formatCode>
                <c:ptCount val="3"/>
                <c:pt idx="0">
                  <c:v>7</c:v>
                </c:pt>
                <c:pt idx="1">
                  <c:v>0</c:v>
                </c:pt>
                <c:pt idx="2">
                  <c:v>0</c:v>
                </c:pt>
              </c:numCache>
            </c:numRef>
          </c:val>
          <c:extLst>
            <c:ext xmlns:c16="http://schemas.microsoft.com/office/drawing/2014/chart" uri="{C3380CC4-5D6E-409C-BE32-E72D297353CC}">
              <c16:uniqueId val="{0000001E-0D74-4EDA-B286-59E06FA057D7}"/>
            </c:ext>
          </c:extLst>
        </c:ser>
        <c:ser>
          <c:idx val="31"/>
          <c:order val="31"/>
          <c:tx>
            <c:strRef>
              <c:f>PROCESVERBALET!$C$39</c:f>
              <c:strCache>
                <c:ptCount val="1"/>
                <c:pt idx="0">
                  <c:v>Vushtrri </c:v>
                </c:pt>
              </c:strCache>
            </c:strRef>
          </c:tx>
          <c:spPr>
            <a:solidFill>
              <a:schemeClr val="accent2">
                <a:lumMod val="5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PROCESVERBALET!$D$39:$F$39</c:f>
              <c:numCache>
                <c:formatCode>General</c:formatCode>
                <c:ptCount val="3"/>
                <c:pt idx="0">
                  <c:v>7</c:v>
                </c:pt>
                <c:pt idx="1">
                  <c:v>8</c:v>
                </c:pt>
                <c:pt idx="2">
                  <c:v>9</c:v>
                </c:pt>
              </c:numCache>
            </c:numRef>
          </c:val>
          <c:extLst>
            <c:ext xmlns:c16="http://schemas.microsoft.com/office/drawing/2014/chart" uri="{C3380CC4-5D6E-409C-BE32-E72D297353CC}">
              <c16:uniqueId val="{0000001F-0D74-4EDA-B286-59E06FA057D7}"/>
            </c:ext>
          </c:extLst>
        </c:ser>
        <c:ser>
          <c:idx val="32"/>
          <c:order val="32"/>
          <c:tx>
            <c:strRef>
              <c:f>PROCESVERBALET!$C$40</c:f>
              <c:strCache>
                <c:ptCount val="1"/>
                <c:pt idx="0">
                  <c:v>Zubin Potoku</c:v>
                </c:pt>
              </c:strCache>
            </c:strRef>
          </c:tx>
          <c:spPr>
            <a:solidFill>
              <a:schemeClr val="accent3">
                <a:lumMod val="5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PROCESVERBALET!$D$40:$F$40</c:f>
              <c:numCache>
                <c:formatCode>General</c:formatCode>
                <c:ptCount val="3"/>
                <c:pt idx="0">
                  <c:v>0</c:v>
                </c:pt>
                <c:pt idx="1">
                  <c:v>0</c:v>
                </c:pt>
                <c:pt idx="2">
                  <c:v>0</c:v>
                </c:pt>
              </c:numCache>
            </c:numRef>
          </c:val>
          <c:extLst>
            <c:ext xmlns:c16="http://schemas.microsoft.com/office/drawing/2014/chart" uri="{C3380CC4-5D6E-409C-BE32-E72D297353CC}">
              <c16:uniqueId val="{00000020-0D74-4EDA-B286-59E06FA057D7}"/>
            </c:ext>
          </c:extLst>
        </c:ser>
        <c:ser>
          <c:idx val="33"/>
          <c:order val="33"/>
          <c:tx>
            <c:strRef>
              <c:f>PROCESVERBALET!$C$41</c:f>
              <c:strCache>
                <c:ptCount val="1"/>
                <c:pt idx="0">
                  <c:v>Zveçan</c:v>
                </c:pt>
              </c:strCache>
            </c:strRef>
          </c:tx>
          <c:spPr>
            <a:solidFill>
              <a:schemeClr val="accent4">
                <a:lumMod val="5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PROCESVERBALET!$D$41:$F$41</c:f>
              <c:numCache>
                <c:formatCode>General</c:formatCode>
                <c:ptCount val="3"/>
                <c:pt idx="0">
                  <c:v>0</c:v>
                </c:pt>
                <c:pt idx="1">
                  <c:v>0</c:v>
                </c:pt>
                <c:pt idx="2">
                  <c:v>0</c:v>
                </c:pt>
              </c:numCache>
            </c:numRef>
          </c:val>
          <c:extLst>
            <c:ext xmlns:c16="http://schemas.microsoft.com/office/drawing/2014/chart" uri="{C3380CC4-5D6E-409C-BE32-E72D297353CC}">
              <c16:uniqueId val="{00000021-0D74-4EDA-B286-59E06FA057D7}"/>
            </c:ext>
          </c:extLst>
        </c:ser>
        <c:ser>
          <c:idx val="34"/>
          <c:order val="34"/>
          <c:tx>
            <c:strRef>
              <c:f>PROCESVERBALET!$C$42</c:f>
              <c:strCache>
                <c:ptCount val="1"/>
                <c:pt idx="0">
                  <c:v>Leposaviq</c:v>
                </c:pt>
              </c:strCache>
            </c:strRef>
          </c:tx>
          <c:spPr>
            <a:solidFill>
              <a:schemeClr val="accent5">
                <a:lumMod val="5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PROCESVERBALET!$D$42:$F$42</c:f>
              <c:numCache>
                <c:formatCode>General</c:formatCode>
                <c:ptCount val="3"/>
                <c:pt idx="0">
                  <c:v>0</c:v>
                </c:pt>
                <c:pt idx="1">
                  <c:v>0</c:v>
                </c:pt>
                <c:pt idx="2">
                  <c:v>0</c:v>
                </c:pt>
              </c:numCache>
            </c:numRef>
          </c:val>
          <c:extLst>
            <c:ext xmlns:c16="http://schemas.microsoft.com/office/drawing/2014/chart" uri="{C3380CC4-5D6E-409C-BE32-E72D297353CC}">
              <c16:uniqueId val="{00000022-0D74-4EDA-B286-59E06FA057D7}"/>
            </c:ext>
          </c:extLst>
        </c:ser>
        <c:ser>
          <c:idx val="35"/>
          <c:order val="35"/>
          <c:tx>
            <c:strRef>
              <c:f>PROCESVERBALET!$C$43</c:f>
              <c:strCache>
                <c:ptCount val="1"/>
                <c:pt idx="0">
                  <c:v>Mitrovica Veriore</c:v>
                </c:pt>
              </c:strCache>
            </c:strRef>
          </c:tx>
          <c:spPr>
            <a:solidFill>
              <a:schemeClr val="accent6">
                <a:lumMod val="5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PROCESVERBALET!$D$43:$F$43</c:f>
              <c:numCache>
                <c:formatCode>General</c:formatCode>
                <c:ptCount val="3"/>
                <c:pt idx="0">
                  <c:v>4</c:v>
                </c:pt>
                <c:pt idx="1">
                  <c:v>4</c:v>
                </c:pt>
                <c:pt idx="2">
                  <c:v>2</c:v>
                </c:pt>
              </c:numCache>
            </c:numRef>
          </c:val>
          <c:extLst>
            <c:ext xmlns:c16="http://schemas.microsoft.com/office/drawing/2014/chart" uri="{C3380CC4-5D6E-409C-BE32-E72D297353CC}">
              <c16:uniqueId val="{00000023-0D74-4EDA-B286-59E06FA057D7}"/>
            </c:ext>
          </c:extLst>
        </c:ser>
        <c:ser>
          <c:idx val="36"/>
          <c:order val="36"/>
          <c:tx>
            <c:strRef>
              <c:f>PROCESVERBALET!$C$44</c:f>
              <c:strCache>
                <c:ptCount val="1"/>
                <c:pt idx="0">
                  <c:v>Mamushë</c:v>
                </c:pt>
              </c:strCache>
            </c:strRef>
          </c:tx>
          <c:spPr>
            <a:solidFill>
              <a:schemeClr val="accent1">
                <a:lumMod val="70000"/>
                <a:lumOff val="3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PROCESVERBALET!$D$44:$F$44</c:f>
              <c:numCache>
                <c:formatCode>General</c:formatCode>
                <c:ptCount val="3"/>
                <c:pt idx="0">
                  <c:v>5</c:v>
                </c:pt>
                <c:pt idx="1">
                  <c:v>1</c:v>
                </c:pt>
                <c:pt idx="2">
                  <c:v>2</c:v>
                </c:pt>
              </c:numCache>
            </c:numRef>
          </c:val>
          <c:extLst>
            <c:ext xmlns:c16="http://schemas.microsoft.com/office/drawing/2014/chart" uri="{C3380CC4-5D6E-409C-BE32-E72D297353CC}">
              <c16:uniqueId val="{00000024-0D74-4EDA-B286-59E06FA057D7}"/>
            </c:ext>
          </c:extLst>
        </c:ser>
        <c:ser>
          <c:idx val="37"/>
          <c:order val="37"/>
          <c:tx>
            <c:strRef>
              <c:f>PROCESVERBALET!$C$45</c:f>
              <c:strCache>
                <c:ptCount val="1"/>
                <c:pt idx="0">
                  <c:v>Dragash</c:v>
                </c:pt>
              </c:strCache>
            </c:strRef>
          </c:tx>
          <c:spPr>
            <a:blipFill>
              <a:blip xmlns:r="http://schemas.openxmlformats.org/officeDocument/2006/relationships" r:embed="rId3"/>
              <a:tile tx="0" ty="0" sx="100000" sy="100000" flip="none" algn="tl"/>
            </a:blip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PROCESVERBALET!$D$45:$F$45</c:f>
              <c:numCache>
                <c:formatCode>General</c:formatCode>
                <c:ptCount val="3"/>
                <c:pt idx="0">
                  <c:v>1</c:v>
                </c:pt>
                <c:pt idx="1">
                  <c:v>8</c:v>
                </c:pt>
                <c:pt idx="2">
                  <c:v>8</c:v>
                </c:pt>
              </c:numCache>
            </c:numRef>
          </c:val>
          <c:extLst>
            <c:ext xmlns:c16="http://schemas.microsoft.com/office/drawing/2014/chart" uri="{C3380CC4-5D6E-409C-BE32-E72D297353CC}">
              <c16:uniqueId val="{00000025-0D74-4EDA-B286-59E06FA057D7}"/>
            </c:ext>
          </c:extLst>
        </c:ser>
        <c:ser>
          <c:idx val="38"/>
          <c:order val="38"/>
          <c:tx>
            <c:strRef>
              <c:f>PROCESVERBALET!$C$46</c:f>
              <c:strCache>
                <c:ptCount val="1"/>
                <c:pt idx="0">
                  <c:v>TOTALI</c:v>
                </c:pt>
              </c:strCache>
            </c:strRef>
          </c:tx>
          <c:spPr>
            <a:solidFill>
              <a:schemeClr val="accent3">
                <a:lumMod val="70000"/>
                <a:lumOff val="3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PROCESVERBALET!$D$46:$F$46</c:f>
              <c:numCache>
                <c:formatCode>General</c:formatCode>
                <c:ptCount val="3"/>
                <c:pt idx="0">
                  <c:v>299</c:v>
                </c:pt>
                <c:pt idx="1">
                  <c:v>236</c:v>
                </c:pt>
                <c:pt idx="2">
                  <c:v>101</c:v>
                </c:pt>
              </c:numCache>
            </c:numRef>
          </c:val>
          <c:extLst>
            <c:ext xmlns:c16="http://schemas.microsoft.com/office/drawing/2014/chart" uri="{C3380CC4-5D6E-409C-BE32-E72D297353CC}">
              <c16:uniqueId val="{00000026-0D74-4EDA-B286-59E06FA057D7}"/>
            </c:ext>
          </c:extLst>
        </c:ser>
        <c:dLbls>
          <c:showLegendKey val="0"/>
          <c:showVal val="1"/>
          <c:showCatName val="0"/>
          <c:showSerName val="0"/>
          <c:showPercent val="0"/>
          <c:showBubbleSize val="0"/>
        </c:dLbls>
        <c:gapWidth val="95"/>
        <c:gapDepth val="95"/>
        <c:shape val="box"/>
        <c:axId val="484679928"/>
        <c:axId val="484686592"/>
        <c:axId val="0"/>
      </c:bar3DChart>
      <c:catAx>
        <c:axId val="4846799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484686592"/>
        <c:crosses val="autoZero"/>
        <c:auto val="1"/>
        <c:lblAlgn val="ctr"/>
        <c:lblOffset val="100"/>
        <c:noMultiLvlLbl val="0"/>
      </c:catAx>
      <c:valAx>
        <c:axId val="484686592"/>
        <c:scaling>
          <c:orientation val="minMax"/>
        </c:scaling>
        <c:delete val="1"/>
        <c:axPos val="b"/>
        <c:numFmt formatCode="General" sourceLinked="1"/>
        <c:majorTickMark val="none"/>
        <c:minorTickMark val="none"/>
        <c:tickLblPos val="nextTo"/>
        <c:crossAx val="484679928"/>
        <c:crosses val="autoZero"/>
        <c:crossBetween val="between"/>
      </c:valAx>
      <c:spPr>
        <a:noFill/>
        <a:ln>
          <a:noFill/>
        </a:ln>
        <a:effectLst/>
      </c:spPr>
    </c:plotArea>
    <c:plotVisOnly val="1"/>
    <c:dispBlanksAs val="gap"/>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'PUBLIKIMI K.K PLANET STRATEGJIK'!$Q$7</c:f>
              <c:strCache>
                <c:ptCount val="1"/>
                <c:pt idx="0">
                  <c:v> Publikimi i planit të punë së  kuvendit të komunës </c:v>
                </c:pt>
              </c:strCache>
            </c:strRef>
          </c:tx>
          <c:spPr>
            <a:solidFill>
              <a:schemeClr val="accent1"/>
            </a:solidFill>
            <a:ln>
              <a:noFill/>
            </a:ln>
            <a:effectLst/>
          </c:spPr>
          <c:invertIfNegative val="0"/>
          <c:dLbls>
            <c:dLbl>
              <c:idx val="0"/>
              <c:layout>
                <c:manualLayout>
                  <c:x val="1.9942388654996677E-2"/>
                  <c:y val="-0.229537903956508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9F-49EF-BAE9-848881915A76}"/>
                </c:ext>
              </c:extLst>
            </c:dLbl>
            <c:dLbl>
              <c:idx val="1"/>
              <c:layout>
                <c:manualLayout>
                  <c:x val="3.1021493463328165E-2"/>
                  <c:y val="-0.374509211718514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9F-49EF-BAE9-848881915A76}"/>
                </c:ext>
              </c:extLst>
            </c:dLbl>
            <c:dLbl>
              <c:idx val="2"/>
              <c:layout>
                <c:manualLayout>
                  <c:x val="3.1021493463328144E-2"/>
                  <c:y val="-0.229537903956508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9F-49EF-BAE9-848881915A76}"/>
                </c:ext>
              </c:extLst>
            </c:dLbl>
            <c:dLbl>
              <c:idx val="3"/>
              <c:layout>
                <c:manualLayout>
                  <c:x val="3.9884777309993354E-2"/>
                  <c:y val="-0.25369978858350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9F-49EF-BAE9-848881915A76}"/>
                </c:ext>
              </c:extLst>
            </c:dLbl>
            <c:dLbl>
              <c:idx val="4"/>
              <c:layout>
                <c:manualLayout>
                  <c:x val="3.3237314424994481E-2"/>
                  <c:y val="-0.332225913621262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9F-49EF-BAE9-848881915A76}"/>
                </c:ext>
              </c:extLst>
            </c:dLbl>
            <c:dLbl>
              <c:idx val="5"/>
              <c:layout>
                <c:manualLayout>
                  <c:x val="8.8632838466651889E-3"/>
                  <c:y val="-0.18121413470250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9F-49EF-BAE9-848881915A76}"/>
                </c:ext>
              </c:extLst>
            </c:dLbl>
            <c:dLbl>
              <c:idx val="6"/>
              <c:layout>
                <c:manualLayout>
                  <c:x val="1.1079104808331467E-2"/>
                  <c:y val="-0.18121413470250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19F-49EF-BAE9-848881915A76}"/>
                </c:ext>
              </c:extLst>
            </c:dLbl>
            <c:dLbl>
              <c:idx val="7"/>
              <c:layout>
                <c:manualLayout>
                  <c:x val="1.3294925769997743E-2"/>
                  <c:y val="-0.277861673210510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9F-49EF-BAE9-848881915A76}"/>
                </c:ext>
              </c:extLst>
            </c:dLbl>
            <c:dLbl>
              <c:idx val="8"/>
              <c:layout>
                <c:manualLayout>
                  <c:x val="4.4316419233325945E-3"/>
                  <c:y val="-0.120809423135004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19F-49EF-BAE9-848881915A76}"/>
                </c:ext>
              </c:extLst>
            </c:dLbl>
            <c:dLbl>
              <c:idx val="9"/>
              <c:layout>
                <c:manualLayout>
                  <c:x val="6.6474628849988518E-3"/>
                  <c:y val="-0.205376019329507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19F-49EF-BAE9-848881915A76}"/>
                </c:ext>
              </c:extLst>
            </c:dLbl>
            <c:dLbl>
              <c:idx val="10"/>
              <c:layout>
                <c:manualLayout>
                  <c:x val="8.863283846665149E-3"/>
                  <c:y val="-0.120809423135004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19F-49EF-BAE9-848881915A76}"/>
                </c:ext>
              </c:extLst>
            </c:dLbl>
            <c:dLbl>
              <c:idx val="11"/>
              <c:layout>
                <c:manualLayout>
                  <c:x val="6.6474628849988518E-3"/>
                  <c:y val="-0.332225913621262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19F-49EF-BAE9-848881915A76}"/>
                </c:ext>
              </c:extLst>
            </c:dLbl>
            <c:dLbl>
              <c:idx val="12"/>
              <c:layout>
                <c:manualLayout>
                  <c:x val="2.2158209616662972E-3"/>
                  <c:y val="-0.25369978858350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19F-49EF-BAE9-848881915A76}"/>
                </c:ext>
              </c:extLst>
            </c:dLbl>
            <c:dLbl>
              <c:idx val="13"/>
              <c:layout>
                <c:manualLayout>
                  <c:x val="4.4316419233325537E-3"/>
                  <c:y val="-0.175173663545756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19F-49EF-BAE9-848881915A76}"/>
                </c:ext>
              </c:extLst>
            </c:dLbl>
            <c:dLbl>
              <c:idx val="14"/>
              <c:layout>
                <c:manualLayout>
                  <c:x val="-4.0622915017834678E-17"/>
                  <c:y val="-0.157052250075505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19F-49EF-BAE9-848881915A76}"/>
                </c:ext>
              </c:extLst>
            </c:dLbl>
            <c:dLbl>
              <c:idx val="15"/>
              <c:layout>
                <c:manualLayout>
                  <c:x val="0"/>
                  <c:y val="-0.241618846270009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19F-49EF-BAE9-848881915A76}"/>
                </c:ext>
              </c:extLst>
            </c:dLbl>
            <c:dLbl>
              <c:idx val="16"/>
              <c:layout>
                <c:manualLayout>
                  <c:x val="4.4316419233325945E-3"/>
                  <c:y val="-0.247659317426759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19F-49EF-BAE9-848881915A76}"/>
                </c:ext>
              </c:extLst>
            </c:dLbl>
            <c:dLbl>
              <c:idx val="17"/>
              <c:layout>
                <c:manualLayout>
                  <c:x val="4.4316419233325138E-3"/>
                  <c:y val="-0.271821202053760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19F-49EF-BAE9-848881915A76}"/>
                </c:ext>
              </c:extLst>
            </c:dLbl>
            <c:dLbl>
              <c:idx val="18"/>
              <c:layout>
                <c:manualLayout>
                  <c:x val="1.1079104808331486E-2"/>
                  <c:y val="-0.277861673210510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19F-49EF-BAE9-848881915A76}"/>
                </c:ext>
              </c:extLst>
            </c:dLbl>
            <c:dLbl>
              <c:idx val="19"/>
              <c:layout>
                <c:manualLayout>
                  <c:x val="2.2158209616662972E-2"/>
                  <c:y val="-0.277861673210510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19F-49EF-BAE9-848881915A76}"/>
                </c:ext>
              </c:extLst>
            </c:dLbl>
            <c:dLbl>
              <c:idx val="20"/>
              <c:layout>
                <c:manualLayout>
                  <c:x val="6.647462884998811E-3"/>
                  <c:y val="-0.151011778918755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19F-49EF-BAE9-848881915A76}"/>
                </c:ext>
              </c:extLst>
            </c:dLbl>
            <c:dLbl>
              <c:idx val="21"/>
              <c:layout>
                <c:manualLayout>
                  <c:x val="1.1079104808331486E-2"/>
                  <c:y val="-0.211416490486257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19F-49EF-BAE9-848881915A76}"/>
                </c:ext>
              </c:extLst>
            </c:dLbl>
            <c:dLbl>
              <c:idx val="22"/>
              <c:layout>
                <c:manualLayout>
                  <c:x val="4.4316419233325945E-3"/>
                  <c:y val="-0.120809423135004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19F-49EF-BAE9-848881915A76}"/>
                </c:ext>
              </c:extLst>
            </c:dLbl>
            <c:dLbl>
              <c:idx val="23"/>
              <c:layout>
                <c:manualLayout>
                  <c:x val="1.1079104808331406E-2"/>
                  <c:y val="-0.205376019329507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19F-49EF-BAE9-848881915A76}"/>
                </c:ext>
              </c:extLst>
            </c:dLbl>
            <c:dLbl>
              <c:idx val="24"/>
              <c:layout>
                <c:manualLayout>
                  <c:x val="1.1079104808331486E-2"/>
                  <c:y val="-0.205376019329507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19F-49EF-BAE9-848881915A76}"/>
                </c:ext>
              </c:extLst>
            </c:dLbl>
            <c:dLbl>
              <c:idx val="25"/>
              <c:layout>
                <c:manualLayout>
                  <c:x val="1.5510746731664162E-2"/>
                  <c:y val="-0.235578375113258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719F-49EF-BAE9-848881915A76}"/>
                </c:ext>
              </c:extLst>
            </c:dLbl>
            <c:dLbl>
              <c:idx val="26"/>
              <c:layout>
                <c:manualLayout>
                  <c:x val="2.6589851539995567E-2"/>
                  <c:y val="-0.283902144367260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719F-49EF-BAE9-848881915A76}"/>
                </c:ext>
              </c:extLst>
            </c:dLbl>
            <c:dLbl>
              <c:idx val="27"/>
              <c:layout>
                <c:manualLayout>
                  <c:x val="2.2158209616662893E-2"/>
                  <c:y val="-0.235578375113258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719F-49EF-BAE9-848881915A76}"/>
                </c:ext>
              </c:extLst>
            </c:dLbl>
            <c:dLbl>
              <c:idx val="28"/>
              <c:layout>
                <c:manualLayout>
                  <c:x val="3.3237314424994377E-2"/>
                  <c:y val="-0.25369978858350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19F-49EF-BAE9-848881915A76}"/>
                </c:ext>
              </c:extLst>
            </c:dLbl>
            <c:dLbl>
              <c:idx val="29"/>
              <c:layout>
                <c:manualLayout>
                  <c:x val="8.1245830035669357E-17"/>
                  <c:y val="-0.144971307762005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19F-49EF-BAE9-848881915A76}"/>
                </c:ext>
              </c:extLst>
            </c:dLbl>
            <c:dLbl>
              <c:idx val="30"/>
              <c:layout>
                <c:manualLayout>
                  <c:x val="1.5510746731664082E-2"/>
                  <c:y val="-0.25369978858350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719F-49EF-BAE9-848881915A76}"/>
                </c:ext>
              </c:extLst>
            </c:dLbl>
            <c:dLbl>
              <c:idx val="31"/>
              <c:layout>
                <c:manualLayout>
                  <c:x val="1.5510746731664082E-2"/>
                  <c:y val="-0.217456961643008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719F-49EF-BAE9-848881915A76}"/>
                </c:ext>
              </c:extLst>
            </c:dLbl>
            <c:dLbl>
              <c:idx val="32"/>
              <c:layout>
                <c:manualLayout>
                  <c:x val="8.8632838466651889E-3"/>
                  <c:y val="-0.259740259740259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719F-49EF-BAE9-848881915A76}"/>
                </c:ext>
              </c:extLst>
            </c:dLbl>
            <c:dLbl>
              <c:idx val="33"/>
              <c:layout>
                <c:manualLayout>
                  <c:x val="2.2158209616662972E-3"/>
                  <c:y val="-0.151011778918755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719F-49EF-BAE9-848881915A76}"/>
                </c:ext>
              </c:extLst>
            </c:dLbl>
            <c:dLbl>
              <c:idx val="34"/>
              <c:layout>
                <c:manualLayout>
                  <c:x val="8.8632838466650276E-3"/>
                  <c:y val="-0.211416490486257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719F-49EF-BAE9-848881915A76}"/>
                </c:ext>
              </c:extLst>
            </c:dLbl>
            <c:dLbl>
              <c:idx val="35"/>
              <c:layout>
                <c:manualLayout>
                  <c:x val="4.4316419233325945E-3"/>
                  <c:y val="-0.235578375113258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719F-49EF-BAE9-848881915A76}"/>
                </c:ext>
              </c:extLst>
            </c:dLbl>
            <c:dLbl>
              <c:idx val="36"/>
              <c:layout>
                <c:manualLayout>
                  <c:x val="6.6474628849988917E-3"/>
                  <c:y val="-0.241618846270009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719F-49EF-BAE9-848881915A76}"/>
                </c:ext>
              </c:extLst>
            </c:dLbl>
            <c:dLbl>
              <c:idx val="37"/>
              <c:layout>
                <c:manualLayout>
                  <c:x val="0"/>
                  <c:y val="-0.10268800966475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719F-49EF-BAE9-848881915A76}"/>
                </c:ext>
              </c:extLst>
            </c:dLbl>
            <c:spPr>
              <a:noFill/>
              <a:ln>
                <a:noFill/>
              </a:ln>
              <a:effectLst/>
            </c:spPr>
            <c:txPr>
              <a:bodyPr rot="0" spcFirstLastPara="1" vertOverflow="ellipsis" vert="horz" wrap="square" anchor="ctr" anchorCtr="1"/>
              <a:lstStyle/>
              <a:p>
                <a:pPr>
                  <a:defRPr sz="800" b="1" i="1" u="none" strike="noStrike" kern="1200" baseline="0">
                    <a:solidFill>
                      <a:schemeClr val="tx1">
                        <a:lumMod val="75000"/>
                        <a:lumOff val="25000"/>
                      </a:schemeClr>
                    </a:solidFill>
                    <a:latin typeface="Century Schoolbook" panose="020406040505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STRATEGJIK'!$P$8:$P$47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K.K PLANET STRATEGJIK'!$Q$8:$Q$47</c:f>
              <c:numCache>
                <c:formatCode>General</c:formatCode>
                <c:ptCount val="40"/>
                <c:pt idx="0">
                  <c:v>1</c:v>
                </c:pt>
                <c:pt idx="1">
                  <c:v>1</c:v>
                </c:pt>
                <c:pt idx="2">
                  <c:v>1</c:v>
                </c:pt>
                <c:pt idx="3">
                  <c:v>0</c:v>
                </c:pt>
                <c:pt idx="4">
                  <c:v>1</c:v>
                </c:pt>
                <c:pt idx="5">
                  <c:v>1</c:v>
                </c:pt>
                <c:pt idx="6">
                  <c:v>1</c:v>
                </c:pt>
                <c:pt idx="7">
                  <c:v>0</c:v>
                </c:pt>
                <c:pt idx="8">
                  <c:v>0</c:v>
                </c:pt>
                <c:pt idx="9">
                  <c:v>0</c:v>
                </c:pt>
                <c:pt idx="10">
                  <c:v>1</c:v>
                </c:pt>
                <c:pt idx="11">
                  <c:v>1</c:v>
                </c:pt>
                <c:pt idx="12">
                  <c:v>0</c:v>
                </c:pt>
                <c:pt idx="13">
                  <c:v>0</c:v>
                </c:pt>
                <c:pt idx="14">
                  <c:v>1</c:v>
                </c:pt>
                <c:pt idx="15">
                  <c:v>1</c:v>
                </c:pt>
                <c:pt idx="16">
                  <c:v>0</c:v>
                </c:pt>
                <c:pt idx="17">
                  <c:v>0</c:v>
                </c:pt>
                <c:pt idx="18">
                  <c:v>0</c:v>
                </c:pt>
                <c:pt idx="19">
                  <c:v>0</c:v>
                </c:pt>
                <c:pt idx="20">
                  <c:v>0</c:v>
                </c:pt>
                <c:pt idx="21">
                  <c:v>0</c:v>
                </c:pt>
                <c:pt idx="22">
                  <c:v>0</c:v>
                </c:pt>
                <c:pt idx="23">
                  <c:v>1</c:v>
                </c:pt>
                <c:pt idx="24">
                  <c:v>1</c:v>
                </c:pt>
                <c:pt idx="25">
                  <c:v>0</c:v>
                </c:pt>
                <c:pt idx="26">
                  <c:v>1</c:v>
                </c:pt>
                <c:pt idx="27">
                  <c:v>0</c:v>
                </c:pt>
                <c:pt idx="28">
                  <c:v>1</c:v>
                </c:pt>
                <c:pt idx="29">
                  <c:v>1</c:v>
                </c:pt>
                <c:pt idx="30">
                  <c:v>0</c:v>
                </c:pt>
                <c:pt idx="31">
                  <c:v>1</c:v>
                </c:pt>
                <c:pt idx="32">
                  <c:v>0</c:v>
                </c:pt>
                <c:pt idx="33">
                  <c:v>0</c:v>
                </c:pt>
                <c:pt idx="34">
                  <c:v>0</c:v>
                </c:pt>
                <c:pt idx="35">
                  <c:v>0</c:v>
                </c:pt>
                <c:pt idx="36">
                  <c:v>0</c:v>
                </c:pt>
                <c:pt idx="37">
                  <c:v>1</c:v>
                </c:pt>
                <c:pt idx="38">
                  <c:v>17</c:v>
                </c:pt>
              </c:numCache>
            </c:numRef>
          </c:val>
          <c:extLst>
            <c:ext xmlns:c16="http://schemas.microsoft.com/office/drawing/2014/chart" uri="{C3380CC4-5D6E-409C-BE32-E72D297353CC}">
              <c16:uniqueId val="{00000026-719F-49EF-BAE9-848881915A76}"/>
            </c:ext>
          </c:extLst>
        </c:ser>
        <c:dLbls>
          <c:showLegendKey val="0"/>
          <c:showVal val="1"/>
          <c:showCatName val="0"/>
          <c:showSerName val="0"/>
          <c:showPercent val="0"/>
          <c:showBubbleSize val="0"/>
        </c:dLbls>
        <c:gapWidth val="95"/>
        <c:overlap val="100"/>
        <c:axId val="344140808"/>
        <c:axId val="455627952"/>
      </c:barChart>
      <c:catAx>
        <c:axId val="344140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455627952"/>
        <c:crosses val="autoZero"/>
        <c:auto val="1"/>
        <c:lblAlgn val="ctr"/>
        <c:lblOffset val="100"/>
        <c:noMultiLvlLbl val="0"/>
      </c:catAx>
      <c:valAx>
        <c:axId val="455627952"/>
        <c:scaling>
          <c:orientation val="minMax"/>
        </c:scaling>
        <c:delete val="1"/>
        <c:axPos val="l"/>
        <c:numFmt formatCode="General" sourceLinked="1"/>
        <c:majorTickMark val="none"/>
        <c:minorTickMark val="none"/>
        <c:tickLblPos val="nextTo"/>
        <c:crossAx val="344140808"/>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7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sz="800" b="1" i="1">
          <a:latin typeface="Book Antiqua" panose="02040602050305030304"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'PUBLIKIMI K.K PLANET STRATEGJIK'!$Q$7</c:f>
              <c:strCache>
                <c:ptCount val="1"/>
                <c:pt idx="0">
                  <c:v>Raporti I Kuvendit Komunal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STRATEGJIK'!$P$8:$P$46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K.K PLANET STRATEGJIK'!$Q$8:$Q$46</c:f>
              <c:numCache>
                <c:formatCode>General</c:formatCode>
                <c:ptCount val="39"/>
                <c:pt idx="0">
                  <c:v>1</c:v>
                </c:pt>
                <c:pt idx="1">
                  <c:v>0</c:v>
                </c:pt>
                <c:pt idx="2">
                  <c:v>0</c:v>
                </c:pt>
                <c:pt idx="3">
                  <c:v>0</c:v>
                </c:pt>
                <c:pt idx="4">
                  <c:v>0</c:v>
                </c:pt>
                <c:pt idx="5">
                  <c:v>1</c:v>
                </c:pt>
                <c:pt idx="6">
                  <c:v>1</c:v>
                </c:pt>
                <c:pt idx="7">
                  <c:v>0</c:v>
                </c:pt>
                <c:pt idx="8">
                  <c:v>1</c:v>
                </c:pt>
                <c:pt idx="9">
                  <c:v>0</c:v>
                </c:pt>
                <c:pt idx="10">
                  <c:v>1</c:v>
                </c:pt>
                <c:pt idx="11">
                  <c:v>1</c:v>
                </c:pt>
                <c:pt idx="12">
                  <c:v>1</c:v>
                </c:pt>
                <c:pt idx="13">
                  <c:v>0</c:v>
                </c:pt>
                <c:pt idx="14">
                  <c:v>1</c:v>
                </c:pt>
                <c:pt idx="15">
                  <c:v>1</c:v>
                </c:pt>
                <c:pt idx="16">
                  <c:v>1</c:v>
                </c:pt>
                <c:pt idx="17">
                  <c:v>1</c:v>
                </c:pt>
                <c:pt idx="18">
                  <c:v>1</c:v>
                </c:pt>
                <c:pt idx="19">
                  <c:v>0</c:v>
                </c:pt>
                <c:pt idx="20">
                  <c:v>0</c:v>
                </c:pt>
                <c:pt idx="21">
                  <c:v>1</c:v>
                </c:pt>
                <c:pt idx="22">
                  <c:v>0</c:v>
                </c:pt>
                <c:pt idx="23">
                  <c:v>1</c:v>
                </c:pt>
                <c:pt idx="24">
                  <c:v>1</c:v>
                </c:pt>
                <c:pt idx="25">
                  <c:v>0</c:v>
                </c:pt>
                <c:pt idx="26">
                  <c:v>1</c:v>
                </c:pt>
                <c:pt idx="27">
                  <c:v>0</c:v>
                </c:pt>
                <c:pt idx="28">
                  <c:v>1</c:v>
                </c:pt>
                <c:pt idx="29">
                  <c:v>1</c:v>
                </c:pt>
                <c:pt idx="30">
                  <c:v>1</c:v>
                </c:pt>
                <c:pt idx="31">
                  <c:v>0</c:v>
                </c:pt>
                <c:pt idx="32">
                  <c:v>0</c:v>
                </c:pt>
                <c:pt idx="33">
                  <c:v>0</c:v>
                </c:pt>
                <c:pt idx="34">
                  <c:v>0</c:v>
                </c:pt>
                <c:pt idx="35">
                  <c:v>0</c:v>
                </c:pt>
                <c:pt idx="36">
                  <c:v>1</c:v>
                </c:pt>
                <c:pt idx="37">
                  <c:v>1</c:v>
                </c:pt>
                <c:pt idx="38">
                  <c:v>21</c:v>
                </c:pt>
              </c:numCache>
            </c:numRef>
          </c:val>
          <c:extLst>
            <c:ext xmlns:c16="http://schemas.microsoft.com/office/drawing/2014/chart" uri="{C3380CC4-5D6E-409C-BE32-E72D297353CC}">
              <c16:uniqueId val="{00000000-8D55-4C8C-A181-FD1808F2E2F2}"/>
            </c:ext>
          </c:extLst>
        </c:ser>
        <c:dLbls>
          <c:showLegendKey val="0"/>
          <c:showVal val="1"/>
          <c:showCatName val="0"/>
          <c:showSerName val="0"/>
          <c:showPercent val="0"/>
          <c:showBubbleSize val="0"/>
        </c:dLbls>
        <c:gapWidth val="150"/>
        <c:overlap val="-25"/>
        <c:axId val="1085900447"/>
        <c:axId val="1085890047"/>
      </c:barChart>
      <c:catAx>
        <c:axId val="1085900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085890047"/>
        <c:crosses val="autoZero"/>
        <c:auto val="1"/>
        <c:lblAlgn val="ctr"/>
        <c:lblOffset val="100"/>
        <c:noMultiLvlLbl val="0"/>
      </c:catAx>
      <c:valAx>
        <c:axId val="1085890047"/>
        <c:scaling>
          <c:orientation val="minMax"/>
        </c:scaling>
        <c:delete val="1"/>
        <c:axPos val="l"/>
        <c:numFmt formatCode="General" sourceLinked="1"/>
        <c:majorTickMark val="none"/>
        <c:minorTickMark val="none"/>
        <c:tickLblPos val="nextTo"/>
        <c:crossAx val="1085900447"/>
        <c:crosses val="autoZero"/>
        <c:crossBetween val="between"/>
      </c:valAx>
      <c:spPr>
        <a:blipFill>
          <a:blip xmlns:r="http://schemas.openxmlformats.org/officeDocument/2006/relationships" r:embed="rId3"/>
          <a:tile tx="0" ty="0" sx="100000" sy="100000" flip="none" algn="tl"/>
        </a:blipFill>
        <a:ln>
          <a:noFill/>
        </a:ln>
        <a:effectLst/>
      </c:spPr>
    </c:plotArea>
    <c:legend>
      <c:legendPos val="t"/>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'PUBLIKIMI I FTESAVE '!$R$8:$R$46</cx:f>
        <cx:lvl ptCount="39">
          <cx:pt idx="0">Deçan</cx:pt>
          <cx:pt idx="1">Ferizaj</cx:pt>
          <cx:pt idx="2">Fushe Kosovë</cx:pt>
          <cx:pt idx="3">Gjakovë</cx:pt>
          <cx:pt idx="4">Gjilan </cx:pt>
          <cx:pt idx="5">Gllogoc </cx:pt>
          <cx:pt idx="6">Graçanicë</cx:pt>
          <cx:pt idx="7">Hani Elezit </cx:pt>
          <cx:pt idx="8">Istog </cx:pt>
          <cx:pt idx="9">Junik </cx:pt>
          <cx:pt idx="10">Kamenicë</cx:pt>
          <cx:pt idx="11">Kaçanik </cx:pt>
          <cx:pt idx="12">Klinë</cx:pt>
          <cx:pt idx="13">Kllokot </cx:pt>
          <cx:pt idx="14">Lipjan </cx:pt>
          <cx:pt idx="15">Malishevë</cx:pt>
          <cx:pt idx="16">Mitrovicë</cx:pt>
          <cx:pt idx="17">Novobërdë</cx:pt>
          <cx:pt idx="18">Obiliq</cx:pt>
          <cx:pt idx="19">Partesh </cx:pt>
          <cx:pt idx="20">Pejë </cx:pt>
          <cx:pt idx="21">Podujevë</cx:pt>
          <cx:pt idx="22">Prishtinë</cx:pt>
          <cx:pt idx="23">Prizren </cx:pt>
          <cx:pt idx="24">Rahovec</cx:pt>
          <cx:pt idx="25">Ranillug </cx:pt>
          <cx:pt idx="26">Shtime </cx:pt>
          <cx:pt idx="27">Shtërpcë</cx:pt>
          <cx:pt idx="28">Skenderaj </cx:pt>
          <cx:pt idx="29">Suharekë</cx:pt>
          <cx:pt idx="30">Viti </cx:pt>
          <cx:pt idx="31">Vushtrri </cx:pt>
          <cx:pt idx="32">Zubin Potoku</cx:pt>
          <cx:pt idx="33">Zveçan</cx:pt>
          <cx:pt idx="34">Leposaviq</cx:pt>
          <cx:pt idx="35">Mitrovica Veriore</cx:pt>
          <cx:pt idx="36">Mamushë</cx:pt>
          <cx:pt idx="37">Dragash</cx:pt>
        </cx:lvl>
      </cx:strDim>
      <cx:numDim type="val">
        <cx:f>'PUBLIKIMI I FTESAVE '!$S$8:$S$46</cx:f>
        <cx:lvl ptCount="39" formatCode="General">
          <cx:pt idx="0">0</cx:pt>
          <cx:pt idx="1">11</cx:pt>
          <cx:pt idx="2">0</cx:pt>
          <cx:pt idx="3">3</cx:pt>
          <cx:pt idx="4">0</cx:pt>
          <cx:pt idx="5">4</cx:pt>
          <cx:pt idx="6">3</cx:pt>
          <cx:pt idx="7">8</cx:pt>
          <cx:pt idx="8">0</cx:pt>
          <cx:pt idx="9">0</cx:pt>
          <cx:pt idx="10">10</cx:pt>
          <cx:pt idx="11">1</cx:pt>
          <cx:pt idx="12">2</cx:pt>
          <cx:pt idx="13">0</cx:pt>
          <cx:pt idx="14">8</cx:pt>
          <cx:pt idx="15">4</cx:pt>
          <cx:pt idx="16">5</cx:pt>
          <cx:pt idx="17">0</cx:pt>
          <cx:pt idx="18">16</cx:pt>
          <cx:pt idx="19">0</cx:pt>
          <cx:pt idx="20">3</cx:pt>
          <cx:pt idx="21">11</cx:pt>
          <cx:pt idx="22">15</cx:pt>
          <cx:pt idx="23">13</cx:pt>
          <cx:pt idx="24">11</cx:pt>
          <cx:pt idx="25">0</cx:pt>
          <cx:pt idx="26">1</cx:pt>
          <cx:pt idx="27">0</cx:pt>
          <cx:pt idx="28">9</cx:pt>
          <cx:pt idx="29">8</cx:pt>
          <cx:pt idx="30">0</cx:pt>
          <cx:pt idx="31">12</cx:pt>
          <cx:pt idx="32">0</cx:pt>
          <cx:pt idx="33">0</cx:pt>
          <cx:pt idx="34">0</cx:pt>
          <cx:pt idx="35">0</cx:pt>
          <cx:pt idx="36">0</cx:pt>
          <cx:pt idx="37">9</cx:pt>
          <cx:pt idx="38">167</cx:pt>
        </cx:lvl>
      </cx:numDim>
    </cx:data>
  </cx:chartData>
  <cx:chart>
    <cx:title pos="t" align="ctr" overlay="0">
      <cx:tx>
        <cx:txData>
          <cx:v>Transmetimi online i mbledhjeve të kuvendeve komunale  </cx:v>
        </cx:txData>
      </cx:tx>
      <cx:txPr>
        <a:bodyPr rot="0" spcFirstLastPara="1" vertOverflow="ellipsis" vert="horz" wrap="square" lIns="38100" tIns="19050" rIns="38100" bIns="19050" anchor="ctr" anchorCtr="1" compatLnSpc="0"/>
        <a:lstStyle/>
        <a:p>
          <a:pPr algn="ctr" rtl="0">
            <a:defRPr sz="700" b="1" i="0" u="none" strike="noStrike" kern="1200" spc="0" baseline="0">
              <a:solidFill>
                <a:sysClr val="windowText" lastClr="000000">
                  <a:lumMod val="65000"/>
                  <a:lumOff val="35000"/>
                </a:sysClr>
              </a:solidFill>
              <a:latin typeface="Century Schoolbook" panose="02040604050505020304" pitchFamily="18" charset="0"/>
              <a:ea typeface="Century Schoolbook" panose="02040604050505020304" pitchFamily="18" charset="0"/>
              <a:cs typeface="Century Schoolbook" panose="02040604050505020304" pitchFamily="18" charset="0"/>
            </a:defRPr>
          </a:pPr>
          <a:r>
            <a:rPr kumimoji="0" lang="en-GB" sz="700" b="1" i="0" u="none" strike="noStrike" kern="1200" cap="none" spc="0" normalizeH="0" baseline="0" noProof="0">
              <a:ln>
                <a:noFill/>
              </a:ln>
              <a:solidFill>
                <a:sysClr val="windowText" lastClr="000000">
                  <a:lumMod val="65000"/>
                  <a:lumOff val="35000"/>
                </a:sysClr>
              </a:solidFill>
              <a:effectLst/>
              <a:uLnTx/>
              <a:uFillTx/>
              <a:latin typeface="Century Schoolbook" panose="02040604050505020304" pitchFamily="18" charset="0"/>
            </a:rPr>
            <a:t>Transmetimi online i mbledhjeve të kuvendeve komunale  </a:t>
          </a:r>
        </a:p>
      </cx:txPr>
    </cx:title>
    <cx:plotArea>
      <cx:plotAreaRegion>
        <cx:series layoutId="clusteredColumn" uniqueId="{F20EBE0A-A15C-4184-9BE9-1F8A40384AB1}">
          <cx:tx>
            <cx:txData>
              <cx:f>'PUBLIKIMI I FTESAVE '!$S$7</cx:f>
              <cx:v>Transmetimi online i mbledhjeve të kuvendeve komunale  </cx:v>
            </cx:txData>
          </cx:tx>
          <cx:dataLabels pos="inEnd">
            <cx:txPr>
              <a:bodyPr spcFirstLastPara="1" vertOverflow="ellipsis" horzOverflow="overflow" wrap="square" lIns="0" tIns="0" rIns="0" bIns="0" anchor="ctr" anchorCtr="1"/>
              <a:lstStyle/>
              <a:p>
                <a:pPr algn="ctr" rtl="0">
                  <a:defRPr b="1"/>
                </a:pPr>
                <a:endParaRPr lang="en-US" sz="900" b="1" i="0" u="none" strike="noStrike" baseline="0">
                  <a:solidFill>
                    <a:sysClr val="windowText" lastClr="000000"/>
                  </a:solidFill>
                  <a:latin typeface="Arial" panose="020B0604020202020204"/>
                </a:endParaRPr>
              </a:p>
            </cx:txPr>
            <cx:visibility seriesName="0" categoryName="0" value="1"/>
          </cx:dataLabels>
          <cx:dataId val="0"/>
          <cx:layoutPr>
            <cx:aggregation/>
          </cx:layoutPr>
          <cx:axisId val="1"/>
        </cx:series>
        <cx:series layoutId="paretoLine" ownerIdx="0" uniqueId="{76B9CFE3-9B55-441F-9B65-A07BEFE80EF6}">
          <cx:axisId val="2"/>
        </cx:series>
      </cx:plotAreaRegion>
      <cx:axis id="0">
        <cx:catScaling gapWidth="0"/>
        <cx:tickLabels/>
        <cx:txPr>
          <a:bodyPr spcFirstLastPara="1" vertOverflow="ellipsis" horzOverflow="overflow" wrap="square" lIns="0" tIns="0" rIns="0" bIns="0" anchor="ctr" anchorCtr="1"/>
          <a:lstStyle/>
          <a:p>
            <a:pPr algn="ctr" rtl="0">
              <a:defRPr sz="800" b="1" i="1">
                <a:latin typeface="Book Antiqua" panose="02040602050305030304" pitchFamily="18" charset="0"/>
                <a:ea typeface="Book Antiqua" panose="02040602050305030304" pitchFamily="18" charset="0"/>
                <a:cs typeface="Book Antiqua" panose="02040602050305030304" pitchFamily="18" charset="0"/>
              </a:defRPr>
            </a:pPr>
            <a:endParaRPr lang="en-US" sz="800" b="1" i="1" u="none" strike="noStrike" baseline="0">
              <a:solidFill>
                <a:sysClr val="windowText" lastClr="000000">
                  <a:lumMod val="75000"/>
                  <a:lumOff val="25000"/>
                </a:sysClr>
              </a:solidFill>
              <a:latin typeface="Book Antiqua" panose="02040602050305030304" pitchFamily="18" charset="0"/>
            </a:endParaRPr>
          </a:p>
        </cx:txPr>
      </cx:axis>
      <cx:axis id="1" hidden="1">
        <cx:valScaling/>
        <cx:tickLabels/>
      </cx:axis>
      <cx:axis id="2" hidden="1">
        <cx:valScaling max="1" min="0"/>
        <cx:units unit="percentage"/>
        <cx:tickLabels/>
      </cx:axis>
    </cx:plotArea>
  </cx:chart>
  <cx:spPr>
    <a:blipFill>
      <a:blip r:embed="rId2"/>
      <a:tile tx="0" ty="0" sx="100000" sy="100000" flip="none" algn="tl"/>
    </a:blipFill>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'PUBLIKIMI K.K PLANET STRATEGJIK'!$AC$9:$AC$48</cx:f>
        <cx:lvl ptCount="40">
          <cx:pt idx="0">Deçan</cx:pt>
          <cx:pt idx="1">Ferizaj</cx:pt>
          <cx:pt idx="2">Fushe Kosovë</cx:pt>
          <cx:pt idx="3">Gjakovë</cx:pt>
          <cx:pt idx="4">Gjilan </cx:pt>
          <cx:pt idx="5">Gllogoc </cx:pt>
          <cx:pt idx="6">Graçanicë</cx:pt>
          <cx:pt idx="7">Hani Elezit </cx:pt>
          <cx:pt idx="8">Istog </cx:pt>
          <cx:pt idx="9">Junik </cx:pt>
          <cx:pt idx="10">Kamenicë</cx:pt>
          <cx:pt idx="11">Kaçanik </cx:pt>
          <cx:pt idx="12">Klinë</cx:pt>
          <cx:pt idx="13">Kllokot </cx:pt>
          <cx:pt idx="14">Lipjan </cx:pt>
          <cx:pt idx="15">Malishevë</cx:pt>
          <cx:pt idx="16">Mitrovicë</cx:pt>
          <cx:pt idx="17">Novobërdë</cx:pt>
          <cx:pt idx="18">Obiliq</cx:pt>
          <cx:pt idx="19">Partesh </cx:pt>
          <cx:pt idx="20">Pejë </cx:pt>
          <cx:pt idx="21">Podujevë</cx:pt>
          <cx:pt idx="22">Prishtinë</cx:pt>
          <cx:pt idx="23">Prizren </cx:pt>
          <cx:pt idx="24">Rahovec</cx:pt>
          <cx:pt idx="25">Ranillug </cx:pt>
          <cx:pt idx="26">Shtime </cx:pt>
          <cx:pt idx="27">Shtërpcë</cx:pt>
          <cx:pt idx="28">Skenderaj </cx:pt>
          <cx:pt idx="29">Suharekë</cx:pt>
          <cx:pt idx="30">Viti </cx:pt>
          <cx:pt idx="31">Vushtrri </cx:pt>
          <cx:pt idx="32">Zubin Potoku</cx:pt>
          <cx:pt idx="33">Zveçan</cx:pt>
          <cx:pt idx="34">Leposaviq</cx:pt>
          <cx:pt idx="35">Mitrovica Veriore</cx:pt>
          <cx:pt idx="36">Mamushë</cx:pt>
          <cx:pt idx="37">Dragash</cx:pt>
          <cx:pt idx="38">TOTALI</cx:pt>
        </cx:lvl>
      </cx:strDim>
      <cx:numDim type="val">
        <cx:f>'PUBLIKIMI K.K PLANET STRATEGJIK'!$AD$9:$AD$48</cx:f>
        <cx:lvl ptCount="40" formatCode="General">
          <cx:pt idx="0">0</cx:pt>
          <cx:pt idx="1">1</cx:pt>
          <cx:pt idx="2">0</cx:pt>
          <cx:pt idx="3">1</cx:pt>
          <cx:pt idx="4">1</cx:pt>
          <cx:pt idx="5">1</cx:pt>
          <cx:pt idx="6">0</cx:pt>
          <cx:pt idx="7">1</cx:pt>
          <cx:pt idx="8">1</cx:pt>
          <cx:pt idx="9">1</cx:pt>
          <cx:pt idx="10">1</cx:pt>
          <cx:pt idx="11">1</cx:pt>
          <cx:pt idx="12">1</cx:pt>
          <cx:pt idx="13">0</cx:pt>
          <cx:pt idx="14">1</cx:pt>
          <cx:pt idx="15">1</cx:pt>
          <cx:pt idx="16">1</cx:pt>
          <cx:pt idx="17">0</cx:pt>
          <cx:pt idx="18">1</cx:pt>
          <cx:pt idx="19">0</cx:pt>
          <cx:pt idx="20">1</cx:pt>
          <cx:pt idx="21">1</cx:pt>
          <cx:pt idx="22">1</cx:pt>
          <cx:pt idx="23">1</cx:pt>
          <cx:pt idx="24">1</cx:pt>
          <cx:pt idx="25">0</cx:pt>
          <cx:pt idx="26">1</cx:pt>
          <cx:pt idx="27">1</cx:pt>
          <cx:pt idx="28">1</cx:pt>
          <cx:pt idx="29">1</cx:pt>
          <cx:pt idx="30">0</cx:pt>
          <cx:pt idx="31">0</cx:pt>
          <cx:pt idx="32">0</cx:pt>
          <cx:pt idx="33">0</cx:pt>
          <cx:pt idx="34">0</cx:pt>
          <cx:pt idx="35">0</cx:pt>
          <cx:pt idx="36">0</cx:pt>
          <cx:pt idx="37">0</cx:pt>
          <cx:pt idx="38">23</cx:pt>
        </cx:lvl>
      </cx:numDim>
    </cx:data>
  </cx:chartData>
  <cx:chart>
    <cx:plotArea>
      <cx:plotAreaRegion>
        <cx:series layoutId="clusteredColumn" uniqueId="{8512EF98-173A-4E91-8374-0A507B4BA09C}">
          <cx:tx>
            <cx:txData>
              <cx:f>'PUBLIKIMI K.K PLANET STRATEGJIK'!$AD$7:$AD$8</cx:f>
              <cx:v>Plani i  Veprimit për transparencë</cx:v>
            </cx:txData>
          </cx:tx>
          <cx:dataLabels pos="inEnd">
            <cx:txPr>
              <a:bodyPr spcFirstLastPara="1" vertOverflow="ellipsis" horzOverflow="overflow" wrap="square" lIns="0" tIns="0" rIns="0" bIns="0" anchor="ctr" anchorCtr="1"/>
              <a:lstStyle/>
              <a:p>
                <a:pPr algn="ctr" rtl="0">
                  <a:defRPr b="1"/>
                </a:pPr>
                <a:endParaRPr lang="en-US" sz="900" b="1" i="0" u="none" strike="noStrike" baseline="0">
                  <a:solidFill>
                    <a:sysClr val="windowText" lastClr="000000">
                      <a:lumMod val="65000"/>
                      <a:lumOff val="35000"/>
                    </a:sysClr>
                  </a:solidFill>
                  <a:latin typeface="Arial" panose="020B0604020202020204"/>
                </a:endParaRPr>
              </a:p>
            </cx:txPr>
            <cx:visibility seriesName="0" categoryName="0" value="1"/>
          </cx:dataLabels>
          <cx:dataId val="0"/>
          <cx:layoutPr>
            <cx:aggregation/>
          </cx:layoutPr>
          <cx:axisId val="1"/>
        </cx:series>
        <cx:series layoutId="paretoLine" ownerIdx="0" uniqueId="{F0CD19BD-CE9E-496E-A912-1A9B87635EE2}">
          <cx:axisId val="2"/>
        </cx:series>
      </cx:plotAreaRegion>
      <cx:axis id="0">
        <cx:catScaling gapWidth="0"/>
        <cx:tickLabels/>
        <cx:txPr>
          <a:bodyPr spcFirstLastPara="1" vertOverflow="ellipsis" horzOverflow="overflow" wrap="square" lIns="0" tIns="0" rIns="0" bIns="0" anchor="ctr" anchorCtr="1"/>
          <a:lstStyle/>
          <a:p>
            <a:pPr algn="ctr" rtl="0">
              <a:defRPr sz="800" b="1" i="1">
                <a:latin typeface="Century Schoolbook" panose="02040604050505020304" pitchFamily="18" charset="0"/>
                <a:ea typeface="Century Schoolbook" panose="02040604050505020304" pitchFamily="18" charset="0"/>
                <a:cs typeface="Century Schoolbook" panose="02040604050505020304" pitchFamily="18" charset="0"/>
              </a:defRPr>
            </a:pPr>
            <a:endParaRPr lang="en-US" sz="800" b="1" i="1" u="none" strike="noStrike" baseline="0">
              <a:solidFill>
                <a:sysClr val="windowText" lastClr="000000">
                  <a:lumMod val="65000"/>
                  <a:lumOff val="35000"/>
                </a:sysClr>
              </a:solidFill>
              <a:latin typeface="Century Schoolbook" panose="02040604050505020304" pitchFamily="18" charset="0"/>
            </a:endParaRPr>
          </a:p>
        </cx:txPr>
      </cx:axis>
      <cx:axis id="1" hidden="1">
        <cx:valScaling/>
        <cx:tickLabels/>
      </cx:axis>
      <cx:axis id="2" hidden="1">
        <cx:valScaling max="1" min="0"/>
        <cx:units unit="percentage"/>
        <cx:tickLabels/>
      </cx:axis>
    </cx:plotArea>
  </cx:chart>
  <cx:spPr>
    <a:blipFill>
      <a:blip r:embed="rId2"/>
      <a:tile tx="0" ty="0" sx="100000" sy="100000" flip="none" algn="tl"/>
    </a:blipFill>
  </cx:spPr>
  <cx:clrMapOvr bg1="lt1" tx1="dk1" bg2="lt2" tx2="dk2" accent1="accent1" accent2="accent2" accent3="accent3" accent4="accent4" accent5="accent5" accent6="accent6" hlink="hlink" folHlink="folHlink"/>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'PROKURIMI '!$D$8:$D$46</cx:f>
        <cx:lvl ptCount="39">
          <cx:pt idx="0">Deçan</cx:pt>
          <cx:pt idx="1">Ferizaj</cx:pt>
          <cx:pt idx="2">Fushe Kosovë</cx:pt>
          <cx:pt idx="3">Gjakovë</cx:pt>
          <cx:pt idx="4">Gjilan </cx:pt>
          <cx:pt idx="5">Gllogoc </cx:pt>
          <cx:pt idx="6">Graçanicë</cx:pt>
          <cx:pt idx="7">Hani Elezit </cx:pt>
          <cx:pt idx="8">Istog </cx:pt>
          <cx:pt idx="9">Junik </cx:pt>
          <cx:pt idx="10">Kamenicë</cx:pt>
          <cx:pt idx="11">Kaçanik </cx:pt>
          <cx:pt idx="12">Klinë</cx:pt>
          <cx:pt idx="13">Kllokot </cx:pt>
          <cx:pt idx="14">Lipjan </cx:pt>
          <cx:pt idx="15">Malishevë</cx:pt>
          <cx:pt idx="16">Mitrovicë</cx:pt>
          <cx:pt idx="17">Novobërdë</cx:pt>
          <cx:pt idx="18">Obiliq</cx:pt>
          <cx:pt idx="19">Partesh </cx:pt>
          <cx:pt idx="20">Pejë </cx:pt>
          <cx:pt idx="21">Podujevë</cx:pt>
          <cx:pt idx="22">Prishtinë</cx:pt>
          <cx:pt idx="23">Prizren </cx:pt>
          <cx:pt idx="24">Rahovec</cx:pt>
          <cx:pt idx="25">Ranillug </cx:pt>
          <cx:pt idx="26">Shtime </cx:pt>
          <cx:pt idx="27">Shtërpcë</cx:pt>
          <cx:pt idx="28">Skenderaj </cx:pt>
          <cx:pt idx="29">Suharekë</cx:pt>
          <cx:pt idx="30">Viti </cx:pt>
          <cx:pt idx="31">Vushtrri </cx:pt>
          <cx:pt idx="32">Zubin Potoku</cx:pt>
          <cx:pt idx="33">Zveçan</cx:pt>
          <cx:pt idx="34">Leposaviq</cx:pt>
          <cx:pt idx="35">Mitrovica Veriore</cx:pt>
          <cx:pt idx="36">Mamushë</cx:pt>
          <cx:pt idx="37">Dragash</cx:pt>
          <cx:pt idx="38">TOTALI</cx:pt>
        </cx:lvl>
      </cx:strDim>
      <cx:numDim type="val">
        <cx:f>'PROKURIMI '!$E$8:$E$46</cx:f>
        <cx:lvl ptCount="39" formatCode="General">
          <cx:pt idx="0">1</cx:pt>
          <cx:pt idx="1">1</cx:pt>
          <cx:pt idx="2">1</cx:pt>
          <cx:pt idx="3">1</cx:pt>
          <cx:pt idx="4">0</cx:pt>
          <cx:pt idx="5">1</cx:pt>
          <cx:pt idx="6">1</cx:pt>
          <cx:pt idx="7">1</cx:pt>
          <cx:pt idx="8">1</cx:pt>
          <cx:pt idx="9">1</cx:pt>
          <cx:pt idx="10">1</cx:pt>
          <cx:pt idx="11">1</cx:pt>
          <cx:pt idx="12">1</cx:pt>
          <cx:pt idx="13">0</cx:pt>
          <cx:pt idx="14">1</cx:pt>
          <cx:pt idx="15">1</cx:pt>
          <cx:pt idx="16">1</cx:pt>
          <cx:pt idx="17">0</cx:pt>
          <cx:pt idx="18">1</cx:pt>
          <cx:pt idx="19">0</cx:pt>
          <cx:pt idx="20">1</cx:pt>
          <cx:pt idx="21">1</cx:pt>
          <cx:pt idx="22">1</cx:pt>
          <cx:pt idx="23">1</cx:pt>
          <cx:pt idx="24">1</cx:pt>
          <cx:pt idx="25">0</cx:pt>
          <cx:pt idx="26">1</cx:pt>
          <cx:pt idx="27">0</cx:pt>
          <cx:pt idx="28">1</cx:pt>
          <cx:pt idx="29">1</cx:pt>
          <cx:pt idx="30">1</cx:pt>
          <cx:pt idx="31">1</cx:pt>
          <cx:pt idx="32">0</cx:pt>
          <cx:pt idx="33">0</cx:pt>
          <cx:pt idx="34">0</cx:pt>
          <cx:pt idx="35">0</cx:pt>
          <cx:pt idx="36">0</cx:pt>
          <cx:pt idx="37">1</cx:pt>
          <cx:pt idx="38">27</cx:pt>
        </cx:lvl>
      </cx:numDim>
    </cx:data>
  </cx:chartData>
  <cx:chart>
    <cx:plotArea>
      <cx:plotAreaRegion>
        <cx:series layoutId="clusteredColumn" uniqueId="{EEE80804-F926-49C4-897F-D468D71A4662}">
          <cx:tx>
            <cx:txData>
              <cx:f>'PROKURIMI '!$E$7</cx:f>
              <cx:v>Publikimi i planit të prokurimit</cx:v>
            </cx:txData>
          </cx:tx>
          <cx:dataLabels pos="inEnd">
            <cx:txPr>
              <a:bodyPr spcFirstLastPara="1" vertOverflow="ellipsis" horzOverflow="overflow" wrap="square" lIns="0" tIns="0" rIns="0" bIns="0" anchor="ctr" anchorCtr="1"/>
              <a:lstStyle/>
              <a:p>
                <a:pPr algn="ctr" rtl="0">
                  <a:defRPr b="1"/>
                </a:pPr>
                <a:endParaRPr lang="en-US" sz="900" b="1" i="0" u="none" strike="noStrike" baseline="0">
                  <a:solidFill>
                    <a:sysClr val="windowText" lastClr="000000">
                      <a:lumMod val="75000"/>
                      <a:lumOff val="25000"/>
                    </a:sysClr>
                  </a:solidFill>
                  <a:latin typeface="Arial" panose="020B0604020202020204"/>
                </a:endParaRPr>
              </a:p>
            </cx:txPr>
            <cx:visibility seriesName="0" categoryName="0" value="1"/>
          </cx:dataLabels>
          <cx:dataId val="0"/>
          <cx:layoutPr>
            <cx:aggregation/>
          </cx:layoutPr>
          <cx:axisId val="1"/>
        </cx:series>
        <cx:series layoutId="paretoLine" ownerIdx="0" uniqueId="{C7E468B9-DBB6-45C6-AB04-378AF5CBA12C}">
          <cx:axisId val="2"/>
        </cx:series>
      </cx:plotAreaRegion>
      <cx:axis id="0">
        <cx:catScaling gapWidth="0"/>
        <cx:tickLabels/>
        <cx:txPr>
          <a:bodyPr spcFirstLastPara="1" vertOverflow="ellipsis" horzOverflow="overflow" wrap="square" lIns="0" tIns="0" rIns="0" bIns="0" anchor="ctr" anchorCtr="1"/>
          <a:lstStyle/>
          <a:p>
            <a:pPr algn="ctr" rtl="0">
              <a:defRPr sz="800" b="1" i="1">
                <a:latin typeface="Garamond" panose="02020404030301010803" pitchFamily="18" charset="0"/>
                <a:ea typeface="Garamond" panose="02020404030301010803" pitchFamily="18" charset="0"/>
                <a:cs typeface="Garamond" panose="02020404030301010803" pitchFamily="18" charset="0"/>
              </a:defRPr>
            </a:pPr>
            <a:endParaRPr lang="en-US" sz="800" b="1" i="1" u="none" strike="noStrike" baseline="0">
              <a:solidFill>
                <a:sysClr val="windowText" lastClr="000000">
                  <a:lumMod val="65000"/>
                  <a:lumOff val="35000"/>
                </a:sysClr>
              </a:solidFill>
              <a:latin typeface="Garamond" panose="02020404030301010803" pitchFamily="18" charset="0"/>
            </a:endParaRPr>
          </a:p>
        </cx:txPr>
      </cx:axis>
      <cx:axis id="1" hidden="1">
        <cx:valScaling/>
        <cx:tickLabels/>
      </cx:axis>
      <cx:axis id="2" hidden="1">
        <cx:valScaling max="1" min="0"/>
        <cx:units unit="percentage"/>
        <cx:tickLabels/>
      </cx:axis>
    </cx:plotArea>
  </cx:chart>
  <cx:spPr>
    <a:blipFill>
      <a:blip r:embed="rId2"/>
      <a:tile tx="0" ty="0" sx="100000" sy="100000" flip="none" algn="tl"/>
    </a:blipFill>
  </cx:spPr>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'KONSULLTIMET PUBLIKE '!$L$6:$L$44</cx:f>
        <cx:lvl ptCount="39">
          <cx:pt idx="0">Deçan</cx:pt>
          <cx:pt idx="1">Ferizaj</cx:pt>
          <cx:pt idx="2">Fushe Kosovë</cx:pt>
          <cx:pt idx="3">Gjakovë</cx:pt>
          <cx:pt idx="4">Gjilan </cx:pt>
          <cx:pt idx="5">Gllogoc </cx:pt>
          <cx:pt idx="6">Graçanicë</cx:pt>
          <cx:pt idx="7">Hani Elezit </cx:pt>
          <cx:pt idx="8">Istog </cx:pt>
          <cx:pt idx="9">Junik </cx:pt>
          <cx:pt idx="10">Kamenicë</cx:pt>
          <cx:pt idx="11">Kaçanik </cx:pt>
          <cx:pt idx="12">Klinë</cx:pt>
          <cx:pt idx="13">Kllokot </cx:pt>
          <cx:pt idx="14">Lipjan </cx:pt>
          <cx:pt idx="15">Malishevë</cx:pt>
          <cx:pt idx="16">Mitrovicë</cx:pt>
          <cx:pt idx="17">Novobërdë</cx:pt>
          <cx:pt idx="18">Obiliq</cx:pt>
          <cx:pt idx="19">Partesh </cx:pt>
          <cx:pt idx="20">Pejë </cx:pt>
          <cx:pt idx="21">Podujevë</cx:pt>
          <cx:pt idx="22">Prishtinë</cx:pt>
          <cx:pt idx="23">Prizren </cx:pt>
          <cx:pt idx="24">Rahovec</cx:pt>
          <cx:pt idx="25">Ranillug </cx:pt>
          <cx:pt idx="26">Shtime </cx:pt>
          <cx:pt idx="27">Shtërpcë</cx:pt>
          <cx:pt idx="28">Skenderaj </cx:pt>
          <cx:pt idx="29">Suharekë</cx:pt>
          <cx:pt idx="30">Viti </cx:pt>
          <cx:pt idx="31">Vushtrri </cx:pt>
          <cx:pt idx="32">Zubin Potoku</cx:pt>
          <cx:pt idx="33">Zveçan</cx:pt>
          <cx:pt idx="34">Leposaviq</cx:pt>
          <cx:pt idx="35">Mitrovica Veriore</cx:pt>
          <cx:pt idx="36">Mamushë</cx:pt>
          <cx:pt idx="37">Dragash</cx:pt>
          <cx:pt idx="38">TOTAL</cx:pt>
        </cx:lvl>
      </cx:strDim>
      <cx:numDim type="val">
        <cx:f>'KONSULLTIMET PUBLIKE '!$M$6:$M$44</cx:f>
        <cx:lvl ptCount="39" formatCode="General">
          <cx:pt idx="0">0</cx:pt>
          <cx:pt idx="1">1</cx:pt>
          <cx:pt idx="2">0</cx:pt>
          <cx:pt idx="3">0</cx:pt>
          <cx:pt idx="4">1</cx:pt>
          <cx:pt idx="5">1</cx:pt>
          <cx:pt idx="6">0</cx:pt>
          <cx:pt idx="7">1</cx:pt>
          <cx:pt idx="8">0</cx:pt>
          <cx:pt idx="9">0</cx:pt>
          <cx:pt idx="10">1</cx:pt>
          <cx:pt idx="11">1</cx:pt>
          <cx:pt idx="12">1</cx:pt>
          <cx:pt idx="13">0</cx:pt>
          <cx:pt idx="14">1</cx:pt>
          <cx:pt idx="15">1</cx:pt>
          <cx:pt idx="16">1</cx:pt>
          <cx:pt idx="17">0</cx:pt>
          <cx:pt idx="18">1</cx:pt>
          <cx:pt idx="19">0</cx:pt>
          <cx:pt idx="20">0</cx:pt>
          <cx:pt idx="21">1</cx:pt>
          <cx:pt idx="22">0</cx:pt>
          <cx:pt idx="23">1</cx:pt>
          <cx:pt idx="24">1</cx:pt>
          <cx:pt idx="25">0</cx:pt>
          <cx:pt idx="26">1</cx:pt>
          <cx:pt idx="27">0</cx:pt>
          <cx:pt idx="28">1</cx:pt>
          <cx:pt idx="29">0</cx:pt>
          <cx:pt idx="30">0</cx:pt>
          <cx:pt idx="31">1</cx:pt>
          <cx:pt idx="32">0</cx:pt>
          <cx:pt idx="33">0</cx:pt>
          <cx:pt idx="34">0</cx:pt>
          <cx:pt idx="35">0</cx:pt>
          <cx:pt idx="36">0</cx:pt>
          <cx:pt idx="37">0</cx:pt>
          <cx:pt idx="38">17</cx:pt>
        </cx:lvl>
      </cx:numDim>
    </cx:data>
  </cx:chartData>
  <cx:chart>
    <cx:title pos="t" align="ctr" overlay="0">
      <cx:tx>
        <cx:txData>
          <cx:v>Plani i  konsultimeve publike </cx:v>
        </cx:txData>
      </cx:tx>
      <cx:txPr>
        <a:bodyPr spcFirstLastPara="1" vertOverflow="ellipsis" horzOverflow="overflow" wrap="square" lIns="0" tIns="0" rIns="0" bIns="0" anchor="ctr" anchorCtr="1"/>
        <a:lstStyle/>
        <a:p>
          <a:pPr algn="ctr" rtl="0">
            <a:defRPr sz="800" b="1">
              <a:latin typeface="+mj-lt"/>
              <a:ea typeface="Century Schoolbook" panose="02040604050505020304" pitchFamily="18" charset="0"/>
              <a:cs typeface="Century Schoolbook" panose="02040604050505020304" pitchFamily="18" charset="0"/>
            </a:defRPr>
          </a:pPr>
          <a:r>
            <a:rPr lang="en-US" sz="800" b="1" i="0" u="none" strike="noStrike" baseline="0">
              <a:solidFill>
                <a:sysClr val="windowText" lastClr="000000">
                  <a:lumMod val="65000"/>
                  <a:lumOff val="35000"/>
                </a:sysClr>
              </a:solidFill>
              <a:latin typeface="+mj-lt"/>
            </a:rPr>
            <a:t>Plani i  konsultimeve publike </a:t>
          </a:r>
        </a:p>
      </cx:txPr>
    </cx:title>
    <cx:plotArea>
      <cx:plotAreaRegion>
        <cx:series layoutId="clusteredColumn" uniqueId="{0467077E-C1FD-4530-8513-1BA5011C8602}">
          <cx:tx>
            <cx:txData>
              <cx:f>'KONSULLTIMET PUBLIKE '!$M$5</cx:f>
              <cx:v>Planifikimi i planit të konsultimeve publike</cx:v>
            </cx:txData>
          </cx:tx>
          <cx:dataLabels pos="inBase">
            <cx:txPr>
              <a:bodyPr spcFirstLastPara="1" vertOverflow="ellipsis" horzOverflow="overflow" wrap="square" lIns="0" tIns="0" rIns="0" bIns="0" anchor="ctr" anchorCtr="1"/>
              <a:lstStyle/>
              <a:p>
                <a:pPr algn="ctr" rtl="0">
                  <a:defRPr b="1"/>
                </a:pPr>
                <a:endParaRPr lang="en-US" sz="900" b="1" i="0" u="none" strike="noStrike" baseline="0">
                  <a:solidFill>
                    <a:sysClr val="windowText" lastClr="000000">
                      <a:lumMod val="65000"/>
                      <a:lumOff val="35000"/>
                    </a:sysClr>
                  </a:solidFill>
                  <a:latin typeface="Arial" panose="020B0604020202020204"/>
                </a:endParaRPr>
              </a:p>
            </cx:txPr>
            <cx:visibility seriesName="0" categoryName="0" value="1"/>
          </cx:dataLabels>
          <cx:dataId val="0"/>
          <cx:layoutPr>
            <cx:aggregation/>
          </cx:layoutPr>
          <cx:axisId val="1"/>
        </cx:series>
        <cx:series layoutId="paretoLine" ownerIdx="0" uniqueId="{B6C6F627-B479-4559-9653-C6BD42BDAE91}">
          <cx:axisId val="2"/>
        </cx:series>
      </cx:plotAreaRegion>
      <cx:axis id="0">
        <cx:catScaling gapWidth="0"/>
        <cx:tickLabels/>
        <cx:txPr>
          <a:bodyPr spcFirstLastPara="1" vertOverflow="ellipsis" horzOverflow="overflow" wrap="square" lIns="0" tIns="0" rIns="0" bIns="0" anchor="ctr" anchorCtr="1"/>
          <a:lstStyle/>
          <a:p>
            <a:pPr algn="ctr" rtl="0">
              <a:defRPr sz="700" b="1">
                <a:latin typeface="+mj-lt"/>
                <a:ea typeface="Century Schoolbook" panose="02040604050505020304" pitchFamily="18" charset="0"/>
                <a:cs typeface="Century Schoolbook" panose="02040604050505020304" pitchFamily="18" charset="0"/>
              </a:defRPr>
            </a:pPr>
            <a:endParaRPr lang="en-US" sz="700" b="1" i="0" u="none" strike="noStrike" baseline="0">
              <a:solidFill>
                <a:sysClr val="windowText" lastClr="000000">
                  <a:lumMod val="65000"/>
                  <a:lumOff val="35000"/>
                </a:sysClr>
              </a:solidFill>
              <a:latin typeface="+mj-lt"/>
            </a:endParaRPr>
          </a:p>
        </cx:txPr>
      </cx:axis>
      <cx:axis id="1" hidden="1">
        <cx:valScaling/>
        <cx:tickLabels/>
      </cx:axis>
      <cx:axis id="2" hidden="1">
        <cx:valScaling max="1" min="0"/>
        <cx:units unit="percentage"/>
        <cx:tickLabels/>
      </cx:axis>
    </cx:plotArea>
  </cx:chart>
  <cx:spPr>
    <a:blipFill>
      <a:blip r:embed="rId2"/>
      <a:tile tx="0" ty="0" sx="100000" sy="100000" flip="none" algn="tl"/>
    </a:blipFill>
  </cx:spPr>
</cx:chartSpace>
</file>

<file path=word/charts/chartEx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'KONSULLTIMET PUBLIKE '!$O$6:$O$45</cx:f>
        <cx:lvl ptCount="40">
          <cx:pt idx="0">Deçan</cx:pt>
          <cx:pt idx="1">Ferizaj</cx:pt>
          <cx:pt idx="2">Fushe Kosovë</cx:pt>
          <cx:pt idx="3">Gjakovë</cx:pt>
          <cx:pt idx="4">Gjilan </cx:pt>
          <cx:pt idx="5">Gllogoc </cx:pt>
          <cx:pt idx="6">Graçanicë</cx:pt>
          <cx:pt idx="7">Hani Elezit </cx:pt>
          <cx:pt idx="8">Istog </cx:pt>
          <cx:pt idx="9">Junik </cx:pt>
          <cx:pt idx="10">Kamenicë</cx:pt>
          <cx:pt idx="11">Kaçanik </cx:pt>
          <cx:pt idx="12">Klinë</cx:pt>
          <cx:pt idx="13">Kllokot </cx:pt>
          <cx:pt idx="14">Lipjan </cx:pt>
          <cx:pt idx="15">Malishevë</cx:pt>
          <cx:pt idx="16">Mitrovicë</cx:pt>
          <cx:pt idx="17">Novobërdë</cx:pt>
          <cx:pt idx="18">Obiliq</cx:pt>
          <cx:pt idx="19">Partesh </cx:pt>
          <cx:pt idx="20">Pejë </cx:pt>
          <cx:pt idx="21">Podujevë</cx:pt>
          <cx:pt idx="22">Prishtinë</cx:pt>
          <cx:pt idx="23">Prizren </cx:pt>
          <cx:pt idx="24">Rahovec</cx:pt>
          <cx:pt idx="25">Ranillug </cx:pt>
          <cx:pt idx="26">Shtime </cx:pt>
          <cx:pt idx="27">Shtërpcë</cx:pt>
          <cx:pt idx="28">Skenderaj </cx:pt>
          <cx:pt idx="29">Suharekë</cx:pt>
          <cx:pt idx="30">Viti </cx:pt>
          <cx:pt idx="31">Vushtrri </cx:pt>
          <cx:pt idx="32">Zubin Potoku</cx:pt>
          <cx:pt idx="33">Zveçan</cx:pt>
          <cx:pt idx="34">Leposaviq</cx:pt>
          <cx:pt idx="35">Mitrovica Veriore</cx:pt>
          <cx:pt idx="36">Mamushë</cx:pt>
          <cx:pt idx="37">Dragash</cx:pt>
          <cx:pt idx="38">TOTAL</cx:pt>
        </cx:lvl>
      </cx:strDim>
      <cx:numDim type="val">
        <cx:f>'KONSULLTIMET PUBLIKE '!$P$6:$P$45</cx:f>
        <cx:lvl ptCount="40" formatCode="General">
          <cx:pt idx="0">0</cx:pt>
          <cx:pt idx="1">0</cx:pt>
          <cx:pt idx="2">2</cx:pt>
          <cx:pt idx="3">2</cx:pt>
          <cx:pt idx="4">4</cx:pt>
          <cx:pt idx="5">3</cx:pt>
          <cx:pt idx="6">0</cx:pt>
          <cx:pt idx="7">4</cx:pt>
          <cx:pt idx="8">7</cx:pt>
          <cx:pt idx="9">5</cx:pt>
          <cx:pt idx="10">17</cx:pt>
          <cx:pt idx="11">3</cx:pt>
          <cx:pt idx="12">3</cx:pt>
          <cx:pt idx="13">0</cx:pt>
          <cx:pt idx="14">4</cx:pt>
          <cx:pt idx="15">1</cx:pt>
          <cx:pt idx="16">3</cx:pt>
          <cx:pt idx="17">1</cx:pt>
          <cx:pt idx="18">0</cx:pt>
          <cx:pt idx="19">2</cx:pt>
          <cx:pt idx="20">10</cx:pt>
          <cx:pt idx="21">3</cx:pt>
          <cx:pt idx="22">1</cx:pt>
          <cx:pt idx="23">8</cx:pt>
          <cx:pt idx="24">1</cx:pt>
          <cx:pt idx="25">0</cx:pt>
          <cx:pt idx="26">9</cx:pt>
          <cx:pt idx="27">0</cx:pt>
          <cx:pt idx="28">2</cx:pt>
          <cx:pt idx="29">2</cx:pt>
          <cx:pt idx="30">4</cx:pt>
          <cx:pt idx="31">3</cx:pt>
          <cx:pt idx="32">1</cx:pt>
          <cx:pt idx="33">0</cx:pt>
          <cx:pt idx="34">0</cx:pt>
          <cx:pt idx="35">0</cx:pt>
          <cx:pt idx="36">0</cx:pt>
          <cx:pt idx="37">0</cx:pt>
          <cx:pt idx="38">27</cx:pt>
        </cx:lvl>
      </cx:numDim>
    </cx:data>
  </cx:chartData>
  <cx:chart>
    <cx:title pos="t" align="ctr" overlay="0">
      <cx:tx>
        <cx:txData>
          <cx:v>Njoftim per konsultime publike </cx:v>
        </cx:txData>
      </cx:tx>
      <cx:txPr>
        <a:bodyPr spcFirstLastPara="1" vertOverflow="ellipsis" horzOverflow="overflow" wrap="square" lIns="0" tIns="0" rIns="0" bIns="0" anchor="ctr" anchorCtr="1"/>
        <a:lstStyle/>
        <a:p>
          <a:pPr algn="ctr" rtl="0">
            <a:defRPr sz="700" b="1">
              <a:latin typeface="+mj-lt"/>
              <a:ea typeface="Century Schoolbook" panose="02040604050505020304" pitchFamily="18" charset="0"/>
              <a:cs typeface="Century Schoolbook" panose="02040604050505020304" pitchFamily="18" charset="0"/>
            </a:defRPr>
          </a:pPr>
          <a:r>
            <a:rPr lang="en-US" sz="700" b="1" i="0" u="none" strike="noStrike" baseline="0">
              <a:solidFill>
                <a:sysClr val="windowText" lastClr="000000">
                  <a:lumMod val="65000"/>
                  <a:lumOff val="35000"/>
                </a:sysClr>
              </a:solidFill>
              <a:latin typeface="+mj-lt"/>
            </a:rPr>
            <a:t>Njoftim per konsultime publike </a:t>
          </a:r>
        </a:p>
      </cx:txPr>
    </cx:title>
    <cx:plotArea>
      <cx:plotAreaRegion>
        <cx:series layoutId="clusteredColumn" uniqueId="{B87AD9C3-B5EB-4243-AC59-02874BF3BDF4}">
          <cx:tx>
            <cx:txData>
              <cx:f>'KONSULLTIMET PUBLIKE '!$P$4:$P$5</cx:f>
              <cx:v>Njoftimet për konsultime publike</cx:v>
            </cx:txData>
          </cx:tx>
          <cx:dataLabels pos="inBase">
            <cx:txPr>
              <a:bodyPr spcFirstLastPara="1" vertOverflow="ellipsis" horzOverflow="overflow" wrap="square" lIns="0" tIns="0" rIns="0" bIns="0" anchor="ctr" anchorCtr="1"/>
              <a:lstStyle/>
              <a:p>
                <a:pPr algn="ctr" rtl="0">
                  <a:defRPr sz="900" b="1">
                    <a:latin typeface="Century Schoolbook" panose="02040604050505020304" pitchFamily="18" charset="0"/>
                    <a:ea typeface="Century Schoolbook" panose="02040604050505020304" pitchFamily="18" charset="0"/>
                    <a:cs typeface="Century Schoolbook" panose="02040604050505020304" pitchFamily="18" charset="0"/>
                  </a:defRPr>
                </a:pPr>
                <a:endParaRPr lang="en-US" sz="900" b="1" i="0" u="none" strike="noStrike" baseline="0">
                  <a:solidFill>
                    <a:sysClr val="windowText" lastClr="000000">
                      <a:lumMod val="65000"/>
                      <a:lumOff val="35000"/>
                    </a:sysClr>
                  </a:solidFill>
                  <a:latin typeface="Century Schoolbook" panose="02040604050505020304" pitchFamily="18" charset="0"/>
                </a:endParaRPr>
              </a:p>
            </cx:txPr>
            <cx:visibility seriesName="0" categoryName="0" value="1"/>
          </cx:dataLabels>
          <cx:dataId val="0"/>
          <cx:layoutPr>
            <cx:aggregation/>
          </cx:layoutPr>
          <cx:axisId val="1"/>
        </cx:series>
        <cx:series layoutId="paretoLine" ownerIdx="0" uniqueId="{475ACA5A-FB80-45F3-9853-86CF17BDF68D}">
          <cx:axisId val="2"/>
        </cx:series>
      </cx:plotAreaRegion>
      <cx:axis id="0">
        <cx:catScaling gapWidth="0"/>
        <cx:tickLabels/>
        <cx:txPr>
          <a:bodyPr spcFirstLastPara="1" vertOverflow="ellipsis" horzOverflow="overflow" wrap="square" lIns="0" tIns="0" rIns="0" bIns="0" anchor="ctr" anchorCtr="1"/>
          <a:lstStyle/>
          <a:p>
            <a:pPr algn="ctr" rtl="0">
              <a:defRPr sz="700" b="1">
                <a:latin typeface="+mj-lt"/>
                <a:ea typeface="Century Schoolbook" panose="02040604050505020304" pitchFamily="18" charset="0"/>
                <a:cs typeface="Century Schoolbook" panose="02040604050505020304" pitchFamily="18" charset="0"/>
              </a:defRPr>
            </a:pPr>
            <a:endParaRPr lang="en-US" sz="700" b="1" i="0" u="none" strike="noStrike" baseline="0">
              <a:solidFill>
                <a:sysClr val="windowText" lastClr="000000">
                  <a:lumMod val="65000"/>
                  <a:lumOff val="35000"/>
                </a:sysClr>
              </a:solidFill>
              <a:latin typeface="+mj-lt"/>
            </a:endParaRPr>
          </a:p>
        </cx:txPr>
      </cx:axis>
      <cx:axis id="1" hidden="1">
        <cx:valScaling/>
        <cx:tickLabels/>
      </cx:axis>
      <cx:axis id="2" hidden="1">
        <cx:valScaling max="1" min="0"/>
        <cx:units unit="percentage"/>
        <cx:tickLabels/>
      </cx:axis>
    </cx:plotArea>
  </cx:chart>
  <cx:spPr>
    <a:blipFill>
      <a:blip r:embed="rId2"/>
      <a:tile tx="0" ty="0" sx="100000" sy="100000" flip="none" algn="tl"/>
    </a:blipFill>
    <a:ln>
      <a:solidFill>
        <a:schemeClr val="tx1"/>
      </a:solid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1.xml><?xml version="1.0" encoding="utf-8"?>
<cs:chartStyle xmlns:cs="http://schemas.microsoft.com/office/drawing/2012/chartStyle" xmlns:a="http://schemas.openxmlformats.org/drawingml/2006/main" id="367">
  <cs:axisTitle>
    <cs:lnRef idx="0"/>
    <cs:fillRef idx="0"/>
    <cs:effectRef idx="0"/>
    <cs:fontRef idx="minor">
      <a:schemeClr val="tx1">
        <a:lumMod val="65000"/>
        <a:lumOff val="35000"/>
      </a:schemeClr>
    </cs:fontRef>
    <cs:defRPr sz="900" b="1"/>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solidFill>
        <a:schemeClr val="phClr"/>
      </a:solid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25000"/>
            <a:lumOff val="75000"/>
          </a:schemeClr>
        </a:solidFill>
      </a:ln>
    </cs:spPr>
    <cs:defRPr sz="9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25000"/>
            <a:lumOff val="75000"/>
          </a:schemeClr>
        </a:solidFill>
      </a:ln>
    </cs:spPr>
  </cs:gridlineMajor>
  <cs:gridlineMinor>
    <cs:lnRef idx="0"/>
    <cs:fillRef idx="0"/>
    <cs:effectRef idx="0"/>
    <cs:fontRef idx="minor">
      <a:schemeClr val="dk1"/>
    </cs:fontRef>
    <cs:spPr>
      <a:ln>
        <a:solidFill>
          <a:schemeClr val="tx1">
            <a:lumMod val="25000"/>
            <a:lumOff val="75000"/>
            <a:lumOff val="10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800" b="1" cap="all" spc="15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4.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5.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68">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dk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{20ADD190-D00A-49D3-ABBC-3C843DAD96D6}</b:Guid>
    <b:RefOrder>1</b:RefOrder>
  </b:Source>
</b:Sources>
</file>

<file path=customXml/itemProps1.xml><?xml version="1.0" encoding="utf-8"?>
<ds:datastoreItem xmlns:ds="http://schemas.openxmlformats.org/officeDocument/2006/customXml" ds:itemID="{F1AC9BB6-AFA6-4B7C-B8B9-ECF592F73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40</Pages>
  <Words>10598</Words>
  <Characters>60410</Characters>
  <Application>Microsoft Office Word</Application>
  <DocSecurity>0</DocSecurity>
  <Lines>503</Lines>
  <Paragraphs>141</Paragraphs>
  <ScaleCrop>false</ScaleCrop>
  <HeadingPairs>
    <vt:vector size="4" baseType="variant">
      <vt:variant>
        <vt:lpstr>Title</vt:lpstr>
      </vt:variant>
      <vt:variant>
        <vt:i4>1</vt:i4>
      </vt:variant>
      <vt:variant>
        <vt:lpstr>Headings</vt:lpstr>
      </vt:variant>
      <vt:variant>
        <vt:i4>65</vt:i4>
      </vt:variant>
    </vt:vector>
  </HeadingPairs>
  <TitlesOfParts>
    <vt:vector size="66" baseType="lpstr">
      <vt:lpstr/>
      <vt:lpstr/>
      <vt:lpstr/>
      <vt:lpstr>HYRJE </vt:lpstr>
      <vt:lpstr>PËRMBLEDHJE EKZEKUTIVE</vt:lpstr>
      <vt:lpstr>HYRJE</vt:lpstr>
      <vt:lpstr>QËLLIMI I RAPORTIT</vt:lpstr>
      <vt:lpstr>METODOLOGJIA </vt:lpstr>
      <vt:lpstr>KORNIZA LIGJORE</vt:lpstr>
      <vt:lpstr/>
      <vt:lpstr>TRANSPARENCA E PUNËS SË KUVENDEVE TË KOMUNAVE</vt:lpstr>
      <vt:lpstr>NJOFTIMET PËR MBLEDHJET E KUVENDEVE TË KOMUNAVE</vt:lpstr>
      <vt:lpstr>KomitetI për PolitikË dhe Financa</vt:lpstr>
      <vt:lpstr>Komiteti për Komunitete</vt:lpstr>
      <vt:lpstr/>
      <vt:lpstr>Vendimet e Kuvendit Komunal</vt:lpstr>
      <vt:lpstr/>
      <vt:lpstr>Rregulloret e PublikuarA</vt:lpstr>
      <vt:lpstr>    Procesverbalet e mbledhjeve të Kuvendit të Komunës</vt:lpstr>
      <vt:lpstr>    Procesverbalet nga mbledhjet e Komitetit për Politikë dhe Financa</vt:lpstr>
      <vt:lpstr>    Procesverbalet nga  mbledhjet e Komitetit për Komunitete</vt:lpstr>
      <vt:lpstr/>
      <vt:lpstr>Transmetimi online i mbledhjeve të Kuvendeve Komunale</vt:lpstr>
      <vt:lpstr>Publikimi i planit të punës të  kuvendit  komunal</vt:lpstr>
      <vt:lpstr>    Planet dhe dokumentet strategjike</vt:lpstr>
      <vt:lpstr>    </vt:lpstr>
      <vt:lpstr>    Hartat zonale </vt:lpstr>
      <vt:lpstr>    </vt:lpstr>
      <vt:lpstr>    Plani i Veprimit për Transparencë</vt:lpstr>
      <vt:lpstr>    RREGULLORE PËR TRANSPARENCË KOMUNALE</vt:lpstr>
      <vt:lpstr>    Plani i Integritetit</vt:lpstr>
      <vt:lpstr>TRANSPARENCA E KRYETARIT TË KOMUNËS </vt:lpstr>
      <vt:lpstr>PUBLIKIMI I PLANIT VJETOR  TË KRYETARIT </vt:lpstr>
      <vt:lpstr>PUBLIKIMI I RAPORTIT TË KRYETARIT</vt:lpstr>
      <vt:lpstr>    Publikimi i listës së pronave të paluajtshme të komunës </vt:lpstr>
      <vt:lpstr>    Fig 20  e Listave e pronave komunale të planifikuara për dhënie në shfrytëzim dh</vt:lpstr>
      <vt:lpstr>    Raporti për qasje në dokumente publike</vt:lpstr>
      <vt:lpstr>TRANSPARENCA FINANCIARE </vt:lpstr>
      <vt:lpstr>PUBLIKIMI I PLANIT BUXHETOR </vt:lpstr>
      <vt:lpstr>KORNIZA AFATMESME BUXHETORE</vt:lpstr>
      <vt:lpstr/>
      <vt:lpstr>    </vt:lpstr>
      <vt:lpstr>    PUBLIKIMI I RAPORTEVE PERIODIKE </vt:lpstr>
      <vt:lpstr>    Raporti vjetor financiar</vt:lpstr>
      <vt:lpstr>    Publikimi i njoftimeve  për Takime/dëgjime  buxhetore</vt:lpstr>
      <vt:lpstr>Buxhetimi me pjesëmarrje </vt:lpstr>
      <vt:lpstr>/</vt:lpstr>
      <vt:lpstr>/</vt:lpstr>
      <vt:lpstr/>
      <vt:lpstr>Transparenca nË prokurimin publik</vt:lpstr>
      <vt:lpstr>PUBLIKIMI I PLANIT TË PROKURIMIT</vt:lpstr>
      <vt:lpstr>PUBLIKIMI I RAPORTIT TË PROKURIMIT</vt:lpstr>
      <vt:lpstr/>
      <vt:lpstr/>
      <vt:lpstr>ZBATIMI I STANDARDEVE MINIMALE TË KONUSULTIMEVE PUBLIKE </vt:lpstr>
      <vt:lpstr>PLANI I KONSULTIMEVE  PUBLIKE </vt:lpstr>
      <vt:lpstr/>
      <vt:lpstr>    </vt:lpstr>
      <vt:lpstr>    Njoftime për konsultime publike  </vt:lpstr>
      <vt:lpstr>    </vt:lpstr>
      <vt:lpstr>    Projekt-propozimet për konsultime publike dhe memorandume shpjegues</vt:lpstr>
      <vt:lpstr/>
      <vt:lpstr>    Publikimi  i raporteve për konsultime publike  </vt:lpstr>
      <vt:lpstr>    Njoftimit për ofrimin e shërbimeve komunale</vt:lpstr>
      <vt:lpstr>Rekomandime</vt:lpstr>
      <vt:lpstr>    </vt:lpstr>
    </vt:vector>
  </TitlesOfParts>
  <Company/>
  <LinksUpToDate>false</LinksUpToDate>
  <CharactersWithSpaces>70867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Majlinda Shaqiri</dc:creator>
  <cp:keywords/>
  <dc:description/>
  <cp:lastModifiedBy>Nazmije G.Krasniqi</cp:lastModifiedBy>
  <cp:revision>9</cp:revision>
  <cp:lastPrinted>2023-03-22T14:45:00Z</cp:lastPrinted>
  <dcterms:created xsi:type="dcterms:W3CDTF">2026-05-26T08:23:00Z</dcterms:created>
  <dcterms:modified xsi:type="dcterms:W3CDTF">2026-05-29T12:12:00Z</dcterms:modified>
</cp:coreProperties>
</file>