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Ex1.xml" ContentType="application/vnd.ms-office.chartex+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Ex2.xml" ContentType="application/vnd.ms-office.chartex+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1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Ex3.xml" ContentType="application/vnd.ms-office.chartex+xml"/>
  <Override PartName="/word/charts/style31.xml" ContentType="application/vnd.ms-office.chartstyle+xml"/>
  <Override PartName="/word/charts/colors31.xml" ContentType="application/vnd.ms-office.chartcolorstyle+xml"/>
  <Override PartName="/word/charts/chart29.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Ex4.xml" ContentType="application/vnd.ms-office.chartex+xml"/>
  <Override PartName="/word/charts/style33.xml" ContentType="application/vnd.ms-office.chartstyle+xml"/>
  <Override PartName="/word/charts/colors33.xml" ContentType="application/vnd.ms-office.chartcolorstyle+xml"/>
  <Override PartName="/word/charts/chartEx5.xml" ContentType="application/vnd.ms-office.chartex+xml"/>
  <Override PartName="/word/charts/style34.xml" ContentType="application/vnd.ms-office.chartstyle+xml"/>
  <Override PartName="/word/charts/colors34.xml" ContentType="application/vnd.ms-office.chartcolorstyle+xml"/>
  <Override PartName="/word/charts/chart3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1.xml" ContentType="application/vnd.openxmlformats-officedocument.drawingml.chart+xml"/>
  <Override PartName="/word/charts/style36.xml" ContentType="application/vnd.ms-office.chartstyle+xml"/>
  <Override PartName="/word/charts/colors3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212D9" w14:textId="4535A466" w:rsidR="001F5C47" w:rsidRPr="00767B72" w:rsidRDefault="00767B72" w:rsidP="00767B72">
      <w:pPr>
        <w:spacing w:before="100" w:beforeAutospacing="1" w:after="100" w:afterAutospacing="1" w:line="240" w:lineRule="auto"/>
        <w:jc w:val="left"/>
        <w:rPr>
          <w:rFonts w:ascii="Times New Roman" w:eastAsia="Times New Roman" w:hAnsi="Times New Roman" w:cs="Times New Roman"/>
          <w:sz w:val="24"/>
          <w:szCs w:val="24"/>
          <w:lang w:val="en-GB" w:eastAsia="en-GB"/>
        </w:rPr>
      </w:pPr>
      <w:r w:rsidRPr="00767B72">
        <w:rPr>
          <w:rFonts w:ascii="Times New Roman" w:eastAsia="Times New Roman" w:hAnsi="Times New Roman" w:cs="Times New Roman"/>
          <w:noProof/>
          <w:sz w:val="24"/>
          <w:szCs w:val="24"/>
          <w:lang w:val="en-GB" w:eastAsia="en-GB"/>
        </w:rPr>
        <w:drawing>
          <wp:inline distT="0" distB="0" distL="0" distR="0" wp14:anchorId="15E9ECC5" wp14:editId="1397E4EA">
            <wp:extent cx="6156960" cy="80774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108" cy="8144568"/>
                    </a:xfrm>
                    <a:prstGeom prst="rect">
                      <a:avLst/>
                    </a:prstGeom>
                    <a:noFill/>
                    <a:ln>
                      <a:noFill/>
                    </a:ln>
                  </pic:spPr>
                </pic:pic>
              </a:graphicData>
            </a:graphic>
          </wp:inline>
        </w:drawing>
      </w:r>
      <w:r w:rsidR="004E0DA8" w:rsidRPr="00881C88">
        <w:rPr>
          <w:rFonts w:ascii="Calibri" w:eastAsia="Batang" w:hAnsi="Calibri"/>
          <w:lang w:val="en-US"/>
        </w:rPr>
        <w:t xml:space="preserve"> </w:t>
      </w:r>
      <w:r w:rsidR="003F57AE" w:rsidRPr="00881C88">
        <w:rPr>
          <w:rFonts w:ascii="Calibri" w:eastAsia="Batang" w:hAnsi="Calibri"/>
          <w:lang w:val="en-US"/>
        </w:rPr>
        <w:t xml:space="preserve">  </w:t>
      </w:r>
      <w:bookmarkStart w:id="0" w:name="_Hlk227672521"/>
    </w:p>
    <w:sdt>
      <w:sdtPr>
        <w:rPr>
          <w:rFonts w:asciiTheme="minorHAnsi" w:eastAsiaTheme="minorEastAsia" w:hAnsiTheme="minorHAnsi" w:cstheme="minorBidi"/>
          <w:b w:val="0"/>
          <w:bCs w:val="0"/>
          <w:caps w:val="0"/>
          <w:color w:val="auto"/>
          <w:spacing w:val="0"/>
          <w:sz w:val="20"/>
          <w:szCs w:val="22"/>
          <w:lang w:val="en-US"/>
        </w:rPr>
        <w:id w:val="-1029799664"/>
        <w:docPartObj>
          <w:docPartGallery w:val="Table of Contents"/>
          <w:docPartUnique/>
        </w:docPartObj>
      </w:sdtPr>
      <w:sdtEndPr>
        <w:rPr>
          <w:sz w:val="22"/>
        </w:rPr>
      </w:sdtEndPr>
      <w:sdtContent>
        <w:p w14:paraId="6851A419" w14:textId="77777777" w:rsidR="00A12B95" w:rsidRDefault="007602A4" w:rsidP="00B64494">
          <w:pPr>
            <w:pStyle w:val="TOCHeading"/>
            <w:tabs>
              <w:tab w:val="left" w:pos="2418"/>
            </w:tabs>
            <w:spacing w:line="240" w:lineRule="auto"/>
            <w:rPr>
              <w:noProof/>
            </w:rPr>
          </w:pPr>
          <w:r>
            <w:rPr>
              <w:rFonts w:asciiTheme="majorHAnsi" w:hAnsiTheme="majorHAnsi" w:cstheme="majorHAnsi"/>
              <w:caps w:val="0"/>
              <w:color w:val="2F5496" w:themeColor="accent5" w:themeShade="BF"/>
              <w:sz w:val="16"/>
              <w:szCs w:val="20"/>
              <w:lang w:val="en-US"/>
            </w:rPr>
            <w:t>Table of content</w:t>
          </w:r>
          <w:r w:rsidR="00A83156" w:rsidRPr="00881C88">
            <w:rPr>
              <w:rFonts w:asciiTheme="majorHAnsi" w:hAnsiTheme="majorHAnsi" w:cstheme="majorHAnsi"/>
              <w:color w:val="2F5496" w:themeColor="accent5" w:themeShade="BF"/>
              <w:sz w:val="16"/>
              <w:szCs w:val="20"/>
              <w:lang w:val="en-US"/>
            </w:rPr>
            <w:fldChar w:fldCharType="begin"/>
          </w:r>
          <w:r w:rsidR="00A83156" w:rsidRPr="00881C88">
            <w:rPr>
              <w:rFonts w:asciiTheme="majorHAnsi" w:hAnsiTheme="majorHAnsi" w:cstheme="majorHAnsi"/>
              <w:color w:val="2F5496" w:themeColor="accent5" w:themeShade="BF"/>
              <w:sz w:val="16"/>
              <w:szCs w:val="20"/>
              <w:lang w:val="en-US"/>
            </w:rPr>
            <w:instrText xml:space="preserve"> TOC \o "1-3" \h \z \u </w:instrText>
          </w:r>
          <w:r w:rsidR="00A83156" w:rsidRPr="00881C88">
            <w:rPr>
              <w:rFonts w:asciiTheme="majorHAnsi" w:hAnsiTheme="majorHAnsi" w:cstheme="majorHAnsi"/>
              <w:color w:val="2F5496" w:themeColor="accent5" w:themeShade="BF"/>
              <w:sz w:val="16"/>
              <w:szCs w:val="20"/>
              <w:lang w:val="en-US"/>
            </w:rPr>
            <w:fldChar w:fldCharType="separate"/>
          </w:r>
          <w:r w:rsidR="00B64494">
            <w:rPr>
              <w:rFonts w:asciiTheme="majorHAnsi" w:hAnsiTheme="majorHAnsi" w:cstheme="majorHAnsi"/>
              <w:color w:val="2F5496" w:themeColor="accent5" w:themeShade="BF"/>
              <w:sz w:val="16"/>
              <w:szCs w:val="20"/>
              <w:lang w:val="en-US"/>
            </w:rPr>
            <w:tab/>
          </w:r>
        </w:p>
        <w:p w14:paraId="7492C1C3" w14:textId="6E27C4EF" w:rsidR="00A12B95" w:rsidRDefault="00FB0DC0">
          <w:pPr>
            <w:pStyle w:val="TOC1"/>
            <w:rPr>
              <w:rFonts w:asciiTheme="minorHAnsi" w:eastAsiaTheme="minorEastAsia" w:hAnsiTheme="minorHAnsi" w:cstheme="minorBidi"/>
              <w:sz w:val="22"/>
              <w:lang w:val="en-US" w:eastAsia="en-US"/>
            </w:rPr>
          </w:pPr>
          <w:hyperlink w:anchor="_Toc230182065" w:history="1">
            <w:r w:rsidR="00A12B95" w:rsidRPr="00455109">
              <w:rPr>
                <w:rStyle w:val="Hyperlink"/>
                <w:rFonts w:asciiTheme="majorHAnsi" w:hAnsiTheme="majorHAnsi" w:cstheme="majorHAnsi"/>
                <w:b/>
                <w:bCs/>
                <w:kern w:val="36"/>
                <w:lang w:val="en-US"/>
              </w:rPr>
              <w:t>EXECUTIVE SUMMARY</w:t>
            </w:r>
            <w:r w:rsidR="00A12B95">
              <w:rPr>
                <w:webHidden/>
              </w:rPr>
              <w:tab/>
            </w:r>
            <w:r w:rsidR="00A12B95">
              <w:rPr>
                <w:webHidden/>
              </w:rPr>
              <w:fldChar w:fldCharType="begin"/>
            </w:r>
            <w:r w:rsidR="00A12B95">
              <w:rPr>
                <w:webHidden/>
              </w:rPr>
              <w:instrText xml:space="preserve"> PAGEREF _Toc230182065 \h </w:instrText>
            </w:r>
            <w:r w:rsidR="00A12B95">
              <w:rPr>
                <w:webHidden/>
              </w:rPr>
            </w:r>
            <w:r w:rsidR="00A12B95">
              <w:rPr>
                <w:webHidden/>
              </w:rPr>
              <w:fldChar w:fldCharType="separate"/>
            </w:r>
            <w:r w:rsidR="00A12B95">
              <w:rPr>
                <w:webHidden/>
              </w:rPr>
              <w:t>4</w:t>
            </w:r>
            <w:r w:rsidR="00A12B95">
              <w:rPr>
                <w:webHidden/>
              </w:rPr>
              <w:fldChar w:fldCharType="end"/>
            </w:r>
          </w:hyperlink>
        </w:p>
        <w:p w14:paraId="3D203EF7" w14:textId="0D0C1988" w:rsidR="00A12B95" w:rsidRDefault="00FB0DC0">
          <w:pPr>
            <w:pStyle w:val="TOC1"/>
            <w:rPr>
              <w:rFonts w:asciiTheme="minorHAnsi" w:eastAsiaTheme="minorEastAsia" w:hAnsiTheme="minorHAnsi" w:cstheme="minorBidi"/>
              <w:sz w:val="22"/>
              <w:lang w:val="en-US" w:eastAsia="en-US"/>
            </w:rPr>
          </w:pPr>
          <w:hyperlink w:anchor="_Toc230182066" w:history="1">
            <w:r w:rsidR="00A12B95" w:rsidRPr="00455109">
              <w:rPr>
                <w:rStyle w:val="Hyperlink"/>
                <w:rFonts w:asciiTheme="majorHAnsi" w:hAnsiTheme="majorHAnsi" w:cstheme="majorHAnsi"/>
                <w:b/>
                <w:bCs/>
                <w:kern w:val="36"/>
                <w:lang w:val="en-US"/>
              </w:rPr>
              <w:t>INTRODUCTION</w:t>
            </w:r>
            <w:r w:rsidR="00A12B95">
              <w:rPr>
                <w:webHidden/>
              </w:rPr>
              <w:tab/>
            </w:r>
            <w:r w:rsidR="00A12B95">
              <w:rPr>
                <w:webHidden/>
              </w:rPr>
              <w:fldChar w:fldCharType="begin"/>
            </w:r>
            <w:r w:rsidR="00A12B95">
              <w:rPr>
                <w:webHidden/>
              </w:rPr>
              <w:instrText xml:space="preserve"> PAGEREF _Toc230182066 \h </w:instrText>
            </w:r>
            <w:r w:rsidR="00A12B95">
              <w:rPr>
                <w:webHidden/>
              </w:rPr>
            </w:r>
            <w:r w:rsidR="00A12B95">
              <w:rPr>
                <w:webHidden/>
              </w:rPr>
              <w:fldChar w:fldCharType="separate"/>
            </w:r>
            <w:r w:rsidR="00A12B95">
              <w:rPr>
                <w:webHidden/>
              </w:rPr>
              <w:t>5</w:t>
            </w:r>
            <w:r w:rsidR="00A12B95">
              <w:rPr>
                <w:webHidden/>
              </w:rPr>
              <w:fldChar w:fldCharType="end"/>
            </w:r>
          </w:hyperlink>
        </w:p>
        <w:p w14:paraId="191C5D94" w14:textId="410F8BDB" w:rsidR="00A12B95" w:rsidRDefault="00FB0DC0">
          <w:pPr>
            <w:pStyle w:val="TOC1"/>
            <w:rPr>
              <w:rFonts w:asciiTheme="minorHAnsi" w:eastAsiaTheme="minorEastAsia" w:hAnsiTheme="minorHAnsi" w:cstheme="minorBidi"/>
              <w:sz w:val="22"/>
              <w:lang w:val="en-US" w:eastAsia="en-US"/>
            </w:rPr>
          </w:pPr>
          <w:hyperlink w:anchor="_Toc230182067" w:history="1">
            <w:r w:rsidR="00A12B95" w:rsidRPr="00455109">
              <w:rPr>
                <w:rStyle w:val="Hyperlink"/>
                <w:rFonts w:asciiTheme="majorHAnsi" w:hAnsiTheme="majorHAnsi" w:cstheme="majorHAnsi"/>
                <w:b/>
                <w:bCs/>
                <w:kern w:val="36"/>
                <w:lang w:val="en-US"/>
              </w:rPr>
              <w:t>PURPOSE OF THE REPORT</w:t>
            </w:r>
            <w:r w:rsidR="00A12B95">
              <w:rPr>
                <w:webHidden/>
              </w:rPr>
              <w:tab/>
            </w:r>
            <w:r w:rsidR="00A12B95">
              <w:rPr>
                <w:webHidden/>
              </w:rPr>
              <w:fldChar w:fldCharType="begin"/>
            </w:r>
            <w:r w:rsidR="00A12B95">
              <w:rPr>
                <w:webHidden/>
              </w:rPr>
              <w:instrText xml:space="preserve"> PAGEREF _Toc230182067 \h </w:instrText>
            </w:r>
            <w:r w:rsidR="00A12B95">
              <w:rPr>
                <w:webHidden/>
              </w:rPr>
            </w:r>
            <w:r w:rsidR="00A12B95">
              <w:rPr>
                <w:webHidden/>
              </w:rPr>
              <w:fldChar w:fldCharType="separate"/>
            </w:r>
            <w:r w:rsidR="00A12B95">
              <w:rPr>
                <w:webHidden/>
              </w:rPr>
              <w:t>6</w:t>
            </w:r>
            <w:r w:rsidR="00A12B95">
              <w:rPr>
                <w:webHidden/>
              </w:rPr>
              <w:fldChar w:fldCharType="end"/>
            </w:r>
          </w:hyperlink>
        </w:p>
        <w:p w14:paraId="703EB40E" w14:textId="4504FA74" w:rsidR="00A12B95" w:rsidRDefault="00FB0DC0">
          <w:pPr>
            <w:pStyle w:val="TOC1"/>
            <w:rPr>
              <w:rFonts w:asciiTheme="minorHAnsi" w:eastAsiaTheme="minorEastAsia" w:hAnsiTheme="minorHAnsi" w:cstheme="minorBidi"/>
              <w:sz w:val="22"/>
              <w:lang w:val="en-US" w:eastAsia="en-US"/>
            </w:rPr>
          </w:pPr>
          <w:hyperlink w:anchor="_Toc230182068" w:history="1">
            <w:r w:rsidR="00A12B95" w:rsidRPr="00455109">
              <w:rPr>
                <w:rStyle w:val="Hyperlink"/>
                <w:rFonts w:asciiTheme="majorHAnsi" w:hAnsiTheme="majorHAnsi" w:cstheme="majorHAnsi"/>
                <w:lang w:val="en-US"/>
              </w:rPr>
              <w:t>METHODOLOGY</w:t>
            </w:r>
            <w:r w:rsidR="00A12B95">
              <w:rPr>
                <w:webHidden/>
              </w:rPr>
              <w:tab/>
            </w:r>
            <w:r w:rsidR="00A12B95">
              <w:rPr>
                <w:webHidden/>
              </w:rPr>
              <w:fldChar w:fldCharType="begin"/>
            </w:r>
            <w:r w:rsidR="00A12B95">
              <w:rPr>
                <w:webHidden/>
              </w:rPr>
              <w:instrText xml:space="preserve"> PAGEREF _Toc230182068 \h </w:instrText>
            </w:r>
            <w:r w:rsidR="00A12B95">
              <w:rPr>
                <w:webHidden/>
              </w:rPr>
            </w:r>
            <w:r w:rsidR="00A12B95">
              <w:rPr>
                <w:webHidden/>
              </w:rPr>
              <w:fldChar w:fldCharType="separate"/>
            </w:r>
            <w:r w:rsidR="00A12B95">
              <w:rPr>
                <w:webHidden/>
              </w:rPr>
              <w:t>6</w:t>
            </w:r>
            <w:r w:rsidR="00A12B95">
              <w:rPr>
                <w:webHidden/>
              </w:rPr>
              <w:fldChar w:fldCharType="end"/>
            </w:r>
          </w:hyperlink>
        </w:p>
        <w:p w14:paraId="308E6D41" w14:textId="26410F80" w:rsidR="00A12B95" w:rsidRDefault="00FB0DC0">
          <w:pPr>
            <w:pStyle w:val="TOC1"/>
            <w:rPr>
              <w:rFonts w:asciiTheme="minorHAnsi" w:eastAsiaTheme="minorEastAsia" w:hAnsiTheme="minorHAnsi" w:cstheme="minorBidi"/>
              <w:sz w:val="22"/>
              <w:lang w:val="en-US" w:eastAsia="en-US"/>
            </w:rPr>
          </w:pPr>
          <w:hyperlink w:anchor="_Toc230182069" w:history="1">
            <w:r w:rsidR="00A12B95" w:rsidRPr="00455109">
              <w:rPr>
                <w:rStyle w:val="Hyperlink"/>
                <w:rFonts w:asciiTheme="majorHAnsi" w:hAnsiTheme="majorHAnsi" w:cstheme="majorHAnsi"/>
                <w:b/>
                <w:bCs/>
                <w:kern w:val="36"/>
                <w:lang w:val="en-US"/>
              </w:rPr>
              <w:t>LEGAL FRAMEWORK</w:t>
            </w:r>
            <w:r w:rsidR="00A12B95">
              <w:rPr>
                <w:webHidden/>
              </w:rPr>
              <w:tab/>
            </w:r>
            <w:r w:rsidR="00A12B95">
              <w:rPr>
                <w:webHidden/>
              </w:rPr>
              <w:fldChar w:fldCharType="begin"/>
            </w:r>
            <w:r w:rsidR="00A12B95">
              <w:rPr>
                <w:webHidden/>
              </w:rPr>
              <w:instrText xml:space="preserve"> PAGEREF _Toc230182069 \h </w:instrText>
            </w:r>
            <w:r w:rsidR="00A12B95">
              <w:rPr>
                <w:webHidden/>
              </w:rPr>
            </w:r>
            <w:r w:rsidR="00A12B95">
              <w:rPr>
                <w:webHidden/>
              </w:rPr>
              <w:fldChar w:fldCharType="separate"/>
            </w:r>
            <w:r w:rsidR="00A12B95">
              <w:rPr>
                <w:webHidden/>
              </w:rPr>
              <w:t>6</w:t>
            </w:r>
            <w:r w:rsidR="00A12B95">
              <w:rPr>
                <w:webHidden/>
              </w:rPr>
              <w:fldChar w:fldCharType="end"/>
            </w:r>
          </w:hyperlink>
        </w:p>
        <w:p w14:paraId="63022D4E" w14:textId="678366EE" w:rsidR="00A12B95" w:rsidRDefault="00FB0DC0">
          <w:pPr>
            <w:pStyle w:val="TOC1"/>
            <w:rPr>
              <w:rFonts w:asciiTheme="minorHAnsi" w:eastAsiaTheme="minorEastAsia" w:hAnsiTheme="minorHAnsi" w:cstheme="minorBidi"/>
              <w:sz w:val="22"/>
              <w:lang w:val="en-US" w:eastAsia="en-US"/>
            </w:rPr>
          </w:pPr>
          <w:hyperlink w:anchor="_Toc230182070" w:history="1">
            <w:r w:rsidR="00A12B95" w:rsidRPr="00455109">
              <w:rPr>
                <w:rStyle w:val="Hyperlink"/>
                <w:rFonts w:asciiTheme="majorHAnsi" w:hAnsiTheme="majorHAnsi" w:cstheme="majorHAnsi"/>
                <w:lang w:val="en-US"/>
              </w:rPr>
              <w:t>TRANSPARENCY OF THE WORK OF MUNICIPAL ASSEMBLIES</w:t>
            </w:r>
            <w:r w:rsidR="00A12B95">
              <w:rPr>
                <w:webHidden/>
              </w:rPr>
              <w:tab/>
            </w:r>
            <w:r w:rsidR="00A12B95">
              <w:rPr>
                <w:webHidden/>
              </w:rPr>
              <w:fldChar w:fldCharType="begin"/>
            </w:r>
            <w:r w:rsidR="00A12B95">
              <w:rPr>
                <w:webHidden/>
              </w:rPr>
              <w:instrText xml:space="preserve"> PAGEREF _Toc230182070 \h </w:instrText>
            </w:r>
            <w:r w:rsidR="00A12B95">
              <w:rPr>
                <w:webHidden/>
              </w:rPr>
            </w:r>
            <w:r w:rsidR="00A12B95">
              <w:rPr>
                <w:webHidden/>
              </w:rPr>
              <w:fldChar w:fldCharType="separate"/>
            </w:r>
            <w:r w:rsidR="00A12B95">
              <w:rPr>
                <w:webHidden/>
              </w:rPr>
              <w:t>7</w:t>
            </w:r>
            <w:r w:rsidR="00A12B95">
              <w:rPr>
                <w:webHidden/>
              </w:rPr>
              <w:fldChar w:fldCharType="end"/>
            </w:r>
          </w:hyperlink>
        </w:p>
        <w:p w14:paraId="6590E93E" w14:textId="3156BC0B" w:rsidR="00A12B95" w:rsidRDefault="00FB0DC0">
          <w:pPr>
            <w:pStyle w:val="TOC1"/>
            <w:rPr>
              <w:rFonts w:asciiTheme="minorHAnsi" w:eastAsiaTheme="minorEastAsia" w:hAnsiTheme="minorHAnsi" w:cstheme="minorBidi"/>
              <w:sz w:val="22"/>
              <w:lang w:val="en-US" w:eastAsia="en-US"/>
            </w:rPr>
          </w:pPr>
          <w:hyperlink w:anchor="_Toc230182071" w:history="1">
            <w:r w:rsidR="00A12B95" w:rsidRPr="00455109">
              <w:rPr>
                <w:rStyle w:val="Hyperlink"/>
                <w:rFonts w:asciiTheme="majorHAnsi" w:hAnsiTheme="majorHAnsi" w:cstheme="majorHAnsi"/>
                <w:b/>
                <w:bCs/>
                <w:kern w:val="36"/>
                <w:lang w:val="en-US"/>
              </w:rPr>
              <w:t>NOTICES OF MEETINGS OF MUNICIPAL ASSEMBLIES</w:t>
            </w:r>
            <w:r w:rsidR="00A12B95">
              <w:rPr>
                <w:webHidden/>
              </w:rPr>
              <w:tab/>
            </w:r>
            <w:r w:rsidR="00A12B95">
              <w:rPr>
                <w:webHidden/>
              </w:rPr>
              <w:fldChar w:fldCharType="begin"/>
            </w:r>
            <w:r w:rsidR="00A12B95">
              <w:rPr>
                <w:webHidden/>
              </w:rPr>
              <w:instrText xml:space="preserve"> PAGEREF _Toc230182071 \h </w:instrText>
            </w:r>
            <w:r w:rsidR="00A12B95">
              <w:rPr>
                <w:webHidden/>
              </w:rPr>
            </w:r>
            <w:r w:rsidR="00A12B95">
              <w:rPr>
                <w:webHidden/>
              </w:rPr>
              <w:fldChar w:fldCharType="separate"/>
            </w:r>
            <w:r w:rsidR="00A12B95">
              <w:rPr>
                <w:webHidden/>
              </w:rPr>
              <w:t>8</w:t>
            </w:r>
            <w:r w:rsidR="00A12B95">
              <w:rPr>
                <w:webHidden/>
              </w:rPr>
              <w:fldChar w:fldCharType="end"/>
            </w:r>
          </w:hyperlink>
        </w:p>
        <w:p w14:paraId="0350DC8C" w14:textId="094F3F5A" w:rsidR="00A12B95" w:rsidRDefault="00FB0DC0">
          <w:pPr>
            <w:pStyle w:val="TOC1"/>
            <w:rPr>
              <w:rFonts w:asciiTheme="minorHAnsi" w:eastAsiaTheme="minorEastAsia" w:hAnsiTheme="minorHAnsi" w:cstheme="minorBidi"/>
              <w:sz w:val="22"/>
              <w:lang w:val="en-US" w:eastAsia="en-US"/>
            </w:rPr>
          </w:pPr>
          <w:hyperlink w:anchor="_Toc230182072" w:history="1">
            <w:r w:rsidR="00A12B95" w:rsidRPr="00455109">
              <w:rPr>
                <w:rStyle w:val="Hyperlink"/>
                <w:rFonts w:asciiTheme="majorHAnsi" w:hAnsiTheme="majorHAnsi" w:cstheme="majorHAnsi"/>
                <w:lang w:val="en-US"/>
              </w:rPr>
              <w:t>POLICY AND FINANCE COMMITTEE</w:t>
            </w:r>
            <w:r w:rsidR="00A12B95">
              <w:rPr>
                <w:webHidden/>
              </w:rPr>
              <w:tab/>
            </w:r>
            <w:r w:rsidR="00A12B95">
              <w:rPr>
                <w:webHidden/>
              </w:rPr>
              <w:fldChar w:fldCharType="begin"/>
            </w:r>
            <w:r w:rsidR="00A12B95">
              <w:rPr>
                <w:webHidden/>
              </w:rPr>
              <w:instrText xml:space="preserve"> PAGEREF _Toc230182072 \h </w:instrText>
            </w:r>
            <w:r w:rsidR="00A12B95">
              <w:rPr>
                <w:webHidden/>
              </w:rPr>
            </w:r>
            <w:r w:rsidR="00A12B95">
              <w:rPr>
                <w:webHidden/>
              </w:rPr>
              <w:fldChar w:fldCharType="separate"/>
            </w:r>
            <w:r w:rsidR="00A12B95">
              <w:rPr>
                <w:webHidden/>
              </w:rPr>
              <w:t>9</w:t>
            </w:r>
            <w:r w:rsidR="00A12B95">
              <w:rPr>
                <w:webHidden/>
              </w:rPr>
              <w:fldChar w:fldCharType="end"/>
            </w:r>
          </w:hyperlink>
        </w:p>
        <w:p w14:paraId="5029A559" w14:textId="79D2C609" w:rsidR="00A12B95" w:rsidRDefault="00FB0DC0">
          <w:pPr>
            <w:pStyle w:val="TOC1"/>
            <w:rPr>
              <w:rFonts w:asciiTheme="minorHAnsi" w:eastAsiaTheme="minorEastAsia" w:hAnsiTheme="minorHAnsi" w:cstheme="minorBidi"/>
              <w:sz w:val="22"/>
              <w:lang w:val="en-US" w:eastAsia="en-US"/>
            </w:rPr>
          </w:pPr>
          <w:hyperlink w:anchor="_Toc230182073" w:history="1">
            <w:r w:rsidR="00A12B95" w:rsidRPr="00455109">
              <w:rPr>
                <w:rStyle w:val="Hyperlink"/>
                <w:rFonts w:asciiTheme="majorHAnsi" w:hAnsiTheme="majorHAnsi" w:cstheme="majorHAnsi"/>
                <w:lang w:val="en-US"/>
              </w:rPr>
              <w:t>COMMUNITY COMMITTEE</w:t>
            </w:r>
            <w:r w:rsidR="00A12B95">
              <w:rPr>
                <w:webHidden/>
              </w:rPr>
              <w:tab/>
            </w:r>
            <w:r w:rsidR="00A12B95">
              <w:rPr>
                <w:webHidden/>
              </w:rPr>
              <w:fldChar w:fldCharType="begin"/>
            </w:r>
            <w:r w:rsidR="00A12B95">
              <w:rPr>
                <w:webHidden/>
              </w:rPr>
              <w:instrText xml:space="preserve"> PAGEREF _Toc230182073 \h </w:instrText>
            </w:r>
            <w:r w:rsidR="00A12B95">
              <w:rPr>
                <w:webHidden/>
              </w:rPr>
            </w:r>
            <w:r w:rsidR="00A12B95">
              <w:rPr>
                <w:webHidden/>
              </w:rPr>
              <w:fldChar w:fldCharType="separate"/>
            </w:r>
            <w:r w:rsidR="00A12B95">
              <w:rPr>
                <w:webHidden/>
              </w:rPr>
              <w:t>10</w:t>
            </w:r>
            <w:r w:rsidR="00A12B95">
              <w:rPr>
                <w:webHidden/>
              </w:rPr>
              <w:fldChar w:fldCharType="end"/>
            </w:r>
          </w:hyperlink>
        </w:p>
        <w:p w14:paraId="68B933E7" w14:textId="6FFD8A08" w:rsidR="00A12B95" w:rsidRDefault="00FB0DC0">
          <w:pPr>
            <w:pStyle w:val="TOC1"/>
            <w:rPr>
              <w:rFonts w:asciiTheme="minorHAnsi" w:eastAsiaTheme="minorEastAsia" w:hAnsiTheme="minorHAnsi" w:cstheme="minorBidi"/>
              <w:sz w:val="22"/>
              <w:lang w:val="en-US" w:eastAsia="en-US"/>
            </w:rPr>
          </w:pPr>
          <w:hyperlink w:anchor="_Toc230182074" w:history="1">
            <w:r w:rsidR="00A12B95" w:rsidRPr="00455109">
              <w:rPr>
                <w:rStyle w:val="Hyperlink"/>
                <w:rFonts w:asciiTheme="majorHAnsi" w:hAnsiTheme="majorHAnsi" w:cstheme="majorHAnsi"/>
                <w:lang w:val="en-US"/>
              </w:rPr>
              <w:t>DECISIONS OF THE MUNICIPAL ASSEMBLY</w:t>
            </w:r>
            <w:r w:rsidR="00A12B95">
              <w:rPr>
                <w:webHidden/>
              </w:rPr>
              <w:tab/>
            </w:r>
            <w:r w:rsidR="00A12B95">
              <w:rPr>
                <w:webHidden/>
              </w:rPr>
              <w:fldChar w:fldCharType="begin"/>
            </w:r>
            <w:r w:rsidR="00A12B95">
              <w:rPr>
                <w:webHidden/>
              </w:rPr>
              <w:instrText xml:space="preserve"> PAGEREF _Toc230182074 \h </w:instrText>
            </w:r>
            <w:r w:rsidR="00A12B95">
              <w:rPr>
                <w:webHidden/>
              </w:rPr>
            </w:r>
            <w:r w:rsidR="00A12B95">
              <w:rPr>
                <w:webHidden/>
              </w:rPr>
              <w:fldChar w:fldCharType="separate"/>
            </w:r>
            <w:r w:rsidR="00A12B95">
              <w:rPr>
                <w:webHidden/>
              </w:rPr>
              <w:t>12</w:t>
            </w:r>
            <w:r w:rsidR="00A12B95">
              <w:rPr>
                <w:webHidden/>
              </w:rPr>
              <w:fldChar w:fldCharType="end"/>
            </w:r>
          </w:hyperlink>
        </w:p>
        <w:p w14:paraId="24091D54" w14:textId="4C15B039" w:rsidR="00A12B95" w:rsidRDefault="00FB0DC0">
          <w:pPr>
            <w:pStyle w:val="TOC1"/>
            <w:rPr>
              <w:rFonts w:asciiTheme="minorHAnsi" w:eastAsiaTheme="minorEastAsia" w:hAnsiTheme="minorHAnsi" w:cstheme="minorBidi"/>
              <w:sz w:val="22"/>
              <w:lang w:val="en-US" w:eastAsia="en-US"/>
            </w:rPr>
          </w:pPr>
          <w:hyperlink w:anchor="_Toc230182075" w:history="1">
            <w:r w:rsidR="00A12B95" w:rsidRPr="00455109">
              <w:rPr>
                <w:rStyle w:val="Hyperlink"/>
                <w:rFonts w:asciiTheme="majorHAnsi" w:hAnsiTheme="majorHAnsi" w:cstheme="majorHAnsi"/>
                <w:lang w:val="en-US" w:eastAsia="sq-AL"/>
              </w:rPr>
              <w:t>PUBLISHED REGULATIONS</w:t>
            </w:r>
            <w:r w:rsidR="00A12B95">
              <w:rPr>
                <w:webHidden/>
              </w:rPr>
              <w:tab/>
            </w:r>
            <w:r w:rsidR="00A12B95">
              <w:rPr>
                <w:webHidden/>
              </w:rPr>
              <w:fldChar w:fldCharType="begin"/>
            </w:r>
            <w:r w:rsidR="00A12B95">
              <w:rPr>
                <w:webHidden/>
              </w:rPr>
              <w:instrText xml:space="preserve"> PAGEREF _Toc230182075 \h </w:instrText>
            </w:r>
            <w:r w:rsidR="00A12B95">
              <w:rPr>
                <w:webHidden/>
              </w:rPr>
            </w:r>
            <w:r w:rsidR="00A12B95">
              <w:rPr>
                <w:webHidden/>
              </w:rPr>
              <w:fldChar w:fldCharType="separate"/>
            </w:r>
            <w:r w:rsidR="00A12B95">
              <w:rPr>
                <w:webHidden/>
              </w:rPr>
              <w:t>12</w:t>
            </w:r>
            <w:r w:rsidR="00A12B95">
              <w:rPr>
                <w:webHidden/>
              </w:rPr>
              <w:fldChar w:fldCharType="end"/>
            </w:r>
          </w:hyperlink>
        </w:p>
        <w:p w14:paraId="0CB6F563" w14:textId="41FAEA41" w:rsidR="00A12B95" w:rsidRDefault="00FB0DC0" w:rsidP="00DB6E16">
          <w:pPr>
            <w:pStyle w:val="TOC2"/>
            <w:rPr>
              <w:rFonts w:asciiTheme="minorHAnsi" w:hAnsiTheme="minorHAnsi" w:cstheme="minorBidi"/>
              <w:sz w:val="22"/>
              <w:szCs w:val="22"/>
            </w:rPr>
          </w:pPr>
          <w:hyperlink w:anchor="_Toc230182076" w:history="1">
            <w:r w:rsidR="00A12B95" w:rsidRPr="00455109">
              <w:rPr>
                <w:rStyle w:val="Hyperlink"/>
                <w:lang w:eastAsia="en-GB"/>
              </w:rPr>
              <w:t>Minutes of the Municipal Assembly meetings</w:t>
            </w:r>
            <w:r w:rsidR="00A12B95">
              <w:rPr>
                <w:webHidden/>
              </w:rPr>
              <w:tab/>
            </w:r>
            <w:r w:rsidR="00A12B95">
              <w:rPr>
                <w:webHidden/>
              </w:rPr>
              <w:fldChar w:fldCharType="begin"/>
            </w:r>
            <w:r w:rsidR="00A12B95">
              <w:rPr>
                <w:webHidden/>
              </w:rPr>
              <w:instrText xml:space="preserve"> PAGEREF _Toc230182076 \h </w:instrText>
            </w:r>
            <w:r w:rsidR="00A12B95">
              <w:rPr>
                <w:webHidden/>
              </w:rPr>
            </w:r>
            <w:r w:rsidR="00A12B95">
              <w:rPr>
                <w:webHidden/>
              </w:rPr>
              <w:fldChar w:fldCharType="separate"/>
            </w:r>
            <w:r w:rsidR="00A12B95">
              <w:rPr>
                <w:webHidden/>
              </w:rPr>
              <w:t>13</w:t>
            </w:r>
            <w:r w:rsidR="00A12B95">
              <w:rPr>
                <w:webHidden/>
              </w:rPr>
              <w:fldChar w:fldCharType="end"/>
            </w:r>
          </w:hyperlink>
        </w:p>
        <w:p w14:paraId="61F09095" w14:textId="3C2DF62D" w:rsidR="00A12B95" w:rsidRDefault="00FB0DC0" w:rsidP="00DB6E16">
          <w:pPr>
            <w:pStyle w:val="TOC2"/>
            <w:rPr>
              <w:rFonts w:asciiTheme="minorHAnsi" w:hAnsiTheme="minorHAnsi" w:cstheme="minorBidi"/>
              <w:sz w:val="22"/>
              <w:szCs w:val="22"/>
            </w:rPr>
          </w:pPr>
          <w:hyperlink w:anchor="_Toc230182077" w:history="1">
            <w:r w:rsidR="00A12B95" w:rsidRPr="00455109">
              <w:rPr>
                <w:rStyle w:val="Hyperlink"/>
                <w:lang w:eastAsia="en-GB"/>
              </w:rPr>
              <w:t>Minutes from the meetings of the Committee on Policy and Finance</w:t>
            </w:r>
            <w:r w:rsidR="00A12B95">
              <w:rPr>
                <w:webHidden/>
              </w:rPr>
              <w:tab/>
            </w:r>
            <w:r w:rsidR="00A12B95">
              <w:rPr>
                <w:webHidden/>
              </w:rPr>
              <w:fldChar w:fldCharType="begin"/>
            </w:r>
            <w:r w:rsidR="00A12B95">
              <w:rPr>
                <w:webHidden/>
              </w:rPr>
              <w:instrText xml:space="preserve"> PAGEREF _Toc230182077 \h </w:instrText>
            </w:r>
            <w:r w:rsidR="00A12B95">
              <w:rPr>
                <w:webHidden/>
              </w:rPr>
            </w:r>
            <w:r w:rsidR="00A12B95">
              <w:rPr>
                <w:webHidden/>
              </w:rPr>
              <w:fldChar w:fldCharType="separate"/>
            </w:r>
            <w:r w:rsidR="00A12B95">
              <w:rPr>
                <w:webHidden/>
              </w:rPr>
              <w:t>13</w:t>
            </w:r>
            <w:r w:rsidR="00A12B95">
              <w:rPr>
                <w:webHidden/>
              </w:rPr>
              <w:fldChar w:fldCharType="end"/>
            </w:r>
          </w:hyperlink>
        </w:p>
        <w:p w14:paraId="64E7981E" w14:textId="5D3129B9" w:rsidR="00A12B95" w:rsidRPr="00DB6E16" w:rsidRDefault="00FB0DC0" w:rsidP="00DB6E16">
          <w:pPr>
            <w:pStyle w:val="TOC2"/>
            <w:rPr>
              <w:rFonts w:asciiTheme="minorHAnsi" w:hAnsiTheme="minorHAnsi" w:cstheme="minorBidi"/>
              <w:sz w:val="22"/>
              <w:szCs w:val="22"/>
            </w:rPr>
          </w:pPr>
          <w:hyperlink w:anchor="_Toc230182078" w:history="1">
            <w:r w:rsidR="00A12B95" w:rsidRPr="00DB6E16">
              <w:rPr>
                <w:rStyle w:val="Hyperlink"/>
              </w:rPr>
              <w:t>Minutes from the meetings of the Committee for Communities</w:t>
            </w:r>
            <w:r w:rsidR="00A12B95" w:rsidRPr="00DB6E16">
              <w:rPr>
                <w:webHidden/>
              </w:rPr>
              <w:tab/>
            </w:r>
            <w:r w:rsidR="00A12B95" w:rsidRPr="00DB6E16">
              <w:rPr>
                <w:webHidden/>
              </w:rPr>
              <w:fldChar w:fldCharType="begin"/>
            </w:r>
            <w:r w:rsidR="00A12B95" w:rsidRPr="00DB6E16">
              <w:rPr>
                <w:webHidden/>
              </w:rPr>
              <w:instrText xml:space="preserve"> PAGEREF _Toc230182078 \h </w:instrText>
            </w:r>
            <w:r w:rsidR="00A12B95" w:rsidRPr="00DB6E16">
              <w:rPr>
                <w:webHidden/>
              </w:rPr>
            </w:r>
            <w:r w:rsidR="00A12B95" w:rsidRPr="00DB6E16">
              <w:rPr>
                <w:webHidden/>
              </w:rPr>
              <w:fldChar w:fldCharType="separate"/>
            </w:r>
            <w:r w:rsidR="00A12B95" w:rsidRPr="00DB6E16">
              <w:rPr>
                <w:webHidden/>
              </w:rPr>
              <w:t>14</w:t>
            </w:r>
            <w:r w:rsidR="00A12B95" w:rsidRPr="00DB6E16">
              <w:rPr>
                <w:webHidden/>
              </w:rPr>
              <w:fldChar w:fldCharType="end"/>
            </w:r>
          </w:hyperlink>
        </w:p>
        <w:p w14:paraId="23C397A2" w14:textId="12F49AE5" w:rsidR="00A12B95" w:rsidRDefault="00FB0DC0">
          <w:pPr>
            <w:pStyle w:val="TOC1"/>
            <w:rPr>
              <w:rFonts w:asciiTheme="minorHAnsi" w:eastAsiaTheme="minorEastAsia" w:hAnsiTheme="minorHAnsi" w:cstheme="minorBidi"/>
              <w:sz w:val="22"/>
              <w:lang w:val="en-US" w:eastAsia="en-US"/>
            </w:rPr>
          </w:pPr>
          <w:hyperlink w:anchor="_Toc230182079" w:history="1">
            <w:r w:rsidR="00A12B95" w:rsidRPr="00455109">
              <w:rPr>
                <w:rStyle w:val="Hyperlink"/>
                <w:rFonts w:asciiTheme="majorHAnsi" w:hAnsiTheme="majorHAnsi" w:cstheme="majorHAnsi"/>
                <w:lang w:val="en-US"/>
              </w:rPr>
              <w:t>ONLINE BROADCAST OF MUNICIPAL ASSEMBLY’S MEETINGS</w:t>
            </w:r>
            <w:r w:rsidR="00A12B95">
              <w:rPr>
                <w:webHidden/>
              </w:rPr>
              <w:tab/>
            </w:r>
            <w:r w:rsidR="00A12B95">
              <w:rPr>
                <w:webHidden/>
              </w:rPr>
              <w:fldChar w:fldCharType="begin"/>
            </w:r>
            <w:r w:rsidR="00A12B95">
              <w:rPr>
                <w:webHidden/>
              </w:rPr>
              <w:instrText xml:space="preserve"> PAGEREF _Toc230182079 \h </w:instrText>
            </w:r>
            <w:r w:rsidR="00A12B95">
              <w:rPr>
                <w:webHidden/>
              </w:rPr>
            </w:r>
            <w:r w:rsidR="00A12B95">
              <w:rPr>
                <w:webHidden/>
              </w:rPr>
              <w:fldChar w:fldCharType="separate"/>
            </w:r>
            <w:r w:rsidR="00A12B95">
              <w:rPr>
                <w:webHidden/>
              </w:rPr>
              <w:t>14</w:t>
            </w:r>
            <w:r w:rsidR="00A12B95">
              <w:rPr>
                <w:webHidden/>
              </w:rPr>
              <w:fldChar w:fldCharType="end"/>
            </w:r>
          </w:hyperlink>
        </w:p>
        <w:p w14:paraId="219CE870" w14:textId="6DC17E0A" w:rsidR="00A12B95" w:rsidRDefault="00FB0DC0">
          <w:pPr>
            <w:pStyle w:val="TOC1"/>
            <w:rPr>
              <w:rFonts w:asciiTheme="minorHAnsi" w:eastAsiaTheme="minorEastAsia" w:hAnsiTheme="minorHAnsi" w:cstheme="minorBidi"/>
              <w:sz w:val="22"/>
              <w:lang w:val="en-US" w:eastAsia="en-US"/>
            </w:rPr>
          </w:pPr>
          <w:hyperlink w:anchor="_Toc230182080" w:history="1">
            <w:r w:rsidR="00A12B95" w:rsidRPr="00455109">
              <w:rPr>
                <w:rStyle w:val="Hyperlink"/>
                <w:rFonts w:asciiTheme="majorHAnsi" w:hAnsiTheme="majorHAnsi" w:cstheme="majorHAnsi"/>
                <w:lang w:val="en-US"/>
              </w:rPr>
              <w:t>PUBLICATION OF THE WORK PLAN OF THE MUNICIPAL ASSEMBLY</w:t>
            </w:r>
            <w:r w:rsidR="00A12B95">
              <w:rPr>
                <w:webHidden/>
              </w:rPr>
              <w:tab/>
            </w:r>
            <w:r w:rsidR="00A12B95">
              <w:rPr>
                <w:webHidden/>
              </w:rPr>
              <w:fldChar w:fldCharType="begin"/>
            </w:r>
            <w:r w:rsidR="00A12B95">
              <w:rPr>
                <w:webHidden/>
              </w:rPr>
              <w:instrText xml:space="preserve"> PAGEREF _Toc230182080 \h </w:instrText>
            </w:r>
            <w:r w:rsidR="00A12B95">
              <w:rPr>
                <w:webHidden/>
              </w:rPr>
            </w:r>
            <w:r w:rsidR="00A12B95">
              <w:rPr>
                <w:webHidden/>
              </w:rPr>
              <w:fldChar w:fldCharType="separate"/>
            </w:r>
            <w:r w:rsidR="00A12B95">
              <w:rPr>
                <w:webHidden/>
              </w:rPr>
              <w:t>15</w:t>
            </w:r>
            <w:r w:rsidR="00A12B95">
              <w:rPr>
                <w:webHidden/>
              </w:rPr>
              <w:fldChar w:fldCharType="end"/>
            </w:r>
          </w:hyperlink>
        </w:p>
        <w:p w14:paraId="1B8DC836" w14:textId="0685943B" w:rsidR="00A12B95" w:rsidRDefault="00FB0DC0" w:rsidP="00DB6E16">
          <w:pPr>
            <w:pStyle w:val="TOC2"/>
            <w:rPr>
              <w:rFonts w:asciiTheme="minorHAnsi" w:hAnsiTheme="minorHAnsi" w:cstheme="minorBidi"/>
              <w:sz w:val="22"/>
              <w:szCs w:val="22"/>
            </w:rPr>
          </w:pPr>
          <w:hyperlink w:anchor="_Toc230182081" w:history="1">
            <w:r w:rsidR="00A12B95" w:rsidRPr="00455109">
              <w:rPr>
                <w:rStyle w:val="Hyperlink"/>
                <w:lang w:eastAsia="en-GB"/>
              </w:rPr>
              <w:t>Strategic plans and documents</w:t>
            </w:r>
            <w:r w:rsidR="00A12B95">
              <w:rPr>
                <w:webHidden/>
              </w:rPr>
              <w:tab/>
            </w:r>
            <w:r w:rsidR="00A12B95">
              <w:rPr>
                <w:webHidden/>
              </w:rPr>
              <w:fldChar w:fldCharType="begin"/>
            </w:r>
            <w:r w:rsidR="00A12B95">
              <w:rPr>
                <w:webHidden/>
              </w:rPr>
              <w:instrText xml:space="preserve"> PAGEREF _Toc230182081 \h </w:instrText>
            </w:r>
            <w:r w:rsidR="00A12B95">
              <w:rPr>
                <w:webHidden/>
              </w:rPr>
            </w:r>
            <w:r w:rsidR="00A12B95">
              <w:rPr>
                <w:webHidden/>
              </w:rPr>
              <w:fldChar w:fldCharType="separate"/>
            </w:r>
            <w:r w:rsidR="00A12B95">
              <w:rPr>
                <w:webHidden/>
              </w:rPr>
              <w:t>16</w:t>
            </w:r>
            <w:r w:rsidR="00A12B95">
              <w:rPr>
                <w:webHidden/>
              </w:rPr>
              <w:fldChar w:fldCharType="end"/>
            </w:r>
          </w:hyperlink>
        </w:p>
        <w:p w14:paraId="294689F3" w14:textId="13128265" w:rsidR="00A12B95" w:rsidRDefault="00FB0DC0" w:rsidP="00DB6E16">
          <w:pPr>
            <w:pStyle w:val="TOC2"/>
            <w:rPr>
              <w:rFonts w:asciiTheme="minorHAnsi" w:hAnsiTheme="minorHAnsi" w:cstheme="minorBidi"/>
              <w:sz w:val="22"/>
              <w:szCs w:val="22"/>
            </w:rPr>
          </w:pPr>
          <w:hyperlink w:anchor="_Toc230182082" w:history="1">
            <w:r w:rsidR="00A12B95" w:rsidRPr="00455109">
              <w:rPr>
                <w:rStyle w:val="Hyperlink"/>
              </w:rPr>
              <w:t>Zonal maps</w:t>
            </w:r>
            <w:r w:rsidR="00A12B95">
              <w:rPr>
                <w:webHidden/>
              </w:rPr>
              <w:tab/>
            </w:r>
            <w:r w:rsidR="00A12B95">
              <w:rPr>
                <w:webHidden/>
              </w:rPr>
              <w:fldChar w:fldCharType="begin"/>
            </w:r>
            <w:r w:rsidR="00A12B95">
              <w:rPr>
                <w:webHidden/>
              </w:rPr>
              <w:instrText xml:space="preserve"> PAGEREF _Toc230182082 \h </w:instrText>
            </w:r>
            <w:r w:rsidR="00A12B95">
              <w:rPr>
                <w:webHidden/>
              </w:rPr>
            </w:r>
            <w:r w:rsidR="00A12B95">
              <w:rPr>
                <w:webHidden/>
              </w:rPr>
              <w:fldChar w:fldCharType="separate"/>
            </w:r>
            <w:r w:rsidR="00A12B95">
              <w:rPr>
                <w:webHidden/>
              </w:rPr>
              <w:t>17</w:t>
            </w:r>
            <w:r w:rsidR="00A12B95">
              <w:rPr>
                <w:webHidden/>
              </w:rPr>
              <w:fldChar w:fldCharType="end"/>
            </w:r>
          </w:hyperlink>
        </w:p>
        <w:p w14:paraId="1226E9F3" w14:textId="65B47E48" w:rsidR="00A12B95" w:rsidRDefault="00FB0DC0" w:rsidP="00DB6E16">
          <w:pPr>
            <w:pStyle w:val="TOC2"/>
            <w:rPr>
              <w:rFonts w:asciiTheme="minorHAnsi" w:hAnsiTheme="minorHAnsi" w:cstheme="minorBidi"/>
              <w:sz w:val="22"/>
              <w:szCs w:val="22"/>
            </w:rPr>
          </w:pPr>
          <w:hyperlink w:anchor="_Toc230182083" w:history="1">
            <w:r w:rsidR="00A12B95" w:rsidRPr="00455109">
              <w:rPr>
                <w:rStyle w:val="Hyperlink"/>
              </w:rPr>
              <w:t>Transparency Action Plan</w:t>
            </w:r>
            <w:r w:rsidR="00A12B95">
              <w:rPr>
                <w:webHidden/>
              </w:rPr>
              <w:tab/>
            </w:r>
            <w:r w:rsidR="00A12B95">
              <w:rPr>
                <w:webHidden/>
              </w:rPr>
              <w:fldChar w:fldCharType="begin"/>
            </w:r>
            <w:r w:rsidR="00A12B95">
              <w:rPr>
                <w:webHidden/>
              </w:rPr>
              <w:instrText xml:space="preserve"> PAGEREF _Toc230182083 \h </w:instrText>
            </w:r>
            <w:r w:rsidR="00A12B95">
              <w:rPr>
                <w:webHidden/>
              </w:rPr>
            </w:r>
            <w:r w:rsidR="00A12B95">
              <w:rPr>
                <w:webHidden/>
              </w:rPr>
              <w:fldChar w:fldCharType="separate"/>
            </w:r>
            <w:r w:rsidR="00A12B95">
              <w:rPr>
                <w:webHidden/>
              </w:rPr>
              <w:t>18</w:t>
            </w:r>
            <w:r w:rsidR="00A12B95">
              <w:rPr>
                <w:webHidden/>
              </w:rPr>
              <w:fldChar w:fldCharType="end"/>
            </w:r>
          </w:hyperlink>
        </w:p>
        <w:p w14:paraId="79E9CB5E" w14:textId="2DF350A0" w:rsidR="00A12B95" w:rsidRDefault="00FB0DC0" w:rsidP="00DB6E16">
          <w:pPr>
            <w:pStyle w:val="TOC2"/>
            <w:rPr>
              <w:rFonts w:asciiTheme="minorHAnsi" w:hAnsiTheme="minorHAnsi" w:cstheme="minorBidi"/>
              <w:sz w:val="22"/>
              <w:szCs w:val="22"/>
            </w:rPr>
          </w:pPr>
          <w:hyperlink w:anchor="_Toc230182084" w:history="1">
            <w:r w:rsidR="00A12B95" w:rsidRPr="00455109">
              <w:rPr>
                <w:rStyle w:val="Hyperlink"/>
                <w:lang w:eastAsia="en-GB"/>
              </w:rPr>
              <w:t>MUNICIPAL TRANSPARENCY REGULATIONS</w:t>
            </w:r>
            <w:r w:rsidR="00A12B95">
              <w:rPr>
                <w:webHidden/>
              </w:rPr>
              <w:tab/>
            </w:r>
            <w:r w:rsidR="00A12B95">
              <w:rPr>
                <w:webHidden/>
              </w:rPr>
              <w:fldChar w:fldCharType="begin"/>
            </w:r>
            <w:r w:rsidR="00A12B95">
              <w:rPr>
                <w:webHidden/>
              </w:rPr>
              <w:instrText xml:space="preserve"> PAGEREF _Toc230182084 \h </w:instrText>
            </w:r>
            <w:r w:rsidR="00A12B95">
              <w:rPr>
                <w:webHidden/>
              </w:rPr>
            </w:r>
            <w:r w:rsidR="00A12B95">
              <w:rPr>
                <w:webHidden/>
              </w:rPr>
              <w:fldChar w:fldCharType="separate"/>
            </w:r>
            <w:r w:rsidR="00A12B95">
              <w:rPr>
                <w:webHidden/>
              </w:rPr>
              <w:t>19</w:t>
            </w:r>
            <w:r w:rsidR="00A12B95">
              <w:rPr>
                <w:webHidden/>
              </w:rPr>
              <w:fldChar w:fldCharType="end"/>
            </w:r>
          </w:hyperlink>
        </w:p>
        <w:p w14:paraId="192BC8EA" w14:textId="53FEC85C" w:rsidR="00A12B95" w:rsidRDefault="00FB0DC0" w:rsidP="00DB6E16">
          <w:pPr>
            <w:pStyle w:val="TOC2"/>
            <w:rPr>
              <w:rFonts w:asciiTheme="minorHAnsi" w:hAnsiTheme="minorHAnsi" w:cstheme="minorBidi"/>
              <w:sz w:val="22"/>
              <w:szCs w:val="22"/>
            </w:rPr>
          </w:pPr>
          <w:hyperlink w:anchor="_Toc230182085" w:history="1">
            <w:r w:rsidR="00A12B95" w:rsidRPr="00455109">
              <w:rPr>
                <w:rStyle w:val="Hyperlink"/>
                <w:lang w:eastAsia="en-GB"/>
              </w:rPr>
              <w:t>Integrity Plan</w:t>
            </w:r>
            <w:r w:rsidR="00A12B95">
              <w:rPr>
                <w:webHidden/>
              </w:rPr>
              <w:tab/>
            </w:r>
            <w:r w:rsidR="00A12B95">
              <w:rPr>
                <w:webHidden/>
              </w:rPr>
              <w:fldChar w:fldCharType="begin"/>
            </w:r>
            <w:r w:rsidR="00A12B95">
              <w:rPr>
                <w:webHidden/>
              </w:rPr>
              <w:instrText xml:space="preserve"> PAGEREF _Toc230182085 \h </w:instrText>
            </w:r>
            <w:r w:rsidR="00A12B95">
              <w:rPr>
                <w:webHidden/>
              </w:rPr>
            </w:r>
            <w:r w:rsidR="00A12B95">
              <w:rPr>
                <w:webHidden/>
              </w:rPr>
              <w:fldChar w:fldCharType="separate"/>
            </w:r>
            <w:r w:rsidR="00A12B95">
              <w:rPr>
                <w:webHidden/>
              </w:rPr>
              <w:t>19</w:t>
            </w:r>
            <w:r w:rsidR="00A12B95">
              <w:rPr>
                <w:webHidden/>
              </w:rPr>
              <w:fldChar w:fldCharType="end"/>
            </w:r>
          </w:hyperlink>
        </w:p>
        <w:p w14:paraId="3FC784E9" w14:textId="57DD7950" w:rsidR="00A12B95" w:rsidRDefault="00FB0DC0">
          <w:pPr>
            <w:pStyle w:val="TOC1"/>
            <w:rPr>
              <w:rFonts w:asciiTheme="minorHAnsi" w:eastAsiaTheme="minorEastAsia" w:hAnsiTheme="minorHAnsi" w:cstheme="minorBidi"/>
              <w:sz w:val="22"/>
              <w:lang w:val="en-US" w:eastAsia="en-US"/>
            </w:rPr>
          </w:pPr>
          <w:hyperlink w:anchor="_Toc230182086" w:history="1">
            <w:r w:rsidR="00A12B95" w:rsidRPr="00455109">
              <w:rPr>
                <w:rStyle w:val="Hyperlink"/>
                <w:rFonts w:asciiTheme="majorHAnsi" w:hAnsiTheme="majorHAnsi" w:cstheme="majorHAnsi"/>
                <w:lang w:val="en-US"/>
              </w:rPr>
              <w:t>TRANSPARENCY OF THE MAYOR OF THE MUNICIPALITY</w:t>
            </w:r>
            <w:r w:rsidR="00A12B95">
              <w:rPr>
                <w:webHidden/>
              </w:rPr>
              <w:tab/>
            </w:r>
            <w:r w:rsidR="00A12B95">
              <w:rPr>
                <w:webHidden/>
              </w:rPr>
              <w:fldChar w:fldCharType="begin"/>
            </w:r>
            <w:r w:rsidR="00A12B95">
              <w:rPr>
                <w:webHidden/>
              </w:rPr>
              <w:instrText xml:space="preserve"> PAGEREF _Toc230182086 \h </w:instrText>
            </w:r>
            <w:r w:rsidR="00A12B95">
              <w:rPr>
                <w:webHidden/>
              </w:rPr>
            </w:r>
            <w:r w:rsidR="00A12B95">
              <w:rPr>
                <w:webHidden/>
              </w:rPr>
              <w:fldChar w:fldCharType="separate"/>
            </w:r>
            <w:r w:rsidR="00A12B95">
              <w:rPr>
                <w:webHidden/>
              </w:rPr>
              <w:t>20</w:t>
            </w:r>
            <w:r w:rsidR="00A12B95">
              <w:rPr>
                <w:webHidden/>
              </w:rPr>
              <w:fldChar w:fldCharType="end"/>
            </w:r>
          </w:hyperlink>
        </w:p>
        <w:p w14:paraId="6442B88E" w14:textId="4029EDAC" w:rsidR="00A12B95" w:rsidRDefault="00FB0DC0">
          <w:pPr>
            <w:pStyle w:val="TOC1"/>
            <w:rPr>
              <w:rFonts w:asciiTheme="minorHAnsi" w:eastAsiaTheme="minorEastAsia" w:hAnsiTheme="minorHAnsi" w:cstheme="minorBidi"/>
              <w:sz w:val="22"/>
              <w:lang w:val="en-US" w:eastAsia="en-US"/>
            </w:rPr>
          </w:pPr>
          <w:hyperlink w:anchor="_Toc230182087" w:history="1">
            <w:r w:rsidR="00A12B95" w:rsidRPr="00455109">
              <w:rPr>
                <w:rStyle w:val="Hyperlink"/>
                <w:rFonts w:asciiTheme="majorHAnsi" w:hAnsiTheme="majorHAnsi" w:cstheme="majorHAnsi"/>
                <w:lang w:val="en-US"/>
              </w:rPr>
              <w:t>PUBLICATION OF THE MAYOR'S ANNUAL PLAN</w:t>
            </w:r>
            <w:r w:rsidR="00A12B95">
              <w:rPr>
                <w:webHidden/>
              </w:rPr>
              <w:tab/>
            </w:r>
            <w:r w:rsidR="00A12B95">
              <w:rPr>
                <w:webHidden/>
              </w:rPr>
              <w:fldChar w:fldCharType="begin"/>
            </w:r>
            <w:r w:rsidR="00A12B95">
              <w:rPr>
                <w:webHidden/>
              </w:rPr>
              <w:instrText xml:space="preserve"> PAGEREF _Toc230182087 \h </w:instrText>
            </w:r>
            <w:r w:rsidR="00A12B95">
              <w:rPr>
                <w:webHidden/>
              </w:rPr>
            </w:r>
            <w:r w:rsidR="00A12B95">
              <w:rPr>
                <w:webHidden/>
              </w:rPr>
              <w:fldChar w:fldCharType="separate"/>
            </w:r>
            <w:r w:rsidR="00A12B95">
              <w:rPr>
                <w:webHidden/>
              </w:rPr>
              <w:t>21</w:t>
            </w:r>
            <w:r w:rsidR="00A12B95">
              <w:rPr>
                <w:webHidden/>
              </w:rPr>
              <w:fldChar w:fldCharType="end"/>
            </w:r>
          </w:hyperlink>
        </w:p>
        <w:p w14:paraId="6EAF1E96" w14:textId="49E34A3D" w:rsidR="00A12B95" w:rsidRDefault="00FB0DC0">
          <w:pPr>
            <w:pStyle w:val="TOC1"/>
            <w:rPr>
              <w:rFonts w:asciiTheme="minorHAnsi" w:eastAsiaTheme="minorEastAsia" w:hAnsiTheme="minorHAnsi" w:cstheme="minorBidi"/>
              <w:sz w:val="22"/>
              <w:lang w:val="en-US" w:eastAsia="en-US"/>
            </w:rPr>
          </w:pPr>
          <w:hyperlink w:anchor="_Toc230182088" w:history="1">
            <w:r w:rsidR="00A12B95" w:rsidRPr="00455109">
              <w:rPr>
                <w:rStyle w:val="Hyperlink"/>
                <w:rFonts w:asciiTheme="majorHAnsi" w:hAnsiTheme="majorHAnsi" w:cstheme="majorHAnsi"/>
                <w:lang w:val="en-US"/>
              </w:rPr>
              <w:t>PUBLICATION OF THE MAYOR’s REPORT</w:t>
            </w:r>
            <w:r w:rsidR="00A12B95">
              <w:rPr>
                <w:webHidden/>
              </w:rPr>
              <w:tab/>
            </w:r>
            <w:r w:rsidR="00A12B95">
              <w:rPr>
                <w:webHidden/>
              </w:rPr>
              <w:fldChar w:fldCharType="begin"/>
            </w:r>
            <w:r w:rsidR="00A12B95">
              <w:rPr>
                <w:webHidden/>
              </w:rPr>
              <w:instrText xml:space="preserve"> PAGEREF _Toc230182088 \h </w:instrText>
            </w:r>
            <w:r w:rsidR="00A12B95">
              <w:rPr>
                <w:webHidden/>
              </w:rPr>
            </w:r>
            <w:r w:rsidR="00A12B95">
              <w:rPr>
                <w:webHidden/>
              </w:rPr>
              <w:fldChar w:fldCharType="separate"/>
            </w:r>
            <w:r w:rsidR="00A12B95">
              <w:rPr>
                <w:webHidden/>
              </w:rPr>
              <w:t>21</w:t>
            </w:r>
            <w:r w:rsidR="00A12B95">
              <w:rPr>
                <w:webHidden/>
              </w:rPr>
              <w:fldChar w:fldCharType="end"/>
            </w:r>
          </w:hyperlink>
        </w:p>
        <w:p w14:paraId="4F355C20" w14:textId="023D7F39" w:rsidR="00A12B95" w:rsidRDefault="00FB0DC0" w:rsidP="00DB6E16">
          <w:pPr>
            <w:pStyle w:val="TOC2"/>
            <w:rPr>
              <w:rFonts w:asciiTheme="minorHAnsi" w:hAnsiTheme="minorHAnsi" w:cstheme="minorBidi"/>
              <w:sz w:val="22"/>
              <w:szCs w:val="22"/>
            </w:rPr>
          </w:pPr>
          <w:hyperlink w:anchor="_Toc230182089" w:history="1">
            <w:r w:rsidR="00A12B95" w:rsidRPr="00455109">
              <w:rPr>
                <w:rStyle w:val="Hyperlink"/>
              </w:rPr>
              <w:t>Publication of the list of immovable properties of the municipality</w:t>
            </w:r>
            <w:r w:rsidR="00A12B95">
              <w:rPr>
                <w:webHidden/>
              </w:rPr>
              <w:tab/>
            </w:r>
            <w:r w:rsidR="00A12B95">
              <w:rPr>
                <w:webHidden/>
              </w:rPr>
              <w:fldChar w:fldCharType="begin"/>
            </w:r>
            <w:r w:rsidR="00A12B95">
              <w:rPr>
                <w:webHidden/>
              </w:rPr>
              <w:instrText xml:space="preserve"> PAGEREF _Toc230182089 \h </w:instrText>
            </w:r>
            <w:r w:rsidR="00A12B95">
              <w:rPr>
                <w:webHidden/>
              </w:rPr>
            </w:r>
            <w:r w:rsidR="00A12B95">
              <w:rPr>
                <w:webHidden/>
              </w:rPr>
              <w:fldChar w:fldCharType="separate"/>
            </w:r>
            <w:r w:rsidR="00A12B95">
              <w:rPr>
                <w:webHidden/>
              </w:rPr>
              <w:t>23</w:t>
            </w:r>
            <w:r w:rsidR="00A12B95">
              <w:rPr>
                <w:webHidden/>
              </w:rPr>
              <w:fldChar w:fldCharType="end"/>
            </w:r>
          </w:hyperlink>
        </w:p>
        <w:p w14:paraId="472D670B" w14:textId="708489E9" w:rsidR="00A12B95" w:rsidRDefault="00FB0DC0" w:rsidP="00DB6E16">
          <w:pPr>
            <w:pStyle w:val="TOC2"/>
            <w:rPr>
              <w:rFonts w:asciiTheme="minorHAnsi" w:hAnsiTheme="minorHAnsi" w:cstheme="minorBidi"/>
              <w:sz w:val="22"/>
              <w:szCs w:val="22"/>
            </w:rPr>
          </w:pPr>
          <w:hyperlink w:anchor="_Toc230182091" w:history="1">
            <w:r w:rsidR="00A12B95" w:rsidRPr="00455109">
              <w:rPr>
                <w:rStyle w:val="Hyperlink"/>
                <w:lang w:eastAsia="en-GB"/>
              </w:rPr>
              <w:t>Report on access to public documents</w:t>
            </w:r>
            <w:r w:rsidR="00A12B95">
              <w:rPr>
                <w:webHidden/>
              </w:rPr>
              <w:tab/>
            </w:r>
            <w:r w:rsidR="00A12B95">
              <w:rPr>
                <w:webHidden/>
              </w:rPr>
              <w:fldChar w:fldCharType="begin"/>
            </w:r>
            <w:r w:rsidR="00A12B95">
              <w:rPr>
                <w:webHidden/>
              </w:rPr>
              <w:instrText xml:space="preserve"> PAGEREF _Toc230182091 \h </w:instrText>
            </w:r>
            <w:r w:rsidR="00A12B95">
              <w:rPr>
                <w:webHidden/>
              </w:rPr>
            </w:r>
            <w:r w:rsidR="00A12B95">
              <w:rPr>
                <w:webHidden/>
              </w:rPr>
              <w:fldChar w:fldCharType="separate"/>
            </w:r>
            <w:r w:rsidR="00A12B95">
              <w:rPr>
                <w:webHidden/>
              </w:rPr>
              <w:t>24</w:t>
            </w:r>
            <w:r w:rsidR="00A12B95">
              <w:rPr>
                <w:webHidden/>
              </w:rPr>
              <w:fldChar w:fldCharType="end"/>
            </w:r>
          </w:hyperlink>
        </w:p>
        <w:p w14:paraId="33D6E67E" w14:textId="28D9BF6E" w:rsidR="00A12B95" w:rsidRDefault="00FB0DC0">
          <w:pPr>
            <w:pStyle w:val="TOC1"/>
            <w:rPr>
              <w:rFonts w:asciiTheme="minorHAnsi" w:eastAsiaTheme="minorEastAsia" w:hAnsiTheme="minorHAnsi" w:cstheme="minorBidi"/>
              <w:sz w:val="22"/>
              <w:lang w:val="en-US" w:eastAsia="en-US"/>
            </w:rPr>
          </w:pPr>
          <w:hyperlink w:anchor="_Toc230182092" w:history="1">
            <w:r w:rsidR="00A12B95" w:rsidRPr="00455109">
              <w:rPr>
                <w:rStyle w:val="Hyperlink"/>
                <w:rFonts w:asciiTheme="majorHAnsi" w:hAnsiTheme="majorHAnsi" w:cstheme="majorHAnsi"/>
                <w:lang w:val="en-US"/>
              </w:rPr>
              <w:t>FINANCIAL TRANSPARENCY</w:t>
            </w:r>
            <w:r w:rsidR="00A12B95">
              <w:rPr>
                <w:webHidden/>
              </w:rPr>
              <w:tab/>
            </w:r>
            <w:r w:rsidR="00A12B95">
              <w:rPr>
                <w:webHidden/>
              </w:rPr>
              <w:fldChar w:fldCharType="begin"/>
            </w:r>
            <w:r w:rsidR="00A12B95">
              <w:rPr>
                <w:webHidden/>
              </w:rPr>
              <w:instrText xml:space="preserve"> PAGEREF _Toc230182092 \h </w:instrText>
            </w:r>
            <w:r w:rsidR="00A12B95">
              <w:rPr>
                <w:webHidden/>
              </w:rPr>
            </w:r>
            <w:r w:rsidR="00A12B95">
              <w:rPr>
                <w:webHidden/>
              </w:rPr>
              <w:fldChar w:fldCharType="separate"/>
            </w:r>
            <w:r w:rsidR="00A12B95">
              <w:rPr>
                <w:webHidden/>
              </w:rPr>
              <w:t>25</w:t>
            </w:r>
            <w:r w:rsidR="00A12B95">
              <w:rPr>
                <w:webHidden/>
              </w:rPr>
              <w:fldChar w:fldCharType="end"/>
            </w:r>
          </w:hyperlink>
        </w:p>
        <w:p w14:paraId="56552CEA" w14:textId="49EC0D09" w:rsidR="00A12B95" w:rsidRDefault="00FB0DC0">
          <w:pPr>
            <w:pStyle w:val="TOC1"/>
            <w:rPr>
              <w:rFonts w:asciiTheme="minorHAnsi" w:eastAsiaTheme="minorEastAsia" w:hAnsiTheme="minorHAnsi" w:cstheme="minorBidi"/>
              <w:sz w:val="22"/>
              <w:lang w:val="en-US" w:eastAsia="en-US"/>
            </w:rPr>
          </w:pPr>
          <w:hyperlink w:anchor="_Toc230182093" w:history="1">
            <w:r w:rsidR="00A12B95" w:rsidRPr="00455109">
              <w:rPr>
                <w:rStyle w:val="Hyperlink"/>
                <w:rFonts w:asciiTheme="majorHAnsi" w:hAnsiTheme="majorHAnsi" w:cstheme="majorHAnsi"/>
                <w:lang w:val="en-US"/>
              </w:rPr>
              <w:t>PUBLICATION OF THE BUDGET PLAN</w:t>
            </w:r>
            <w:r w:rsidR="00A12B95">
              <w:rPr>
                <w:webHidden/>
              </w:rPr>
              <w:tab/>
            </w:r>
            <w:r w:rsidR="00A12B95">
              <w:rPr>
                <w:webHidden/>
              </w:rPr>
              <w:fldChar w:fldCharType="begin"/>
            </w:r>
            <w:r w:rsidR="00A12B95">
              <w:rPr>
                <w:webHidden/>
              </w:rPr>
              <w:instrText xml:space="preserve"> PAGEREF _Toc230182093 \h </w:instrText>
            </w:r>
            <w:r w:rsidR="00A12B95">
              <w:rPr>
                <w:webHidden/>
              </w:rPr>
            </w:r>
            <w:r w:rsidR="00A12B95">
              <w:rPr>
                <w:webHidden/>
              </w:rPr>
              <w:fldChar w:fldCharType="separate"/>
            </w:r>
            <w:r w:rsidR="00A12B95">
              <w:rPr>
                <w:webHidden/>
              </w:rPr>
              <w:t>25</w:t>
            </w:r>
            <w:r w:rsidR="00A12B95">
              <w:rPr>
                <w:webHidden/>
              </w:rPr>
              <w:fldChar w:fldCharType="end"/>
            </w:r>
          </w:hyperlink>
        </w:p>
        <w:p w14:paraId="1CA8EF3E" w14:textId="17179ECC" w:rsidR="00A12B95" w:rsidRDefault="00FB0DC0">
          <w:pPr>
            <w:pStyle w:val="TOC1"/>
            <w:rPr>
              <w:rFonts w:asciiTheme="minorHAnsi" w:eastAsiaTheme="minorEastAsia" w:hAnsiTheme="minorHAnsi" w:cstheme="minorBidi"/>
              <w:sz w:val="22"/>
              <w:lang w:val="en-US" w:eastAsia="en-US"/>
            </w:rPr>
          </w:pPr>
          <w:hyperlink w:anchor="_Toc230182094" w:history="1">
            <w:r w:rsidR="00A12B95" w:rsidRPr="00455109">
              <w:rPr>
                <w:rStyle w:val="Hyperlink"/>
                <w:rFonts w:asciiTheme="majorHAnsi" w:hAnsiTheme="majorHAnsi" w:cstheme="majorHAnsi"/>
                <w:lang w:val="en-US"/>
              </w:rPr>
              <w:t>MEDIUM-TERM BUDGETARY FRAMEWORK</w:t>
            </w:r>
            <w:r w:rsidR="00A12B95">
              <w:rPr>
                <w:webHidden/>
              </w:rPr>
              <w:tab/>
            </w:r>
            <w:r w:rsidR="00A12B95">
              <w:rPr>
                <w:webHidden/>
              </w:rPr>
              <w:fldChar w:fldCharType="begin"/>
            </w:r>
            <w:r w:rsidR="00A12B95">
              <w:rPr>
                <w:webHidden/>
              </w:rPr>
              <w:instrText xml:space="preserve"> PAGEREF _Toc230182094 \h </w:instrText>
            </w:r>
            <w:r w:rsidR="00A12B95">
              <w:rPr>
                <w:webHidden/>
              </w:rPr>
            </w:r>
            <w:r w:rsidR="00A12B95">
              <w:rPr>
                <w:webHidden/>
              </w:rPr>
              <w:fldChar w:fldCharType="separate"/>
            </w:r>
            <w:r w:rsidR="00A12B95">
              <w:rPr>
                <w:webHidden/>
              </w:rPr>
              <w:t>26</w:t>
            </w:r>
            <w:r w:rsidR="00A12B95">
              <w:rPr>
                <w:webHidden/>
              </w:rPr>
              <w:fldChar w:fldCharType="end"/>
            </w:r>
          </w:hyperlink>
        </w:p>
        <w:p w14:paraId="17EED606" w14:textId="4E3544D9" w:rsidR="00A12B95" w:rsidRDefault="00FB0DC0" w:rsidP="00DB6E16">
          <w:pPr>
            <w:pStyle w:val="TOC2"/>
            <w:rPr>
              <w:rFonts w:asciiTheme="minorHAnsi" w:hAnsiTheme="minorHAnsi" w:cstheme="minorBidi"/>
              <w:sz w:val="22"/>
              <w:szCs w:val="22"/>
            </w:rPr>
          </w:pPr>
          <w:hyperlink w:anchor="_Toc230182095" w:history="1">
            <w:r w:rsidR="00A12B95" w:rsidRPr="00455109">
              <w:rPr>
                <w:rStyle w:val="Hyperlink"/>
              </w:rPr>
              <w:t>PUBLICATION OF PERIODIC REPORTS</w:t>
            </w:r>
            <w:r w:rsidR="00A12B95">
              <w:rPr>
                <w:webHidden/>
              </w:rPr>
              <w:tab/>
            </w:r>
            <w:r w:rsidR="00A12B95">
              <w:rPr>
                <w:webHidden/>
              </w:rPr>
              <w:fldChar w:fldCharType="begin"/>
            </w:r>
            <w:r w:rsidR="00A12B95">
              <w:rPr>
                <w:webHidden/>
              </w:rPr>
              <w:instrText xml:space="preserve"> PAGEREF _Toc230182095 \h </w:instrText>
            </w:r>
            <w:r w:rsidR="00A12B95">
              <w:rPr>
                <w:webHidden/>
              </w:rPr>
            </w:r>
            <w:r w:rsidR="00A12B95">
              <w:rPr>
                <w:webHidden/>
              </w:rPr>
              <w:fldChar w:fldCharType="separate"/>
            </w:r>
            <w:r w:rsidR="00A12B95">
              <w:rPr>
                <w:webHidden/>
              </w:rPr>
              <w:t>27</w:t>
            </w:r>
            <w:r w:rsidR="00A12B95">
              <w:rPr>
                <w:webHidden/>
              </w:rPr>
              <w:fldChar w:fldCharType="end"/>
            </w:r>
          </w:hyperlink>
        </w:p>
        <w:p w14:paraId="40955602" w14:textId="20FA8D83" w:rsidR="00A12B95" w:rsidRDefault="00FB0DC0" w:rsidP="00DB6E16">
          <w:pPr>
            <w:pStyle w:val="TOC2"/>
            <w:rPr>
              <w:rFonts w:asciiTheme="minorHAnsi" w:hAnsiTheme="minorHAnsi" w:cstheme="minorBidi"/>
              <w:sz w:val="22"/>
              <w:szCs w:val="22"/>
            </w:rPr>
          </w:pPr>
          <w:hyperlink w:anchor="_Toc230182096" w:history="1">
            <w:r w:rsidR="00A12B95" w:rsidRPr="00455109">
              <w:rPr>
                <w:rStyle w:val="Hyperlink"/>
              </w:rPr>
              <w:t>Annual financial report</w:t>
            </w:r>
            <w:r w:rsidR="00A12B95">
              <w:rPr>
                <w:webHidden/>
              </w:rPr>
              <w:tab/>
            </w:r>
            <w:r w:rsidR="00A12B95">
              <w:rPr>
                <w:webHidden/>
              </w:rPr>
              <w:fldChar w:fldCharType="begin"/>
            </w:r>
            <w:r w:rsidR="00A12B95">
              <w:rPr>
                <w:webHidden/>
              </w:rPr>
              <w:instrText xml:space="preserve"> PAGEREF _Toc230182096 \h </w:instrText>
            </w:r>
            <w:r w:rsidR="00A12B95">
              <w:rPr>
                <w:webHidden/>
              </w:rPr>
            </w:r>
            <w:r w:rsidR="00A12B95">
              <w:rPr>
                <w:webHidden/>
              </w:rPr>
              <w:fldChar w:fldCharType="separate"/>
            </w:r>
            <w:r w:rsidR="00A12B95">
              <w:rPr>
                <w:webHidden/>
              </w:rPr>
              <w:t>28</w:t>
            </w:r>
            <w:r w:rsidR="00A12B95">
              <w:rPr>
                <w:webHidden/>
              </w:rPr>
              <w:fldChar w:fldCharType="end"/>
            </w:r>
          </w:hyperlink>
        </w:p>
        <w:p w14:paraId="3C115C8C" w14:textId="316E2E0A" w:rsidR="00A12B95" w:rsidRDefault="00FB0DC0" w:rsidP="00DB6E16">
          <w:pPr>
            <w:pStyle w:val="TOC2"/>
            <w:rPr>
              <w:rFonts w:asciiTheme="minorHAnsi" w:hAnsiTheme="minorHAnsi" w:cstheme="minorBidi"/>
              <w:sz w:val="22"/>
              <w:szCs w:val="22"/>
            </w:rPr>
          </w:pPr>
          <w:hyperlink w:anchor="_Toc230182097" w:history="1">
            <w:r w:rsidR="00A12B95" w:rsidRPr="00455109">
              <w:rPr>
                <w:rStyle w:val="Hyperlink"/>
              </w:rPr>
              <w:t>Publication of notices for Budget Meetings/Hearings</w:t>
            </w:r>
            <w:r w:rsidR="00A12B95">
              <w:rPr>
                <w:webHidden/>
              </w:rPr>
              <w:tab/>
            </w:r>
            <w:r w:rsidR="00A12B95">
              <w:rPr>
                <w:webHidden/>
              </w:rPr>
              <w:fldChar w:fldCharType="begin"/>
            </w:r>
            <w:r w:rsidR="00A12B95">
              <w:rPr>
                <w:webHidden/>
              </w:rPr>
              <w:instrText xml:space="preserve"> PAGEREF _Toc230182097 \h </w:instrText>
            </w:r>
            <w:r w:rsidR="00A12B95">
              <w:rPr>
                <w:webHidden/>
              </w:rPr>
            </w:r>
            <w:r w:rsidR="00A12B95">
              <w:rPr>
                <w:webHidden/>
              </w:rPr>
              <w:fldChar w:fldCharType="separate"/>
            </w:r>
            <w:r w:rsidR="00A12B95">
              <w:rPr>
                <w:webHidden/>
              </w:rPr>
              <w:t>28</w:t>
            </w:r>
            <w:r w:rsidR="00A12B95">
              <w:rPr>
                <w:webHidden/>
              </w:rPr>
              <w:fldChar w:fldCharType="end"/>
            </w:r>
          </w:hyperlink>
        </w:p>
        <w:p w14:paraId="01184E31" w14:textId="764ABB8F" w:rsidR="00A12B95" w:rsidRDefault="00FB0DC0">
          <w:pPr>
            <w:pStyle w:val="TOC1"/>
            <w:rPr>
              <w:rFonts w:asciiTheme="minorHAnsi" w:eastAsiaTheme="minorEastAsia" w:hAnsiTheme="minorHAnsi" w:cstheme="minorBidi"/>
              <w:sz w:val="22"/>
              <w:lang w:val="en-US" w:eastAsia="en-US"/>
            </w:rPr>
          </w:pPr>
          <w:hyperlink w:anchor="_Toc230182098" w:history="1">
            <w:r w:rsidR="00A12B95" w:rsidRPr="00455109">
              <w:rPr>
                <w:rStyle w:val="Hyperlink"/>
                <w:rFonts w:asciiTheme="majorHAnsi" w:hAnsiTheme="majorHAnsi" w:cstheme="majorHAnsi"/>
                <w:lang w:val="en-US"/>
              </w:rPr>
              <w:t>PARTICIPATORY BUDGETING</w:t>
            </w:r>
            <w:r w:rsidR="00A12B95">
              <w:rPr>
                <w:webHidden/>
              </w:rPr>
              <w:tab/>
            </w:r>
            <w:r w:rsidR="00A12B95">
              <w:rPr>
                <w:webHidden/>
              </w:rPr>
              <w:fldChar w:fldCharType="begin"/>
            </w:r>
            <w:r w:rsidR="00A12B95">
              <w:rPr>
                <w:webHidden/>
              </w:rPr>
              <w:instrText xml:space="preserve"> PAGEREF _Toc230182098 \h </w:instrText>
            </w:r>
            <w:r w:rsidR="00A12B95">
              <w:rPr>
                <w:webHidden/>
              </w:rPr>
            </w:r>
            <w:r w:rsidR="00A12B95">
              <w:rPr>
                <w:webHidden/>
              </w:rPr>
              <w:fldChar w:fldCharType="separate"/>
            </w:r>
            <w:r w:rsidR="00A12B95">
              <w:rPr>
                <w:webHidden/>
              </w:rPr>
              <w:t>31</w:t>
            </w:r>
            <w:r w:rsidR="00A12B95">
              <w:rPr>
                <w:webHidden/>
              </w:rPr>
              <w:fldChar w:fldCharType="end"/>
            </w:r>
          </w:hyperlink>
        </w:p>
        <w:p w14:paraId="5763C718" w14:textId="57D6AFCF" w:rsidR="00A12B95" w:rsidRDefault="00FB0DC0">
          <w:pPr>
            <w:pStyle w:val="TOC1"/>
            <w:rPr>
              <w:rFonts w:asciiTheme="minorHAnsi" w:eastAsiaTheme="minorEastAsia" w:hAnsiTheme="minorHAnsi" w:cstheme="minorBidi"/>
              <w:sz w:val="22"/>
              <w:lang w:val="en-US" w:eastAsia="en-US"/>
            </w:rPr>
          </w:pPr>
          <w:hyperlink w:anchor="_Toc230182101" w:history="1">
            <w:r w:rsidR="00A12B95" w:rsidRPr="00455109">
              <w:rPr>
                <w:rStyle w:val="Hyperlink"/>
                <w:rFonts w:asciiTheme="majorHAnsi" w:hAnsiTheme="majorHAnsi" w:cstheme="majorHAnsi"/>
                <w:lang w:val="en-US"/>
              </w:rPr>
              <w:t>TRANSPARENCY IN PUBLIC PROCUREMENT</w:t>
            </w:r>
            <w:r w:rsidR="00A12B95">
              <w:rPr>
                <w:webHidden/>
              </w:rPr>
              <w:tab/>
            </w:r>
            <w:r w:rsidR="00A12B95">
              <w:rPr>
                <w:webHidden/>
              </w:rPr>
              <w:fldChar w:fldCharType="begin"/>
            </w:r>
            <w:r w:rsidR="00A12B95">
              <w:rPr>
                <w:webHidden/>
              </w:rPr>
              <w:instrText xml:space="preserve"> PAGEREF _Toc230182101 \h </w:instrText>
            </w:r>
            <w:r w:rsidR="00A12B95">
              <w:rPr>
                <w:webHidden/>
              </w:rPr>
            </w:r>
            <w:r w:rsidR="00A12B95">
              <w:rPr>
                <w:webHidden/>
              </w:rPr>
              <w:fldChar w:fldCharType="separate"/>
            </w:r>
            <w:r w:rsidR="00A12B95">
              <w:rPr>
                <w:webHidden/>
              </w:rPr>
              <w:t>32</w:t>
            </w:r>
            <w:r w:rsidR="00A12B95">
              <w:rPr>
                <w:webHidden/>
              </w:rPr>
              <w:fldChar w:fldCharType="end"/>
            </w:r>
          </w:hyperlink>
        </w:p>
        <w:p w14:paraId="29D9D05E" w14:textId="768ED092" w:rsidR="00A12B95" w:rsidRDefault="00FB0DC0">
          <w:pPr>
            <w:pStyle w:val="TOC1"/>
            <w:rPr>
              <w:rFonts w:asciiTheme="minorHAnsi" w:eastAsiaTheme="minorEastAsia" w:hAnsiTheme="minorHAnsi" w:cstheme="minorBidi"/>
              <w:sz w:val="22"/>
              <w:lang w:val="en-US" w:eastAsia="en-US"/>
            </w:rPr>
          </w:pPr>
          <w:hyperlink w:anchor="_Toc230182102" w:history="1">
            <w:r w:rsidR="00A12B95" w:rsidRPr="00455109">
              <w:rPr>
                <w:rStyle w:val="Hyperlink"/>
                <w:rFonts w:asciiTheme="majorHAnsi" w:hAnsiTheme="majorHAnsi" w:cstheme="majorHAnsi"/>
                <w:lang w:val="en-US"/>
              </w:rPr>
              <w:t>PUBLICATION OF THE PROCUREMENT PLAN</w:t>
            </w:r>
            <w:r w:rsidR="00A12B95">
              <w:rPr>
                <w:webHidden/>
              </w:rPr>
              <w:tab/>
            </w:r>
            <w:r w:rsidR="00A12B95">
              <w:rPr>
                <w:webHidden/>
              </w:rPr>
              <w:fldChar w:fldCharType="begin"/>
            </w:r>
            <w:r w:rsidR="00A12B95">
              <w:rPr>
                <w:webHidden/>
              </w:rPr>
              <w:instrText xml:space="preserve"> PAGEREF _Toc230182102 \h </w:instrText>
            </w:r>
            <w:r w:rsidR="00A12B95">
              <w:rPr>
                <w:webHidden/>
              </w:rPr>
            </w:r>
            <w:r w:rsidR="00A12B95">
              <w:rPr>
                <w:webHidden/>
              </w:rPr>
              <w:fldChar w:fldCharType="separate"/>
            </w:r>
            <w:r w:rsidR="00A12B95">
              <w:rPr>
                <w:webHidden/>
              </w:rPr>
              <w:t>32</w:t>
            </w:r>
            <w:r w:rsidR="00A12B95">
              <w:rPr>
                <w:webHidden/>
              </w:rPr>
              <w:fldChar w:fldCharType="end"/>
            </w:r>
          </w:hyperlink>
        </w:p>
        <w:p w14:paraId="241B682A" w14:textId="0CDFEACA" w:rsidR="00A12B95" w:rsidRDefault="00FB0DC0">
          <w:pPr>
            <w:pStyle w:val="TOC1"/>
            <w:rPr>
              <w:rFonts w:asciiTheme="minorHAnsi" w:eastAsiaTheme="minorEastAsia" w:hAnsiTheme="minorHAnsi" w:cstheme="minorBidi"/>
              <w:sz w:val="22"/>
              <w:lang w:val="en-US" w:eastAsia="en-US"/>
            </w:rPr>
          </w:pPr>
          <w:hyperlink w:anchor="_Toc230182103" w:history="1">
            <w:r w:rsidR="00A12B95" w:rsidRPr="00455109">
              <w:rPr>
                <w:rStyle w:val="Hyperlink"/>
                <w:rFonts w:asciiTheme="majorHAnsi" w:hAnsiTheme="majorHAnsi" w:cstheme="majorHAnsi"/>
                <w:lang w:val="en-US"/>
              </w:rPr>
              <w:t>PUBLICATION OF THE PROCUREMENT REPORT</w:t>
            </w:r>
            <w:r w:rsidR="00A12B95">
              <w:rPr>
                <w:webHidden/>
              </w:rPr>
              <w:tab/>
            </w:r>
            <w:r w:rsidR="00A12B95">
              <w:rPr>
                <w:webHidden/>
              </w:rPr>
              <w:fldChar w:fldCharType="begin"/>
            </w:r>
            <w:r w:rsidR="00A12B95">
              <w:rPr>
                <w:webHidden/>
              </w:rPr>
              <w:instrText xml:space="preserve"> PAGEREF _Toc230182103 \h </w:instrText>
            </w:r>
            <w:r w:rsidR="00A12B95">
              <w:rPr>
                <w:webHidden/>
              </w:rPr>
            </w:r>
            <w:r w:rsidR="00A12B95">
              <w:rPr>
                <w:webHidden/>
              </w:rPr>
              <w:fldChar w:fldCharType="separate"/>
            </w:r>
            <w:r w:rsidR="00A12B95">
              <w:rPr>
                <w:webHidden/>
              </w:rPr>
              <w:t>33</w:t>
            </w:r>
            <w:r w:rsidR="00A12B95">
              <w:rPr>
                <w:webHidden/>
              </w:rPr>
              <w:fldChar w:fldCharType="end"/>
            </w:r>
          </w:hyperlink>
        </w:p>
        <w:p w14:paraId="4A77C7B5" w14:textId="351CECD7" w:rsidR="00A12B95" w:rsidRDefault="00FB0DC0">
          <w:pPr>
            <w:pStyle w:val="TOC1"/>
            <w:rPr>
              <w:rFonts w:asciiTheme="minorHAnsi" w:eastAsiaTheme="minorEastAsia" w:hAnsiTheme="minorHAnsi" w:cstheme="minorBidi"/>
              <w:sz w:val="22"/>
              <w:lang w:val="en-US" w:eastAsia="en-US"/>
            </w:rPr>
          </w:pPr>
          <w:hyperlink w:anchor="_Toc230182104" w:history="1">
            <w:r w:rsidR="00A12B95" w:rsidRPr="00455109">
              <w:rPr>
                <w:rStyle w:val="Hyperlink"/>
                <w:rFonts w:asciiTheme="majorHAnsi" w:hAnsiTheme="majorHAnsi" w:cstheme="majorHAnsi"/>
                <w:lang w:val="en-US"/>
              </w:rPr>
              <w:t>IMPLEMENTATION OF MINIMUM STANDARDS OF PUBLIC CONSULTATIONS</w:t>
            </w:r>
            <w:r w:rsidR="00A12B95">
              <w:rPr>
                <w:webHidden/>
              </w:rPr>
              <w:tab/>
            </w:r>
            <w:r w:rsidR="00A12B95">
              <w:rPr>
                <w:webHidden/>
              </w:rPr>
              <w:fldChar w:fldCharType="begin"/>
            </w:r>
            <w:r w:rsidR="00A12B95">
              <w:rPr>
                <w:webHidden/>
              </w:rPr>
              <w:instrText xml:space="preserve"> PAGEREF _Toc230182104 \h </w:instrText>
            </w:r>
            <w:r w:rsidR="00A12B95">
              <w:rPr>
                <w:webHidden/>
              </w:rPr>
            </w:r>
            <w:r w:rsidR="00A12B95">
              <w:rPr>
                <w:webHidden/>
              </w:rPr>
              <w:fldChar w:fldCharType="separate"/>
            </w:r>
            <w:r w:rsidR="00A12B95">
              <w:rPr>
                <w:webHidden/>
              </w:rPr>
              <w:t>34</w:t>
            </w:r>
            <w:r w:rsidR="00A12B95">
              <w:rPr>
                <w:webHidden/>
              </w:rPr>
              <w:fldChar w:fldCharType="end"/>
            </w:r>
          </w:hyperlink>
        </w:p>
        <w:p w14:paraId="70354A49" w14:textId="2DD8B785" w:rsidR="00A12B95" w:rsidRDefault="00FB0DC0">
          <w:pPr>
            <w:pStyle w:val="TOC1"/>
            <w:rPr>
              <w:rFonts w:asciiTheme="minorHAnsi" w:eastAsiaTheme="minorEastAsia" w:hAnsiTheme="minorHAnsi" w:cstheme="minorBidi"/>
              <w:sz w:val="22"/>
              <w:lang w:val="en-US" w:eastAsia="en-US"/>
            </w:rPr>
          </w:pPr>
          <w:hyperlink w:anchor="_Toc230182105" w:history="1">
            <w:r w:rsidR="00A12B95" w:rsidRPr="00455109">
              <w:rPr>
                <w:rStyle w:val="Hyperlink"/>
                <w:rFonts w:asciiTheme="majorHAnsi" w:hAnsiTheme="majorHAnsi" w:cstheme="majorHAnsi"/>
                <w:lang w:val="en-US"/>
              </w:rPr>
              <w:t>PUBLIC CONSULTATION PLAN</w:t>
            </w:r>
            <w:r w:rsidR="00A12B95">
              <w:rPr>
                <w:webHidden/>
              </w:rPr>
              <w:tab/>
            </w:r>
            <w:r w:rsidR="00A12B95">
              <w:rPr>
                <w:webHidden/>
              </w:rPr>
              <w:fldChar w:fldCharType="begin"/>
            </w:r>
            <w:r w:rsidR="00A12B95">
              <w:rPr>
                <w:webHidden/>
              </w:rPr>
              <w:instrText xml:space="preserve"> PAGEREF _Toc230182105 \h </w:instrText>
            </w:r>
            <w:r w:rsidR="00A12B95">
              <w:rPr>
                <w:webHidden/>
              </w:rPr>
            </w:r>
            <w:r w:rsidR="00A12B95">
              <w:rPr>
                <w:webHidden/>
              </w:rPr>
              <w:fldChar w:fldCharType="separate"/>
            </w:r>
            <w:r w:rsidR="00A12B95">
              <w:rPr>
                <w:webHidden/>
              </w:rPr>
              <w:t>34</w:t>
            </w:r>
            <w:r w:rsidR="00A12B95">
              <w:rPr>
                <w:webHidden/>
              </w:rPr>
              <w:fldChar w:fldCharType="end"/>
            </w:r>
          </w:hyperlink>
        </w:p>
        <w:p w14:paraId="476FC310" w14:textId="7B57721B" w:rsidR="00A12B95" w:rsidRDefault="00FB0DC0" w:rsidP="00DB6E16">
          <w:pPr>
            <w:pStyle w:val="TOC2"/>
            <w:rPr>
              <w:rFonts w:asciiTheme="minorHAnsi" w:hAnsiTheme="minorHAnsi" w:cstheme="minorBidi"/>
              <w:sz w:val="22"/>
              <w:szCs w:val="22"/>
            </w:rPr>
          </w:pPr>
          <w:hyperlink w:anchor="_Toc230182106" w:history="1">
            <w:r w:rsidR="00A12B95" w:rsidRPr="00455109">
              <w:rPr>
                <w:rStyle w:val="Hyperlink"/>
              </w:rPr>
              <w:t>Public consultation notices</w:t>
            </w:r>
            <w:r w:rsidR="00A12B95">
              <w:rPr>
                <w:webHidden/>
              </w:rPr>
              <w:tab/>
            </w:r>
            <w:r w:rsidR="00A12B95">
              <w:rPr>
                <w:webHidden/>
              </w:rPr>
              <w:fldChar w:fldCharType="begin"/>
            </w:r>
            <w:r w:rsidR="00A12B95">
              <w:rPr>
                <w:webHidden/>
              </w:rPr>
              <w:instrText xml:space="preserve"> PAGEREF _Toc230182106 \h </w:instrText>
            </w:r>
            <w:r w:rsidR="00A12B95">
              <w:rPr>
                <w:webHidden/>
              </w:rPr>
            </w:r>
            <w:r w:rsidR="00A12B95">
              <w:rPr>
                <w:webHidden/>
              </w:rPr>
              <w:fldChar w:fldCharType="separate"/>
            </w:r>
            <w:r w:rsidR="00A12B95">
              <w:rPr>
                <w:webHidden/>
              </w:rPr>
              <w:t>35</w:t>
            </w:r>
            <w:r w:rsidR="00A12B95">
              <w:rPr>
                <w:webHidden/>
              </w:rPr>
              <w:fldChar w:fldCharType="end"/>
            </w:r>
          </w:hyperlink>
        </w:p>
        <w:p w14:paraId="259B100F" w14:textId="0FAFE4EE" w:rsidR="00A12B95" w:rsidRDefault="00FB0DC0" w:rsidP="00DB6E16">
          <w:pPr>
            <w:pStyle w:val="TOC2"/>
            <w:rPr>
              <w:rFonts w:asciiTheme="minorHAnsi" w:hAnsiTheme="minorHAnsi" w:cstheme="minorBidi"/>
              <w:sz w:val="22"/>
              <w:szCs w:val="22"/>
            </w:rPr>
          </w:pPr>
          <w:hyperlink w:anchor="_Toc230182107" w:history="1">
            <w:r w:rsidR="00A12B95" w:rsidRPr="00455109">
              <w:rPr>
                <w:rStyle w:val="Hyperlink"/>
              </w:rPr>
              <w:t>Draft proposals for public consultations and explanatory memorandums</w:t>
            </w:r>
            <w:r w:rsidR="00A12B95">
              <w:rPr>
                <w:webHidden/>
              </w:rPr>
              <w:tab/>
            </w:r>
            <w:r w:rsidR="00A12B95">
              <w:rPr>
                <w:webHidden/>
              </w:rPr>
              <w:fldChar w:fldCharType="begin"/>
            </w:r>
            <w:r w:rsidR="00A12B95">
              <w:rPr>
                <w:webHidden/>
              </w:rPr>
              <w:instrText xml:space="preserve"> PAGEREF _Toc230182107 \h </w:instrText>
            </w:r>
            <w:r w:rsidR="00A12B95">
              <w:rPr>
                <w:webHidden/>
              </w:rPr>
            </w:r>
            <w:r w:rsidR="00A12B95">
              <w:rPr>
                <w:webHidden/>
              </w:rPr>
              <w:fldChar w:fldCharType="separate"/>
            </w:r>
            <w:r w:rsidR="00A12B95">
              <w:rPr>
                <w:webHidden/>
              </w:rPr>
              <w:t>36</w:t>
            </w:r>
            <w:r w:rsidR="00A12B95">
              <w:rPr>
                <w:webHidden/>
              </w:rPr>
              <w:fldChar w:fldCharType="end"/>
            </w:r>
          </w:hyperlink>
        </w:p>
        <w:p w14:paraId="48C3E1B8" w14:textId="2F274D9C" w:rsidR="00A12B95" w:rsidRDefault="00FB0DC0" w:rsidP="00DB6E16">
          <w:pPr>
            <w:pStyle w:val="TOC2"/>
            <w:rPr>
              <w:rFonts w:asciiTheme="minorHAnsi" w:hAnsiTheme="minorHAnsi" w:cstheme="minorBidi"/>
              <w:sz w:val="22"/>
              <w:szCs w:val="22"/>
            </w:rPr>
          </w:pPr>
          <w:hyperlink w:anchor="_Toc230182108" w:history="1">
            <w:r w:rsidR="00A12B95" w:rsidRPr="00455109">
              <w:rPr>
                <w:rStyle w:val="Hyperlink"/>
              </w:rPr>
              <w:t>Publication of reports for public consultations</w:t>
            </w:r>
            <w:r w:rsidR="00A12B95">
              <w:rPr>
                <w:webHidden/>
              </w:rPr>
              <w:tab/>
            </w:r>
            <w:r w:rsidR="00A12B95">
              <w:rPr>
                <w:webHidden/>
              </w:rPr>
              <w:fldChar w:fldCharType="begin"/>
            </w:r>
            <w:r w:rsidR="00A12B95">
              <w:rPr>
                <w:webHidden/>
              </w:rPr>
              <w:instrText xml:space="preserve"> PAGEREF _Toc230182108 \h </w:instrText>
            </w:r>
            <w:r w:rsidR="00A12B95">
              <w:rPr>
                <w:webHidden/>
              </w:rPr>
            </w:r>
            <w:r w:rsidR="00A12B95">
              <w:rPr>
                <w:webHidden/>
              </w:rPr>
              <w:fldChar w:fldCharType="separate"/>
            </w:r>
            <w:r w:rsidR="00A12B95">
              <w:rPr>
                <w:webHidden/>
              </w:rPr>
              <w:t>37</w:t>
            </w:r>
            <w:r w:rsidR="00A12B95">
              <w:rPr>
                <w:webHidden/>
              </w:rPr>
              <w:fldChar w:fldCharType="end"/>
            </w:r>
          </w:hyperlink>
        </w:p>
        <w:p w14:paraId="1DB73A9E" w14:textId="007E9386" w:rsidR="00A12B95" w:rsidRDefault="00FB0DC0" w:rsidP="00DB6E16">
          <w:pPr>
            <w:pStyle w:val="TOC2"/>
            <w:rPr>
              <w:rFonts w:asciiTheme="minorHAnsi" w:hAnsiTheme="minorHAnsi" w:cstheme="minorBidi"/>
              <w:sz w:val="22"/>
              <w:szCs w:val="22"/>
            </w:rPr>
          </w:pPr>
          <w:hyperlink w:anchor="_Toc230182109" w:history="1">
            <w:r w:rsidR="00A12B95" w:rsidRPr="00455109">
              <w:rPr>
                <w:rStyle w:val="Hyperlink"/>
                <w:lang w:eastAsia="en-GB"/>
              </w:rPr>
              <w:t>Notice on the provision of municipal services</w:t>
            </w:r>
            <w:r w:rsidR="00A12B95">
              <w:rPr>
                <w:webHidden/>
              </w:rPr>
              <w:tab/>
            </w:r>
            <w:r w:rsidR="00A12B95">
              <w:rPr>
                <w:webHidden/>
              </w:rPr>
              <w:fldChar w:fldCharType="begin"/>
            </w:r>
            <w:r w:rsidR="00A12B95">
              <w:rPr>
                <w:webHidden/>
              </w:rPr>
              <w:instrText xml:space="preserve"> PAGEREF _Toc230182109 \h </w:instrText>
            </w:r>
            <w:r w:rsidR="00A12B95">
              <w:rPr>
                <w:webHidden/>
              </w:rPr>
            </w:r>
            <w:r w:rsidR="00A12B95">
              <w:rPr>
                <w:webHidden/>
              </w:rPr>
              <w:fldChar w:fldCharType="separate"/>
            </w:r>
            <w:r w:rsidR="00A12B95">
              <w:rPr>
                <w:webHidden/>
              </w:rPr>
              <w:t>38</w:t>
            </w:r>
            <w:r w:rsidR="00A12B95">
              <w:rPr>
                <w:webHidden/>
              </w:rPr>
              <w:fldChar w:fldCharType="end"/>
            </w:r>
          </w:hyperlink>
        </w:p>
        <w:p w14:paraId="19509305" w14:textId="4DEB210A" w:rsidR="00A12B95" w:rsidRDefault="00FB0DC0">
          <w:pPr>
            <w:pStyle w:val="TOC1"/>
            <w:rPr>
              <w:rFonts w:asciiTheme="minorHAnsi" w:eastAsiaTheme="minorEastAsia" w:hAnsiTheme="minorHAnsi" w:cstheme="minorBidi"/>
              <w:sz w:val="22"/>
              <w:lang w:val="en-US" w:eastAsia="en-US"/>
            </w:rPr>
          </w:pPr>
          <w:hyperlink w:anchor="_Toc230182110" w:history="1">
            <w:r w:rsidR="00A12B95" w:rsidRPr="00455109">
              <w:rPr>
                <w:rStyle w:val="Hyperlink"/>
                <w:rFonts w:asciiTheme="majorHAnsi" w:hAnsiTheme="majorHAnsi" w:cstheme="majorHAnsi"/>
                <w:lang w:val="en-US"/>
              </w:rPr>
              <w:t>RECOMMENDATIONS</w:t>
            </w:r>
            <w:r w:rsidR="00A12B95">
              <w:rPr>
                <w:webHidden/>
              </w:rPr>
              <w:tab/>
            </w:r>
            <w:r w:rsidR="00A12B95">
              <w:rPr>
                <w:webHidden/>
              </w:rPr>
              <w:fldChar w:fldCharType="begin"/>
            </w:r>
            <w:r w:rsidR="00A12B95">
              <w:rPr>
                <w:webHidden/>
              </w:rPr>
              <w:instrText xml:space="preserve"> PAGEREF _Toc230182110 \h </w:instrText>
            </w:r>
            <w:r w:rsidR="00A12B95">
              <w:rPr>
                <w:webHidden/>
              </w:rPr>
            </w:r>
            <w:r w:rsidR="00A12B95">
              <w:rPr>
                <w:webHidden/>
              </w:rPr>
              <w:fldChar w:fldCharType="separate"/>
            </w:r>
            <w:r w:rsidR="00A12B95">
              <w:rPr>
                <w:webHidden/>
              </w:rPr>
              <w:t>39</w:t>
            </w:r>
            <w:r w:rsidR="00A12B95">
              <w:rPr>
                <w:webHidden/>
              </w:rPr>
              <w:fldChar w:fldCharType="end"/>
            </w:r>
          </w:hyperlink>
        </w:p>
        <w:p w14:paraId="380A4616" w14:textId="1C34AE5A" w:rsidR="00A83156" w:rsidRPr="00881C88" w:rsidRDefault="00A83156" w:rsidP="00A83156">
          <w:pPr>
            <w:spacing w:line="240" w:lineRule="auto"/>
            <w:rPr>
              <w:lang w:val="en-US"/>
            </w:rPr>
          </w:pPr>
          <w:r w:rsidRPr="00881C88">
            <w:rPr>
              <w:rFonts w:asciiTheme="majorHAnsi" w:hAnsiTheme="majorHAnsi" w:cstheme="majorHAnsi"/>
              <w:bCs/>
              <w:color w:val="2F5496" w:themeColor="accent5" w:themeShade="BF"/>
              <w:sz w:val="16"/>
              <w:szCs w:val="20"/>
              <w:lang w:val="en-US"/>
            </w:rPr>
            <w:fldChar w:fldCharType="end"/>
          </w:r>
        </w:p>
      </w:sdtContent>
    </w:sdt>
    <w:p w14:paraId="7D2F9421" w14:textId="77777777" w:rsidR="00A83156" w:rsidRPr="00881C88" w:rsidRDefault="00A83156" w:rsidP="00A83156">
      <w:pPr>
        <w:spacing w:line="240" w:lineRule="auto"/>
        <w:rPr>
          <w:rFonts w:ascii="Book Antiqua" w:hAnsi="Book Antiqua" w:cs="Calibri Light"/>
          <w:sz w:val="18"/>
          <w:szCs w:val="20"/>
          <w:lang w:val="en-US"/>
        </w:rPr>
      </w:pPr>
    </w:p>
    <w:p w14:paraId="2552A389" w14:textId="77777777" w:rsidR="00A83156" w:rsidRPr="00881C88" w:rsidRDefault="00A83156" w:rsidP="00A83156">
      <w:pPr>
        <w:spacing w:line="240" w:lineRule="auto"/>
        <w:rPr>
          <w:sz w:val="18"/>
          <w:szCs w:val="20"/>
          <w:lang w:val="en-US"/>
        </w:rPr>
      </w:pPr>
    </w:p>
    <w:p w14:paraId="6E5887D2" w14:textId="77777777" w:rsidR="002F234C" w:rsidRPr="00881C88" w:rsidRDefault="002F234C" w:rsidP="0052060D">
      <w:pPr>
        <w:pStyle w:val="Contactinfo"/>
        <w:spacing w:line="276" w:lineRule="auto"/>
        <w:jc w:val="center"/>
        <w:rPr>
          <w:rFonts w:ascii="Book Antiqua" w:hAnsi="Book Antiqua" w:cs="Calibri Light"/>
          <w:color w:val="000000" w:themeColor="text1"/>
          <w:sz w:val="22"/>
          <w:szCs w:val="22"/>
        </w:rPr>
      </w:pPr>
    </w:p>
    <w:p w14:paraId="555F8750" w14:textId="77777777" w:rsidR="00A83156" w:rsidRPr="00881C88" w:rsidRDefault="00A83156" w:rsidP="00A83156">
      <w:pPr>
        <w:pStyle w:val="Contactinfo"/>
        <w:jc w:val="center"/>
        <w:rPr>
          <w:rFonts w:ascii="Book Antiqua" w:hAnsi="Book Antiqua" w:cs="Calibri Light"/>
          <w:color w:val="000000" w:themeColor="text1"/>
          <w:sz w:val="18"/>
        </w:rPr>
      </w:pPr>
    </w:p>
    <w:p w14:paraId="4CD6E400" w14:textId="77777777" w:rsidR="005A3D00" w:rsidRPr="00881C88" w:rsidRDefault="005A3D00" w:rsidP="005A3D00">
      <w:pPr>
        <w:spacing w:line="276" w:lineRule="auto"/>
        <w:rPr>
          <w:rFonts w:ascii="Book Antiqua" w:hAnsi="Book Antiqua" w:cstheme="majorHAnsi"/>
          <w:b/>
          <w:color w:val="2F5496" w:themeColor="accent5" w:themeShade="BF"/>
          <w:lang w:val="en-US"/>
        </w:rPr>
      </w:pPr>
    </w:p>
    <w:p w14:paraId="6AF5A8F7" w14:textId="77777777" w:rsidR="005A3D00" w:rsidRPr="00881C88" w:rsidRDefault="005A3D00" w:rsidP="005A3D00">
      <w:pPr>
        <w:spacing w:line="276" w:lineRule="auto"/>
        <w:rPr>
          <w:rFonts w:ascii="Book Antiqua" w:hAnsi="Book Antiqua" w:cstheme="majorHAnsi"/>
          <w:b/>
          <w:color w:val="2F5496" w:themeColor="accent5" w:themeShade="BF"/>
          <w:lang w:val="en-US"/>
        </w:rPr>
      </w:pPr>
    </w:p>
    <w:p w14:paraId="6D600B2E" w14:textId="77777777" w:rsidR="005A3D00" w:rsidRPr="00881C88" w:rsidRDefault="005A3D00" w:rsidP="005A3D00">
      <w:pPr>
        <w:keepNext/>
        <w:keepLines/>
        <w:spacing w:before="320" w:after="40"/>
        <w:outlineLvl w:val="0"/>
        <w:rPr>
          <w:rFonts w:ascii="Times New Roman" w:eastAsiaTheme="majorEastAsia" w:hAnsi="Times New Roman" w:cstheme="majorBidi"/>
          <w:b/>
          <w:bCs/>
          <w:caps/>
          <w:color w:val="2F5496" w:themeColor="accent5" w:themeShade="BF"/>
          <w:spacing w:val="4"/>
          <w:sz w:val="24"/>
          <w:szCs w:val="28"/>
          <w:lang w:val="en-US"/>
        </w:rPr>
      </w:pPr>
    </w:p>
    <w:p w14:paraId="1899E2DE" w14:textId="77777777" w:rsidR="005A3D00" w:rsidRPr="00881C88" w:rsidRDefault="005A3D00" w:rsidP="005A3D00">
      <w:pPr>
        <w:spacing w:line="276" w:lineRule="auto"/>
        <w:rPr>
          <w:rFonts w:ascii="Book Antiqua" w:hAnsi="Book Antiqua" w:cstheme="majorHAnsi"/>
          <w:b/>
          <w:color w:val="2F5496" w:themeColor="accent5" w:themeShade="BF"/>
          <w:lang w:val="en-US"/>
        </w:rPr>
      </w:pPr>
    </w:p>
    <w:p w14:paraId="62A11B90" w14:textId="77777777" w:rsidR="005A3D00" w:rsidRPr="00881C88" w:rsidRDefault="005A3D00" w:rsidP="005A3D00">
      <w:pPr>
        <w:spacing w:line="276" w:lineRule="auto"/>
        <w:rPr>
          <w:rFonts w:ascii="Book Antiqua" w:hAnsi="Book Antiqua" w:cstheme="majorHAnsi"/>
          <w:b/>
          <w:color w:val="2F5496" w:themeColor="accent5" w:themeShade="BF"/>
          <w:lang w:val="en-US"/>
        </w:rPr>
      </w:pPr>
    </w:p>
    <w:p w14:paraId="59AB5700" w14:textId="77777777" w:rsidR="005A3D00" w:rsidRPr="00881C88" w:rsidRDefault="005A3D00" w:rsidP="005A3D00">
      <w:pPr>
        <w:rPr>
          <w:rFonts w:ascii="Book Antiqua" w:hAnsi="Book Antiqua"/>
          <w:color w:val="2F5496" w:themeColor="accent5" w:themeShade="BF"/>
          <w:sz w:val="24"/>
          <w:lang w:val="en-US"/>
        </w:rPr>
      </w:pPr>
    </w:p>
    <w:p w14:paraId="1D35863A" w14:textId="77777777" w:rsidR="005A3D00" w:rsidRPr="00881C88" w:rsidRDefault="005A3D00" w:rsidP="005A3D00">
      <w:pPr>
        <w:spacing w:line="276" w:lineRule="auto"/>
        <w:rPr>
          <w:rFonts w:ascii="Book Antiqua" w:hAnsi="Book Antiqua" w:cstheme="majorHAnsi"/>
          <w:b/>
          <w:color w:val="2F5496" w:themeColor="accent5" w:themeShade="BF"/>
          <w:sz w:val="18"/>
          <w:lang w:val="en-US"/>
        </w:rPr>
      </w:pPr>
    </w:p>
    <w:p w14:paraId="296B0FC7" w14:textId="77777777" w:rsidR="00E8247D" w:rsidRPr="00881C88" w:rsidRDefault="00E8247D" w:rsidP="00A83156">
      <w:pPr>
        <w:keepNext/>
        <w:keepLines/>
        <w:spacing w:before="320" w:after="40"/>
        <w:outlineLvl w:val="0"/>
        <w:rPr>
          <w:rFonts w:ascii="Book Antiqua" w:eastAsiaTheme="majorEastAsia" w:hAnsi="Book Antiqua" w:cstheme="majorBidi"/>
          <w:b/>
          <w:bCs/>
          <w:caps/>
          <w:color w:val="2F5496" w:themeColor="accent5" w:themeShade="BF"/>
          <w:spacing w:val="4"/>
          <w:sz w:val="24"/>
          <w:szCs w:val="28"/>
          <w:lang w:val="en-US"/>
        </w:rPr>
      </w:pPr>
    </w:p>
    <w:p w14:paraId="0B48FB52" w14:textId="54D69618" w:rsidR="00EA6113" w:rsidRPr="00881C88" w:rsidRDefault="00EA6113" w:rsidP="0052060D">
      <w:pPr>
        <w:pStyle w:val="Contactinfo"/>
        <w:spacing w:line="276" w:lineRule="auto"/>
        <w:jc w:val="center"/>
        <w:rPr>
          <w:rFonts w:ascii="Book Antiqua" w:hAnsi="Book Antiqua" w:cs="Calibri Light"/>
          <w:color w:val="000000" w:themeColor="text1"/>
          <w:sz w:val="22"/>
          <w:szCs w:val="22"/>
        </w:rPr>
      </w:pPr>
    </w:p>
    <w:p w14:paraId="09DE2AD8" w14:textId="2740599A" w:rsidR="00EA6113" w:rsidRPr="00881C88" w:rsidRDefault="00EA6113" w:rsidP="0052060D">
      <w:pPr>
        <w:pStyle w:val="Contactinfo"/>
        <w:spacing w:line="276" w:lineRule="auto"/>
        <w:jc w:val="center"/>
        <w:rPr>
          <w:rFonts w:ascii="Book Antiqua" w:hAnsi="Book Antiqua" w:cs="Calibri Light"/>
          <w:color w:val="000000" w:themeColor="text1"/>
          <w:sz w:val="22"/>
          <w:szCs w:val="22"/>
        </w:rPr>
      </w:pPr>
    </w:p>
    <w:p w14:paraId="2B1E60D5" w14:textId="26331587" w:rsidR="00EA6113" w:rsidRPr="00881C88" w:rsidRDefault="001F5C47" w:rsidP="0052060D">
      <w:pPr>
        <w:pStyle w:val="Contactinfo"/>
        <w:spacing w:line="276" w:lineRule="auto"/>
        <w:jc w:val="center"/>
        <w:rPr>
          <w:rFonts w:ascii="Book Antiqua" w:hAnsi="Book Antiqua" w:cs="Calibri Light"/>
          <w:color w:val="000000" w:themeColor="text1"/>
          <w:sz w:val="22"/>
          <w:szCs w:val="22"/>
        </w:rPr>
      </w:pPr>
      <w:r w:rsidRPr="00881C88">
        <w:rPr>
          <w:rFonts w:ascii="Book Antiqua" w:hAnsi="Book Antiqua" w:cs="Calibri Light"/>
          <w:noProof/>
          <w:color w:val="000000" w:themeColor="text1"/>
          <w:lang w:eastAsia="sq-AL"/>
        </w:rPr>
        <mc:AlternateContent>
          <mc:Choice Requires="wps">
            <w:drawing>
              <wp:anchor distT="0" distB="0" distL="114300" distR="114300" simplePos="0" relativeHeight="251770880" behindDoc="0" locked="0" layoutInCell="1" allowOverlap="1" wp14:anchorId="054A6333" wp14:editId="44DCEDBE">
                <wp:simplePos x="0" y="0"/>
                <wp:positionH relativeFrom="page">
                  <wp:align>right</wp:align>
                </wp:positionH>
                <wp:positionV relativeFrom="paragraph">
                  <wp:posOffset>336550</wp:posOffset>
                </wp:positionV>
                <wp:extent cx="7581900" cy="2942617"/>
                <wp:effectExtent l="0" t="0" r="0" b="0"/>
                <wp:wrapNone/>
                <wp:docPr id="152" name="Rectangle 152"/>
                <wp:cNvGraphicFramePr/>
                <a:graphic xmlns:a="http://schemas.openxmlformats.org/drawingml/2006/main">
                  <a:graphicData uri="http://schemas.microsoft.com/office/word/2010/wordprocessingShape">
                    <wps:wsp>
                      <wps:cNvSpPr/>
                      <wps:spPr>
                        <a:xfrm>
                          <a:off x="0" y="0"/>
                          <a:ext cx="7581900" cy="2942617"/>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77746" id="Rectangle 152" o:spid="_x0000_s1026" style="position:absolute;margin-left:545.8pt;margin-top:26.5pt;width:597pt;height:231.7pt;z-index:251770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" fillcolor="#92bce3 [2132]" stroked="f" strokeweight="1pt">
                <v:fill color2="#d9e8f5 [756]" rotate="t" angle="90" colors="0 #9ac3f6;.5 #c1d8f8;1 #e1ecfb" focus="100%" type="gradient"/>
                <w10:wrap anchorx="page"/>
              </v:rect>
            </w:pict>
          </mc:Fallback>
        </mc:AlternateContent>
      </w:r>
    </w:p>
    <w:p w14:paraId="4775A657" w14:textId="3CE05577" w:rsidR="00E8247D" w:rsidRPr="00881C88" w:rsidRDefault="00E8247D" w:rsidP="0052060D">
      <w:pPr>
        <w:pStyle w:val="Contactinfo"/>
        <w:spacing w:line="276" w:lineRule="auto"/>
        <w:jc w:val="center"/>
        <w:rPr>
          <w:rFonts w:ascii="Book Antiqua" w:hAnsi="Book Antiqua" w:cs="Calibri Light"/>
          <w:color w:val="000000" w:themeColor="text1"/>
          <w:sz w:val="22"/>
          <w:szCs w:val="22"/>
        </w:rPr>
      </w:pPr>
    </w:p>
    <w:p w14:paraId="077B4514" w14:textId="053B8356" w:rsidR="00E8247D" w:rsidRPr="00881C88" w:rsidRDefault="001F5C47" w:rsidP="0052060D">
      <w:pPr>
        <w:pStyle w:val="Contactinfo"/>
        <w:spacing w:line="276" w:lineRule="auto"/>
        <w:jc w:val="center"/>
        <w:rPr>
          <w:rFonts w:ascii="Book Antiqua" w:hAnsi="Book Antiqua" w:cs="Calibri Light"/>
          <w:color w:val="000000" w:themeColor="text1"/>
          <w:sz w:val="22"/>
          <w:szCs w:val="22"/>
        </w:rPr>
      </w:pPr>
      <w:r w:rsidRPr="00881C88">
        <w:rPr>
          <w:rFonts w:ascii="Book Antiqua" w:hAnsi="Book Antiqua" w:cs="Calibri Light"/>
          <w:b/>
          <w:noProof/>
          <w:color w:val="000000" w:themeColor="text1"/>
          <w:lang w:eastAsia="sq-AL"/>
        </w:rPr>
        <mc:AlternateContent>
          <mc:Choice Requires="wps">
            <w:drawing>
              <wp:anchor distT="0" distB="0" distL="114300" distR="114300" simplePos="0" relativeHeight="251772928" behindDoc="0" locked="0" layoutInCell="1" allowOverlap="1" wp14:anchorId="63286BC1" wp14:editId="7168353C">
                <wp:simplePos x="0" y="0"/>
                <wp:positionH relativeFrom="column">
                  <wp:posOffset>-243190</wp:posOffset>
                </wp:positionH>
                <wp:positionV relativeFrom="paragraph">
                  <wp:posOffset>163587</wp:posOffset>
                </wp:positionV>
                <wp:extent cx="6206246" cy="215280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6206246" cy="2152800"/>
                        </a:xfrm>
                        <a:prstGeom prst="rect">
                          <a:avLst/>
                        </a:prstGeom>
                        <a:noFill/>
                        <a:ln w="6350">
                          <a:noFill/>
                        </a:ln>
                      </wps:spPr>
                      <wps:txbx>
                        <w:txbxContent>
                          <w:p w14:paraId="32409492" w14:textId="1F240199" w:rsidR="00105C72" w:rsidRPr="00EA3D61" w:rsidRDefault="00105C72" w:rsidP="00105C72">
                            <w:pPr>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 xml:space="preserve">Copyright © 2026 </w:t>
                            </w:r>
                          </w:p>
                          <w:p w14:paraId="72907296" w14:textId="77777777" w:rsidR="00105C72" w:rsidRPr="00EA3D61" w:rsidRDefault="00105C72" w:rsidP="00105C72">
                            <w:pPr>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All rights are reserved. No part of the document can be copied, reproduced and used in any form (electronic and hardcopy) or described without the written permission of the author - MLGA.</w:t>
                            </w:r>
                          </w:p>
                          <w:p w14:paraId="4E9F51CB" w14:textId="0E990174" w:rsidR="00642B8B" w:rsidRPr="00A12B95" w:rsidRDefault="00105C72" w:rsidP="00A12B95">
                            <w:r w:rsidRPr="00EA3D61">
                              <w:rPr>
                                <w:rStyle w:val="Emphasis"/>
                                <w:rFonts w:asciiTheme="majorHAnsi" w:hAnsiTheme="majorHAnsi" w:cstheme="majorHAnsi"/>
                                <w:sz w:val="20"/>
                                <w:szCs w:val="20"/>
                                <w:lang w:val="en-US"/>
                              </w:rPr>
                              <w:t xml:space="preserve">Title; Report on the Assessment of Transparency January-December 2025  </w:t>
                            </w:r>
                          </w:p>
                          <w:p w14:paraId="1ED970D2" w14:textId="77777777" w:rsidR="00A12B95" w:rsidRPr="00A12B95" w:rsidRDefault="00A12B95" w:rsidP="00A12B95"/>
                          <w:p w14:paraId="78B4DC7B" w14:textId="47E59C05" w:rsidR="00105C72" w:rsidRPr="00EA3D61" w:rsidRDefault="00105C72" w:rsidP="00105C72">
                            <w:pPr>
                              <w:spacing w:line="276" w:lineRule="auto"/>
                              <w:ind w:left="2160" w:hanging="2160"/>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Implementation team: Nazmije Krasniqi, Head of the Division for Transparency at Local Level / DGGLL</w:t>
                            </w:r>
                          </w:p>
                          <w:p w14:paraId="4D7B46A8" w14:textId="35CB06A9" w:rsidR="00105C72" w:rsidRPr="00EA3D61" w:rsidRDefault="00105C72" w:rsidP="00105C72">
                            <w:pPr>
                              <w:spacing w:line="276" w:lineRule="auto"/>
                              <w:ind w:left="2160" w:hanging="2160"/>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Majlinda Shaqiri, Senior Official for Transparency at Local Level / DGGLL</w:t>
                            </w:r>
                          </w:p>
                          <w:p w14:paraId="0E0D60A0" w14:textId="77777777" w:rsidR="00105C72" w:rsidRPr="00C263D5" w:rsidRDefault="00105C72" w:rsidP="003F57AE">
                            <w:pPr>
                              <w:spacing w:line="276" w:lineRule="auto"/>
                              <w:ind w:left="2160" w:hanging="2160"/>
                              <w:jc w:val="left"/>
                              <w:rPr>
                                <w:rStyle w:val="Emphasis"/>
                                <w:rFonts w:asciiTheme="majorHAnsi" w:hAnsiTheme="majorHAnsi" w:cstheme="majorHAnsi"/>
                                <w:sz w:val="20"/>
                                <w:szCs w:val="20"/>
                              </w:rPr>
                            </w:pPr>
                          </w:p>
                          <w:p w14:paraId="7FBC92E0" w14:textId="77777777" w:rsidR="006E3FC3" w:rsidRDefault="006E3FC3" w:rsidP="003F57AE">
                            <w:pPr>
                              <w:spacing w:line="276" w:lineRule="auto"/>
                              <w:ind w:left="2160" w:hanging="2160"/>
                              <w:jc w:val="left"/>
                              <w:rPr>
                                <w:rStyle w:val="Emphasis"/>
                                <w:sz w:val="20"/>
                                <w:szCs w:val="20"/>
                              </w:rPr>
                            </w:pPr>
                          </w:p>
                          <w:p w14:paraId="005BA9E5" w14:textId="77777777" w:rsidR="006E3FC3" w:rsidRDefault="006E3FC3" w:rsidP="003F57AE">
                            <w:pPr>
                              <w:spacing w:line="276" w:lineRule="auto"/>
                              <w:ind w:left="2160" w:hanging="2160"/>
                              <w:jc w:val="left"/>
                              <w:rPr>
                                <w:rStyle w:val="Emphasis"/>
                                <w:sz w:val="20"/>
                                <w:szCs w:val="20"/>
                              </w:rPr>
                            </w:pPr>
                          </w:p>
                          <w:p w14:paraId="579155E3" w14:textId="77777777" w:rsidR="006E3FC3" w:rsidRDefault="006E3FC3" w:rsidP="003F57AE">
                            <w:pPr>
                              <w:spacing w:line="276" w:lineRule="auto"/>
                              <w:ind w:left="2160" w:hanging="2160"/>
                              <w:jc w:val="left"/>
                              <w:rPr>
                                <w:rStyle w:val="Emphasis"/>
                                <w:sz w:val="20"/>
                                <w:szCs w:val="20"/>
                              </w:rPr>
                            </w:pPr>
                          </w:p>
                          <w:p w14:paraId="7D98B8EF" w14:textId="77777777" w:rsidR="006E3FC3" w:rsidRPr="001713E3" w:rsidRDefault="006E3FC3" w:rsidP="003F57AE">
                            <w:pPr>
                              <w:spacing w:line="276" w:lineRule="auto"/>
                              <w:ind w:left="2160" w:hanging="2160"/>
                              <w:jc w:val="left"/>
                              <w:rPr>
                                <w:rStyle w:val="Emphasis"/>
                                <w:sz w:val="20"/>
                                <w:szCs w:val="20"/>
                              </w:rPr>
                            </w:pPr>
                          </w:p>
                          <w:p w14:paraId="66FB9E62" w14:textId="77777777" w:rsidR="006E3FC3" w:rsidRPr="001713E3" w:rsidRDefault="006E3FC3"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6E3FC3" w:rsidRPr="00323FCB" w:rsidRDefault="006E3FC3" w:rsidP="003F57AE">
                            <w:pPr>
                              <w:rPr>
                                <w:rFonts w:ascii="Gill Sans MT" w:eastAsia="Antenna Light" w:hAnsi="Gill Sans MT" w:cs="Antenna Light"/>
                                <w:i/>
                                <w:iCs/>
                                <w:color w:val="FFFFFF" w:themeColor="background1"/>
                              </w:rPr>
                            </w:pPr>
                          </w:p>
                          <w:p w14:paraId="116391C5" w14:textId="77777777" w:rsidR="006E3FC3" w:rsidRPr="009B7EDA" w:rsidRDefault="006E3FC3" w:rsidP="003F57AE">
                            <w:pPr>
                              <w:rPr>
                                <w:color w:val="FFFFFF" w:themeColor="background1"/>
                              </w:rPr>
                            </w:pPr>
                            <w:r w:rsidRPr="009B7EDA">
                              <w:rPr>
                                <w:rFonts w:ascii="Gill Sans MT" w:eastAsia="Antenna Light" w:hAnsi="Gill Sans MT" w:cs="Antenna Light"/>
                                <w:color w:val="FFFFFF" w:themeColor="background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86BC1" id="_x0000_t202" coordsize="21600,21600" o:spt="202" path="m,l,21600r21600,l21600,xe">
                <v:stroke joinstyle="miter"/>
                <v:path gradientshapeok="t" o:connecttype="rect"/>
              </v:shapetype>
              <v:shape id="Text Box 153" o:spid="_x0000_s1026" type="#_x0000_t202" style="position:absolute;left:0;text-align:left;margin-left:-19.15pt;margin-top:12.9pt;width:488.7pt;height:16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" filled="f" stroked="f" strokeweight=".5pt">
                <v:textbox>
                  <w:txbxContent>
                    <w:p w14:paraId="32409492" w14:textId="1F240199" w:rsidR="00105C72" w:rsidRPr="00EA3D61" w:rsidRDefault="00105C72" w:rsidP="00105C72">
                      <w:pPr>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 xml:space="preserve">Copyright © 2026 </w:t>
                      </w:r>
                    </w:p>
                    <w:p w14:paraId="72907296" w14:textId="77777777" w:rsidR="00105C72" w:rsidRPr="00EA3D61" w:rsidRDefault="00105C72" w:rsidP="00105C72">
                      <w:pPr>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All rights are reserved. No part of the document can be copied, reproduced and used in any form (electronic and hardcopy) or described without the written permission of the author - MLGA.</w:t>
                      </w:r>
                    </w:p>
                    <w:p w14:paraId="4E9F51CB" w14:textId="0E990174" w:rsidR="00642B8B" w:rsidRPr="00A12B95" w:rsidRDefault="00105C72" w:rsidP="00A12B95">
                      <w:r w:rsidRPr="00EA3D61">
                        <w:rPr>
                          <w:rStyle w:val="Emphasis"/>
                          <w:rFonts w:asciiTheme="majorHAnsi" w:hAnsiTheme="majorHAnsi" w:cstheme="majorHAnsi"/>
                          <w:sz w:val="20"/>
                          <w:szCs w:val="20"/>
                          <w:lang w:val="en-US"/>
                        </w:rPr>
                        <w:t xml:space="preserve">Title; Report on the Assessment of Transparency January-December 2025  </w:t>
                      </w:r>
                    </w:p>
                    <w:p w14:paraId="1ED970D2" w14:textId="77777777" w:rsidR="00A12B95" w:rsidRPr="00A12B95" w:rsidRDefault="00A12B95" w:rsidP="00A12B95"/>
                    <w:p w14:paraId="78B4DC7B" w14:textId="47E59C05" w:rsidR="00105C72" w:rsidRPr="00EA3D61" w:rsidRDefault="00105C72" w:rsidP="00105C72">
                      <w:pPr>
                        <w:spacing w:line="276" w:lineRule="auto"/>
                        <w:ind w:left="2160" w:hanging="2160"/>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Implementation team: Nazmije Krasniqi, Head of the Division for Transparency at Local Level / DGGLL</w:t>
                      </w:r>
                    </w:p>
                    <w:p w14:paraId="4D7B46A8" w14:textId="35CB06A9" w:rsidR="00105C72" w:rsidRPr="00EA3D61" w:rsidRDefault="00105C72" w:rsidP="00105C72">
                      <w:pPr>
                        <w:spacing w:line="276" w:lineRule="auto"/>
                        <w:ind w:left="2160" w:hanging="2160"/>
                        <w:rPr>
                          <w:rStyle w:val="Emphasis"/>
                          <w:rFonts w:asciiTheme="majorHAnsi" w:hAnsiTheme="majorHAnsi" w:cstheme="majorHAnsi"/>
                          <w:sz w:val="20"/>
                          <w:szCs w:val="20"/>
                          <w:lang w:val="en-US"/>
                        </w:rPr>
                      </w:pPr>
                      <w:r w:rsidRPr="00EA3D61">
                        <w:rPr>
                          <w:rStyle w:val="Emphasis"/>
                          <w:rFonts w:asciiTheme="majorHAnsi" w:hAnsiTheme="majorHAnsi" w:cstheme="majorHAnsi"/>
                          <w:sz w:val="20"/>
                          <w:szCs w:val="20"/>
                          <w:lang w:val="en-US"/>
                        </w:rPr>
                        <w:t>Majlinda Shaqiri, Senior Official for Transparency at Local Level / DGGLL</w:t>
                      </w:r>
                    </w:p>
                    <w:p w14:paraId="0E0D60A0" w14:textId="77777777" w:rsidR="00105C72" w:rsidRPr="00C263D5" w:rsidRDefault="00105C72" w:rsidP="003F57AE">
                      <w:pPr>
                        <w:spacing w:line="276" w:lineRule="auto"/>
                        <w:ind w:left="2160" w:hanging="2160"/>
                        <w:jc w:val="left"/>
                        <w:rPr>
                          <w:rStyle w:val="Emphasis"/>
                          <w:rFonts w:asciiTheme="majorHAnsi" w:hAnsiTheme="majorHAnsi" w:cstheme="majorHAnsi"/>
                          <w:sz w:val="20"/>
                          <w:szCs w:val="20"/>
                        </w:rPr>
                      </w:pPr>
                    </w:p>
                    <w:p w14:paraId="7FBC92E0" w14:textId="77777777" w:rsidR="006E3FC3" w:rsidRDefault="006E3FC3" w:rsidP="003F57AE">
                      <w:pPr>
                        <w:spacing w:line="276" w:lineRule="auto"/>
                        <w:ind w:left="2160" w:hanging="2160"/>
                        <w:jc w:val="left"/>
                        <w:rPr>
                          <w:rStyle w:val="Emphasis"/>
                          <w:sz w:val="20"/>
                          <w:szCs w:val="20"/>
                        </w:rPr>
                      </w:pPr>
                    </w:p>
                    <w:p w14:paraId="005BA9E5" w14:textId="77777777" w:rsidR="006E3FC3" w:rsidRDefault="006E3FC3" w:rsidP="003F57AE">
                      <w:pPr>
                        <w:spacing w:line="276" w:lineRule="auto"/>
                        <w:ind w:left="2160" w:hanging="2160"/>
                        <w:jc w:val="left"/>
                        <w:rPr>
                          <w:rStyle w:val="Emphasis"/>
                          <w:sz w:val="20"/>
                          <w:szCs w:val="20"/>
                        </w:rPr>
                      </w:pPr>
                    </w:p>
                    <w:p w14:paraId="579155E3" w14:textId="77777777" w:rsidR="006E3FC3" w:rsidRDefault="006E3FC3" w:rsidP="003F57AE">
                      <w:pPr>
                        <w:spacing w:line="276" w:lineRule="auto"/>
                        <w:ind w:left="2160" w:hanging="2160"/>
                        <w:jc w:val="left"/>
                        <w:rPr>
                          <w:rStyle w:val="Emphasis"/>
                          <w:sz w:val="20"/>
                          <w:szCs w:val="20"/>
                        </w:rPr>
                      </w:pPr>
                    </w:p>
                    <w:p w14:paraId="7D98B8EF" w14:textId="77777777" w:rsidR="006E3FC3" w:rsidRPr="001713E3" w:rsidRDefault="006E3FC3" w:rsidP="003F57AE">
                      <w:pPr>
                        <w:spacing w:line="276" w:lineRule="auto"/>
                        <w:ind w:left="2160" w:hanging="2160"/>
                        <w:jc w:val="left"/>
                        <w:rPr>
                          <w:rStyle w:val="Emphasis"/>
                          <w:sz w:val="20"/>
                          <w:szCs w:val="20"/>
                        </w:rPr>
                      </w:pPr>
                    </w:p>
                    <w:p w14:paraId="66FB9E62" w14:textId="77777777" w:rsidR="006E3FC3" w:rsidRPr="001713E3" w:rsidRDefault="006E3FC3" w:rsidP="003F57AE">
                      <w:pPr>
                        <w:spacing w:line="276" w:lineRule="auto"/>
                        <w:ind w:left="2160" w:hanging="2160"/>
                        <w:jc w:val="left"/>
                        <w:rPr>
                          <w:rStyle w:val="Emphasis"/>
                          <w:sz w:val="20"/>
                          <w:szCs w:val="20"/>
                        </w:rPr>
                      </w:pPr>
                      <w:r>
                        <w:rPr>
                          <w:rFonts w:ascii="Book Antiqua" w:eastAsia="Antenna Light" w:hAnsi="Book Antiqua" w:cs="Antenna Light"/>
                          <w:color w:val="ED7D31" w:themeColor="accent2"/>
                        </w:rPr>
                        <w:t xml:space="preserve">  </w:t>
                      </w:r>
                      <w:r w:rsidRPr="001713E3">
                        <w:rPr>
                          <w:rStyle w:val="Emphasis"/>
                          <w:sz w:val="20"/>
                          <w:szCs w:val="20"/>
                        </w:rPr>
                        <w:t>Publikuar nga; MAPL, ish-ndërtesa “Rilindja” Kati 11,12</w:t>
                      </w:r>
                      <w:r>
                        <w:rPr>
                          <w:rStyle w:val="Emphasis"/>
                          <w:sz w:val="20"/>
                          <w:szCs w:val="20"/>
                        </w:rPr>
                        <w:t xml:space="preserve"> </w:t>
                      </w:r>
                      <w:r w:rsidRPr="001713E3">
                        <w:rPr>
                          <w:rStyle w:val="Emphasis"/>
                          <w:sz w:val="20"/>
                          <w:szCs w:val="20"/>
                        </w:rPr>
                        <w:t>dhe 13 Prishtinë, Republika e Kosovës</w:t>
                      </w:r>
                    </w:p>
                    <w:p w14:paraId="5DF815A7" w14:textId="77777777" w:rsidR="006E3FC3" w:rsidRPr="00323FCB" w:rsidRDefault="006E3FC3" w:rsidP="003F57AE">
                      <w:pPr>
                        <w:rPr>
                          <w:rFonts w:ascii="Gill Sans MT" w:eastAsia="Antenna Light" w:hAnsi="Gill Sans MT" w:cs="Antenna Light"/>
                          <w:i/>
                          <w:iCs/>
                          <w:color w:val="FFFFFF" w:themeColor="background1"/>
                        </w:rPr>
                      </w:pPr>
                    </w:p>
                    <w:p w14:paraId="116391C5" w14:textId="77777777" w:rsidR="006E3FC3" w:rsidRPr="009B7EDA" w:rsidRDefault="006E3FC3" w:rsidP="003F57AE">
                      <w:pPr>
                        <w:rPr>
                          <w:color w:val="FFFFFF" w:themeColor="background1"/>
                        </w:rPr>
                      </w:pPr>
                      <w:r w:rsidRPr="009B7EDA">
                        <w:rPr>
                          <w:rFonts w:ascii="Gill Sans MT" w:eastAsia="Antenna Light" w:hAnsi="Gill Sans MT" w:cs="Antenna Light"/>
                          <w:color w:val="FFFFFF" w:themeColor="background1"/>
                        </w:rPr>
                        <w:tab/>
                      </w:r>
                    </w:p>
                  </w:txbxContent>
                </v:textbox>
              </v:shape>
            </w:pict>
          </mc:Fallback>
        </mc:AlternateContent>
      </w:r>
    </w:p>
    <w:p w14:paraId="1F15D234" w14:textId="04F26F87" w:rsidR="00EA6113" w:rsidRPr="00881C88" w:rsidRDefault="00EA6113" w:rsidP="0052060D">
      <w:pPr>
        <w:pStyle w:val="Contactinfo"/>
        <w:spacing w:line="276" w:lineRule="auto"/>
        <w:jc w:val="center"/>
        <w:rPr>
          <w:rFonts w:ascii="Book Antiqua" w:hAnsi="Book Antiqua" w:cs="Calibri Light"/>
          <w:color w:val="000000" w:themeColor="text1"/>
          <w:sz w:val="22"/>
          <w:szCs w:val="22"/>
        </w:rPr>
      </w:pPr>
    </w:p>
    <w:p w14:paraId="232DE8BD" w14:textId="77777777" w:rsidR="00EA6113" w:rsidRPr="00881C88" w:rsidRDefault="00EA6113" w:rsidP="0052060D">
      <w:pPr>
        <w:pStyle w:val="Contactinfo"/>
        <w:spacing w:line="276" w:lineRule="auto"/>
        <w:jc w:val="center"/>
        <w:rPr>
          <w:rFonts w:ascii="Book Antiqua" w:hAnsi="Book Antiqua" w:cs="Calibri Light"/>
          <w:color w:val="000000" w:themeColor="text1"/>
          <w:sz w:val="22"/>
          <w:szCs w:val="22"/>
        </w:rPr>
      </w:pPr>
    </w:p>
    <w:p w14:paraId="334657F4" w14:textId="77777777" w:rsidR="00B47797" w:rsidRPr="00881C88" w:rsidRDefault="00B47797" w:rsidP="007C3D4B">
      <w:pPr>
        <w:spacing w:before="40" w:line="276" w:lineRule="auto"/>
        <w:rPr>
          <w:rFonts w:ascii="Book Antiqua" w:hAnsi="Book Antiqua" w:cs="Calibri Light"/>
          <w:color w:val="000000" w:themeColor="text1"/>
          <w:lang w:val="en-US"/>
        </w:rPr>
        <w:sectPr w:rsidR="00B47797" w:rsidRPr="00881C88" w:rsidSect="006944A4">
          <w:headerReference w:type="default" r:id="rId9"/>
          <w:footerReference w:type="default" r:id="rId10"/>
          <w:pgSz w:w="11906" w:h="16838"/>
          <w:pgMar w:top="1920" w:right="1440" w:bottom="1710" w:left="1440" w:header="720" w:footer="1454" w:gutter="0"/>
          <w:cols w:space="720"/>
          <w:docGrid w:linePitch="360"/>
        </w:sectPr>
      </w:pPr>
    </w:p>
    <w:p w14:paraId="2CA8F572" w14:textId="77777777" w:rsidR="00EA6113" w:rsidRPr="00881C88" w:rsidRDefault="00B5476B" w:rsidP="00EA6113">
      <w:pPr>
        <w:pStyle w:val="Style2"/>
        <w:rPr>
          <w:lang w:val="en-US"/>
        </w:rPr>
      </w:pPr>
      <w:bookmarkStart w:id="1" w:name="_Toc163220240"/>
      <w:bookmarkStart w:id="2" w:name="_Toc230182064"/>
      <w:r w:rsidRPr="00881C88">
        <w:rPr>
          <w:caps w:val="0"/>
          <w:lang w:val="en-US"/>
        </w:rPr>
        <w:t>HYRJE</w:t>
      </w:r>
      <w:bookmarkEnd w:id="1"/>
      <w:bookmarkEnd w:id="2"/>
      <w:r w:rsidRPr="00881C88">
        <w:rPr>
          <w:caps w:val="0"/>
          <w:lang w:val="en-US"/>
        </w:rPr>
        <w:t xml:space="preserve"> </w:t>
      </w:r>
    </w:p>
    <w:p w14:paraId="68DCED07" w14:textId="77777777" w:rsidR="00A83156" w:rsidRPr="00881C88" w:rsidRDefault="00A83156" w:rsidP="001713E3">
      <w:pPr>
        <w:spacing w:line="276" w:lineRule="auto"/>
        <w:rPr>
          <w:rFonts w:ascii="Book Antiqua" w:hAnsi="Book Antiqua"/>
          <w:i/>
          <w:sz w:val="24"/>
          <w:szCs w:val="24"/>
          <w:lang w:val="en-US"/>
        </w:rPr>
      </w:pPr>
    </w:p>
    <w:p w14:paraId="7E7E24D8" w14:textId="77777777" w:rsidR="00A83156" w:rsidRPr="00881C88" w:rsidRDefault="00A83156" w:rsidP="001713E3">
      <w:pPr>
        <w:spacing w:line="276" w:lineRule="auto"/>
        <w:rPr>
          <w:rFonts w:ascii="Book Antiqua" w:hAnsi="Book Antiqua"/>
          <w:b/>
          <w:i/>
          <w:color w:val="2F5496" w:themeColor="accent5" w:themeShade="BF"/>
          <w:sz w:val="24"/>
          <w:szCs w:val="24"/>
          <w:lang w:val="en-US"/>
        </w:rPr>
      </w:pPr>
    </w:p>
    <w:p w14:paraId="4858639C" w14:textId="77777777" w:rsidR="00A83156" w:rsidRPr="00881C88" w:rsidRDefault="00A83156" w:rsidP="001713E3">
      <w:pPr>
        <w:spacing w:line="276" w:lineRule="auto"/>
        <w:rPr>
          <w:rFonts w:ascii="Book Antiqua" w:hAnsi="Book Antiqua"/>
          <w:b/>
          <w:i/>
          <w:color w:val="2F5496" w:themeColor="accent5" w:themeShade="BF"/>
          <w:sz w:val="24"/>
          <w:szCs w:val="24"/>
          <w:lang w:val="en-US"/>
        </w:rPr>
      </w:pPr>
    </w:p>
    <w:p w14:paraId="01F23C4E" w14:textId="77777777" w:rsidR="00A83156" w:rsidRPr="00881C88" w:rsidRDefault="00A83156" w:rsidP="001713E3">
      <w:pPr>
        <w:spacing w:line="276" w:lineRule="auto"/>
        <w:rPr>
          <w:rFonts w:ascii="Book Antiqua" w:hAnsi="Book Antiqua"/>
          <w:b/>
          <w:i/>
          <w:color w:val="2F5496" w:themeColor="accent5" w:themeShade="BF"/>
          <w:sz w:val="24"/>
          <w:szCs w:val="24"/>
          <w:lang w:val="en-US"/>
        </w:rPr>
      </w:pPr>
    </w:p>
    <w:p w14:paraId="20C60D15" w14:textId="2E144B74" w:rsidR="00A83156" w:rsidRPr="00881C88" w:rsidRDefault="00A83156" w:rsidP="001713E3">
      <w:pPr>
        <w:spacing w:line="276" w:lineRule="auto"/>
        <w:rPr>
          <w:rFonts w:ascii="Book Antiqua" w:hAnsi="Book Antiqua"/>
          <w:b/>
          <w:i/>
          <w:color w:val="2F5496" w:themeColor="accent5" w:themeShade="BF"/>
          <w:sz w:val="24"/>
          <w:szCs w:val="24"/>
          <w:lang w:val="en-US"/>
        </w:rPr>
      </w:pPr>
    </w:p>
    <w:p w14:paraId="45EE05BE" w14:textId="2203E4F9" w:rsidR="009F4BE1" w:rsidRPr="00881C88" w:rsidRDefault="009F4BE1" w:rsidP="001713E3">
      <w:pPr>
        <w:spacing w:line="276" w:lineRule="auto"/>
        <w:rPr>
          <w:rFonts w:ascii="Book Antiqua" w:hAnsi="Book Antiqua"/>
          <w:b/>
          <w:i/>
          <w:color w:val="2F5496" w:themeColor="accent5" w:themeShade="BF"/>
          <w:sz w:val="24"/>
          <w:szCs w:val="24"/>
          <w:lang w:val="en-US"/>
        </w:rPr>
      </w:pPr>
    </w:p>
    <w:p w14:paraId="01266922" w14:textId="7343B2DF" w:rsidR="00CC7D4D" w:rsidRPr="00881C88" w:rsidRDefault="008E2502"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en-US" w:eastAsia="en-GB"/>
        </w:rPr>
      </w:pPr>
      <w:bookmarkStart w:id="3" w:name="_Toc230182065"/>
      <w:bookmarkStart w:id="4" w:name="_Toc227827153"/>
      <w:r w:rsidRPr="00881C88">
        <w:rPr>
          <w:rFonts w:asciiTheme="majorHAnsi" w:eastAsia="Times New Roman" w:hAnsiTheme="majorHAnsi" w:cstheme="majorHAnsi"/>
          <w:b/>
          <w:bCs/>
          <w:color w:val="2F5496" w:themeColor="accent5" w:themeShade="BF"/>
          <w:kern w:val="36"/>
          <w:lang w:val="en-US" w:eastAsia="en-GB"/>
        </w:rPr>
        <w:t>EXECUTIVE SUMMARY</w:t>
      </w:r>
      <w:bookmarkEnd w:id="3"/>
    </w:p>
    <w:p w14:paraId="02AFABC1" w14:textId="0921E647" w:rsidR="008E2502" w:rsidRPr="00881C88" w:rsidRDefault="008E2502"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functioning and use of official municipal websites </w:t>
      </w:r>
      <w:proofErr w:type="gramStart"/>
      <w:r w:rsidRPr="00881C88">
        <w:rPr>
          <w:rFonts w:asciiTheme="majorHAnsi" w:eastAsia="Times New Roman" w:hAnsiTheme="majorHAnsi" w:cstheme="majorHAnsi"/>
          <w:lang w:val="en-US" w:eastAsia="en-GB"/>
        </w:rPr>
        <w:t>is</w:t>
      </w:r>
      <w:proofErr w:type="gramEnd"/>
      <w:r w:rsidRPr="00881C88">
        <w:rPr>
          <w:rFonts w:asciiTheme="majorHAnsi" w:eastAsia="Times New Roman" w:hAnsiTheme="majorHAnsi" w:cstheme="majorHAnsi"/>
          <w:lang w:val="en-US" w:eastAsia="en-GB"/>
        </w:rPr>
        <w:t xml:space="preserve"> regulated by Administrative Instruction No. 01/2015 for the websites of public institutions. In 2018, a project was implemented to redesign the websites of all municipalities, while in 2019, the integration of the intranet system into these platforms was enabled, creating space for the provision of electronic services, including requests for civil status documents.</w:t>
      </w:r>
    </w:p>
    <w:p w14:paraId="46EEE9A3" w14:textId="5B9E7C38" w:rsidR="008E2502" w:rsidRPr="00881C88" w:rsidRDefault="008E2502"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recent years, challenges have been identified in the functioning of official municipal websites, especially in terms of updating data and consistent access to public documents and information. Cases of slowdowns in operation, difficulties in accessing documents, as well as temporary system outages have been observed, which have affected citizens' access to public information within the established deadlines.</w:t>
      </w:r>
    </w:p>
    <w:p w14:paraId="6ABFA5CA" w14:textId="083D00F7" w:rsidR="008E2502" w:rsidRPr="00881C88" w:rsidRDefault="008E2502"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this regard, the Ministry of Internal Affairs, namely the Information Society Agency (ISA), has carried out the process of unifying and developing new websites for all municipalities of the Republic of Kosovo, based on modern technology. As of March 1, 2025, new websites for 38 municipalities have been launched, with the aim of increasing security, improving performance and facilitating content management.</w:t>
      </w:r>
    </w:p>
    <w:p w14:paraId="0055CF55" w14:textId="7AF345CB" w:rsidR="008E2502" w:rsidRPr="00881C88" w:rsidRDefault="008E2502"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However, despite this progress, certain challenges in functionality and continuous content updating remain present. The report's findings show that, in some areas, progress has been made, but also a decline in the level of transparency in fulfilling legal obligations, mainly as a result of the transition from old to new websites.</w:t>
      </w:r>
    </w:p>
    <w:p w14:paraId="7096046E" w14:textId="68B610BD" w:rsidR="00F27331" w:rsidRPr="00881C88" w:rsidRDefault="00F27331"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report presents a comprehensive assessment of transparency for all 38 municipalities, based on measurable indicators and legal obligations for public information. It aims to serve as an instrument for identifying shortcomings and encouraging the undertaking of concrete measures to improve transparency, increase institutional accountability and advance services for citizens.</w:t>
      </w:r>
    </w:p>
    <w:p w14:paraId="5D258F05" w14:textId="0BDDF286" w:rsidR="00CC7D4D" w:rsidRPr="00881C88" w:rsidRDefault="00F27331"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en-US" w:eastAsia="en-GB"/>
        </w:rPr>
      </w:pPr>
      <w:bookmarkStart w:id="5" w:name="_Toc230182066"/>
      <w:r w:rsidRPr="00881C88">
        <w:rPr>
          <w:rFonts w:asciiTheme="majorHAnsi" w:eastAsia="Times New Roman" w:hAnsiTheme="majorHAnsi" w:cstheme="majorHAnsi"/>
          <w:b/>
          <w:bCs/>
          <w:color w:val="2F5496" w:themeColor="accent5" w:themeShade="BF"/>
          <w:kern w:val="36"/>
          <w:lang w:val="en-US" w:eastAsia="en-GB"/>
        </w:rPr>
        <w:t>INTRODUCTION</w:t>
      </w:r>
      <w:bookmarkEnd w:id="5"/>
    </w:p>
    <w:p w14:paraId="7DA14539" w14:textId="73A343B9"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Transparency constitutes one of the fundamental principles of democratic governance and one of the main indicators of the functioning of public institutions in accordance with the standards of the rule of law. It reflects the degree of institutional openness, the level of citizens' access to public information, as well as the willingness of authorities to ensure accountability and responsibility in the exercise of their powers.</w:t>
      </w:r>
    </w:p>
    <w:p w14:paraId="447ADD2F" w14:textId="3FCB93BC"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this sense, transparency is not only a legal obligation, but an essential mechanism for strengthening public trust, improving the quality of decision-making, and promoting the active participation of citizens in democratic processes.</w:t>
      </w:r>
    </w:p>
    <w:p w14:paraId="463771C8" w14:textId="2605CCEF"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At the local level, transparency takes on particular importance, as municipalities constitute the closest level of government to citizens and are directly responsible for the provision of a wide range of public services. The effective functioning of municipal administration and the quality of services are closely linked to the way information is managed and disseminated, as well as to the opportunities for citizen involvement in decision-making processes.</w:t>
      </w:r>
    </w:p>
    <w:p w14:paraId="29BB82B1" w14:textId="6431F401"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this context, official municipal websites represent one of the main instruments for achieving transparency and institutional communication. They serve as platforms for publishing information of public interest, including official documents, institutional activities, decision-making processes and services for citizens.</w:t>
      </w:r>
    </w:p>
    <w:p w14:paraId="52E27D43" w14:textId="660EC73C"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Furthermore, websites contribute to the digitalization of public services and increased administrative efficiency. Their functionality, accessibility and updating directly affect the level of transparency and citizens' perception of public institutions.</w:t>
      </w:r>
    </w:p>
    <w:p w14:paraId="199D3B79" w14:textId="3EA0AB9E" w:rsidR="00491B7F" w:rsidRPr="00881C88" w:rsidRDefault="00491B7F"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However, various challenges continue to impact the effective functioning of these platforms, particularly in terms of content updating and technical management.</w:t>
      </w:r>
    </w:p>
    <w:p w14:paraId="6E26A96E" w14:textId="61412109" w:rsidR="00CC7D4D" w:rsidRPr="00881C88" w:rsidRDefault="006B4468" w:rsidP="00CC7D4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en-US" w:eastAsia="en-GB"/>
        </w:rPr>
      </w:pPr>
      <w:bookmarkStart w:id="6" w:name="_Toc230182067"/>
      <w:r w:rsidRPr="00881C88">
        <w:rPr>
          <w:rFonts w:asciiTheme="majorHAnsi" w:eastAsia="Times New Roman" w:hAnsiTheme="majorHAnsi" w:cstheme="majorHAnsi"/>
          <w:b/>
          <w:bCs/>
          <w:color w:val="2F5496" w:themeColor="accent5" w:themeShade="BF"/>
          <w:kern w:val="36"/>
          <w:lang w:val="en-US" w:eastAsia="en-GB"/>
        </w:rPr>
        <w:t>PURPOSE OF THE REPORT</w:t>
      </w:r>
      <w:bookmarkEnd w:id="6"/>
    </w:p>
    <w:p w14:paraId="35BD0011" w14:textId="50C43563" w:rsidR="006B4468" w:rsidRPr="00881C88" w:rsidRDefault="006B4468" w:rsidP="00CC7D4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Transparency Assessment Report for the period January–December 2025 aims to present a comprehensive assessment of the level of transparency in all municipalities of the Republic of Kosovo, in relation to the fulfillment of legal obligations for public information. More specifically, the report aims to provide an accurate and objective overview of the publication of municipal activities, legal acts and public documents, to inform institutions and the public about the state of transparency at the municipal level, to assess the functionality and content of official websites, and to contribute to increasing institutional accountability and improving transparency.</w:t>
      </w:r>
    </w:p>
    <w:p w14:paraId="004AF718" w14:textId="2B860E6F" w:rsidR="006B4468" w:rsidRPr="00881C88" w:rsidRDefault="006B4468" w:rsidP="00A1058D">
      <w:pPr>
        <w:spacing w:before="100" w:beforeAutospacing="1" w:after="100" w:afterAutospacing="1" w:line="276" w:lineRule="auto"/>
        <w:rPr>
          <w:rFonts w:asciiTheme="majorHAnsi" w:eastAsia="Times New Roman" w:hAnsiTheme="majorHAnsi" w:cstheme="majorHAnsi"/>
          <w:lang w:val="en-US" w:eastAsia="en-GB"/>
        </w:rPr>
      </w:pPr>
      <w:bookmarkStart w:id="7" w:name="_Toc56692983"/>
      <w:bookmarkStart w:id="8" w:name="_Toc81401209"/>
      <w:bookmarkStart w:id="9" w:name="_Toc85812813"/>
      <w:bookmarkStart w:id="10" w:name="_Toc130455674"/>
      <w:bookmarkEnd w:id="4"/>
      <w:r w:rsidRPr="00881C88">
        <w:rPr>
          <w:rFonts w:asciiTheme="majorHAnsi" w:eastAsia="Times New Roman" w:hAnsiTheme="majorHAnsi" w:cstheme="majorHAnsi"/>
          <w:lang w:val="en-US" w:eastAsia="en-GB"/>
        </w:rPr>
        <w:t>Within the framework of this report, data for 38 municipalities were analyzed, based on measurable transparency indicators, including publication of acts, financial transparency, public procurement, public consultations and provision of services to citizens.</w:t>
      </w:r>
    </w:p>
    <w:p w14:paraId="126B5914" w14:textId="05A04FAA" w:rsidR="00AD283B" w:rsidRPr="00881C88" w:rsidRDefault="006B4468" w:rsidP="00AD283B">
      <w:pPr>
        <w:pStyle w:val="Style2"/>
        <w:spacing w:line="276" w:lineRule="auto"/>
        <w:rPr>
          <w:rFonts w:asciiTheme="majorHAnsi" w:hAnsiTheme="majorHAnsi" w:cstheme="majorHAnsi"/>
          <w:lang w:val="en-US"/>
        </w:rPr>
      </w:pPr>
      <w:bookmarkStart w:id="11" w:name="_Toc230182068"/>
      <w:r w:rsidRPr="00881C88">
        <w:rPr>
          <w:rFonts w:asciiTheme="majorHAnsi" w:hAnsiTheme="majorHAnsi" w:cstheme="majorHAnsi"/>
          <w:lang w:val="en-US"/>
        </w:rPr>
        <w:t>METHODOLOGY</w:t>
      </w:r>
      <w:bookmarkEnd w:id="11"/>
    </w:p>
    <w:p w14:paraId="58D4D93D" w14:textId="7F62208F" w:rsidR="006B4468" w:rsidRPr="00881C88" w:rsidRDefault="006B4468" w:rsidP="00AD283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Statistical and comparative methods were used to draft this report, with the aim of ensuring the most objective and verifiable analysis of the level of transparency.</w:t>
      </w:r>
    </w:p>
    <w:p w14:paraId="42076B49" w14:textId="351E52A9" w:rsidR="006B4468" w:rsidRPr="00881C88" w:rsidRDefault="006B4468" w:rsidP="00AD283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data was collected through direct monitoring of official websites and processed in Excel format. It was then forwarded to the municipalities for verification. Municipalities that contested the data submitted comments accompanied by links through which the relevant documents could be verified.</w:t>
      </w:r>
    </w:p>
    <w:p w14:paraId="6EF5A53A" w14:textId="5E10C4F1" w:rsidR="006B4468" w:rsidRPr="00881C88" w:rsidRDefault="006B4468" w:rsidP="00AD283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Transparency Division has reviewed and verified all comments received from 19 municipalities and has notified each of them regarding the comments that, due to the impossibility of verification, were not included in the report. The final data for all municipalities have been analyzed in accordance with the defined transparency indicators.</w:t>
      </w:r>
    </w:p>
    <w:p w14:paraId="09E11733" w14:textId="1B333622" w:rsidR="00AD283B" w:rsidRPr="00881C88" w:rsidRDefault="006B4468" w:rsidP="00AD283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For comparison purposes, the data were compared with</w:t>
      </w:r>
      <w:r w:rsidR="00AD283B" w:rsidRPr="00881C88">
        <w:rPr>
          <w:rFonts w:asciiTheme="majorHAnsi" w:eastAsia="Times New Roman" w:hAnsiTheme="majorHAnsi" w:cstheme="majorHAnsi"/>
          <w:lang w:val="en-US" w:eastAsia="en-GB"/>
        </w:rPr>
        <w:t>:</w:t>
      </w:r>
    </w:p>
    <w:p w14:paraId="4321BDE5" w14:textId="115AAA81" w:rsidR="006B4468" w:rsidRPr="00881C88" w:rsidRDefault="006B4468" w:rsidP="006B4468">
      <w:pPr>
        <w:numPr>
          <w:ilvl w:val="0"/>
          <w:numId w:val="36"/>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legal obligations set out in the provisions in force in the field of public transparency;</w:t>
      </w:r>
    </w:p>
    <w:p w14:paraId="007EE57E" w14:textId="203783D5" w:rsidR="006B4468" w:rsidRPr="00881C88" w:rsidRDefault="006B4468" w:rsidP="006B4468">
      <w:pPr>
        <w:numPr>
          <w:ilvl w:val="0"/>
          <w:numId w:val="36"/>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official report on the functioning of municipalities for the period January-December 2025;</w:t>
      </w:r>
    </w:p>
    <w:p w14:paraId="52EACFDB" w14:textId="039E77EF" w:rsidR="006B4468" w:rsidRPr="00881C88" w:rsidRDefault="006B4468" w:rsidP="006B4468">
      <w:pPr>
        <w:numPr>
          <w:ilvl w:val="0"/>
          <w:numId w:val="36"/>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transparency assessment report for the period January-December 2024.</w:t>
      </w:r>
    </w:p>
    <w:p w14:paraId="603ABBC8" w14:textId="2655055D" w:rsidR="00A1058D" w:rsidRPr="00881C88" w:rsidRDefault="009E5F88"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en-US" w:eastAsia="en-GB"/>
        </w:rPr>
      </w:pPr>
      <w:bookmarkStart w:id="12" w:name="_Toc230182069"/>
      <w:r w:rsidRPr="00881C88">
        <w:rPr>
          <w:rFonts w:asciiTheme="majorHAnsi" w:eastAsia="Times New Roman" w:hAnsiTheme="majorHAnsi" w:cstheme="majorHAnsi"/>
          <w:b/>
          <w:bCs/>
          <w:color w:val="2F5496" w:themeColor="accent5" w:themeShade="BF"/>
          <w:kern w:val="36"/>
          <w:lang w:val="en-US" w:eastAsia="en-GB"/>
        </w:rPr>
        <w:t>LEGAL FRAMEWORK</w:t>
      </w:r>
      <w:bookmarkEnd w:id="12"/>
    </w:p>
    <w:p w14:paraId="4177CB40" w14:textId="3BB6DDB3" w:rsidR="009E5F88" w:rsidRPr="00881C88" w:rsidRDefault="009E5F88" w:rsidP="00A1058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assessment of municipal transparency is based on the legal framework in force in the Republic of Kosovo, which sets standards for transparency, accountability, access to public information, public finance management and the functioning of local government.</w:t>
      </w:r>
    </w:p>
    <w:p w14:paraId="4886A2F3" w14:textId="7E4D551A" w:rsidR="00A1058D" w:rsidRPr="00881C88" w:rsidRDefault="009E5F88" w:rsidP="00A1058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this context, the main legal basis includes</w:t>
      </w:r>
      <w:r w:rsidR="00A1058D" w:rsidRPr="00881C88">
        <w:rPr>
          <w:rFonts w:asciiTheme="majorHAnsi" w:eastAsia="Times New Roman" w:hAnsiTheme="majorHAnsi" w:cstheme="majorHAnsi"/>
          <w:lang w:val="en-US" w:eastAsia="en-GB"/>
        </w:rPr>
        <w:t>:</w:t>
      </w:r>
    </w:p>
    <w:p w14:paraId="24100C55" w14:textId="6912FFAF"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The Constitution of the Republic of Kosovo,</w:t>
      </w:r>
      <w:r w:rsidRPr="00881C88">
        <w:rPr>
          <w:rFonts w:asciiTheme="majorHAnsi" w:eastAsia="Times New Roman" w:hAnsiTheme="majorHAnsi" w:cstheme="majorHAnsi"/>
          <w:lang w:val="en-US" w:eastAsia="en-GB"/>
        </w:rPr>
        <w:t xml:space="preserve"> which guarantees the right of access to public information and obliges public institutions to transparency and accountability;</w:t>
      </w:r>
    </w:p>
    <w:p w14:paraId="16B5CC82" w14:textId="1EF9F3D9"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03/L-040 on Local Self-Government</w:t>
      </w:r>
      <w:r w:rsidRPr="00881C88">
        <w:rPr>
          <w:rFonts w:asciiTheme="majorHAnsi" w:eastAsia="Times New Roman" w:hAnsiTheme="majorHAnsi" w:cstheme="majorHAnsi"/>
          <w:lang w:val="en-US" w:eastAsia="en-GB"/>
        </w:rPr>
        <w:t>, which defines the competencies and obligations of municipalities, including transparency in decision-making and public information;</w:t>
      </w:r>
    </w:p>
    <w:p w14:paraId="57735078" w14:textId="582C4EFE"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06/L-081 on Access to Public Documents</w:t>
      </w:r>
      <w:r w:rsidRPr="00881C88">
        <w:rPr>
          <w:rFonts w:asciiTheme="majorHAnsi" w:eastAsia="Times New Roman" w:hAnsiTheme="majorHAnsi" w:cstheme="majorHAnsi"/>
          <w:lang w:val="en-US" w:eastAsia="en-GB"/>
        </w:rPr>
        <w:t>, which guarantees the right of citizens to access official documents and regulates the procedures for the exercise of this right;</w:t>
      </w:r>
    </w:p>
    <w:p w14:paraId="7DE3031A" w14:textId="2DAB6A35"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03/L-048 on Public Financial Management and Accountability</w:t>
      </w:r>
      <w:r w:rsidRPr="00881C88">
        <w:rPr>
          <w:rFonts w:asciiTheme="majorHAnsi" w:eastAsia="Times New Roman" w:hAnsiTheme="majorHAnsi" w:cstheme="majorHAnsi"/>
          <w:lang w:val="en-US" w:eastAsia="en-GB"/>
        </w:rPr>
        <w:t>, which regulates the management, reporting and transparency of public expenditures;</w:t>
      </w:r>
    </w:p>
    <w:p w14:paraId="08FAF1C9" w14:textId="728962C8"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04/L-042 on Public Procurement</w:t>
      </w:r>
      <w:r w:rsidRPr="00881C88">
        <w:rPr>
          <w:rFonts w:asciiTheme="majorHAnsi" w:eastAsia="Times New Roman" w:hAnsiTheme="majorHAnsi" w:cstheme="majorHAnsi"/>
          <w:lang w:val="en-US" w:eastAsia="en-GB"/>
        </w:rPr>
        <w:t>, which establishes the principles of transparency, equality and competition in public procurement procedures, as well as the obligation to publish procurement data and decisions;</w:t>
      </w:r>
    </w:p>
    <w:p w14:paraId="1E1A70E2" w14:textId="5330DAE9"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08/L-284 on Administrative Review of Municipal Acts,</w:t>
      </w:r>
      <w:r w:rsidRPr="00881C88">
        <w:rPr>
          <w:rFonts w:asciiTheme="majorHAnsi" w:eastAsia="Times New Roman" w:hAnsiTheme="majorHAnsi" w:cstheme="majorHAnsi"/>
          <w:lang w:val="en-US" w:eastAsia="en-GB"/>
        </w:rPr>
        <w:t xml:space="preserve"> which regulates the process of reviewing and legality of municipal acts;</w:t>
      </w:r>
    </w:p>
    <w:p w14:paraId="77693ECD" w14:textId="1BEFD86F"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Law No. 06/L-082 on Personal Data Protection</w:t>
      </w:r>
      <w:r w:rsidRPr="00881C88">
        <w:rPr>
          <w:rFonts w:asciiTheme="majorHAnsi" w:eastAsia="Times New Roman" w:hAnsiTheme="majorHAnsi" w:cstheme="majorHAnsi"/>
          <w:lang w:val="en-US" w:eastAsia="en-GB"/>
        </w:rPr>
        <w:t>, which regulates the processing and publication of personal data in accordance with the principles of privacy and transparency;</w:t>
      </w:r>
    </w:p>
    <w:p w14:paraId="1B9B413A" w14:textId="7DBAAF48"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Administrative Instruction No. 04/2023 on Open Administration in Municipalities</w:t>
      </w:r>
      <w:r w:rsidRPr="00881C88">
        <w:rPr>
          <w:rFonts w:asciiTheme="majorHAnsi" w:eastAsia="Times New Roman" w:hAnsiTheme="majorHAnsi" w:cstheme="majorHAnsi"/>
          <w:lang w:val="en-US" w:eastAsia="en-GB"/>
        </w:rPr>
        <w:t>, which sets standards for proactive publication of information and institutional transparency;</w:t>
      </w:r>
    </w:p>
    <w:p w14:paraId="2E220033" w14:textId="16000A11" w:rsidR="009E5F88" w:rsidRPr="00881C88" w:rsidRDefault="009E5F88"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Regulation No. 02/2021 on the Procedure for Drafting and Publishing Municipal Acts</w:t>
      </w:r>
      <w:r w:rsidRPr="00881C88">
        <w:rPr>
          <w:rFonts w:asciiTheme="majorHAnsi" w:eastAsia="Times New Roman" w:hAnsiTheme="majorHAnsi" w:cstheme="majorHAnsi"/>
          <w:lang w:val="en-US" w:eastAsia="en-GB"/>
        </w:rPr>
        <w:t>, which regulates the manner of drafting, publishing and accessing municipal acts;</w:t>
      </w:r>
    </w:p>
    <w:p w14:paraId="34BA5943" w14:textId="78785C54" w:rsidR="009E5F88" w:rsidRPr="00881C88" w:rsidRDefault="00830DD5" w:rsidP="009E5F88">
      <w:pPr>
        <w:numPr>
          <w:ilvl w:val="0"/>
          <w:numId w:val="38"/>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w:t>
      </w:r>
      <w:r w:rsidR="009E5F88" w:rsidRPr="00881C88">
        <w:rPr>
          <w:rFonts w:asciiTheme="majorHAnsi" w:eastAsia="Times New Roman" w:hAnsiTheme="majorHAnsi" w:cstheme="majorHAnsi"/>
          <w:lang w:val="en-US" w:eastAsia="en-GB"/>
        </w:rPr>
        <w:t>s well as other sub-legal acts and administrative instructions that regulate specific areas of the functioning of public administration, including municipal services, official documentation and digital transparency</w:t>
      </w:r>
      <w:r w:rsidRPr="00881C88">
        <w:rPr>
          <w:rFonts w:asciiTheme="majorHAnsi" w:eastAsia="Times New Roman" w:hAnsiTheme="majorHAnsi" w:cstheme="majorHAnsi"/>
          <w:lang w:val="en-US" w:eastAsia="en-GB"/>
        </w:rPr>
        <w:t>.</w:t>
      </w:r>
    </w:p>
    <w:p w14:paraId="54D29A3A" w14:textId="77777777" w:rsidR="00873758" w:rsidRPr="00881C88" w:rsidRDefault="00873758" w:rsidP="00A70BC5">
      <w:pPr>
        <w:pStyle w:val="Style2"/>
        <w:spacing w:line="276" w:lineRule="auto"/>
        <w:rPr>
          <w:rFonts w:asciiTheme="majorHAnsi" w:hAnsiTheme="majorHAnsi" w:cstheme="majorHAnsi"/>
          <w:lang w:val="en-US"/>
        </w:rPr>
      </w:pPr>
    </w:p>
    <w:p w14:paraId="2E738BAC" w14:textId="42894237" w:rsidR="00E05816" w:rsidRPr="00881C88" w:rsidRDefault="00830DD5" w:rsidP="00F12D0B">
      <w:pPr>
        <w:pStyle w:val="Style2"/>
        <w:spacing w:line="276" w:lineRule="auto"/>
        <w:rPr>
          <w:rFonts w:asciiTheme="majorHAnsi" w:hAnsiTheme="majorHAnsi" w:cstheme="majorHAnsi"/>
          <w:lang w:val="en-US"/>
        </w:rPr>
      </w:pPr>
      <w:bookmarkStart w:id="13" w:name="_Toc230182070"/>
      <w:bookmarkEnd w:id="7"/>
      <w:bookmarkEnd w:id="8"/>
      <w:bookmarkEnd w:id="9"/>
      <w:bookmarkEnd w:id="10"/>
      <w:r w:rsidRPr="00881C88">
        <w:rPr>
          <w:rFonts w:asciiTheme="majorHAnsi" w:hAnsiTheme="majorHAnsi" w:cstheme="majorHAnsi"/>
          <w:lang w:val="en-US"/>
        </w:rPr>
        <w:t>TRANSPARENCY OF THE WORK OF MUNICIPAL ASSEMBLIES</w:t>
      </w:r>
      <w:bookmarkEnd w:id="13"/>
    </w:p>
    <w:p w14:paraId="7D4FBBE2" w14:textId="601D0680" w:rsidR="00EA1235" w:rsidRPr="00881C88" w:rsidRDefault="00EA1235" w:rsidP="00F12D0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Municipal Assembly constitutes the highest representative body of local government and at the same time the legally authorized body to supervise the work of the municipal executive, in accordance with the legislation in force. In this capacity, it exercises essential functions in terms of ensuring democratic governance at the local level and guaranteeing institutional accountability.</w:t>
      </w:r>
    </w:p>
    <w:p w14:paraId="3E291879" w14:textId="333624D4" w:rsidR="00A318AF" w:rsidRPr="00881C88" w:rsidRDefault="00A318AF" w:rsidP="00F12D0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For the effective exercise of its mandate, the Municipal Assembly meets regularly to carry out the responsibilities and competencies defined by law. Within the framework of these responsibilities, it adopts normative acts necessary for the functioning of the municipality, including acts expressly required by the legislation in force, as well as those that, based on legal provisions, are left to the discretion of the municipality to be issued according to local needs and specificities.</w:t>
      </w:r>
    </w:p>
    <w:p w14:paraId="71CE6079" w14:textId="6C7A2F16" w:rsidR="00A318AF" w:rsidRPr="00881C88" w:rsidRDefault="00A318AF" w:rsidP="00F12D0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Municipal Assembly addresses and decides on issues of local public interest, ensuring democratic debate, transparent decision-making and representation of citizens' interests in municipal governance processes.</w:t>
      </w:r>
    </w:p>
    <w:p w14:paraId="186575F9" w14:textId="730306C8" w:rsidR="00A1058D" w:rsidRPr="00881C88" w:rsidRDefault="00A318AF" w:rsidP="00A1058D">
      <w:pPr>
        <w:spacing w:before="100" w:beforeAutospacing="1" w:after="100" w:afterAutospacing="1" w:line="276" w:lineRule="auto"/>
        <w:outlineLvl w:val="0"/>
        <w:rPr>
          <w:rFonts w:asciiTheme="majorHAnsi" w:eastAsia="Times New Roman" w:hAnsiTheme="majorHAnsi" w:cstheme="majorHAnsi"/>
          <w:b/>
          <w:bCs/>
          <w:color w:val="2F5496" w:themeColor="accent5" w:themeShade="BF"/>
          <w:kern w:val="36"/>
          <w:lang w:val="en-US" w:eastAsia="en-GB"/>
        </w:rPr>
      </w:pPr>
      <w:bookmarkStart w:id="14" w:name="_Toc230182071"/>
      <w:bookmarkStart w:id="15" w:name="_Toc130455675"/>
      <w:bookmarkStart w:id="16" w:name="_Toc130462780"/>
      <w:r w:rsidRPr="00881C88">
        <w:rPr>
          <w:rFonts w:asciiTheme="majorHAnsi" w:eastAsia="Times New Roman" w:hAnsiTheme="majorHAnsi" w:cstheme="majorHAnsi"/>
          <w:b/>
          <w:bCs/>
          <w:color w:val="2F5496" w:themeColor="accent5" w:themeShade="BF"/>
          <w:kern w:val="36"/>
          <w:lang w:val="en-US" w:eastAsia="en-GB"/>
        </w:rPr>
        <w:t>NOTICES OF MEETINGS OF MUNICIPAL ASSEMBLIES</w:t>
      </w:r>
      <w:bookmarkEnd w:id="14"/>
    </w:p>
    <w:p w14:paraId="4E03954F" w14:textId="72785031" w:rsidR="00A318AF" w:rsidRPr="00881C88" w:rsidRDefault="00A318AF" w:rsidP="00A1058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Law No. 03/L-040 on Local Self-Government establishes minimum standards for the functioning of the Municipal Assembly, in order to ensure the effective exercise of its powers. In this context, the law provides for the holding of at least 10 meetings per year, of which five must be held during the first half of the year.</w:t>
      </w:r>
    </w:p>
    <w:p w14:paraId="154EFA1F" w14:textId="1BF07A57" w:rsidR="00A318AF" w:rsidRPr="00881C88" w:rsidRDefault="00A318AF" w:rsidP="00A1058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Before each meeting of the Assembly, the Chairperson of the Assembly is obliged to notify the public, through the publication of a notice on the official website of the municipality, social networks or media, at least 7 working days before regular meetings, 3 working days before extraordinary meetings, as well as on the same day in cases of urgent meetings.</w:t>
      </w:r>
    </w:p>
    <w:p w14:paraId="16BDBDE8" w14:textId="25D51415" w:rsidR="00A318AF" w:rsidRPr="00881C88" w:rsidRDefault="00A318AF" w:rsidP="00A1058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402 invitations to Municipal Assembly meetings were published by 33 municipalities, which constitutes 86.8% of municipalities. While 5 municipalities, or 13.2%, have not published any invitations to Assembly meetings and have not fulfilled this legal obligation.</w:t>
      </w:r>
    </w:p>
    <w:p w14:paraId="2D9CCFE3" w14:textId="34C98CE6" w:rsidR="00A318AF" w:rsidRPr="00881C88" w:rsidRDefault="00A318AF" w:rsidP="00A318A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the Municipal Performance Report for 2025, the municipal assemblies of the Republic of Kosovo have held a total of 430 meetings. In comparison, 402 invitations have been published, which means that the publication of 28 invitations to the Assembly meetings are missing.</w:t>
      </w:r>
    </w:p>
    <w:p w14:paraId="73E012A6" w14:textId="5EFD01AF" w:rsidR="00A318AF" w:rsidRPr="00881C88" w:rsidRDefault="00A318AF" w:rsidP="00A318A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published any invitations to the Municipal Assembly meetings are: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and </w:t>
      </w:r>
      <w:proofErr w:type="spellStart"/>
      <w:r w:rsidRPr="00881C88">
        <w:rPr>
          <w:rFonts w:asciiTheme="majorHAnsi" w:eastAsia="Times New Roman" w:hAnsiTheme="majorHAnsi" w:cstheme="majorHAnsi"/>
          <w:lang w:val="en-US" w:eastAsia="en-GB"/>
        </w:rPr>
        <w:t>Leposaviq</w:t>
      </w:r>
      <w:proofErr w:type="spellEnd"/>
      <w:r w:rsidRPr="00881C88">
        <w:rPr>
          <w:rFonts w:asciiTheme="majorHAnsi" w:eastAsia="Times New Roman" w:hAnsiTheme="majorHAnsi" w:cstheme="majorHAnsi"/>
          <w:lang w:val="en-US" w:eastAsia="en-GB"/>
        </w:rPr>
        <w:t>.</w:t>
      </w:r>
    </w:p>
    <w:p w14:paraId="38A4EF33" w14:textId="76386CAD" w:rsidR="00A318AF" w:rsidRPr="00881C88" w:rsidRDefault="00A318AF" w:rsidP="00A318A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with comparative data regarding the publication of notices for the Municipal Assembly meetings.</w:t>
      </w:r>
    </w:p>
    <w:bookmarkEnd w:id="15"/>
    <w:bookmarkEnd w:id="16"/>
    <w:p w14:paraId="31476141" w14:textId="3CD46589" w:rsidR="004D0F33" w:rsidRPr="00881C88" w:rsidRDefault="00480C1B" w:rsidP="00A70BC5">
      <w:pPr>
        <w:spacing w:line="276" w:lineRule="auto"/>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5F81E0E0" wp14:editId="33095224">
            <wp:extent cx="5947200" cy="1903730"/>
            <wp:effectExtent l="0" t="0" r="15875" b="1270"/>
            <wp:docPr id="51" name="Chart 51">
              <a:extLst xmlns:a="http://schemas.openxmlformats.org/drawingml/2006/main">
                <a:ext uri="{FF2B5EF4-FFF2-40B4-BE49-F238E27FC236}">
                  <a16:creationId xmlns:a16="http://schemas.microsoft.com/office/drawing/2014/main" id="{C128208A-2FE8-4BCA-8972-EDB011A4D8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6ABA9B" w14:textId="0150B3EF" w:rsidR="0054277E" w:rsidRPr="00881C88" w:rsidRDefault="00E908F5" w:rsidP="009F4BE1">
      <w:pPr>
        <w:spacing w:line="276" w:lineRule="auto"/>
        <w:jc w:val="center"/>
        <w:rPr>
          <w:rFonts w:asciiTheme="majorHAnsi" w:eastAsia="Times New Roman" w:hAnsiTheme="majorHAnsi" w:cstheme="majorHAnsi"/>
          <w:bCs/>
          <w:kern w:val="20"/>
          <w:lang w:val="en-US"/>
        </w:rPr>
      </w:pPr>
      <w:r w:rsidRPr="00881C88">
        <w:rPr>
          <w:rFonts w:asciiTheme="majorHAnsi" w:hAnsiTheme="majorHAnsi" w:cstheme="majorHAnsi"/>
          <w:bCs/>
          <w:i/>
          <w:sz w:val="14"/>
          <w:szCs w:val="16"/>
          <w:lang w:val="en-US"/>
        </w:rPr>
        <w:t xml:space="preserve">Fig.1. </w:t>
      </w:r>
      <w:r w:rsidR="007706D3" w:rsidRPr="00881C88">
        <w:rPr>
          <w:rFonts w:asciiTheme="majorHAnsi" w:hAnsiTheme="majorHAnsi" w:cstheme="majorHAnsi"/>
          <w:bCs/>
          <w:i/>
          <w:sz w:val="14"/>
          <w:szCs w:val="16"/>
          <w:lang w:val="en-US"/>
        </w:rPr>
        <w:t xml:space="preserve"> </w:t>
      </w:r>
      <w:r w:rsidR="00122906" w:rsidRPr="00881C88">
        <w:rPr>
          <w:rFonts w:asciiTheme="majorHAnsi" w:hAnsiTheme="majorHAnsi" w:cstheme="majorHAnsi"/>
          <w:bCs/>
          <w:i/>
          <w:sz w:val="14"/>
          <w:szCs w:val="16"/>
          <w:lang w:val="en-US"/>
        </w:rPr>
        <w:t>Publication of invitations for Municipal Assembly meetings</w:t>
      </w:r>
    </w:p>
    <w:p w14:paraId="0B85846F" w14:textId="77777777" w:rsidR="001F364F" w:rsidRPr="00881C88" w:rsidRDefault="001F364F" w:rsidP="00A70BC5">
      <w:pPr>
        <w:spacing w:line="276" w:lineRule="auto"/>
        <w:rPr>
          <w:rFonts w:asciiTheme="majorHAnsi" w:hAnsiTheme="majorHAnsi" w:cstheme="majorHAnsi"/>
          <w:b/>
          <w:color w:val="2F5496" w:themeColor="accent5" w:themeShade="BF"/>
          <w:sz w:val="24"/>
          <w:szCs w:val="24"/>
          <w:lang w:val="en-US"/>
        </w:rPr>
      </w:pPr>
      <w:bookmarkStart w:id="17" w:name="_Toc130455676"/>
    </w:p>
    <w:p w14:paraId="1C364BAD" w14:textId="4DB607C1" w:rsidR="005F412B" w:rsidRPr="00881C88" w:rsidRDefault="009A0B1D" w:rsidP="00A70BC5">
      <w:pPr>
        <w:pStyle w:val="Style2"/>
        <w:spacing w:line="276" w:lineRule="auto"/>
        <w:rPr>
          <w:rFonts w:asciiTheme="majorHAnsi" w:hAnsiTheme="majorHAnsi" w:cstheme="majorHAnsi"/>
          <w:lang w:val="en-US"/>
        </w:rPr>
      </w:pPr>
      <w:bookmarkStart w:id="18" w:name="_Toc230182072"/>
      <w:bookmarkEnd w:id="17"/>
      <w:r w:rsidRPr="00881C88">
        <w:rPr>
          <w:rFonts w:asciiTheme="majorHAnsi" w:hAnsiTheme="majorHAnsi" w:cstheme="majorHAnsi"/>
          <w:lang w:val="en-US"/>
        </w:rPr>
        <w:t>POLICY AND FINANCE COMMITTEE</w:t>
      </w:r>
      <w:bookmarkEnd w:id="18"/>
    </w:p>
    <w:p w14:paraId="65DF1DB0" w14:textId="2434A9EC"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Law No. 03/L-040 on Local Self-Government, Article 51, Paragraph 51.1, municipal assemblies establish mandatory committees, including the Committee on Policy and Finance and the Committee on Communities, as permanent committees.</w:t>
      </w:r>
    </w:p>
    <w:p w14:paraId="04CD15A0" w14:textId="0766F76A"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Policy and Finance Committee is responsible for reviewing all policies, fiscal and financial documents, plans and initiatives of the municipality. In this context, it reviews the strategic planning documents, the Medium-Term Budget Framework, the Annual Procurement Plan, the annual regulation on taxes, fees and charges, the Annual Internal Audit Work Plan, the annual budget, as well as any changes to the budget during the fiscal year. The committee also reviews the reports of the mayor and presents recommendations to the Municipal Assembly.</w:t>
      </w:r>
    </w:p>
    <w:p w14:paraId="7F65E11C" w14:textId="1EEB84FE"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258 invitations to meetings of the Committee on Policy and Finance were published by 28 municipalities, which constitutes 73.7% of the total number of municipalities. Meanwhile, 10 municipalities, or 26.3%, have not published any invitations to meetings of this committee, thus failing to fulfill this transparency obligation.</w:t>
      </w:r>
    </w:p>
    <w:p w14:paraId="6DCDBAE2" w14:textId="17BA1673"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the Municipalities' Functioning Report for 2025, a total of 338 meetings of the Committee for Policy and Finance were held, while only 258 invitations were published. This means that 80 invitations to meetings of this committee were not published.</w:t>
      </w:r>
    </w:p>
    <w:p w14:paraId="7B9AFD63" w14:textId="31150847"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published any invitations for meetings of the Committee for Politics and Finance are: </w:t>
      </w:r>
      <w:proofErr w:type="spellStart"/>
      <w:r w:rsidRPr="00881C88">
        <w:rPr>
          <w:rFonts w:asciiTheme="majorHAnsi" w:eastAsia="Times New Roman" w:hAnsiTheme="majorHAnsi" w:cstheme="majorHAnsi"/>
          <w:lang w:val="en-US" w:eastAsia="en-GB"/>
        </w:rPr>
        <w:t>Fushe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Kosova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Junik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Kllokot</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Partesh</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Leposaviq</w:t>
      </w:r>
      <w:proofErr w:type="spellEnd"/>
      <w:r w:rsidRPr="00881C88">
        <w:rPr>
          <w:rFonts w:asciiTheme="majorHAnsi" w:eastAsia="Times New Roman" w:hAnsiTheme="majorHAnsi" w:cstheme="majorHAnsi"/>
          <w:lang w:val="en-US" w:eastAsia="en-GB"/>
        </w:rPr>
        <w:t xml:space="preserve"> and North Mitrovica.</w:t>
      </w:r>
    </w:p>
    <w:p w14:paraId="4BBBEEB2" w14:textId="2DCCD21E" w:rsidR="009A0B1D" w:rsidRPr="00881C88" w:rsidRDefault="009A0B1D" w:rsidP="009D6147">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the Transparency Assessment Report for 2024, in which 325 invitations were published from 29 municipalities, while 9 municipalities did not publish any invitations, a decrease is observed in the number of invitations published for meetings of the Committee on Policy and Finance during 2025.</w:t>
      </w:r>
    </w:p>
    <w:p w14:paraId="419E9134" w14:textId="115727C3" w:rsidR="00873758" w:rsidRPr="00881C88" w:rsidRDefault="00142911" w:rsidP="00142911">
      <w:pPr>
        <w:spacing w:line="276" w:lineRule="auto"/>
        <w:jc w:val="left"/>
        <w:rPr>
          <w:rFonts w:asciiTheme="majorHAnsi" w:hAnsiTheme="majorHAnsi" w:cstheme="majorHAnsi"/>
          <w:lang w:val="en-US"/>
        </w:rPr>
      </w:pPr>
      <w:bookmarkStart w:id="19" w:name="_Toc130455677"/>
      <w:r w:rsidRPr="00881C88">
        <w:rPr>
          <w:rFonts w:asciiTheme="majorHAnsi" w:eastAsia="Times New Roman" w:hAnsiTheme="majorHAnsi" w:cstheme="majorHAnsi"/>
          <w:lang w:val="en-US" w:eastAsia="en-GB"/>
        </w:rPr>
        <w:t>The following is a figure with comparative data regarding the publication of notices for meetings of the Committee on Policy and Finance.</w:t>
      </w:r>
      <w:r w:rsidR="00480C1B" w:rsidRPr="00881C88">
        <w:rPr>
          <w:rFonts w:asciiTheme="majorHAnsi" w:hAnsiTheme="majorHAnsi" w:cstheme="majorHAnsi"/>
          <w:noProof/>
          <w:sz w:val="20"/>
          <w:szCs w:val="20"/>
          <w:lang w:val="en-US" w:eastAsia="sq-AL"/>
        </w:rPr>
        <w:drawing>
          <wp:inline distT="0" distB="0" distL="0" distR="0" wp14:anchorId="3E7FF42D" wp14:editId="4094F076">
            <wp:extent cx="5846230" cy="1685925"/>
            <wp:effectExtent l="0" t="0" r="2540" b="9525"/>
            <wp:docPr id="52" name="Chart 52">
              <a:extLst xmlns:a="http://schemas.openxmlformats.org/drawingml/2006/main">
                <a:ext uri="{FF2B5EF4-FFF2-40B4-BE49-F238E27FC236}">
                  <a16:creationId xmlns:a16="http://schemas.microsoft.com/office/drawing/2014/main" id="{6207FEE5-41CE-4391-AB1C-BD6B38D09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35412B" w14:textId="327D2415" w:rsidR="006E5A07" w:rsidRPr="00881C88" w:rsidRDefault="006E5A07" w:rsidP="005D1C05">
      <w:pPr>
        <w:spacing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Fig.2. </w:t>
      </w:r>
      <w:r w:rsidR="000473CE" w:rsidRPr="00881C88">
        <w:rPr>
          <w:rFonts w:asciiTheme="majorHAnsi" w:hAnsiTheme="majorHAnsi" w:cstheme="majorHAnsi"/>
          <w:i/>
          <w:sz w:val="14"/>
          <w:szCs w:val="14"/>
          <w:lang w:val="en-US"/>
        </w:rPr>
        <w:t>Notices for meetings of the Committee on Politics and Finance</w:t>
      </w:r>
    </w:p>
    <w:p w14:paraId="0DF4F02D" w14:textId="64C03A17" w:rsidR="00497257" w:rsidRPr="00881C88" w:rsidRDefault="000473CE" w:rsidP="005D1C05">
      <w:pPr>
        <w:pStyle w:val="Style2"/>
        <w:spacing w:line="276" w:lineRule="auto"/>
        <w:rPr>
          <w:rFonts w:asciiTheme="majorHAnsi" w:eastAsia="Times New Roman" w:hAnsiTheme="majorHAnsi" w:cstheme="majorHAnsi"/>
          <w:sz w:val="22"/>
          <w:szCs w:val="22"/>
          <w:lang w:val="en-US" w:eastAsia="en-GB"/>
        </w:rPr>
      </w:pPr>
      <w:bookmarkStart w:id="20" w:name="_Toc230182073"/>
      <w:r w:rsidRPr="00881C88">
        <w:rPr>
          <w:rFonts w:asciiTheme="majorHAnsi" w:eastAsia="Times New Roman" w:hAnsiTheme="majorHAnsi" w:cstheme="majorHAnsi"/>
          <w:sz w:val="22"/>
          <w:szCs w:val="22"/>
          <w:lang w:val="en-US" w:eastAsia="en-GB"/>
        </w:rPr>
        <w:t>COMMUNITY COMMITTEE</w:t>
      </w:r>
      <w:bookmarkEnd w:id="20"/>
    </w:p>
    <w:p w14:paraId="7A4DEB4E" w14:textId="532CA8F3" w:rsidR="000473CE" w:rsidRPr="00881C88" w:rsidRDefault="000473CE"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Committee on Communities, in accordance with Law No. 03/L-040 on Local Self-Government, is a mandatory body of the Municipal Assembly, responsible for reviewing the compliance of the actions of municipal authorities with the legislation in force. This committee has a mandate to analyze municipal policies, practices and activities, with the aim of guaranteeing full respect for the rights and interests of the communities living in the municipality.</w:t>
      </w:r>
    </w:p>
    <w:p w14:paraId="67F7D15D" w14:textId="6629F5A0" w:rsidR="000473CE" w:rsidRPr="00881C88" w:rsidRDefault="000473CE"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Committee on Communities recommends to the Municipal Assembly the necessary measures for the advancement, protection and development of the ethnic, cultural, religious and linguistic identity of communities, as well as for ensuring adequate protection of their rights within the municipality.</w:t>
      </w:r>
    </w:p>
    <w:p w14:paraId="3F7722BB" w14:textId="7929883F" w:rsidR="000473CE" w:rsidRPr="00881C88" w:rsidRDefault="000473CE"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124 invitations to the meetings of the Committee for Communities were published by 20 municipalities, which constitutes 53% of the total number of municipalities. Meanwhile, 18 municipalities, or 47%, have not published any invitations to the meetings of this committee, failing to fulfill their legal obligation for transparency.</w:t>
      </w:r>
    </w:p>
    <w:p w14:paraId="4C041BC0" w14:textId="23E52C8B" w:rsidR="000473CE" w:rsidRPr="00881C88" w:rsidRDefault="000473CE"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the Functioning Report of Municipalities for 2025, a total of 321 meetings of the Communities Committee were held, while only 124 invitations were published. This means that 197 invitations for meetings held by this committee during the reporting period were not published.</w:t>
      </w:r>
    </w:p>
    <w:p w14:paraId="38957D91" w14:textId="31EE88C3" w:rsidR="000473CE" w:rsidRPr="00881C88" w:rsidRDefault="000473CE"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fulfilled the legal obligation to publish invitations to the Communities Committee are: Decan, </w:t>
      </w:r>
      <w:proofErr w:type="spellStart"/>
      <w:r w:rsidRPr="00881C88">
        <w:rPr>
          <w:rFonts w:asciiTheme="majorHAnsi" w:eastAsia="Times New Roman" w:hAnsiTheme="majorHAnsi" w:cstheme="majorHAnsi"/>
          <w:lang w:val="en-US" w:eastAsia="en-GB"/>
        </w:rPr>
        <w:t>Fushe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Kosova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Gjakova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Gllogovc</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Istog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Junik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Kllokot</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Obiliq</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Partesh</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Skenderaj</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Suhareka</w:t>
      </w:r>
      <w:proofErr w:type="spellEnd"/>
      <w:r w:rsidRPr="00881C88">
        <w:rPr>
          <w:rFonts w:asciiTheme="majorHAnsi" w:eastAsia="Times New Roman" w:hAnsiTheme="majorHAnsi" w:cstheme="majorHAnsi"/>
          <w:lang w:val="en-US" w:eastAsia="en-GB"/>
        </w:rPr>
        <w:t xml:space="preserve">, Viti,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Leposaviq</w:t>
      </w:r>
      <w:proofErr w:type="spellEnd"/>
      <w:r w:rsidRPr="00881C88">
        <w:rPr>
          <w:rFonts w:asciiTheme="majorHAnsi" w:eastAsia="Times New Roman" w:hAnsiTheme="majorHAnsi" w:cstheme="majorHAnsi"/>
          <w:lang w:val="en-US" w:eastAsia="en-GB"/>
        </w:rPr>
        <w:t xml:space="preserve"> and North Mitrovica.</w:t>
      </w:r>
    </w:p>
    <w:p w14:paraId="483024B4" w14:textId="1D82D1FB" w:rsidR="00B318E1" w:rsidRPr="00881C88" w:rsidRDefault="00B318E1"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2024, when 173 invitations were published by 20 municipalities, while 18 municipalities did not publish any invitations, a decrease in the publication of invitations is observed during 2025, respectively with 49 invitations less. Meanwhile, the number of municipalities remains the same as the previous year.</w:t>
      </w:r>
    </w:p>
    <w:p w14:paraId="02A59E70" w14:textId="545C435A" w:rsidR="00272431" w:rsidRPr="00881C88" w:rsidRDefault="00B318E1"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following is a figure with comparative data regarding the publication of notices for the meetings of the Communities Committee for the period January–December </w:t>
      </w:r>
      <w:proofErr w:type="gramStart"/>
      <w:r w:rsidRPr="00881C88">
        <w:rPr>
          <w:rFonts w:asciiTheme="majorHAnsi" w:eastAsia="Times New Roman" w:hAnsiTheme="majorHAnsi" w:cstheme="majorHAnsi"/>
          <w:lang w:val="en-US" w:eastAsia="en-GB"/>
        </w:rPr>
        <w:t>2025.</w:t>
      </w:r>
      <w:r w:rsidR="00272431" w:rsidRPr="00881C88">
        <w:rPr>
          <w:rFonts w:asciiTheme="majorHAnsi" w:eastAsia="Times New Roman" w:hAnsiTheme="majorHAnsi" w:cstheme="majorHAnsi"/>
          <w:lang w:val="en-US" w:eastAsia="en-GB"/>
        </w:rPr>
        <w:t>.</w:t>
      </w:r>
      <w:proofErr w:type="gramEnd"/>
    </w:p>
    <w:p w14:paraId="234A211D" w14:textId="77777777" w:rsidR="00272431" w:rsidRPr="00881C88" w:rsidRDefault="00272431" w:rsidP="005D1C05">
      <w:pPr>
        <w:pStyle w:val="Style2"/>
        <w:spacing w:line="276" w:lineRule="auto"/>
        <w:rPr>
          <w:rFonts w:asciiTheme="majorHAnsi" w:eastAsia="Times New Roman" w:hAnsiTheme="majorHAnsi" w:cstheme="majorHAnsi"/>
          <w:sz w:val="22"/>
          <w:szCs w:val="22"/>
          <w:lang w:val="en-US" w:eastAsia="en-GB"/>
        </w:rPr>
      </w:pPr>
    </w:p>
    <w:bookmarkEnd w:id="19"/>
    <w:p w14:paraId="464DE8E4" w14:textId="787F39EE" w:rsidR="00322A5F" w:rsidRPr="00881C88" w:rsidRDefault="00480C1B" w:rsidP="00A70BC5">
      <w:pPr>
        <w:spacing w:line="276" w:lineRule="auto"/>
        <w:rPr>
          <w:rFonts w:asciiTheme="majorHAnsi" w:hAnsiTheme="majorHAnsi" w:cstheme="majorHAnsi"/>
          <w:bCs/>
          <w:lang w:val="en-US"/>
        </w:rPr>
      </w:pPr>
      <w:r w:rsidRPr="00881C88">
        <w:rPr>
          <w:rFonts w:asciiTheme="majorHAnsi" w:hAnsiTheme="majorHAnsi" w:cstheme="majorHAnsi"/>
          <w:noProof/>
          <w:lang w:val="en-US" w:eastAsia="sq-AL"/>
        </w:rPr>
        <w:drawing>
          <wp:inline distT="0" distB="0" distL="0" distR="0" wp14:anchorId="192ED388" wp14:editId="1B951F66">
            <wp:extent cx="5817235" cy="1706400"/>
            <wp:effectExtent l="0" t="0" r="12065" b="8255"/>
            <wp:docPr id="53" name="Chart 53">
              <a:extLst xmlns:a="http://schemas.openxmlformats.org/drawingml/2006/main">
                <a:ext uri="{FF2B5EF4-FFF2-40B4-BE49-F238E27FC236}">
                  <a16:creationId xmlns:a16="http://schemas.microsoft.com/office/drawing/2014/main" id="{2EE04C3E-90EC-4A62-A15C-9DA0A66310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5EC5163" w14:textId="2134E280" w:rsidR="006E5A07" w:rsidRPr="00881C88" w:rsidRDefault="007316F6" w:rsidP="005D1C05">
      <w:pPr>
        <w:spacing w:line="276" w:lineRule="auto"/>
        <w:jc w:val="center"/>
        <w:rPr>
          <w:rFonts w:asciiTheme="majorHAnsi" w:hAnsiTheme="majorHAnsi" w:cstheme="majorHAnsi"/>
          <w:bCs/>
          <w:i/>
          <w:sz w:val="14"/>
          <w:szCs w:val="14"/>
          <w:lang w:val="en-US"/>
        </w:rPr>
      </w:pPr>
      <w:r w:rsidRPr="00881C88">
        <w:rPr>
          <w:rFonts w:asciiTheme="majorHAnsi" w:hAnsiTheme="majorHAnsi" w:cstheme="majorHAnsi"/>
          <w:i/>
          <w:sz w:val="14"/>
          <w:szCs w:val="14"/>
          <w:lang w:val="en-US"/>
        </w:rPr>
        <w:t>Fig.</w:t>
      </w:r>
      <w:r w:rsidR="006E5A07" w:rsidRPr="00881C88">
        <w:rPr>
          <w:rFonts w:asciiTheme="majorHAnsi" w:hAnsiTheme="majorHAnsi" w:cstheme="majorHAnsi"/>
          <w:i/>
          <w:sz w:val="14"/>
          <w:szCs w:val="14"/>
          <w:lang w:val="en-US"/>
        </w:rPr>
        <w:t>3</w:t>
      </w:r>
      <w:r w:rsidR="0086716D" w:rsidRPr="00881C88">
        <w:rPr>
          <w:rFonts w:asciiTheme="majorHAnsi" w:hAnsiTheme="majorHAnsi" w:cstheme="majorHAnsi"/>
          <w:i/>
          <w:sz w:val="14"/>
          <w:szCs w:val="14"/>
          <w:lang w:val="en-US"/>
        </w:rPr>
        <w:t>.</w:t>
      </w:r>
      <w:r w:rsidR="0005516F" w:rsidRPr="00881C88">
        <w:rPr>
          <w:rFonts w:asciiTheme="majorHAnsi" w:hAnsiTheme="majorHAnsi" w:cstheme="majorHAnsi"/>
          <w:i/>
          <w:sz w:val="14"/>
          <w:szCs w:val="14"/>
          <w:lang w:val="en-US"/>
        </w:rPr>
        <w:t xml:space="preserve"> </w:t>
      </w:r>
      <w:r w:rsidR="00B318E1" w:rsidRPr="00881C88">
        <w:rPr>
          <w:rFonts w:asciiTheme="majorHAnsi" w:hAnsiTheme="majorHAnsi" w:cstheme="majorHAnsi"/>
          <w:i/>
          <w:sz w:val="14"/>
          <w:szCs w:val="14"/>
          <w:lang w:val="en-US"/>
        </w:rPr>
        <w:t>Notices for Community Committee meetings</w:t>
      </w:r>
    </w:p>
    <w:p w14:paraId="48AFC1AA" w14:textId="77777777" w:rsidR="00272431" w:rsidRPr="00881C88" w:rsidRDefault="00272431" w:rsidP="00A70BC5">
      <w:pPr>
        <w:spacing w:line="276" w:lineRule="auto"/>
        <w:rPr>
          <w:rFonts w:asciiTheme="majorHAnsi" w:hAnsiTheme="majorHAnsi" w:cstheme="majorHAnsi"/>
          <w:sz w:val="20"/>
          <w:lang w:val="en-US"/>
        </w:rPr>
      </w:pPr>
      <w:bookmarkStart w:id="21" w:name="_Toc130455678"/>
    </w:p>
    <w:bookmarkEnd w:id="21"/>
    <w:p w14:paraId="75D9E90A" w14:textId="2E969F1E" w:rsidR="00272431" w:rsidRPr="00881C88" w:rsidRDefault="00B318E1" w:rsidP="005D1C05">
      <w:pPr>
        <w:spacing w:line="276" w:lineRule="auto"/>
        <w:rPr>
          <w:rFonts w:asciiTheme="majorHAnsi" w:hAnsiTheme="majorHAnsi" w:cstheme="majorHAnsi"/>
          <w:b/>
          <w:color w:val="2F5496" w:themeColor="accent5" w:themeShade="BF"/>
          <w:szCs w:val="24"/>
          <w:lang w:val="en-US"/>
        </w:rPr>
      </w:pPr>
      <w:r w:rsidRPr="00881C88">
        <w:rPr>
          <w:rFonts w:asciiTheme="majorHAnsi" w:hAnsiTheme="majorHAnsi" w:cstheme="majorHAnsi"/>
          <w:b/>
          <w:color w:val="2F5496" w:themeColor="accent5" w:themeShade="BF"/>
          <w:szCs w:val="24"/>
          <w:lang w:val="en-US"/>
        </w:rPr>
        <w:t>PUBLICATION OF ACTS OF MUNICIPAL ASSEMBLIES</w:t>
      </w:r>
    </w:p>
    <w:p w14:paraId="0B6978C9" w14:textId="7A3C7120" w:rsidR="00B318E1" w:rsidRPr="00881C88" w:rsidRDefault="00B318E1"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Law No. 03/L-040 on Local Self-Government, the Municipal Assembly has the competence to adopt decisions and regulations for the implementation of laws that affect competencies at the local level. In this context, the Assembly adopts the Statute and Rules of Procedure, as well as issues decisions, regulations and other general acts that regulate the functioning of the municipal administration.</w:t>
      </w:r>
    </w:p>
    <w:p w14:paraId="5610CD95" w14:textId="29FE57A5" w:rsidR="00B318E1" w:rsidRPr="00881C88" w:rsidRDefault="00B318E1"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publication of acts constitutes an essential element of the process of their adoption and entry into force, after confirmation of legality by the supervisory authority. This process ensures institutional transparency and enables full information of the public on the acts in force at the local level. In this regard, the implementation of Regulation (MLGA) No. 02/2021 on the Procedure for Drafting and Publishing Municipal Acts, as well as Administrative Instruction No. 04/2023 on Open Administration in Municipalities, establishes the principles, rules and procedures for the publication of municipal normative acts.</w:t>
      </w:r>
    </w:p>
    <w:p w14:paraId="3EC0DC53" w14:textId="7CC408F7" w:rsidR="0082025C" w:rsidRPr="00881C88" w:rsidRDefault="0082025C"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the Report on the Functioning of Municipalities, during the period January-December 2025, a total of 1,478 acts were approved, of which 54 were regulations and 1,424 were decisions.</w:t>
      </w:r>
    </w:p>
    <w:p w14:paraId="0D633D39" w14:textId="62666E15" w:rsidR="0082025C" w:rsidRPr="00881C88" w:rsidRDefault="0082025C"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While the data from the Transparency Assessment Report show that a total of 1,203 acts have been published by 34 municipalities (90%), of which 54 are regulations and 1,149 are decisions, while 4 municipalities (10%) have not published any acts.</w:t>
      </w:r>
    </w:p>
    <w:p w14:paraId="0251311B" w14:textId="67F42D3F" w:rsidR="0082025C" w:rsidRPr="00881C88" w:rsidRDefault="0082025C"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From the comparison of these data, it results that the publication of 275 acts is missing, which represents a gap in the fulfillment of legal obligations for transparency and publication of municipal acts.</w:t>
      </w:r>
    </w:p>
    <w:p w14:paraId="0F001F8B" w14:textId="77777777" w:rsidR="0082025C" w:rsidRPr="00881C88" w:rsidRDefault="0082025C" w:rsidP="00272431">
      <w:pPr>
        <w:spacing w:before="100" w:beforeAutospacing="1" w:after="100" w:afterAutospacing="1" w:line="276" w:lineRule="auto"/>
        <w:rPr>
          <w:rFonts w:asciiTheme="majorHAnsi" w:eastAsia="Times New Roman" w:hAnsiTheme="majorHAnsi" w:cstheme="majorHAnsi"/>
          <w:lang w:val="en-US" w:eastAsia="en-GB"/>
        </w:rPr>
      </w:pPr>
    </w:p>
    <w:p w14:paraId="55CC8699" w14:textId="25F3A4A5" w:rsidR="00272431" w:rsidRPr="00881C88" w:rsidRDefault="0082025C" w:rsidP="0027243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with the number of acts published by all municipalities for the reporting period.</w:t>
      </w:r>
    </w:p>
    <w:p w14:paraId="280CECDC" w14:textId="236C95F8" w:rsidR="00104F6B" w:rsidRPr="00881C88" w:rsidRDefault="00A549DB" w:rsidP="00A549DB">
      <w:pPr>
        <w:spacing w:line="276" w:lineRule="auto"/>
        <w:rPr>
          <w:rFonts w:asciiTheme="majorHAnsi" w:hAnsiTheme="majorHAnsi" w:cstheme="majorHAnsi"/>
          <w:b/>
          <w:color w:val="2F5496" w:themeColor="accent5" w:themeShade="BF"/>
          <w:szCs w:val="24"/>
          <w:lang w:val="en-US"/>
        </w:rPr>
      </w:pPr>
      <w:r w:rsidRPr="00881C88">
        <w:rPr>
          <w:rFonts w:asciiTheme="majorHAnsi" w:hAnsiTheme="majorHAnsi" w:cstheme="majorHAnsi"/>
          <w:noProof/>
          <w:lang w:val="en-US" w:eastAsia="sq-AL"/>
        </w:rPr>
        <w:drawing>
          <wp:inline distT="0" distB="0" distL="0" distR="0" wp14:anchorId="1A1A839C" wp14:editId="0586A734">
            <wp:extent cx="5889600" cy="2109470"/>
            <wp:effectExtent l="0" t="0" r="16510" b="5080"/>
            <wp:docPr id="131" name="Chart 131">
              <a:extLst xmlns:a="http://schemas.openxmlformats.org/drawingml/2006/main">
                <a:ext uri="{FF2B5EF4-FFF2-40B4-BE49-F238E27FC236}">
                  <a16:creationId xmlns:a16="http://schemas.microsoft.com/office/drawing/2014/main" id="{3785813B-C9D4-4F79-98A7-9E6645DB6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Start w:id="22" w:name="_Toc130455542"/>
      <w:bookmarkStart w:id="23" w:name="_Toc130455679"/>
    </w:p>
    <w:p w14:paraId="2F7FF55D" w14:textId="13BCA946" w:rsidR="00C90220" w:rsidRPr="00881C88" w:rsidRDefault="00867D09" w:rsidP="00A549DB">
      <w:pPr>
        <w:spacing w:after="240" w:line="276" w:lineRule="auto"/>
        <w:jc w:val="center"/>
        <w:rPr>
          <w:rFonts w:asciiTheme="majorHAnsi" w:eastAsia="Times New Roman" w:hAnsiTheme="majorHAnsi" w:cstheme="majorHAnsi"/>
          <w:color w:val="000000"/>
          <w:sz w:val="12"/>
          <w:szCs w:val="14"/>
          <w:lang w:val="en-US" w:eastAsia="sq-AL"/>
        </w:rPr>
      </w:pPr>
      <w:r w:rsidRPr="00881C88">
        <w:rPr>
          <w:rFonts w:asciiTheme="majorHAnsi" w:eastAsia="Times New Roman" w:hAnsiTheme="majorHAnsi" w:cstheme="majorHAnsi"/>
          <w:i/>
          <w:color w:val="000000"/>
          <w:sz w:val="14"/>
          <w:szCs w:val="14"/>
          <w:lang w:val="en-US" w:eastAsia="sq-AL"/>
        </w:rPr>
        <w:t>Fig. 4</w:t>
      </w:r>
      <w:r w:rsidR="00C10222" w:rsidRPr="00881C88">
        <w:rPr>
          <w:rFonts w:asciiTheme="majorHAnsi" w:eastAsia="Times New Roman" w:hAnsiTheme="majorHAnsi" w:cstheme="majorHAnsi"/>
          <w:i/>
          <w:color w:val="000000"/>
          <w:sz w:val="14"/>
          <w:szCs w:val="14"/>
          <w:lang w:val="en-US" w:eastAsia="sq-AL"/>
        </w:rPr>
        <w:t xml:space="preserve"> </w:t>
      </w:r>
      <w:r w:rsidR="0082025C" w:rsidRPr="00881C88">
        <w:rPr>
          <w:rFonts w:asciiTheme="majorHAnsi" w:eastAsia="Times New Roman" w:hAnsiTheme="majorHAnsi" w:cstheme="majorHAnsi"/>
          <w:i/>
          <w:color w:val="000000"/>
          <w:sz w:val="14"/>
          <w:szCs w:val="14"/>
          <w:lang w:val="en-US" w:eastAsia="sq-AL"/>
        </w:rPr>
        <w:t>Publication of acts by municipalities</w:t>
      </w:r>
    </w:p>
    <w:p w14:paraId="2E5D1C20" w14:textId="07AC7E0E" w:rsidR="00BB3D64" w:rsidRPr="00881C88" w:rsidRDefault="00275028" w:rsidP="00BB3D64">
      <w:pPr>
        <w:pStyle w:val="Style2"/>
        <w:rPr>
          <w:rFonts w:asciiTheme="majorHAnsi" w:eastAsia="Times New Roman" w:hAnsiTheme="majorHAnsi" w:cstheme="majorHAnsi"/>
          <w:lang w:val="en-US" w:eastAsia="en-GB"/>
        </w:rPr>
      </w:pPr>
      <w:bookmarkStart w:id="24" w:name="_Toc230182074"/>
      <w:r w:rsidRPr="00881C88">
        <w:rPr>
          <w:rFonts w:asciiTheme="majorHAnsi" w:eastAsia="Times New Roman" w:hAnsiTheme="majorHAnsi" w:cstheme="majorHAnsi"/>
          <w:lang w:val="en-US" w:eastAsia="en-GB"/>
        </w:rPr>
        <w:t>DECISIONS OF THE MUNICIPAL ASSEMBLY</w:t>
      </w:r>
      <w:bookmarkEnd w:id="24"/>
    </w:p>
    <w:p w14:paraId="22AD3E08" w14:textId="3D55A4FD" w:rsidR="00275028" w:rsidRPr="00881C88" w:rsidRDefault="00275028" w:rsidP="00B97268">
      <w:p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data from monitoring the official websites of municipalities for the period January–December 2025, a total of 1,145 decisions of the Municipal Assembly from 33 municipalities were published, which constitutes 87% of the total number of municipalities. Meanwhile, 5 municipalities (13%) did not publish any decisions during the reporting period.</w:t>
      </w:r>
    </w:p>
    <w:p w14:paraId="5F0B90A1" w14:textId="6B7CD902" w:rsidR="00571A59" w:rsidRPr="00881C88" w:rsidRDefault="00571A59" w:rsidP="00B97268">
      <w:p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from the Municipal Functioning Report for 2025, according to which a total of 1,424 Municipal Assembly decisions were approved, monitoring of official websites shows that only 1,145 decisions were published.</w:t>
      </w:r>
    </w:p>
    <w:p w14:paraId="07E1C25A" w14:textId="6F57E0FE" w:rsidR="00571A59" w:rsidRPr="00881C88" w:rsidRDefault="00571A59" w:rsidP="00B97268">
      <w:p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This analysis concludes that the publication of 279 decisions of the Municipal Assembly is missing, which reflects a gap in fulfilling legal obligations for transparency and publication of decision-making acts at the local level.</w:t>
      </w:r>
    </w:p>
    <w:p w14:paraId="5E386A45" w14:textId="1A8B5CFB" w:rsidR="00571A59" w:rsidRPr="00881C88" w:rsidRDefault="00571A59" w:rsidP="00B97268">
      <w:p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figure shows data on the number of decisions published by municipalities during the period January–December 2025.</w:t>
      </w:r>
    </w:p>
    <w:p w14:paraId="12D40353" w14:textId="77777777" w:rsidR="00B97268" w:rsidRPr="00881C88" w:rsidRDefault="00B97268" w:rsidP="00BB3D64">
      <w:pPr>
        <w:pStyle w:val="Style2"/>
        <w:rPr>
          <w:rFonts w:asciiTheme="majorHAnsi" w:eastAsia="Times New Roman" w:hAnsiTheme="majorHAnsi" w:cstheme="majorHAnsi"/>
          <w:lang w:val="en-US" w:eastAsia="en-GB"/>
        </w:rPr>
      </w:pPr>
    </w:p>
    <w:bookmarkEnd w:id="22"/>
    <w:bookmarkEnd w:id="23"/>
    <w:p w14:paraId="2E5354EE" w14:textId="261AAAAD" w:rsidR="00867D09" w:rsidRPr="00881C88" w:rsidRDefault="00221BEB" w:rsidP="00A70BC5">
      <w:pPr>
        <w:spacing w:after="240" w:line="276" w:lineRule="auto"/>
        <w:rPr>
          <w:rFonts w:asciiTheme="majorHAnsi" w:hAnsiTheme="majorHAnsi" w:cstheme="majorHAnsi"/>
          <w:bCs/>
          <w:lang w:val="en-US"/>
        </w:rPr>
      </w:pPr>
      <w:r w:rsidRPr="00881C88">
        <w:rPr>
          <w:rFonts w:asciiTheme="majorHAnsi" w:hAnsiTheme="majorHAnsi" w:cstheme="majorHAnsi"/>
          <w:noProof/>
          <w:sz w:val="18"/>
          <w:szCs w:val="18"/>
          <w:lang w:val="en-US" w:eastAsia="sq-AL"/>
        </w:rPr>
        <w:drawing>
          <wp:inline distT="0" distB="0" distL="0" distR="0" wp14:anchorId="5C27DA4B" wp14:editId="174A5B08">
            <wp:extent cx="6020435" cy="1771200"/>
            <wp:effectExtent l="0" t="0" r="18415" b="635"/>
            <wp:docPr id="48" name="Chart 48">
              <a:extLst xmlns:a="http://schemas.openxmlformats.org/drawingml/2006/main">
                <a:ext uri="{FF2B5EF4-FFF2-40B4-BE49-F238E27FC236}">
                  <a16:creationId xmlns:a16="http://schemas.microsoft.com/office/drawing/2014/main" id="{593CE8DC-9D9A-460F-A50E-93CDF55269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32D16F" w14:textId="4D8E4BDF" w:rsidR="00337EE8" w:rsidRPr="00881C88" w:rsidRDefault="00F268DF" w:rsidP="0062583A">
      <w:pPr>
        <w:spacing w:after="240" w:line="276" w:lineRule="auto"/>
        <w:jc w:val="center"/>
        <w:rPr>
          <w:rFonts w:asciiTheme="majorHAnsi" w:hAnsiTheme="majorHAnsi" w:cstheme="majorHAnsi"/>
          <w:bCs/>
          <w:sz w:val="20"/>
          <w:szCs w:val="20"/>
          <w:lang w:val="en-US"/>
        </w:rPr>
      </w:pPr>
      <w:r w:rsidRPr="00881C88">
        <w:rPr>
          <w:rFonts w:asciiTheme="majorHAnsi" w:hAnsiTheme="majorHAnsi" w:cstheme="majorHAnsi"/>
          <w:i/>
          <w:sz w:val="14"/>
          <w:szCs w:val="14"/>
          <w:lang w:val="en-US"/>
        </w:rPr>
        <w:t xml:space="preserve">Fig </w:t>
      </w:r>
      <w:r w:rsidR="00867D09" w:rsidRPr="00881C88">
        <w:rPr>
          <w:rFonts w:asciiTheme="majorHAnsi" w:hAnsiTheme="majorHAnsi" w:cstheme="majorHAnsi"/>
          <w:i/>
          <w:sz w:val="14"/>
          <w:szCs w:val="14"/>
          <w:lang w:val="en-US"/>
        </w:rPr>
        <w:t>5</w:t>
      </w:r>
      <w:r w:rsidR="0086716D" w:rsidRPr="00881C88">
        <w:rPr>
          <w:rFonts w:asciiTheme="majorHAnsi" w:hAnsiTheme="majorHAnsi" w:cstheme="majorHAnsi"/>
          <w:i/>
          <w:sz w:val="14"/>
          <w:szCs w:val="14"/>
          <w:lang w:val="en-US"/>
        </w:rPr>
        <w:t xml:space="preserve"> </w:t>
      </w:r>
      <w:r w:rsidR="00571A59" w:rsidRPr="00881C88">
        <w:rPr>
          <w:rFonts w:asciiTheme="majorHAnsi" w:hAnsiTheme="majorHAnsi" w:cstheme="majorHAnsi"/>
          <w:i/>
          <w:sz w:val="14"/>
          <w:szCs w:val="14"/>
          <w:lang w:val="en-US"/>
        </w:rPr>
        <w:t>Number of published decisions of the municipal assembly</w:t>
      </w:r>
    </w:p>
    <w:p w14:paraId="27F01FEB" w14:textId="55274C54" w:rsidR="00961E5B" w:rsidRPr="00881C88" w:rsidRDefault="007D2BDB" w:rsidP="00BB3D64">
      <w:pPr>
        <w:pStyle w:val="Style2"/>
        <w:rPr>
          <w:rFonts w:asciiTheme="majorHAnsi" w:eastAsia="Times New Roman" w:hAnsiTheme="majorHAnsi" w:cstheme="majorHAnsi"/>
          <w:lang w:val="en-US" w:eastAsia="sq-AL"/>
        </w:rPr>
      </w:pPr>
      <w:r w:rsidRPr="00881C88">
        <w:rPr>
          <w:rFonts w:asciiTheme="majorHAnsi" w:eastAsia="Times New Roman" w:hAnsiTheme="majorHAnsi" w:cstheme="majorHAnsi"/>
          <w:sz w:val="28"/>
          <w:lang w:val="en-US" w:eastAsia="sq-AL"/>
        </w:rPr>
        <w:t xml:space="preserve"> </w:t>
      </w:r>
      <w:bookmarkStart w:id="25" w:name="_Toc230182075"/>
      <w:r w:rsidR="00571A59" w:rsidRPr="00881C88">
        <w:rPr>
          <w:rFonts w:asciiTheme="majorHAnsi" w:eastAsia="Times New Roman" w:hAnsiTheme="majorHAnsi" w:cstheme="majorHAnsi"/>
          <w:lang w:val="en-US" w:eastAsia="sq-AL"/>
        </w:rPr>
        <w:t>PUBLISHED REGULATIONS</w:t>
      </w:r>
      <w:bookmarkEnd w:id="25"/>
    </w:p>
    <w:p w14:paraId="1F0FDD5A" w14:textId="1E6E44C2" w:rsidR="00571A59" w:rsidRPr="00881C88" w:rsidRDefault="00571A59"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54 regulations from 28 municipalities were published on the official websites of municipalities. Also, according to data from the Report on the Functioning of Municipalities for 2025, municipal assemblies have approved a total of 54 regulations. This results in all regulations approved by municipal assemblies being published on the official websites of municipalities.</w:t>
      </w:r>
    </w:p>
    <w:p w14:paraId="4E409D39" w14:textId="7AB98EBA" w:rsidR="00571A59" w:rsidRPr="00881C88" w:rsidRDefault="00571A59"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full publication of regulations by 28 municipalities represents a significant advance in fulfilling legal obligations in the field of transparency. This indicator is assessed as fully fulfilled and constitutes a positive indicator, which should be maintained and advanced in other transparency indicators as well.</w:t>
      </w:r>
    </w:p>
    <w:p w14:paraId="7293A344" w14:textId="7368DEC5" w:rsidR="001546FB" w:rsidRPr="00881C88" w:rsidRDefault="001546F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reflecting the number of regulations published by municipalities for the period January–December 2025.</w:t>
      </w:r>
    </w:p>
    <w:p w14:paraId="3899E829" w14:textId="5C4B856A" w:rsidR="0073351F" w:rsidRPr="00881C88" w:rsidRDefault="00021261" w:rsidP="00BB3D64">
      <w:pPr>
        <w:spacing w:after="240" w:line="276" w:lineRule="auto"/>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644B0B32" wp14:editId="45DF8E60">
            <wp:extent cx="6014085" cy="1598400"/>
            <wp:effectExtent l="0" t="0" r="5715" b="1905"/>
            <wp:docPr id="6" name="Chart 6">
              <a:extLst xmlns:a="http://schemas.openxmlformats.org/drawingml/2006/main">
                <a:ext uri="{FF2B5EF4-FFF2-40B4-BE49-F238E27FC236}">
                  <a16:creationId xmlns:a16="http://schemas.microsoft.com/office/drawing/2014/main" id="{5CEDADA3-136C-42B3-BCAE-00C3E64840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99EB78" w14:textId="029968D7" w:rsidR="00FF109E" w:rsidRPr="00881C88" w:rsidRDefault="001B1A05" w:rsidP="0062583A">
      <w:pPr>
        <w:spacing w:after="240" w:line="276" w:lineRule="auto"/>
        <w:jc w:val="center"/>
        <w:rPr>
          <w:rFonts w:asciiTheme="majorHAnsi" w:hAnsiTheme="majorHAnsi" w:cstheme="majorHAnsi"/>
          <w:sz w:val="14"/>
          <w:szCs w:val="14"/>
          <w:lang w:val="en-US"/>
        </w:rPr>
      </w:pPr>
      <w:r w:rsidRPr="00881C88">
        <w:rPr>
          <w:rFonts w:asciiTheme="majorHAnsi" w:hAnsiTheme="majorHAnsi" w:cstheme="majorHAnsi"/>
          <w:i/>
          <w:sz w:val="14"/>
          <w:szCs w:val="14"/>
          <w:lang w:val="en-US"/>
        </w:rPr>
        <w:t>Fig.</w:t>
      </w:r>
      <w:r w:rsidR="0073351F" w:rsidRPr="00881C88">
        <w:rPr>
          <w:rFonts w:asciiTheme="majorHAnsi" w:hAnsiTheme="majorHAnsi" w:cstheme="majorHAnsi"/>
          <w:i/>
          <w:sz w:val="14"/>
          <w:szCs w:val="14"/>
          <w:lang w:val="en-US"/>
        </w:rPr>
        <w:t xml:space="preserve"> 6</w:t>
      </w:r>
      <w:r w:rsidR="00E62C4F" w:rsidRPr="00881C88">
        <w:rPr>
          <w:rFonts w:asciiTheme="majorHAnsi" w:hAnsiTheme="majorHAnsi" w:cstheme="majorHAnsi"/>
          <w:i/>
          <w:sz w:val="14"/>
          <w:szCs w:val="14"/>
          <w:lang w:val="en-US"/>
        </w:rPr>
        <w:t xml:space="preserve"> </w:t>
      </w:r>
      <w:bookmarkStart w:id="26" w:name="_Toc130455680"/>
      <w:r w:rsidR="001546FB" w:rsidRPr="00881C88">
        <w:rPr>
          <w:rFonts w:asciiTheme="majorHAnsi" w:hAnsiTheme="majorHAnsi" w:cstheme="majorHAnsi"/>
          <w:i/>
          <w:sz w:val="14"/>
          <w:szCs w:val="14"/>
          <w:lang w:val="en-US"/>
        </w:rPr>
        <w:t>Number of regulations published by municipalities</w:t>
      </w:r>
    </w:p>
    <w:p w14:paraId="5AF476CB" w14:textId="451C6C4D" w:rsidR="0062583A" w:rsidRPr="00881C88" w:rsidRDefault="001546FB" w:rsidP="0062583A">
      <w:pPr>
        <w:spacing w:before="100" w:beforeAutospacing="1" w:after="100" w:afterAutospacing="1" w:line="276" w:lineRule="auto"/>
        <w:outlineLvl w:val="1"/>
        <w:rPr>
          <w:rFonts w:asciiTheme="majorHAnsi" w:eastAsia="Times New Roman" w:hAnsiTheme="majorHAnsi" w:cstheme="majorHAnsi"/>
          <w:b/>
          <w:bCs/>
          <w:color w:val="2F5496" w:themeColor="accent5" w:themeShade="BF"/>
          <w:lang w:val="en-US" w:eastAsia="en-GB"/>
        </w:rPr>
      </w:pPr>
      <w:bookmarkStart w:id="27" w:name="_Toc230182076"/>
      <w:bookmarkEnd w:id="26"/>
      <w:r w:rsidRPr="00881C88">
        <w:rPr>
          <w:rFonts w:asciiTheme="majorHAnsi" w:eastAsia="Times New Roman" w:hAnsiTheme="majorHAnsi" w:cstheme="majorHAnsi"/>
          <w:b/>
          <w:bCs/>
          <w:color w:val="2F5496" w:themeColor="accent5" w:themeShade="BF"/>
          <w:lang w:val="en-US" w:eastAsia="en-GB"/>
        </w:rPr>
        <w:t>Minutes of the Municipal Assembly meetings</w:t>
      </w:r>
      <w:bookmarkEnd w:id="27"/>
    </w:p>
    <w:p w14:paraId="01FF3A5A" w14:textId="1D04371E" w:rsidR="001546FB" w:rsidRPr="00881C88" w:rsidRDefault="001546F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Article 12 of Administrative Instruction No. 04/2023 on Open Administration in Municipalities, municipalities are obliged to publish on their official websites the minutes of the meetings of the Municipal Assembly and mandatory committees.</w:t>
      </w:r>
    </w:p>
    <w:p w14:paraId="31F933C1" w14:textId="6E2BBDFF" w:rsidR="001546FB" w:rsidRPr="00881C88" w:rsidRDefault="001546F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299 minutes of Municipal Assembly meetings were published in 31 municipalities (78.9%), while 7 municipalities (21.1%) did not publish any Municipal Assembly minutes.</w:t>
      </w:r>
    </w:p>
    <w:p w14:paraId="40275AD1" w14:textId="3896430A" w:rsidR="001546FB" w:rsidRPr="00881C88" w:rsidRDefault="001546F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published any minutes of the Municipal Assembly are: </w:t>
      </w:r>
      <w:proofErr w:type="spellStart"/>
      <w:r w:rsidRPr="00881C88">
        <w:rPr>
          <w:rFonts w:asciiTheme="majorHAnsi" w:eastAsia="Times New Roman" w:hAnsiTheme="majorHAnsi" w:cstheme="majorHAnsi"/>
          <w:lang w:val="en-US" w:eastAsia="en-GB"/>
        </w:rPr>
        <w:t>Kllokot</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Novoberde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and </w:t>
      </w:r>
      <w:proofErr w:type="spellStart"/>
      <w:r w:rsidRPr="00881C88">
        <w:rPr>
          <w:rFonts w:asciiTheme="majorHAnsi" w:eastAsia="Times New Roman" w:hAnsiTheme="majorHAnsi" w:cstheme="majorHAnsi"/>
          <w:lang w:val="en-US" w:eastAsia="en-GB"/>
        </w:rPr>
        <w:t>Leposavi</w:t>
      </w:r>
      <w:r w:rsidR="0016363B" w:rsidRPr="00881C88">
        <w:rPr>
          <w:rFonts w:asciiTheme="majorHAnsi" w:eastAsia="Times New Roman" w:hAnsiTheme="majorHAnsi" w:cstheme="majorHAnsi"/>
          <w:lang w:val="en-US" w:eastAsia="en-GB"/>
        </w:rPr>
        <w:t>q</w:t>
      </w:r>
      <w:proofErr w:type="spellEnd"/>
      <w:r w:rsidRPr="00881C88">
        <w:rPr>
          <w:rFonts w:asciiTheme="majorHAnsi" w:eastAsia="Times New Roman" w:hAnsiTheme="majorHAnsi" w:cstheme="majorHAnsi"/>
          <w:lang w:val="en-US" w:eastAsia="en-GB"/>
        </w:rPr>
        <w:t>.</w:t>
      </w:r>
    </w:p>
    <w:p w14:paraId="3CD5E3CB" w14:textId="1E414288" w:rsidR="0016363B" w:rsidRPr="00881C88" w:rsidRDefault="0016363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the Transparency Assessment Report for 2024, when 328 minutes were published, a decrease of 29 minutes is noted during 2025. However, an increase is noted in the number of municipalities that have published minutes, for two municipalities more compared to the previous year.</w:t>
      </w:r>
    </w:p>
    <w:p w14:paraId="20F4F305" w14:textId="418AA0B2" w:rsidR="0016363B" w:rsidRPr="00881C88" w:rsidRDefault="0016363B" w:rsidP="0062583A">
      <w:pPr>
        <w:spacing w:before="100" w:beforeAutospacing="1" w:after="100" w:afterAutospacing="1" w:line="276" w:lineRule="auto"/>
        <w:outlineLvl w:val="1"/>
        <w:rPr>
          <w:rFonts w:asciiTheme="majorHAnsi" w:eastAsia="Times New Roman" w:hAnsiTheme="majorHAnsi" w:cstheme="majorHAnsi"/>
          <w:b/>
          <w:bCs/>
          <w:color w:val="2F5496" w:themeColor="accent5" w:themeShade="BF"/>
          <w:lang w:val="en-US" w:eastAsia="en-GB"/>
        </w:rPr>
      </w:pPr>
      <w:bookmarkStart w:id="28" w:name="_Toc230182077"/>
      <w:r w:rsidRPr="00881C88">
        <w:rPr>
          <w:rFonts w:asciiTheme="majorHAnsi" w:eastAsia="Times New Roman" w:hAnsiTheme="majorHAnsi" w:cstheme="majorHAnsi"/>
          <w:b/>
          <w:bCs/>
          <w:color w:val="2F5496" w:themeColor="accent5" w:themeShade="BF"/>
          <w:lang w:val="en-US" w:eastAsia="en-GB"/>
        </w:rPr>
        <w:t>Minutes from the meetings of the Committee on Policy and Finance</w:t>
      </w:r>
      <w:bookmarkEnd w:id="28"/>
    </w:p>
    <w:p w14:paraId="40A5AA21" w14:textId="19E921D5" w:rsidR="0016363B" w:rsidRPr="00881C88" w:rsidRDefault="0016363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Referring to data from monitoring the official websites of municipalities for the period January-December 2025, a total of 236 minutes of the Committee for Policy and Finance were published by 27 municipalities (71%), while 11 municipalities (29%) did not publish any minutes of this committee.</w:t>
      </w:r>
    </w:p>
    <w:p w14:paraId="337180FB" w14:textId="3131F261" w:rsidR="0016363B" w:rsidRPr="00881C88" w:rsidRDefault="0016363B"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published any minutes of the Committee for Politics and Finance are: </w:t>
      </w:r>
      <w:proofErr w:type="spellStart"/>
      <w:r w:rsidRPr="00881C88">
        <w:rPr>
          <w:rFonts w:asciiTheme="majorHAnsi" w:eastAsia="Times New Roman" w:hAnsiTheme="majorHAnsi" w:cstheme="majorHAnsi"/>
          <w:lang w:val="en-US" w:eastAsia="en-GB"/>
        </w:rPr>
        <w:t>Fushe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Kosova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Gjakova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Gracanica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Junik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Kllokot</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Viti,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and </w:t>
      </w:r>
      <w:proofErr w:type="spellStart"/>
      <w:r w:rsidRPr="00881C88">
        <w:rPr>
          <w:rFonts w:asciiTheme="majorHAnsi" w:eastAsia="Times New Roman" w:hAnsiTheme="majorHAnsi" w:cstheme="majorHAnsi"/>
          <w:lang w:val="en-US" w:eastAsia="en-GB"/>
        </w:rPr>
        <w:t>Leposaviq</w:t>
      </w:r>
      <w:proofErr w:type="spellEnd"/>
      <w:r w:rsidRPr="00881C88">
        <w:rPr>
          <w:rFonts w:asciiTheme="majorHAnsi" w:eastAsia="Times New Roman" w:hAnsiTheme="majorHAnsi" w:cstheme="majorHAnsi"/>
          <w:lang w:val="en-US" w:eastAsia="en-GB"/>
        </w:rPr>
        <w:t>.</w:t>
      </w:r>
    </w:p>
    <w:p w14:paraId="34FE0BAA" w14:textId="17C2B8B1" w:rsidR="0016363B" w:rsidRPr="00881C88" w:rsidRDefault="0016363B" w:rsidP="007325E6">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the Transparency Assessment Report for 2024, when 322 minutes were published from 26 municipalities, a decrease of 86 minutes is noted during 2025. Meanwhile, the number of municipalities that have published minutes has increased by one more municipality compared to the previous year.</w:t>
      </w:r>
    </w:p>
    <w:p w14:paraId="49BE7A65" w14:textId="6E491D2D" w:rsidR="00B175B2" w:rsidRPr="00881C88" w:rsidRDefault="0016363B" w:rsidP="00B175B2">
      <w:pPr>
        <w:pStyle w:val="Style3"/>
        <w:rPr>
          <w:rFonts w:eastAsia="Times New Roman" w:cstheme="majorHAnsi"/>
          <w:sz w:val="22"/>
          <w:szCs w:val="22"/>
          <w:lang w:val="en-US"/>
        </w:rPr>
      </w:pPr>
      <w:bookmarkStart w:id="29" w:name="_Toc230182078"/>
      <w:r w:rsidRPr="00881C88">
        <w:rPr>
          <w:rFonts w:eastAsia="Times New Roman" w:cstheme="majorHAnsi"/>
          <w:sz w:val="22"/>
          <w:szCs w:val="22"/>
          <w:lang w:val="en-US"/>
        </w:rPr>
        <w:t>Minutes from the meetings of the Committee for Communities</w:t>
      </w:r>
      <w:bookmarkEnd w:id="29"/>
    </w:p>
    <w:p w14:paraId="0C4D198F" w14:textId="5C34637E" w:rsidR="0016363B" w:rsidRPr="00881C88" w:rsidRDefault="0016363B" w:rsidP="00D83453">
      <w:pPr>
        <w:spacing w:before="100" w:beforeAutospacing="1" w:after="100" w:afterAutospacing="1" w:line="276" w:lineRule="auto"/>
        <w:rPr>
          <w:rFonts w:asciiTheme="majorHAnsi" w:eastAsia="Times New Roman" w:hAnsiTheme="majorHAnsi" w:cstheme="majorHAnsi"/>
          <w:bCs/>
          <w:kern w:val="20"/>
          <w:lang w:val="en-US"/>
        </w:rPr>
      </w:pPr>
      <w:r w:rsidRPr="00881C88">
        <w:rPr>
          <w:rFonts w:asciiTheme="majorHAnsi" w:eastAsia="Times New Roman" w:hAnsiTheme="majorHAnsi" w:cstheme="majorHAnsi"/>
          <w:bCs/>
          <w:kern w:val="20"/>
          <w:lang w:val="en-US"/>
        </w:rPr>
        <w:t xml:space="preserve">Also, regarding the publication of the minutes of the </w:t>
      </w:r>
      <w:r w:rsidR="003F1E50" w:rsidRPr="00881C88">
        <w:rPr>
          <w:rFonts w:asciiTheme="majorHAnsi" w:eastAsia="Times New Roman" w:hAnsiTheme="majorHAnsi" w:cstheme="majorHAnsi"/>
          <w:bCs/>
          <w:kern w:val="20"/>
          <w:lang w:val="en-US"/>
        </w:rPr>
        <w:t xml:space="preserve">Committee for </w:t>
      </w:r>
      <w:r w:rsidRPr="00881C88">
        <w:rPr>
          <w:rFonts w:asciiTheme="majorHAnsi" w:eastAsia="Times New Roman" w:hAnsiTheme="majorHAnsi" w:cstheme="majorHAnsi"/>
          <w:bCs/>
          <w:kern w:val="20"/>
          <w:lang w:val="en-US"/>
        </w:rPr>
        <w:t xml:space="preserve">Community, 101 minutes have been published by 18 municipalities (48%), while 20 municipalities (52%) have not published any minutes of the </w:t>
      </w:r>
      <w:r w:rsidR="003F1E50" w:rsidRPr="00881C88">
        <w:rPr>
          <w:rFonts w:asciiTheme="majorHAnsi" w:eastAsia="Times New Roman" w:hAnsiTheme="majorHAnsi" w:cstheme="majorHAnsi"/>
          <w:bCs/>
          <w:kern w:val="20"/>
          <w:lang w:val="en-US"/>
        </w:rPr>
        <w:t xml:space="preserve">Committee for </w:t>
      </w:r>
      <w:r w:rsidRPr="00881C88">
        <w:rPr>
          <w:rFonts w:asciiTheme="majorHAnsi" w:eastAsia="Times New Roman" w:hAnsiTheme="majorHAnsi" w:cstheme="majorHAnsi"/>
          <w:bCs/>
          <w:kern w:val="20"/>
          <w:lang w:val="en-US"/>
        </w:rPr>
        <w:t>Community meetings.</w:t>
      </w:r>
    </w:p>
    <w:p w14:paraId="1D14C900" w14:textId="4A2F1EFE" w:rsidR="0016363B" w:rsidRPr="00881C88" w:rsidRDefault="0016363B" w:rsidP="00D83453">
      <w:pPr>
        <w:spacing w:line="276" w:lineRule="auto"/>
        <w:rPr>
          <w:rFonts w:asciiTheme="majorHAnsi" w:hAnsiTheme="majorHAnsi" w:cstheme="majorHAnsi"/>
          <w:bCs/>
          <w:lang w:val="en-US"/>
        </w:rPr>
      </w:pPr>
      <w:r w:rsidRPr="00881C88">
        <w:rPr>
          <w:rFonts w:asciiTheme="majorHAnsi" w:hAnsiTheme="majorHAnsi" w:cstheme="majorHAnsi"/>
          <w:bCs/>
          <w:lang w:val="en-US"/>
        </w:rPr>
        <w:t xml:space="preserve">The municipalities that have not published any minutes of the </w:t>
      </w:r>
      <w:r w:rsidR="003F1E50" w:rsidRPr="00881C88">
        <w:rPr>
          <w:rFonts w:asciiTheme="majorHAnsi" w:hAnsiTheme="majorHAnsi" w:cstheme="majorHAnsi"/>
          <w:bCs/>
          <w:lang w:val="en-US"/>
        </w:rPr>
        <w:t xml:space="preserve">Committee for </w:t>
      </w:r>
      <w:r w:rsidRPr="00881C88">
        <w:rPr>
          <w:rFonts w:asciiTheme="majorHAnsi" w:hAnsiTheme="majorHAnsi" w:cstheme="majorHAnsi"/>
          <w:bCs/>
          <w:lang w:val="en-US"/>
        </w:rPr>
        <w:t xml:space="preserve">Communities are as follows: Decan, </w:t>
      </w:r>
      <w:proofErr w:type="spellStart"/>
      <w:r w:rsidRPr="00881C88">
        <w:rPr>
          <w:rFonts w:asciiTheme="majorHAnsi" w:hAnsiTheme="majorHAnsi" w:cstheme="majorHAnsi"/>
          <w:bCs/>
          <w:lang w:val="en-US"/>
        </w:rPr>
        <w:t>Fushe</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Kosova</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Gjakova</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Gllogoc</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Gracanica</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Istog</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Junik</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Klina</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Kllokot</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Obiliq</w:t>
      </w:r>
      <w:proofErr w:type="spellEnd"/>
      <w:r w:rsidRPr="00881C88">
        <w:rPr>
          <w:rFonts w:asciiTheme="majorHAnsi" w:hAnsiTheme="majorHAnsi" w:cstheme="majorHAnsi"/>
          <w:bCs/>
          <w:lang w:val="en-US"/>
        </w:rPr>
        <w:t xml:space="preserve">, Peja, </w:t>
      </w:r>
      <w:proofErr w:type="spellStart"/>
      <w:r w:rsidRPr="00881C88">
        <w:rPr>
          <w:rFonts w:asciiTheme="majorHAnsi" w:hAnsiTheme="majorHAnsi" w:cstheme="majorHAnsi"/>
          <w:bCs/>
          <w:lang w:val="en-US"/>
        </w:rPr>
        <w:t>Prizren</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Ranillug</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Shterpce</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Skenderaj</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Suhareka</w:t>
      </w:r>
      <w:proofErr w:type="spellEnd"/>
      <w:r w:rsidRPr="00881C88">
        <w:rPr>
          <w:rFonts w:asciiTheme="majorHAnsi" w:hAnsiTheme="majorHAnsi" w:cstheme="majorHAnsi"/>
          <w:bCs/>
          <w:lang w:val="en-US"/>
        </w:rPr>
        <w:t xml:space="preserve">, Viti, Zubin </w:t>
      </w:r>
      <w:proofErr w:type="spellStart"/>
      <w:r w:rsidRPr="00881C88">
        <w:rPr>
          <w:rFonts w:asciiTheme="majorHAnsi" w:hAnsiTheme="majorHAnsi" w:cstheme="majorHAnsi"/>
          <w:bCs/>
          <w:lang w:val="en-US"/>
        </w:rPr>
        <w:t>Potok</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Zvecan</w:t>
      </w:r>
      <w:proofErr w:type="spellEnd"/>
      <w:r w:rsidRPr="00881C88">
        <w:rPr>
          <w:rFonts w:asciiTheme="majorHAnsi" w:hAnsiTheme="majorHAnsi" w:cstheme="majorHAnsi"/>
          <w:bCs/>
          <w:lang w:val="en-US"/>
        </w:rPr>
        <w:t xml:space="preserve">, </w:t>
      </w:r>
      <w:proofErr w:type="spellStart"/>
      <w:r w:rsidRPr="00881C88">
        <w:rPr>
          <w:rFonts w:asciiTheme="majorHAnsi" w:hAnsiTheme="majorHAnsi" w:cstheme="majorHAnsi"/>
          <w:bCs/>
          <w:lang w:val="en-US"/>
        </w:rPr>
        <w:t>Leposaviq</w:t>
      </w:r>
      <w:proofErr w:type="spellEnd"/>
      <w:r w:rsidRPr="00881C88">
        <w:rPr>
          <w:rFonts w:asciiTheme="majorHAnsi" w:hAnsiTheme="majorHAnsi" w:cstheme="majorHAnsi"/>
          <w:bCs/>
          <w:lang w:val="en-US"/>
        </w:rPr>
        <w:t>.</w:t>
      </w:r>
    </w:p>
    <w:p w14:paraId="2C2CBBE5" w14:textId="695A3904" w:rsidR="0016363B" w:rsidRPr="00881C88" w:rsidRDefault="0016363B" w:rsidP="00A70BC5">
      <w:pPr>
        <w:spacing w:line="276" w:lineRule="auto"/>
        <w:rPr>
          <w:rFonts w:asciiTheme="majorHAnsi" w:hAnsiTheme="majorHAnsi" w:cstheme="majorHAnsi"/>
          <w:bCs/>
          <w:iCs/>
          <w:lang w:val="en-US"/>
        </w:rPr>
      </w:pPr>
      <w:r w:rsidRPr="00881C88">
        <w:rPr>
          <w:rFonts w:asciiTheme="majorHAnsi" w:hAnsiTheme="majorHAnsi" w:cstheme="majorHAnsi"/>
          <w:bCs/>
          <w:iCs/>
          <w:lang w:val="en-US"/>
        </w:rPr>
        <w:t>Compared to the data of the Transparency Assessment Report for 2024, which reported 146 minutes, it is noted that there is a decrease of 45 fewer minutes during 2025, while the number of municipalities that have published minutes during 2025 has increased, with one more municipality compared to the previous year.</w:t>
      </w:r>
    </w:p>
    <w:p w14:paraId="4BEA395C" w14:textId="575F4281" w:rsidR="0016363B" w:rsidRPr="00881C88" w:rsidRDefault="0016363B" w:rsidP="00A70BC5">
      <w:pPr>
        <w:spacing w:line="276" w:lineRule="auto"/>
        <w:rPr>
          <w:rFonts w:asciiTheme="majorHAnsi" w:hAnsiTheme="majorHAnsi" w:cstheme="majorHAnsi"/>
          <w:noProof/>
          <w:lang w:val="en-US"/>
        </w:rPr>
      </w:pPr>
      <w:r w:rsidRPr="00881C88">
        <w:rPr>
          <w:rFonts w:asciiTheme="majorHAnsi" w:hAnsiTheme="majorHAnsi" w:cstheme="majorHAnsi"/>
          <w:noProof/>
          <w:lang w:val="en-US"/>
        </w:rPr>
        <w:t xml:space="preserve">Below is a figure showing the total number of minutes from the meetings of the Municipal Assemblies, Committees for Policy and Finance, as well as from the </w:t>
      </w:r>
      <w:r w:rsidR="003F1E50" w:rsidRPr="00881C88">
        <w:rPr>
          <w:rFonts w:asciiTheme="majorHAnsi" w:hAnsiTheme="majorHAnsi" w:cstheme="majorHAnsi"/>
          <w:bCs/>
          <w:lang w:val="en-US"/>
        </w:rPr>
        <w:t>Committee for Communities</w:t>
      </w:r>
      <w:r w:rsidRPr="00881C88">
        <w:rPr>
          <w:rFonts w:asciiTheme="majorHAnsi" w:hAnsiTheme="majorHAnsi" w:cstheme="majorHAnsi"/>
          <w:noProof/>
          <w:lang w:val="en-US"/>
        </w:rPr>
        <w:t>.</w:t>
      </w:r>
    </w:p>
    <w:p w14:paraId="4C893D85" w14:textId="655A30E5" w:rsidR="00480C1B" w:rsidRPr="00881C88" w:rsidRDefault="008F7075" w:rsidP="00A70BC5">
      <w:pPr>
        <w:spacing w:line="276" w:lineRule="auto"/>
        <w:rPr>
          <w:rFonts w:asciiTheme="majorHAnsi" w:eastAsia="Times New Roman" w:hAnsiTheme="majorHAnsi" w:cstheme="majorHAnsi"/>
          <w:kern w:val="20"/>
          <w:lang w:val="en-US"/>
        </w:rPr>
      </w:pPr>
      <w:r w:rsidRPr="00881C88">
        <w:rPr>
          <w:rFonts w:asciiTheme="majorHAnsi" w:hAnsiTheme="majorHAnsi" w:cstheme="majorHAnsi"/>
          <w:noProof/>
          <w:lang w:val="en-US" w:eastAsia="sq-AL"/>
        </w:rPr>
        <w:drawing>
          <wp:inline distT="0" distB="0" distL="0" distR="0" wp14:anchorId="6E04D73D" wp14:editId="56B3015C">
            <wp:extent cx="5731510" cy="1903445"/>
            <wp:effectExtent l="0" t="0" r="2540" b="1905"/>
            <wp:docPr id="56" name="Chart 56">
              <a:extLst xmlns:a="http://schemas.openxmlformats.org/drawingml/2006/main">
                <a:ext uri="{FF2B5EF4-FFF2-40B4-BE49-F238E27FC236}">
                  <a16:creationId xmlns:a16="http://schemas.microsoft.com/office/drawing/2014/main" id="{9209DDA5-36A0-4F4B-8EA7-6B44A6D846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6672FC" w14:textId="38E12C43" w:rsidR="000E40FB" w:rsidRPr="00881C88" w:rsidRDefault="00137FF6" w:rsidP="00D83453">
      <w:pPr>
        <w:spacing w:line="276" w:lineRule="auto"/>
        <w:jc w:val="center"/>
        <w:rPr>
          <w:rFonts w:asciiTheme="majorHAnsi" w:eastAsia="Times New Roman" w:hAnsiTheme="majorHAnsi" w:cstheme="majorHAnsi"/>
          <w:kern w:val="20"/>
          <w:sz w:val="14"/>
          <w:szCs w:val="14"/>
          <w:lang w:val="en-US"/>
        </w:rPr>
      </w:pPr>
      <w:r w:rsidRPr="00881C88">
        <w:rPr>
          <w:rFonts w:asciiTheme="majorHAnsi" w:hAnsiTheme="majorHAnsi" w:cstheme="majorHAnsi"/>
          <w:i/>
          <w:sz w:val="14"/>
          <w:szCs w:val="14"/>
          <w:lang w:val="en-US"/>
        </w:rPr>
        <w:t>Fig</w:t>
      </w:r>
      <w:r w:rsidR="00BA4279" w:rsidRPr="00881C88">
        <w:rPr>
          <w:rFonts w:asciiTheme="majorHAnsi" w:hAnsiTheme="majorHAnsi" w:cstheme="majorHAnsi"/>
          <w:i/>
          <w:sz w:val="14"/>
          <w:szCs w:val="14"/>
          <w:lang w:val="en-US"/>
        </w:rPr>
        <w:t>.</w:t>
      </w:r>
      <w:r w:rsidR="0073351F" w:rsidRPr="00881C88">
        <w:rPr>
          <w:rFonts w:asciiTheme="majorHAnsi" w:hAnsiTheme="majorHAnsi" w:cstheme="majorHAnsi"/>
          <w:i/>
          <w:sz w:val="14"/>
          <w:szCs w:val="14"/>
          <w:lang w:val="en-US"/>
        </w:rPr>
        <w:t>7</w:t>
      </w:r>
      <w:r w:rsidR="00BA4279" w:rsidRPr="00881C88">
        <w:rPr>
          <w:rFonts w:asciiTheme="majorHAnsi" w:hAnsiTheme="majorHAnsi" w:cstheme="majorHAnsi"/>
          <w:i/>
          <w:sz w:val="14"/>
          <w:szCs w:val="14"/>
          <w:lang w:val="en-US"/>
        </w:rPr>
        <w:t xml:space="preserve"> </w:t>
      </w:r>
      <w:bookmarkStart w:id="30" w:name="_Toc130455682"/>
      <w:r w:rsidR="0016363B" w:rsidRPr="00881C88">
        <w:rPr>
          <w:rFonts w:asciiTheme="majorHAnsi" w:hAnsiTheme="majorHAnsi" w:cstheme="majorHAnsi"/>
          <w:i/>
          <w:sz w:val="14"/>
          <w:szCs w:val="14"/>
          <w:lang w:val="en-US"/>
        </w:rPr>
        <w:t xml:space="preserve">Minutes of the municipal assembly, the policy and finance committee and the </w:t>
      </w:r>
      <w:r w:rsidR="003F1E50" w:rsidRPr="00881C88">
        <w:rPr>
          <w:rFonts w:asciiTheme="majorHAnsi" w:hAnsiTheme="majorHAnsi" w:cstheme="majorHAnsi"/>
          <w:i/>
          <w:sz w:val="14"/>
          <w:szCs w:val="14"/>
          <w:lang w:val="en-US"/>
        </w:rPr>
        <w:t xml:space="preserve">committee for </w:t>
      </w:r>
      <w:r w:rsidR="0016363B" w:rsidRPr="00881C88">
        <w:rPr>
          <w:rFonts w:asciiTheme="majorHAnsi" w:hAnsiTheme="majorHAnsi" w:cstheme="majorHAnsi"/>
          <w:i/>
          <w:sz w:val="14"/>
          <w:szCs w:val="14"/>
          <w:lang w:val="en-US"/>
        </w:rPr>
        <w:t xml:space="preserve">communities </w:t>
      </w:r>
    </w:p>
    <w:p w14:paraId="7ED5A78E" w14:textId="2AB35088" w:rsidR="000E40FB" w:rsidRPr="00881C88" w:rsidRDefault="000E40FB" w:rsidP="00D83453">
      <w:pPr>
        <w:pStyle w:val="Style2"/>
        <w:rPr>
          <w:rFonts w:asciiTheme="majorHAnsi" w:eastAsia="Times New Roman" w:hAnsiTheme="majorHAnsi" w:cstheme="majorHAnsi"/>
          <w:lang w:val="en-US"/>
        </w:rPr>
      </w:pPr>
    </w:p>
    <w:p w14:paraId="6F53F3F4" w14:textId="1E3392D4" w:rsidR="00D83453" w:rsidRPr="00881C88" w:rsidRDefault="00163B8A" w:rsidP="00D83453">
      <w:pPr>
        <w:pStyle w:val="Style2"/>
        <w:rPr>
          <w:rFonts w:asciiTheme="majorHAnsi" w:eastAsia="Times New Roman" w:hAnsiTheme="majorHAnsi" w:cstheme="majorHAnsi"/>
          <w:sz w:val="22"/>
          <w:szCs w:val="22"/>
          <w:lang w:val="en-US" w:eastAsia="en-GB"/>
        </w:rPr>
      </w:pPr>
      <w:bookmarkStart w:id="31" w:name="_Toc230182079"/>
      <w:r w:rsidRPr="00881C88">
        <w:rPr>
          <w:rFonts w:asciiTheme="majorHAnsi" w:eastAsia="Times New Roman" w:hAnsiTheme="majorHAnsi" w:cstheme="majorHAnsi"/>
          <w:sz w:val="22"/>
          <w:szCs w:val="22"/>
          <w:lang w:val="en-US" w:eastAsia="en-GB"/>
        </w:rPr>
        <w:t>ONLINE BROADCAST OF MUNICIPAL ASSEMBLY’S MEETINGS</w:t>
      </w:r>
      <w:bookmarkEnd w:id="31"/>
    </w:p>
    <w:p w14:paraId="7C1BA281" w14:textId="4ECDCEF9" w:rsidR="007F47E6" w:rsidRPr="00881C88" w:rsidRDefault="007F47E6"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Article 6 of the Administrative Instruction No. 04/2023 on Open Administration in Municipalities, municipalities are obliged to broadcast the meetings of the Municipal Assembly through their official websites, using the necessary equipment for broadcasting. Municipal bodies are also obliged to ensure active access to the telepresence system, in order to create conditions for monitoring and evaluation of processes by the monitoring mechanisms of the MLGA, interested parties and other institutions, through authorized municipal staff.</w:t>
      </w:r>
    </w:p>
    <w:p w14:paraId="1CFCE876" w14:textId="00F82486" w:rsidR="007F47E6" w:rsidRPr="00881C88" w:rsidRDefault="007F47E6"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monitoring the official websites of municipalities for the period January-December 2025, a total of 167 online meetings of the Municipal Assembly were broadcast from 22 municipalities (58%), while 16 municipalities (42%) did not broadcast any online meetings.</w:t>
      </w:r>
    </w:p>
    <w:p w14:paraId="4A714A0D" w14:textId="6ECFB7A6" w:rsidR="007F47E6" w:rsidRPr="00881C88" w:rsidRDefault="007F47E6"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the Municipal Transparency Assessment Report for the period January-December 2024, when 255 online meetings were broadcast from 24 municipalities, while 14 municipalities did not broadcast any meetings, a decrease is noted in 2025. In total, 88 fewer meetings were broadcast during 2025. Also, the number of municipalities that have carried out online broadcasts has decreased by two municipalities compared to the previous year.</w:t>
      </w:r>
    </w:p>
    <w:p w14:paraId="017B443C" w14:textId="0AF833B3" w:rsidR="007F47E6" w:rsidRPr="00881C88" w:rsidRDefault="007F47E6" w:rsidP="00D83453">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figure shows data on municipalities that have broadcast online Municipal Assembly meetings.</w:t>
      </w:r>
    </w:p>
    <w:bookmarkEnd w:id="30"/>
    <w:p w14:paraId="7C86B9F8" w14:textId="318D050A" w:rsidR="00CE7872" w:rsidRPr="00881C88" w:rsidRDefault="00CE7872" w:rsidP="00A70BC5">
      <w:pPr>
        <w:spacing w:after="240" w:line="276" w:lineRule="auto"/>
        <w:rPr>
          <w:rFonts w:asciiTheme="majorHAnsi" w:hAnsiTheme="majorHAnsi" w:cstheme="majorHAnsi"/>
          <w:lang w:val="en-US"/>
        </w:rPr>
      </w:pPr>
      <w:r w:rsidRPr="00881C88">
        <w:rPr>
          <w:rFonts w:asciiTheme="majorHAnsi" w:hAnsiTheme="majorHAnsi" w:cstheme="majorHAnsi"/>
          <w:noProof/>
          <w:lang w:val="en-US" w:eastAsia="sq-AL"/>
        </w:rPr>
        <mc:AlternateContent>
          <mc:Choice Requires="cx1">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a16="http://schemas.microsoft.com/office/drawing/2014/main" id="{47C0AEFB-F6DC-4E56-A928-EF99E2AA440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8"/>
                  </a:graphicData>
                </a:graphic>
              </wp:inline>
            </w:drawing>
          </mc:Choice>
          <mc:Fallback>
            <w:drawing>
              <wp:inline distT="0" distB="0" distL="0" distR="0" wp14:anchorId="13726845" wp14:editId="45785B9B">
                <wp:extent cx="6026400" cy="2051685"/>
                <wp:effectExtent l="0" t="0" r="12700" b="5715"/>
                <wp:docPr id="57" name="Chart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0AEFB-F6DC-4E56-A928-EF99E2AA440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7" name="Chart 5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0AEFB-F6DC-4E56-A928-EF99E2AA440E}"/>
                            </a:ext>
                          </a:extLst>
                        </pic:cNvPr>
                        <pic:cNvPicPr>
                          <a:picLocks noGrp="1" noRot="1" noChangeAspect="1" noMove="1" noResize="1" noEditPoints="1" noAdjustHandles="1" noChangeArrowheads="1" noChangeShapeType="1"/>
                        </pic:cNvPicPr>
                      </pic:nvPicPr>
                      <pic:blipFill>
                        <a:blip r:embed="rId19"/>
                        <a:stretch>
                          <a:fillRect/>
                        </a:stretch>
                      </pic:blipFill>
                      <pic:spPr>
                        <a:xfrm>
                          <a:off x="0" y="0"/>
                          <a:ext cx="6026150" cy="2051685"/>
                        </a:xfrm>
                        <a:prstGeom prst="rect">
                          <a:avLst/>
                        </a:prstGeom>
                      </pic:spPr>
                    </pic:pic>
                  </a:graphicData>
                </a:graphic>
              </wp:inline>
            </w:drawing>
          </mc:Fallback>
        </mc:AlternateContent>
      </w:r>
    </w:p>
    <w:p w14:paraId="067C28EF" w14:textId="75508918" w:rsidR="000E40FB" w:rsidRPr="00881C88" w:rsidRDefault="00FA5DBE" w:rsidP="00325C4E">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w:t>
      </w:r>
      <w:r w:rsidR="00025A7B" w:rsidRPr="00881C88">
        <w:rPr>
          <w:rFonts w:asciiTheme="majorHAnsi" w:hAnsiTheme="majorHAnsi" w:cstheme="majorHAnsi"/>
          <w:i/>
          <w:sz w:val="14"/>
          <w:szCs w:val="14"/>
          <w:lang w:val="en-US"/>
        </w:rPr>
        <w:t>.</w:t>
      </w:r>
      <w:r w:rsidRPr="00881C88">
        <w:rPr>
          <w:rFonts w:asciiTheme="majorHAnsi" w:hAnsiTheme="majorHAnsi" w:cstheme="majorHAnsi"/>
          <w:i/>
          <w:sz w:val="14"/>
          <w:szCs w:val="14"/>
          <w:lang w:val="en-US"/>
        </w:rPr>
        <w:t xml:space="preserve"> </w:t>
      </w:r>
      <w:r w:rsidR="0073351F" w:rsidRPr="00881C88">
        <w:rPr>
          <w:rFonts w:asciiTheme="majorHAnsi" w:hAnsiTheme="majorHAnsi" w:cstheme="majorHAnsi"/>
          <w:i/>
          <w:sz w:val="14"/>
          <w:szCs w:val="14"/>
          <w:lang w:val="en-US"/>
        </w:rPr>
        <w:t>8</w:t>
      </w:r>
      <w:r w:rsidR="00276220" w:rsidRPr="00881C88">
        <w:rPr>
          <w:rFonts w:asciiTheme="majorHAnsi" w:hAnsiTheme="majorHAnsi" w:cstheme="majorHAnsi"/>
          <w:i/>
          <w:sz w:val="14"/>
          <w:szCs w:val="14"/>
          <w:lang w:val="en-US"/>
        </w:rPr>
        <w:t xml:space="preserve"> </w:t>
      </w:r>
      <w:bookmarkStart w:id="32" w:name="_Toc56692984"/>
      <w:bookmarkStart w:id="33" w:name="_Toc81401210"/>
      <w:bookmarkStart w:id="34" w:name="_Toc85812815"/>
      <w:bookmarkStart w:id="35" w:name="_Toc130455683"/>
      <w:r w:rsidR="007F47E6" w:rsidRPr="00881C88">
        <w:rPr>
          <w:rFonts w:asciiTheme="majorHAnsi" w:hAnsiTheme="majorHAnsi" w:cstheme="majorHAnsi"/>
          <w:i/>
          <w:sz w:val="14"/>
          <w:szCs w:val="14"/>
          <w:lang w:val="en-US"/>
        </w:rPr>
        <w:t>Municipal assembly meetings broadcasted online</w:t>
      </w:r>
    </w:p>
    <w:p w14:paraId="402F0FA3" w14:textId="72D48AFA" w:rsidR="00984234" w:rsidRPr="00881C88" w:rsidRDefault="007F47E6" w:rsidP="00EA21F2">
      <w:pPr>
        <w:pStyle w:val="Style2"/>
        <w:rPr>
          <w:rFonts w:asciiTheme="majorHAnsi" w:hAnsiTheme="majorHAnsi" w:cstheme="majorHAnsi"/>
          <w:lang w:val="en-US"/>
        </w:rPr>
      </w:pPr>
      <w:bookmarkStart w:id="36" w:name="_Toc230182080"/>
      <w:bookmarkEnd w:id="32"/>
      <w:bookmarkEnd w:id="33"/>
      <w:bookmarkEnd w:id="34"/>
      <w:bookmarkEnd w:id="35"/>
      <w:r w:rsidRPr="00881C88">
        <w:rPr>
          <w:rFonts w:asciiTheme="majorHAnsi" w:hAnsiTheme="majorHAnsi" w:cstheme="majorHAnsi"/>
          <w:lang w:val="en-US"/>
        </w:rPr>
        <w:t>PUBLICATION OF THE WORK PLAN OF THE MUNICIPAL ASSEMBLY</w:t>
      </w:r>
      <w:bookmarkEnd w:id="36"/>
    </w:p>
    <w:p w14:paraId="62D6C01B" w14:textId="5A8F2CDC" w:rsidR="007F47E6" w:rsidRPr="00881C88" w:rsidRDefault="007F47E6"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Municipalities have a legal obligation to provide direct access to public documents through official websites, including the Municipal Assembly Work Plan, strategies and other approved policy documents.</w:t>
      </w:r>
    </w:p>
    <w:p w14:paraId="1280C7DD" w14:textId="5C82C380" w:rsidR="008450C1" w:rsidRPr="00881C88" w:rsidRDefault="008450C1"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17 municipalities (45%) published the Municipal Assembly Work Plan, while 21 municipalities (55%) did not publish this document.</w:t>
      </w:r>
    </w:p>
    <w:p w14:paraId="618E755C" w14:textId="191D31AC" w:rsidR="008450C1" w:rsidRPr="00881C88" w:rsidRDefault="008450C1"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for 2024, there is a decrease in the publication of the Municipal Assembly Work Plan, respectively 10 municipalities less in 2025.</w:t>
      </w:r>
    </w:p>
    <w:p w14:paraId="1154B20A" w14:textId="7EC329AA" w:rsidR="008450C1" w:rsidRPr="00881C88" w:rsidRDefault="008450C1" w:rsidP="00984234">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figure shows the data for the municipalities that have published the Municipal Assembly Work Plan.</w:t>
      </w:r>
    </w:p>
    <w:p w14:paraId="60027417" w14:textId="77777777" w:rsidR="00325C4E" w:rsidRPr="00881C88" w:rsidRDefault="00984234" w:rsidP="00325C4E">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hAnsiTheme="majorHAnsi" w:cstheme="majorHAnsi"/>
          <w:noProof/>
          <w:lang w:val="en-US" w:eastAsia="sq-AL"/>
        </w:rPr>
        <w:drawing>
          <wp:inline distT="0" distB="0" distL="0" distR="0" wp14:anchorId="10DBC188" wp14:editId="1FF0A22A">
            <wp:extent cx="5925185" cy="1706400"/>
            <wp:effectExtent l="0" t="0" r="18415" b="8255"/>
            <wp:docPr id="43" name="Chart 43">
              <a:extLst xmlns:a="http://schemas.openxmlformats.org/drawingml/2006/main">
                <a:ext uri="{FF2B5EF4-FFF2-40B4-BE49-F238E27FC236}">
                  <a16:creationId xmlns:a16="http://schemas.microsoft.com/office/drawing/2014/main" id="{18A10BEA-6573-46D9-9D89-0EEAD08A8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8EB388" w14:textId="1D235F43" w:rsidR="00984234" w:rsidRPr="00881C88" w:rsidRDefault="00984234" w:rsidP="00325C4E">
      <w:pPr>
        <w:spacing w:before="100" w:beforeAutospacing="1" w:after="100" w:afterAutospacing="1" w:line="276" w:lineRule="auto"/>
        <w:jc w:val="center"/>
        <w:rPr>
          <w:rFonts w:asciiTheme="majorHAnsi" w:eastAsia="Times New Roman" w:hAnsiTheme="majorHAnsi" w:cstheme="majorHAnsi"/>
          <w:lang w:val="en-US" w:eastAsia="en-GB"/>
        </w:rPr>
      </w:pPr>
      <w:r w:rsidRPr="00881C88">
        <w:rPr>
          <w:rFonts w:asciiTheme="majorHAnsi" w:hAnsiTheme="majorHAnsi" w:cstheme="majorHAnsi"/>
          <w:i/>
          <w:sz w:val="14"/>
          <w:szCs w:val="14"/>
          <w:lang w:val="en-US"/>
        </w:rPr>
        <w:t xml:space="preserve">Fig 9. </w:t>
      </w:r>
      <w:r w:rsidR="008450C1" w:rsidRPr="00881C88">
        <w:rPr>
          <w:rFonts w:asciiTheme="majorHAnsi" w:hAnsiTheme="majorHAnsi" w:cstheme="majorHAnsi"/>
          <w:i/>
          <w:sz w:val="14"/>
          <w:szCs w:val="14"/>
          <w:lang w:val="en-US"/>
        </w:rPr>
        <w:t>Publication of the work plan of the municipal assembly</w:t>
      </w:r>
    </w:p>
    <w:p w14:paraId="43022763" w14:textId="1D8F47C4" w:rsidR="0062583A" w:rsidRPr="00881C88" w:rsidRDefault="001E4786" w:rsidP="0062583A">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Regarding the Municipal Assembly reporting, during 2025, </w:t>
      </w:r>
      <w:r w:rsidR="00366116">
        <w:rPr>
          <w:rFonts w:asciiTheme="majorHAnsi" w:eastAsia="Times New Roman" w:hAnsiTheme="majorHAnsi" w:cstheme="majorHAnsi"/>
          <w:lang w:val="en-US" w:eastAsia="en-GB"/>
        </w:rPr>
        <w:t>21</w:t>
      </w:r>
      <w:r w:rsidRPr="00881C88">
        <w:rPr>
          <w:rFonts w:asciiTheme="majorHAnsi" w:eastAsia="Times New Roman" w:hAnsiTheme="majorHAnsi" w:cstheme="majorHAnsi"/>
          <w:lang w:val="en-US" w:eastAsia="en-GB"/>
        </w:rPr>
        <w:t xml:space="preserve"> municipalities published the Assembly report, while 1</w:t>
      </w:r>
      <w:r w:rsidR="00366116">
        <w:rPr>
          <w:rFonts w:asciiTheme="majorHAnsi" w:eastAsia="Times New Roman" w:hAnsiTheme="majorHAnsi" w:cstheme="majorHAnsi"/>
          <w:lang w:val="en-US" w:eastAsia="en-GB"/>
        </w:rPr>
        <w:t>7</w:t>
      </w:r>
      <w:r w:rsidRPr="00881C88">
        <w:rPr>
          <w:rFonts w:asciiTheme="majorHAnsi" w:eastAsia="Times New Roman" w:hAnsiTheme="majorHAnsi" w:cstheme="majorHAnsi"/>
          <w:lang w:val="en-US" w:eastAsia="en-GB"/>
        </w:rPr>
        <w:t xml:space="preserve"> other municipalities did not publish this </w:t>
      </w:r>
      <w:proofErr w:type="gramStart"/>
      <w:r w:rsidRPr="00881C88">
        <w:rPr>
          <w:rFonts w:asciiTheme="majorHAnsi" w:eastAsia="Times New Roman" w:hAnsiTheme="majorHAnsi" w:cstheme="majorHAnsi"/>
          <w:lang w:val="en-US" w:eastAsia="en-GB"/>
        </w:rPr>
        <w:t>document.</w:t>
      </w:r>
      <w:r w:rsidR="0062583A" w:rsidRPr="00881C88">
        <w:rPr>
          <w:rFonts w:asciiTheme="majorHAnsi" w:eastAsia="Times New Roman" w:hAnsiTheme="majorHAnsi" w:cstheme="majorHAnsi"/>
          <w:lang w:val="en-US" w:eastAsia="en-GB"/>
        </w:rPr>
        <w:t>.</w:t>
      </w:r>
      <w:proofErr w:type="gramEnd"/>
    </w:p>
    <w:p w14:paraId="78251DDE" w14:textId="6B50DBF3" w:rsidR="00984234" w:rsidRPr="00881C88" w:rsidRDefault="001E4786" w:rsidP="00984234">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following figure shows the data for the municipalities that have published the Municipal Assembly </w:t>
      </w:r>
      <w:proofErr w:type="gramStart"/>
      <w:r w:rsidRPr="00881C88">
        <w:rPr>
          <w:rFonts w:asciiTheme="majorHAnsi" w:eastAsia="Times New Roman" w:hAnsiTheme="majorHAnsi" w:cstheme="majorHAnsi"/>
          <w:lang w:val="en-US" w:eastAsia="en-GB"/>
        </w:rPr>
        <w:t>Report.</w:t>
      </w:r>
      <w:r w:rsidR="0062583A" w:rsidRPr="00881C88">
        <w:rPr>
          <w:rFonts w:asciiTheme="majorHAnsi" w:eastAsia="Times New Roman" w:hAnsiTheme="majorHAnsi" w:cstheme="majorHAnsi"/>
          <w:sz w:val="24"/>
          <w:szCs w:val="24"/>
          <w:lang w:val="en-US" w:eastAsia="en-GB"/>
        </w:rPr>
        <w:t>.</w:t>
      </w:r>
      <w:proofErr w:type="gramEnd"/>
    </w:p>
    <w:p w14:paraId="11BC5CBD" w14:textId="1A74A922" w:rsidR="00984234" w:rsidRPr="00881C88" w:rsidRDefault="00366116" w:rsidP="00984234">
      <w:pPr>
        <w:spacing w:before="100" w:beforeAutospacing="1" w:after="100" w:afterAutospacing="1" w:line="276" w:lineRule="auto"/>
        <w:rPr>
          <w:rFonts w:asciiTheme="majorHAnsi" w:eastAsia="Times New Roman" w:hAnsiTheme="majorHAnsi" w:cstheme="majorHAnsi"/>
          <w:lang w:val="en-US" w:eastAsia="en-GB"/>
        </w:rPr>
      </w:pPr>
      <w:r>
        <w:rPr>
          <w:noProof/>
        </w:rPr>
        <w:drawing>
          <wp:inline distT="0" distB="0" distL="0" distR="0" wp14:anchorId="08894284" wp14:editId="73B604A5">
            <wp:extent cx="5731510" cy="1961447"/>
            <wp:effectExtent l="0" t="0" r="2540" b="1270"/>
            <wp:docPr id="3" name="Chart 3">
              <a:extLst xmlns:a="http://schemas.openxmlformats.org/drawingml/2006/main">
                <a:ext uri="{FF2B5EF4-FFF2-40B4-BE49-F238E27FC236}">
                  <a16:creationId xmlns:a16="http://schemas.microsoft.com/office/drawing/2014/main" id="{344BB0A8-0463-42E1-924E-211AFA9E8B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442348" w14:textId="37E0C655" w:rsidR="00984234" w:rsidRPr="00881C88" w:rsidRDefault="00984234" w:rsidP="004461DD">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 </w:t>
      </w:r>
      <w:proofErr w:type="gramStart"/>
      <w:r w:rsidRPr="00881C88">
        <w:rPr>
          <w:rFonts w:asciiTheme="majorHAnsi" w:hAnsiTheme="majorHAnsi" w:cstheme="majorHAnsi"/>
          <w:i/>
          <w:sz w:val="14"/>
          <w:szCs w:val="14"/>
          <w:lang w:val="en-US"/>
        </w:rPr>
        <w:t>10 .</w:t>
      </w:r>
      <w:proofErr w:type="gramEnd"/>
      <w:r w:rsidRPr="00881C88">
        <w:rPr>
          <w:rFonts w:asciiTheme="majorHAnsi" w:hAnsiTheme="majorHAnsi" w:cstheme="majorHAnsi"/>
          <w:i/>
          <w:sz w:val="14"/>
          <w:szCs w:val="14"/>
          <w:lang w:val="en-US"/>
        </w:rPr>
        <w:t xml:space="preserve"> </w:t>
      </w:r>
      <w:r w:rsidR="001E4786" w:rsidRPr="00881C88">
        <w:rPr>
          <w:rFonts w:asciiTheme="majorHAnsi" w:hAnsiTheme="majorHAnsi" w:cstheme="majorHAnsi"/>
          <w:i/>
          <w:sz w:val="14"/>
          <w:szCs w:val="14"/>
          <w:lang w:val="en-US"/>
        </w:rPr>
        <w:t>Publication of the municipal assembly report</w:t>
      </w:r>
    </w:p>
    <w:p w14:paraId="09CEBDBE" w14:textId="1E02CDA1" w:rsidR="002C1755" w:rsidRPr="00881C88" w:rsidRDefault="002C1755" w:rsidP="00A70BC5">
      <w:pPr>
        <w:spacing w:after="0" w:line="276" w:lineRule="auto"/>
        <w:rPr>
          <w:rFonts w:asciiTheme="majorHAnsi" w:hAnsiTheme="majorHAnsi" w:cstheme="majorHAnsi"/>
          <w:b/>
          <w:color w:val="2F5496" w:themeColor="accent5" w:themeShade="BF"/>
          <w:sz w:val="24"/>
          <w:lang w:val="en-US"/>
        </w:rPr>
      </w:pPr>
    </w:p>
    <w:p w14:paraId="7D22B95E" w14:textId="7C9264F3" w:rsidR="006257DA" w:rsidRPr="00881C88" w:rsidRDefault="00A0667C" w:rsidP="004F395D">
      <w:pPr>
        <w:pStyle w:val="Style3"/>
        <w:rPr>
          <w:rFonts w:eastAsia="Times New Roman" w:cstheme="majorHAnsi"/>
          <w:sz w:val="22"/>
          <w:szCs w:val="22"/>
          <w:lang w:val="en-US" w:eastAsia="en-GB"/>
        </w:rPr>
      </w:pPr>
      <w:bookmarkStart w:id="37" w:name="_Toc230182081"/>
      <w:r w:rsidRPr="00881C88">
        <w:rPr>
          <w:rFonts w:eastAsia="Times New Roman" w:cstheme="majorHAnsi"/>
          <w:sz w:val="22"/>
          <w:szCs w:val="22"/>
          <w:lang w:val="en-US" w:eastAsia="en-GB"/>
        </w:rPr>
        <w:t>Strategic plans and documents</w:t>
      </w:r>
      <w:bookmarkEnd w:id="37"/>
    </w:p>
    <w:p w14:paraId="2695EADA" w14:textId="725753E0" w:rsidR="00A0667C" w:rsidRPr="00881C88" w:rsidRDefault="00A0667C"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Administrative Instruction No. 04/2023 on Open Administration, municipalities have a legal obligation to ensure transparency and public access to strategic and planning documents in the relevant fields through official websites. These documents constitute one of the main instruments of accountability and public information at the local level.</w:t>
      </w:r>
    </w:p>
    <w:p w14:paraId="37A08291" w14:textId="2A1EB44F" w:rsidR="00A0667C" w:rsidRPr="00881C88" w:rsidRDefault="00A0667C"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verified data for the period January–December 2025 show that strategic plans and documents in the relevant areas have been published by 19 municipalities (50%), while another 19 municipalities (50%) have not published any plans or strategic documents during this period. However, these data relate only to the year 2025 and should be considered in the context of the fact that the drafting of strategic plans and documents depends on the specific needs and planning of each municipality. Some municipalities may have drafted and published these documents in previous years, while others may not have needed new documents during the reporting year.</w:t>
      </w:r>
    </w:p>
    <w:p w14:paraId="683F63A8" w14:textId="198B166A" w:rsidR="00A0667C" w:rsidRPr="00881C88" w:rsidRDefault="00A0667C" w:rsidP="00325C4E">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figure shows the number of municipalities that have published plans and strategic documents in the relevant fields during the period January-December 2025.</w:t>
      </w:r>
    </w:p>
    <w:p w14:paraId="3FA00B3E" w14:textId="0843D6D2" w:rsidR="00DF3E0F" w:rsidRPr="00881C88" w:rsidRDefault="00283C50" w:rsidP="00A70BC5">
      <w:pPr>
        <w:spacing w:line="276" w:lineRule="auto"/>
        <w:rPr>
          <w:rFonts w:asciiTheme="majorHAnsi" w:hAnsiTheme="majorHAnsi" w:cstheme="majorHAnsi"/>
          <w:color w:val="C00000"/>
          <w:lang w:val="en-US"/>
        </w:rPr>
      </w:pPr>
      <w:r w:rsidRPr="00881C88">
        <w:rPr>
          <w:rFonts w:asciiTheme="majorHAnsi" w:hAnsiTheme="majorHAnsi" w:cstheme="majorHAnsi"/>
          <w:noProof/>
          <w:sz w:val="16"/>
          <w:szCs w:val="16"/>
          <w:lang w:val="en-US" w:eastAsia="sq-AL"/>
        </w:rPr>
        <w:drawing>
          <wp:inline distT="0" distB="0" distL="0" distR="0" wp14:anchorId="2AECAFD3" wp14:editId="33750822">
            <wp:extent cx="6014085" cy="1782147"/>
            <wp:effectExtent l="0" t="0" r="5715" b="8890"/>
            <wp:docPr id="41" name="Chart 41">
              <a:extLst xmlns:a="http://schemas.openxmlformats.org/drawingml/2006/main">
                <a:ext uri="{FF2B5EF4-FFF2-40B4-BE49-F238E27FC236}">
                  <a16:creationId xmlns:a16="http://schemas.microsoft.com/office/drawing/2014/main" id="{1FD37E32-777B-4959-8D46-400AD9D64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Start w:id="38" w:name="_Toc130455684"/>
    </w:p>
    <w:p w14:paraId="45DA62A9" w14:textId="548CD03E" w:rsidR="00FD3CAC" w:rsidRPr="00881C88" w:rsidRDefault="00042A3B" w:rsidP="00EA21F2">
      <w:pPr>
        <w:spacing w:line="276" w:lineRule="auto"/>
        <w:jc w:val="center"/>
        <w:rPr>
          <w:rFonts w:asciiTheme="majorHAnsi" w:hAnsiTheme="majorHAnsi" w:cstheme="majorHAnsi"/>
          <w:color w:val="00B0F0"/>
          <w:sz w:val="20"/>
          <w:szCs w:val="20"/>
          <w:lang w:val="en-US"/>
        </w:rPr>
      </w:pPr>
      <w:r w:rsidRPr="00881C88">
        <w:rPr>
          <w:rFonts w:asciiTheme="majorHAnsi" w:hAnsiTheme="majorHAnsi" w:cstheme="majorHAnsi"/>
          <w:i/>
          <w:sz w:val="14"/>
          <w:szCs w:val="14"/>
          <w:lang w:val="en-US"/>
        </w:rPr>
        <w:t>Fig. 11.</w:t>
      </w:r>
      <w:r w:rsidR="00E61B1D" w:rsidRPr="00881C88">
        <w:rPr>
          <w:rFonts w:asciiTheme="majorHAnsi" w:hAnsiTheme="majorHAnsi" w:cstheme="majorHAnsi"/>
          <w:i/>
          <w:sz w:val="14"/>
          <w:szCs w:val="14"/>
          <w:lang w:val="en-US"/>
        </w:rPr>
        <w:t xml:space="preserve">   </w:t>
      </w:r>
      <w:bookmarkStart w:id="39" w:name="_Toc130455685"/>
      <w:bookmarkEnd w:id="38"/>
      <w:r w:rsidR="00A0667C" w:rsidRPr="00881C88">
        <w:rPr>
          <w:rFonts w:asciiTheme="majorHAnsi" w:hAnsiTheme="majorHAnsi" w:cstheme="majorHAnsi"/>
          <w:i/>
          <w:sz w:val="14"/>
          <w:szCs w:val="14"/>
          <w:lang w:val="en-US"/>
        </w:rPr>
        <w:t>Strategic plans and documents</w:t>
      </w:r>
    </w:p>
    <w:p w14:paraId="1C77251E" w14:textId="72A69EDB" w:rsidR="00325C4E" w:rsidRPr="00881C88" w:rsidRDefault="00325C4E" w:rsidP="006257DA">
      <w:pPr>
        <w:pStyle w:val="Style3"/>
        <w:rPr>
          <w:rFonts w:cstheme="majorHAnsi"/>
          <w:lang w:val="en-US"/>
        </w:rPr>
      </w:pPr>
      <w:bookmarkStart w:id="40" w:name="_Toc227827170"/>
    </w:p>
    <w:p w14:paraId="7D293F40" w14:textId="77777777" w:rsidR="00A012E1" w:rsidRPr="00881C88" w:rsidRDefault="00A012E1" w:rsidP="006257DA">
      <w:pPr>
        <w:pStyle w:val="Style3"/>
        <w:rPr>
          <w:rFonts w:cstheme="majorHAnsi"/>
          <w:lang w:val="en-US"/>
        </w:rPr>
      </w:pPr>
    </w:p>
    <w:p w14:paraId="76C11608" w14:textId="1E4847E3" w:rsidR="002B0561" w:rsidRPr="00881C88" w:rsidRDefault="00A0667C" w:rsidP="006257DA">
      <w:pPr>
        <w:pStyle w:val="Style3"/>
        <w:rPr>
          <w:rFonts w:cstheme="majorHAnsi"/>
          <w:lang w:val="en-US"/>
        </w:rPr>
      </w:pPr>
      <w:bookmarkStart w:id="41" w:name="_Toc230182082"/>
      <w:bookmarkEnd w:id="39"/>
      <w:bookmarkEnd w:id="40"/>
      <w:r w:rsidRPr="00881C88">
        <w:rPr>
          <w:rFonts w:cstheme="majorHAnsi"/>
          <w:lang w:val="en-US"/>
        </w:rPr>
        <w:t>Zonal maps</w:t>
      </w:r>
      <w:bookmarkEnd w:id="41"/>
    </w:p>
    <w:p w14:paraId="100C031D" w14:textId="77777777" w:rsidR="00325C4E" w:rsidRPr="00881C88" w:rsidRDefault="00325C4E" w:rsidP="006257DA">
      <w:pPr>
        <w:pStyle w:val="Style3"/>
        <w:rPr>
          <w:rFonts w:cstheme="majorHAnsi"/>
          <w:lang w:val="en-US"/>
        </w:rPr>
      </w:pPr>
    </w:p>
    <w:p w14:paraId="791C1057" w14:textId="317332F5" w:rsidR="00A1685A" w:rsidRPr="00881C88" w:rsidRDefault="00A1685A" w:rsidP="00A70BC5">
      <w:pPr>
        <w:spacing w:after="240" w:line="276" w:lineRule="auto"/>
        <w:rPr>
          <w:rFonts w:asciiTheme="majorHAnsi" w:eastAsia="Times New Roman" w:hAnsiTheme="majorHAnsi" w:cstheme="majorHAnsi"/>
          <w:bCs/>
          <w:kern w:val="20"/>
          <w:lang w:val="en-US"/>
        </w:rPr>
      </w:pPr>
      <w:bookmarkStart w:id="42" w:name="_Toc130455686"/>
      <w:r w:rsidRPr="00881C88">
        <w:rPr>
          <w:rFonts w:asciiTheme="majorHAnsi" w:eastAsia="Times New Roman" w:hAnsiTheme="majorHAnsi" w:cstheme="majorHAnsi"/>
          <w:bCs/>
          <w:kern w:val="20"/>
          <w:lang w:val="en-US"/>
        </w:rPr>
        <w:t>According to data from monitoring the official websites of municipalities for the period January-December 2025, out of 38 municipalities, 19 municipalities or 50% have published Zonal Maps, while 19 municipalities or 50% have not yet fulfilled this legal obligation.</w:t>
      </w:r>
    </w:p>
    <w:p w14:paraId="0EB124E5" w14:textId="77777777" w:rsidR="00A012E1" w:rsidRPr="00881C88" w:rsidRDefault="00A012E1" w:rsidP="00A70BC5">
      <w:pPr>
        <w:spacing w:after="240" w:line="276" w:lineRule="auto"/>
        <w:rPr>
          <w:rFonts w:asciiTheme="majorHAnsi" w:eastAsia="Times New Roman" w:hAnsiTheme="majorHAnsi" w:cstheme="majorHAnsi"/>
          <w:bCs/>
          <w:kern w:val="20"/>
          <w:lang w:val="en-US"/>
        </w:rPr>
      </w:pPr>
    </w:p>
    <w:p w14:paraId="21991403" w14:textId="77777777" w:rsidR="00A012E1" w:rsidRPr="00881C88" w:rsidRDefault="00A012E1" w:rsidP="00A70BC5">
      <w:pPr>
        <w:spacing w:after="240" w:line="276" w:lineRule="auto"/>
        <w:rPr>
          <w:rFonts w:asciiTheme="majorHAnsi" w:eastAsia="Times New Roman" w:hAnsiTheme="majorHAnsi" w:cstheme="majorHAnsi"/>
          <w:bCs/>
          <w:kern w:val="20"/>
          <w:lang w:val="en-US"/>
        </w:rPr>
      </w:pPr>
    </w:p>
    <w:p w14:paraId="363C8EEC" w14:textId="77777777" w:rsidR="00A012E1" w:rsidRPr="00881C88" w:rsidRDefault="00A012E1" w:rsidP="00A70BC5">
      <w:pPr>
        <w:spacing w:after="240" w:line="276" w:lineRule="auto"/>
        <w:rPr>
          <w:rFonts w:asciiTheme="majorHAnsi" w:eastAsia="Times New Roman" w:hAnsiTheme="majorHAnsi" w:cstheme="majorHAnsi"/>
          <w:bCs/>
          <w:kern w:val="20"/>
          <w:lang w:val="en-US"/>
        </w:rPr>
      </w:pPr>
    </w:p>
    <w:p w14:paraId="047999AD" w14:textId="08A17CC7" w:rsidR="00A1685A" w:rsidRPr="00881C88" w:rsidRDefault="00A1685A" w:rsidP="00A70BC5">
      <w:pPr>
        <w:spacing w:after="240" w:line="276" w:lineRule="auto"/>
        <w:rPr>
          <w:rFonts w:asciiTheme="majorHAnsi" w:eastAsia="Times New Roman" w:hAnsiTheme="majorHAnsi" w:cstheme="majorHAnsi"/>
          <w:bCs/>
          <w:kern w:val="20"/>
          <w:lang w:val="en-US"/>
        </w:rPr>
      </w:pPr>
      <w:r w:rsidRPr="00881C88">
        <w:rPr>
          <w:rFonts w:asciiTheme="majorHAnsi" w:eastAsia="Times New Roman" w:hAnsiTheme="majorHAnsi" w:cstheme="majorHAnsi"/>
          <w:bCs/>
          <w:kern w:val="20"/>
          <w:lang w:val="en-US"/>
        </w:rPr>
        <w:t>Below is a figure showing the number of municipalities that have published Zonal Maps.</w:t>
      </w:r>
    </w:p>
    <w:p w14:paraId="1EB27634" w14:textId="2389C66B" w:rsidR="00DD1F9B" w:rsidRPr="00881C88" w:rsidRDefault="006E6AAC" w:rsidP="00A70BC5">
      <w:pPr>
        <w:spacing w:after="240" w:line="276" w:lineRule="auto"/>
        <w:rPr>
          <w:rFonts w:asciiTheme="majorHAnsi" w:eastAsia="Times New Roman" w:hAnsiTheme="majorHAnsi" w:cstheme="majorHAnsi"/>
          <w:kern w:val="20"/>
          <w:lang w:val="en-US"/>
        </w:rPr>
      </w:pPr>
      <w:r w:rsidRPr="00881C88">
        <w:rPr>
          <w:rFonts w:asciiTheme="majorHAnsi" w:hAnsiTheme="majorHAnsi" w:cstheme="majorHAnsi"/>
          <w:noProof/>
          <w:lang w:val="en-US" w:eastAsia="sq-AL"/>
        </w:rPr>
        <w:drawing>
          <wp:inline distT="0" distB="0" distL="0" distR="0" wp14:anchorId="778DAFF7" wp14:editId="216A59A0">
            <wp:extent cx="5943600" cy="1609530"/>
            <wp:effectExtent l="0" t="0" r="0" b="10160"/>
            <wp:docPr id="42" name="Chart 42">
              <a:extLst xmlns:a="http://schemas.openxmlformats.org/drawingml/2006/main">
                <a:ext uri="{FF2B5EF4-FFF2-40B4-BE49-F238E27FC236}">
                  <a16:creationId xmlns:a16="http://schemas.microsoft.com/office/drawing/2014/main" id="{51F83101-BD9B-49C5-BD5B-598E4D94B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6D674E" w14:textId="6833A5F0" w:rsidR="007D4ABB" w:rsidRPr="00881C88" w:rsidRDefault="007D4ABB" w:rsidP="00280BB6">
      <w:pPr>
        <w:spacing w:after="240" w:line="276" w:lineRule="auto"/>
        <w:jc w:val="center"/>
        <w:rPr>
          <w:rFonts w:asciiTheme="majorHAnsi" w:eastAsia="Times New Roman" w:hAnsiTheme="majorHAnsi" w:cstheme="majorHAnsi"/>
          <w:kern w:val="20"/>
          <w:lang w:val="en-US"/>
        </w:rPr>
      </w:pPr>
      <w:bookmarkStart w:id="43" w:name="_Toc130455687"/>
      <w:bookmarkEnd w:id="42"/>
      <w:r w:rsidRPr="00881C88">
        <w:rPr>
          <w:rFonts w:asciiTheme="majorHAnsi" w:eastAsia="Times New Roman" w:hAnsiTheme="majorHAnsi" w:cstheme="majorHAnsi"/>
          <w:i/>
          <w:sz w:val="14"/>
          <w:szCs w:val="14"/>
          <w:lang w:val="en-US"/>
        </w:rPr>
        <w:t xml:space="preserve">Fig </w:t>
      </w:r>
      <w:r w:rsidR="00042A3B" w:rsidRPr="00881C88">
        <w:rPr>
          <w:rFonts w:asciiTheme="majorHAnsi" w:eastAsia="Times New Roman" w:hAnsiTheme="majorHAnsi" w:cstheme="majorHAnsi"/>
          <w:i/>
          <w:sz w:val="14"/>
          <w:szCs w:val="14"/>
          <w:lang w:val="en-US"/>
        </w:rPr>
        <w:t>12</w:t>
      </w:r>
      <w:r w:rsidRPr="00881C88">
        <w:rPr>
          <w:rFonts w:asciiTheme="majorHAnsi" w:eastAsia="Times New Roman" w:hAnsiTheme="majorHAnsi" w:cstheme="majorHAnsi"/>
          <w:i/>
          <w:sz w:val="14"/>
          <w:szCs w:val="14"/>
          <w:lang w:val="en-US"/>
        </w:rPr>
        <w:t xml:space="preserve">. </w:t>
      </w:r>
      <w:bookmarkEnd w:id="43"/>
      <w:r w:rsidR="00A012E1" w:rsidRPr="00881C88">
        <w:rPr>
          <w:rFonts w:asciiTheme="majorHAnsi" w:eastAsia="Times New Roman" w:hAnsiTheme="majorHAnsi" w:cstheme="majorHAnsi"/>
          <w:i/>
          <w:sz w:val="14"/>
          <w:szCs w:val="14"/>
          <w:lang w:val="en-US"/>
        </w:rPr>
        <w:t>Publication of zonal maps</w:t>
      </w:r>
    </w:p>
    <w:p w14:paraId="20DE29F4" w14:textId="05FC4225" w:rsidR="00280BB6" w:rsidRPr="00881C88" w:rsidRDefault="00280BB6" w:rsidP="00A70BC5">
      <w:pPr>
        <w:spacing w:line="276" w:lineRule="auto"/>
        <w:rPr>
          <w:rFonts w:asciiTheme="majorHAnsi" w:hAnsiTheme="majorHAnsi" w:cstheme="majorHAnsi"/>
          <w:b/>
          <w:color w:val="2F5496" w:themeColor="accent5" w:themeShade="BF"/>
          <w:lang w:val="en-US"/>
        </w:rPr>
      </w:pPr>
    </w:p>
    <w:p w14:paraId="6A143EA2" w14:textId="1C07A1C5" w:rsidR="00280BB6" w:rsidRPr="00881C88" w:rsidRDefault="00A012E1" w:rsidP="004F395D">
      <w:pPr>
        <w:pStyle w:val="Style3"/>
        <w:spacing w:line="276" w:lineRule="auto"/>
        <w:rPr>
          <w:rFonts w:cstheme="majorHAnsi"/>
          <w:sz w:val="22"/>
          <w:szCs w:val="22"/>
          <w:lang w:val="en-US"/>
        </w:rPr>
      </w:pPr>
      <w:bookmarkStart w:id="44" w:name="_Toc230182083"/>
      <w:r w:rsidRPr="00881C88">
        <w:rPr>
          <w:rFonts w:cstheme="majorHAnsi"/>
          <w:sz w:val="22"/>
          <w:szCs w:val="22"/>
          <w:lang w:val="en-US"/>
        </w:rPr>
        <w:t>Transparency Action Plan</w:t>
      </w:r>
      <w:bookmarkEnd w:id="44"/>
    </w:p>
    <w:p w14:paraId="03A969F8" w14:textId="031EFADB" w:rsidR="00A012E1" w:rsidRPr="00881C88" w:rsidRDefault="00A012E1"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Administrative Instruction No. 04/2023 on Open Administration in Municipalities establishes the legal obligation of municipalities to draft a Four (4) Year Action Plan on Transparency. This plan includes a series of actions aimed at advancing transparency and accountability, including: publication and transparency of Municipal Assembly and committee meetings, organization of public and consultative meetings for projects, transparency in municipal budget planning and spending, access to public services, transparent procurement and employment procedures, updating activities on official websites, and strengthening citizen participation in decision-making processes.</w:t>
      </w:r>
    </w:p>
    <w:p w14:paraId="500227C6" w14:textId="2B53A7BE" w:rsidR="00A012E1" w:rsidRPr="00881C88" w:rsidRDefault="00A012E1"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Municipal Action Plan on Transparency aims to ensure easy and full public access to the monitoring and implementation of municipal policies, through rapid information, publication of accessible data, publication of normative acts and documents of public interest, as well as increased citizen involvement in decision-making processes. The main objective of the Municipal Action Plan on Transparency is to ensure open governance for citizens, comprehensive involvement in the planning and policy development processes, as well as transparent and accountable governance.</w:t>
      </w:r>
    </w:p>
    <w:p w14:paraId="58C8FBBC" w14:textId="10EE3B95" w:rsidR="004F395D" w:rsidRPr="00881C88" w:rsidRDefault="00A012E1"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plan also aims to</w:t>
      </w:r>
      <w:r w:rsidR="004F395D" w:rsidRPr="00881C88">
        <w:rPr>
          <w:rFonts w:asciiTheme="majorHAnsi" w:eastAsia="Times New Roman" w:hAnsiTheme="majorHAnsi" w:cstheme="majorHAnsi"/>
          <w:lang w:val="en-US" w:eastAsia="en-GB"/>
        </w:rPr>
        <w:t>:</w:t>
      </w:r>
    </w:p>
    <w:p w14:paraId="4E66F4B5" w14:textId="2C2BA7F0" w:rsidR="00C87FE6" w:rsidRPr="00881C88" w:rsidRDefault="00C87FE6" w:rsidP="00C87FE6">
      <w:pPr>
        <w:numPr>
          <w:ilvl w:val="0"/>
          <w:numId w:val="39"/>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provide a clear and organized planning framework, defining roles and responsibilities for municipal transparency;</w:t>
      </w:r>
    </w:p>
    <w:p w14:paraId="5EC6998C" w14:textId="241D0847" w:rsidR="00C87FE6" w:rsidRPr="00881C88" w:rsidRDefault="00C87FE6" w:rsidP="00C87FE6">
      <w:pPr>
        <w:numPr>
          <w:ilvl w:val="0"/>
          <w:numId w:val="39"/>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strengthen local democracy mechanisms and increase public interest in public issues;</w:t>
      </w:r>
    </w:p>
    <w:p w14:paraId="03FD68E1" w14:textId="7F997471" w:rsidR="00C87FE6" w:rsidRPr="00881C88" w:rsidRDefault="00C87FE6" w:rsidP="00C87FE6">
      <w:pPr>
        <w:numPr>
          <w:ilvl w:val="0"/>
          <w:numId w:val="39"/>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advance information mechanisms and encourage citizens to actively participate in decision-making;</w:t>
      </w:r>
    </w:p>
    <w:p w14:paraId="39BD843E" w14:textId="69E894F7" w:rsidR="004F395D" w:rsidRPr="00881C88" w:rsidRDefault="00C87FE6" w:rsidP="004F395D">
      <w:pPr>
        <w:numPr>
          <w:ilvl w:val="0"/>
          <w:numId w:val="39"/>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create an effective system of governance, where decision-making is based on accurate data and information.</w:t>
      </w:r>
    </w:p>
    <w:p w14:paraId="5537734C" w14:textId="33366CC2" w:rsidR="00C87FE6" w:rsidRPr="00881C88" w:rsidRDefault="00C87FE6"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Monitoring data for the reporting period show that 23 municipalities (60%) have published the Transparency Action Plan, while 15 municipalities (40%) have not published this plan.</w:t>
      </w:r>
    </w:p>
    <w:p w14:paraId="3B7EDA73" w14:textId="70BDFE6E" w:rsidR="00C87FE6" w:rsidRPr="00881C88" w:rsidRDefault="00C87FE6" w:rsidP="00280BB6">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showing the number of municipalities that have published a Transparency Action Plan.</w:t>
      </w:r>
    </w:p>
    <w:p w14:paraId="4A9FFF7B" w14:textId="1A58B9BC" w:rsidR="00233A97" w:rsidRPr="00881C88" w:rsidRDefault="004F395D"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hAnsiTheme="majorHAnsi" w:cstheme="majorHAnsi"/>
          <w:noProof/>
          <w:lang w:val="en-US" w:eastAsia="sq-AL"/>
        </w:rPr>
        <mc:AlternateContent>
          <mc:Choice Requires="cx1">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a16="http://schemas.microsoft.com/office/drawing/2014/main" id="{8DDD648F-C6BA-4B69-A08D-32D774F24C3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4"/>
                  </a:graphicData>
                </a:graphic>
              </wp:inline>
            </w:drawing>
          </mc:Choice>
          <mc:Fallback>
            <w:drawing>
              <wp:inline distT="0" distB="0" distL="0" distR="0" wp14:anchorId="0F7B2CC2" wp14:editId="10B709C0">
                <wp:extent cx="5731510" cy="1553547"/>
                <wp:effectExtent l="0" t="0" r="2540" b="8890"/>
                <wp:docPr id="2" name="Chart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D648F-C6BA-4B69-A08D-32D774F24C3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D648F-C6BA-4B69-A08D-32D774F24C30}"/>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5731510" cy="1553210"/>
                        </a:xfrm>
                        <a:prstGeom prst="rect">
                          <a:avLst/>
                        </a:prstGeom>
                      </pic:spPr>
                    </pic:pic>
                  </a:graphicData>
                </a:graphic>
              </wp:inline>
            </w:drawing>
          </mc:Fallback>
        </mc:AlternateContent>
      </w:r>
    </w:p>
    <w:p w14:paraId="7718E1DB" w14:textId="4E0465F0" w:rsidR="00524F9B" w:rsidRPr="00881C88" w:rsidRDefault="002E0F9F" w:rsidP="006257DA">
      <w:pPr>
        <w:pStyle w:val="ListParagraph"/>
        <w:tabs>
          <w:tab w:val="left" w:pos="900"/>
        </w:tabs>
        <w:autoSpaceDE w:val="0"/>
        <w:autoSpaceDN w:val="0"/>
        <w:adjustRightInd w:val="0"/>
        <w:spacing w:after="240" w:line="276" w:lineRule="auto"/>
        <w:ind w:left="540"/>
        <w:jc w:val="center"/>
        <w:rPr>
          <w:rFonts w:asciiTheme="majorHAnsi" w:eastAsia="Times New Roman" w:hAnsiTheme="majorHAnsi" w:cstheme="majorHAnsi"/>
          <w:i/>
          <w:color w:val="000000" w:themeColor="text1"/>
          <w:sz w:val="14"/>
          <w:szCs w:val="14"/>
          <w:lang w:val="en-US"/>
        </w:rPr>
      </w:pPr>
      <w:r w:rsidRPr="00881C88">
        <w:rPr>
          <w:rFonts w:asciiTheme="majorHAnsi" w:eastAsia="Times New Roman" w:hAnsiTheme="majorHAnsi" w:cstheme="majorHAnsi"/>
          <w:i/>
          <w:color w:val="000000" w:themeColor="text1"/>
          <w:sz w:val="14"/>
          <w:szCs w:val="14"/>
          <w:lang w:val="en-US"/>
        </w:rPr>
        <w:t xml:space="preserve">Fig </w:t>
      </w:r>
      <w:r w:rsidR="00BF0C04" w:rsidRPr="00881C88">
        <w:rPr>
          <w:rFonts w:asciiTheme="majorHAnsi" w:eastAsia="Times New Roman" w:hAnsiTheme="majorHAnsi" w:cstheme="majorHAnsi"/>
          <w:i/>
          <w:color w:val="000000" w:themeColor="text1"/>
          <w:sz w:val="14"/>
          <w:szCs w:val="14"/>
          <w:lang w:val="en-US"/>
        </w:rPr>
        <w:t>13</w:t>
      </w:r>
      <w:r w:rsidRPr="00881C88">
        <w:rPr>
          <w:rFonts w:asciiTheme="majorHAnsi" w:eastAsia="Times New Roman" w:hAnsiTheme="majorHAnsi" w:cstheme="majorHAnsi"/>
          <w:i/>
          <w:color w:val="000000" w:themeColor="text1"/>
          <w:sz w:val="14"/>
          <w:szCs w:val="14"/>
          <w:lang w:val="en-US"/>
        </w:rPr>
        <w:t xml:space="preserve">. </w:t>
      </w:r>
      <w:r w:rsidR="006C6436" w:rsidRPr="00881C88">
        <w:rPr>
          <w:rFonts w:asciiTheme="majorHAnsi" w:eastAsia="Times New Roman" w:hAnsiTheme="majorHAnsi" w:cstheme="majorHAnsi"/>
          <w:i/>
          <w:color w:val="000000" w:themeColor="text1"/>
          <w:sz w:val="14"/>
          <w:szCs w:val="14"/>
          <w:lang w:val="en-US"/>
        </w:rPr>
        <w:t>Municipal Transparency Action Plan</w:t>
      </w:r>
    </w:p>
    <w:p w14:paraId="46150BE5" w14:textId="67AB46BA" w:rsidR="004F395D" w:rsidRPr="00881C88" w:rsidRDefault="008A0FFA" w:rsidP="004F395D">
      <w:pPr>
        <w:spacing w:before="100" w:beforeAutospacing="1" w:after="100" w:afterAutospacing="1" w:line="276" w:lineRule="auto"/>
        <w:outlineLvl w:val="1"/>
        <w:rPr>
          <w:rFonts w:asciiTheme="majorHAnsi" w:eastAsia="Times New Roman" w:hAnsiTheme="majorHAnsi" w:cstheme="majorHAnsi"/>
          <w:b/>
          <w:bCs/>
          <w:lang w:val="en-US" w:eastAsia="en-GB"/>
        </w:rPr>
      </w:pPr>
      <w:bookmarkStart w:id="45" w:name="_Toc230182084"/>
      <w:r w:rsidRPr="00881C88">
        <w:rPr>
          <w:rFonts w:asciiTheme="majorHAnsi" w:eastAsia="Times New Roman" w:hAnsiTheme="majorHAnsi" w:cstheme="majorHAnsi"/>
          <w:b/>
          <w:bCs/>
          <w:lang w:val="en-US" w:eastAsia="en-GB"/>
        </w:rPr>
        <w:t>MUNICIPAL TRANSPARENCY REGULATIONS</w:t>
      </w:r>
      <w:bookmarkEnd w:id="45"/>
    </w:p>
    <w:p w14:paraId="3A1177B6" w14:textId="4ADBA189" w:rsidR="008A0FFA" w:rsidRPr="00881C88" w:rsidRDefault="008A0FFA"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Law No. 03/L-040 on Local Self-Government, Article 68, Paragraph 68.4, the Municipal Assembly adopts the municipal regulation that promotes the transparency of the legislative, executive and administrative bodies of the municipality, increasing public participation in decision-making processes at the local level and facilitating citizens' access to official documents of the municipality.</w:t>
      </w:r>
    </w:p>
    <w:p w14:paraId="723B4131" w14:textId="6329AE86" w:rsidR="00E70119" w:rsidRPr="00881C88" w:rsidRDefault="00E70119"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Data from the official websites of municipalities show that, for the period January-December 2025, 22 municipalities (58%) have published the Transparency Regulation, while 16 municipalities (42%) have not published this regulation.</w:t>
      </w:r>
    </w:p>
    <w:p w14:paraId="2F15D1A1" w14:textId="290EF630" w:rsidR="00B73E46" w:rsidRPr="00881C88" w:rsidRDefault="00E70119"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showing the number of municipalities that have published the Transparency Regulation.</w:t>
      </w:r>
    </w:p>
    <w:p w14:paraId="77712EEB" w14:textId="048C16F4" w:rsidR="00B73E46" w:rsidRPr="00881C88" w:rsidRDefault="00280BB6" w:rsidP="00A70BC5">
      <w:pPr>
        <w:spacing w:after="0" w:line="276" w:lineRule="auto"/>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0D5948A3" wp14:editId="4E3BAEAB">
            <wp:extent cx="5731510" cy="1720800"/>
            <wp:effectExtent l="0" t="0" r="2540" b="13335"/>
            <wp:docPr id="54" name="Chart 54">
              <a:extLst xmlns:a="http://schemas.openxmlformats.org/drawingml/2006/main">
                <a:ext uri="{FF2B5EF4-FFF2-40B4-BE49-F238E27FC236}">
                  <a16:creationId xmlns:a16="http://schemas.microsoft.com/office/drawing/2014/main" id="{99982C57-F45D-455C-BCED-C9EB77796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753E8B3" w14:textId="77777777" w:rsidR="006257DA" w:rsidRPr="00881C88" w:rsidRDefault="006257DA" w:rsidP="006257DA">
      <w:pPr>
        <w:spacing w:after="0" w:line="276" w:lineRule="auto"/>
        <w:rPr>
          <w:rFonts w:asciiTheme="majorHAnsi" w:hAnsiTheme="majorHAnsi" w:cstheme="majorHAnsi"/>
          <w:sz w:val="20"/>
          <w:szCs w:val="20"/>
          <w:lang w:val="en-US"/>
        </w:rPr>
      </w:pPr>
    </w:p>
    <w:p w14:paraId="2B4AE7EF" w14:textId="503B0B16" w:rsidR="00222E8C" w:rsidRPr="00881C88" w:rsidRDefault="00927A52" w:rsidP="006257DA">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w:t>
      </w:r>
      <w:proofErr w:type="gramStart"/>
      <w:r w:rsidR="00BF0C04" w:rsidRPr="00881C88">
        <w:rPr>
          <w:rFonts w:asciiTheme="majorHAnsi" w:hAnsiTheme="majorHAnsi" w:cstheme="majorHAnsi"/>
          <w:i/>
          <w:sz w:val="14"/>
          <w:szCs w:val="14"/>
          <w:lang w:val="en-US"/>
        </w:rPr>
        <w:t>14</w:t>
      </w:r>
      <w:r w:rsidRPr="00881C88">
        <w:rPr>
          <w:rFonts w:asciiTheme="majorHAnsi" w:hAnsiTheme="majorHAnsi" w:cstheme="majorHAnsi"/>
          <w:i/>
          <w:sz w:val="14"/>
          <w:szCs w:val="14"/>
          <w:lang w:val="en-US"/>
        </w:rPr>
        <w:t xml:space="preserve">  </w:t>
      </w:r>
      <w:bookmarkStart w:id="46" w:name="_Toc163220245"/>
      <w:bookmarkStart w:id="47" w:name="_Toc56692985"/>
      <w:bookmarkStart w:id="48" w:name="_Toc81401211"/>
      <w:bookmarkStart w:id="49" w:name="_Toc85812816"/>
      <w:r w:rsidR="00E70119" w:rsidRPr="00881C88">
        <w:rPr>
          <w:rFonts w:asciiTheme="majorHAnsi" w:hAnsiTheme="majorHAnsi" w:cstheme="majorHAnsi"/>
          <w:i/>
          <w:sz w:val="14"/>
          <w:szCs w:val="14"/>
          <w:lang w:val="en-US"/>
        </w:rPr>
        <w:t>Publication</w:t>
      </w:r>
      <w:proofErr w:type="gramEnd"/>
      <w:r w:rsidR="00E70119" w:rsidRPr="00881C88">
        <w:rPr>
          <w:rFonts w:asciiTheme="majorHAnsi" w:hAnsiTheme="majorHAnsi" w:cstheme="majorHAnsi"/>
          <w:i/>
          <w:sz w:val="14"/>
          <w:szCs w:val="14"/>
          <w:lang w:val="en-US"/>
        </w:rPr>
        <w:t xml:space="preserve"> of the regulation on transparency in municipalities</w:t>
      </w:r>
    </w:p>
    <w:p w14:paraId="0F466134" w14:textId="3399F962" w:rsidR="002923CE" w:rsidRPr="00881C88" w:rsidRDefault="00E70119" w:rsidP="004F395D">
      <w:pPr>
        <w:pStyle w:val="Style3"/>
        <w:spacing w:line="276" w:lineRule="auto"/>
        <w:rPr>
          <w:rFonts w:eastAsia="Times New Roman" w:cstheme="majorHAnsi"/>
          <w:sz w:val="22"/>
          <w:szCs w:val="22"/>
          <w:lang w:val="en-US" w:eastAsia="en-GB"/>
        </w:rPr>
      </w:pPr>
      <w:bookmarkStart w:id="50" w:name="_Toc230182085"/>
      <w:r w:rsidRPr="00881C88">
        <w:rPr>
          <w:rFonts w:eastAsia="Times New Roman" w:cstheme="majorHAnsi"/>
          <w:sz w:val="22"/>
          <w:szCs w:val="22"/>
          <w:lang w:val="en-US" w:eastAsia="en-GB"/>
        </w:rPr>
        <w:t>Integrity Plan</w:t>
      </w:r>
      <w:bookmarkEnd w:id="50"/>
    </w:p>
    <w:p w14:paraId="2A5939B4" w14:textId="3D6B457F" w:rsidR="00E70119" w:rsidRPr="00881C88" w:rsidRDefault="00E70119"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Integrity Plan constitutes an essential instrument for ensuring transparency, accountability and good governance in public institutions. Through this plan, institutions identify and assess potential corruption risks, define preventive measures and control mechanisms, and strengthen institutional integrity and public trust. In this way, the Integrity Plan directly contributes to the prevention and fight against corruption, as well as to the implementation of the principles of the rule of law.</w:t>
      </w:r>
    </w:p>
    <w:p w14:paraId="0DCD08D8" w14:textId="28779539" w:rsidR="00E70119" w:rsidRPr="00881C88" w:rsidRDefault="00E70119"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Law No. 08/L-017 on the Agency for the Prevention of Corruption, as well as the sub-legal acts and instructions issued by this agency, public institutions, including municipalities, are obliged to draft and implement an Integrity Plan as part of the mechanisms for the prevention of corruption.</w:t>
      </w:r>
    </w:p>
    <w:p w14:paraId="6C8401D7" w14:textId="44FCBAD8" w:rsidR="00E70119" w:rsidRPr="00881C88" w:rsidRDefault="00E70119"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this context, in accordance with the relevant provisions of this law and the implementing instructions, municipalities are obliged to adopt the Integrity Plan and publish it on their official websites, in order to ensure transparency and public access to official documents.</w:t>
      </w:r>
    </w:p>
    <w:p w14:paraId="551D494D" w14:textId="5AC8A357" w:rsidR="004F395D" w:rsidRPr="00881C88" w:rsidRDefault="00E1471A" w:rsidP="00280BB6">
      <w:pPr>
        <w:spacing w:before="100" w:beforeAutospacing="1" w:after="100" w:afterAutospacing="1" w:line="276" w:lineRule="auto"/>
        <w:rPr>
          <w:rFonts w:asciiTheme="majorHAnsi" w:eastAsia="Times New Roman" w:hAnsiTheme="majorHAnsi" w:cstheme="majorHAnsi"/>
          <w:sz w:val="24"/>
          <w:szCs w:val="24"/>
          <w:lang w:val="en-US" w:eastAsia="en-GB"/>
        </w:rPr>
      </w:pPr>
      <w:r w:rsidRPr="00881C88">
        <w:rPr>
          <w:rFonts w:asciiTheme="majorHAnsi" w:eastAsia="Times New Roman" w:hAnsiTheme="majorHAnsi" w:cstheme="majorHAnsi"/>
          <w:lang w:val="en-US" w:eastAsia="en-GB"/>
        </w:rPr>
        <w:t xml:space="preserve">The following is a figure showing the number of municipalities that have published an Integrity </w:t>
      </w:r>
      <w:proofErr w:type="gramStart"/>
      <w:r w:rsidRPr="00881C88">
        <w:rPr>
          <w:rFonts w:asciiTheme="majorHAnsi" w:eastAsia="Times New Roman" w:hAnsiTheme="majorHAnsi" w:cstheme="majorHAnsi"/>
          <w:lang w:val="en-US" w:eastAsia="en-GB"/>
        </w:rPr>
        <w:t>Plan.</w:t>
      </w:r>
      <w:r w:rsidR="004F395D" w:rsidRPr="00881C88">
        <w:rPr>
          <w:rFonts w:asciiTheme="majorHAnsi" w:eastAsia="Times New Roman" w:hAnsiTheme="majorHAnsi" w:cstheme="majorHAnsi"/>
          <w:sz w:val="24"/>
          <w:szCs w:val="24"/>
          <w:lang w:val="en-US" w:eastAsia="en-GB"/>
        </w:rPr>
        <w:t>.</w:t>
      </w:r>
      <w:proofErr w:type="gramEnd"/>
    </w:p>
    <w:p w14:paraId="1DF5176F" w14:textId="329D3C41" w:rsidR="00572118" w:rsidRPr="00881C88" w:rsidRDefault="00280BB6" w:rsidP="00280BB6">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hAnsiTheme="majorHAnsi" w:cstheme="majorHAnsi"/>
          <w:b/>
          <w:bCs/>
          <w:noProof/>
          <w:lang w:val="en-US" w:eastAsia="sq-AL"/>
        </w:rPr>
        <w:drawing>
          <wp:inline distT="0" distB="0" distL="0" distR="0" wp14:anchorId="32DA6796" wp14:editId="62A8AC5D">
            <wp:extent cx="5946775" cy="1628192"/>
            <wp:effectExtent l="0" t="0" r="15875" b="10160"/>
            <wp:docPr id="59" name="Chart 59">
              <a:extLst xmlns:a="http://schemas.openxmlformats.org/drawingml/2006/main">
                <a:ext uri="{FF2B5EF4-FFF2-40B4-BE49-F238E27FC236}">
                  <a16:creationId xmlns:a16="http://schemas.microsoft.com/office/drawing/2014/main" id="{506A4D21-9193-4029-B754-E456028A2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220FA0" w14:textId="528A9BE7" w:rsidR="00051CD5" w:rsidRPr="00881C88" w:rsidRDefault="002923CE" w:rsidP="004F395D">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w:t>
      </w:r>
      <w:proofErr w:type="gramStart"/>
      <w:r w:rsidRPr="00881C88">
        <w:rPr>
          <w:rFonts w:asciiTheme="majorHAnsi" w:hAnsiTheme="majorHAnsi" w:cstheme="majorHAnsi"/>
          <w:i/>
          <w:sz w:val="14"/>
          <w:szCs w:val="14"/>
          <w:lang w:val="en-US"/>
        </w:rPr>
        <w:t>1</w:t>
      </w:r>
      <w:r w:rsidR="006A4783" w:rsidRPr="00881C88">
        <w:rPr>
          <w:rFonts w:asciiTheme="majorHAnsi" w:hAnsiTheme="majorHAnsi" w:cstheme="majorHAnsi"/>
          <w:i/>
          <w:sz w:val="14"/>
          <w:szCs w:val="14"/>
          <w:lang w:val="en-US"/>
        </w:rPr>
        <w:t>5</w:t>
      </w:r>
      <w:r w:rsidRPr="00881C88">
        <w:rPr>
          <w:rFonts w:asciiTheme="majorHAnsi" w:hAnsiTheme="majorHAnsi" w:cstheme="majorHAnsi"/>
          <w:i/>
          <w:sz w:val="14"/>
          <w:szCs w:val="14"/>
          <w:lang w:val="en-US"/>
        </w:rPr>
        <w:t xml:space="preserve">  </w:t>
      </w:r>
      <w:r w:rsidR="00E1471A" w:rsidRPr="00881C88">
        <w:rPr>
          <w:rFonts w:asciiTheme="majorHAnsi" w:hAnsiTheme="majorHAnsi" w:cstheme="majorHAnsi"/>
          <w:i/>
          <w:sz w:val="14"/>
          <w:szCs w:val="14"/>
          <w:lang w:val="en-US"/>
        </w:rPr>
        <w:t>Publication</w:t>
      </w:r>
      <w:proofErr w:type="gramEnd"/>
      <w:r w:rsidR="00E1471A" w:rsidRPr="00881C88">
        <w:rPr>
          <w:rFonts w:asciiTheme="majorHAnsi" w:hAnsiTheme="majorHAnsi" w:cstheme="majorHAnsi"/>
          <w:i/>
          <w:sz w:val="14"/>
          <w:szCs w:val="14"/>
          <w:lang w:val="en-US"/>
        </w:rPr>
        <w:t xml:space="preserve"> of the Integrity Plan</w:t>
      </w:r>
    </w:p>
    <w:p w14:paraId="78E939EE" w14:textId="17BA9460" w:rsidR="00051CD5" w:rsidRPr="00881C88" w:rsidRDefault="00E1471A" w:rsidP="00A70BC5">
      <w:pPr>
        <w:pStyle w:val="Style2"/>
        <w:spacing w:line="276" w:lineRule="auto"/>
        <w:rPr>
          <w:rFonts w:asciiTheme="majorHAnsi" w:hAnsiTheme="majorHAnsi" w:cstheme="majorHAnsi"/>
          <w:sz w:val="22"/>
          <w:szCs w:val="24"/>
          <w:lang w:val="en-US"/>
        </w:rPr>
      </w:pPr>
      <w:bookmarkStart w:id="51" w:name="_Toc230182086"/>
      <w:bookmarkEnd w:id="46"/>
      <w:r w:rsidRPr="00881C88">
        <w:rPr>
          <w:rFonts w:asciiTheme="majorHAnsi" w:hAnsiTheme="majorHAnsi" w:cstheme="majorHAnsi"/>
          <w:sz w:val="22"/>
          <w:szCs w:val="24"/>
          <w:lang w:val="en-US"/>
        </w:rPr>
        <w:t>TRANSPARENCY OF THE MAYOR OF THE MUNICIPALITY</w:t>
      </w:r>
      <w:bookmarkEnd w:id="51"/>
    </w:p>
    <w:p w14:paraId="2734D6FE" w14:textId="6C48BCE0" w:rsidR="00E1471A" w:rsidRPr="00881C88" w:rsidRDefault="00E1471A"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Administrative Instruction No. 04/2023 on Open Administration in Municipalities, the mayor ensures transparency in his decision-making process and in the work of the municipal administration. The mayor is responsible for implementing the legislation on the publication of executive acts and official documents, in accordance with Law No. 06/L-082 on the Protection of Personal Data and Law No. 06/L-081 on Access to Public Documents.</w:t>
      </w:r>
    </w:p>
    <w:p w14:paraId="78328454" w14:textId="6506BB7C" w:rsidR="00E1471A" w:rsidRPr="00881C88" w:rsidRDefault="00E1471A"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a total of 3,934 decisions of mayors from 27 municipalities (71%) were published, while 11 municipalities (29%) did not publish any mayor decisions.</w:t>
      </w:r>
    </w:p>
    <w:p w14:paraId="610EF2E3" w14:textId="413B8B46" w:rsidR="004F395D" w:rsidRPr="00881C88" w:rsidRDefault="00E1471A" w:rsidP="004F395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showing the number of decisions by mayors of municipalities.</w:t>
      </w:r>
    </w:p>
    <w:p w14:paraId="0252FF60" w14:textId="04F1C152" w:rsidR="003F2D54" w:rsidRPr="00881C88" w:rsidRDefault="00AC7AA3" w:rsidP="00A70BC5">
      <w:pPr>
        <w:spacing w:line="276" w:lineRule="auto"/>
        <w:rPr>
          <w:rFonts w:asciiTheme="majorHAnsi" w:hAnsiTheme="majorHAnsi" w:cstheme="majorHAnsi"/>
          <w:lang w:val="en-US"/>
        </w:rPr>
      </w:pPr>
      <w:r w:rsidRPr="00881C88">
        <w:rPr>
          <w:rFonts w:asciiTheme="majorHAnsi" w:hAnsiTheme="majorHAnsi" w:cstheme="majorHAnsi"/>
          <w:b/>
          <w:bCs/>
          <w:noProof/>
          <w:lang w:val="en-US" w:eastAsia="sq-AL"/>
        </w:rPr>
        <w:drawing>
          <wp:inline distT="0" distB="0" distL="0" distR="0" wp14:anchorId="49920FC6" wp14:editId="6F738CE8">
            <wp:extent cx="6020435" cy="1562878"/>
            <wp:effectExtent l="0" t="0" r="18415" b="18415"/>
            <wp:docPr id="7" name="Chart 7">
              <a:extLst xmlns:a="http://schemas.openxmlformats.org/drawingml/2006/main">
                <a:ext uri="{FF2B5EF4-FFF2-40B4-BE49-F238E27FC236}">
                  <a16:creationId xmlns:a16="http://schemas.microsoft.com/office/drawing/2014/main" id="{626166F4-5CA0-4FA5-A0BA-03935353CD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78F8CD" w14:textId="6EC81F3F" w:rsidR="007D4ABB" w:rsidRPr="00881C88" w:rsidRDefault="00A85CE9" w:rsidP="006A4783">
      <w:pPr>
        <w:spacing w:line="276" w:lineRule="auto"/>
        <w:jc w:val="center"/>
        <w:rPr>
          <w:rFonts w:asciiTheme="majorHAnsi" w:hAnsiTheme="majorHAnsi" w:cstheme="majorHAnsi"/>
          <w:i/>
          <w:iCs/>
          <w:sz w:val="14"/>
          <w:szCs w:val="14"/>
          <w:lang w:val="en-US"/>
        </w:rPr>
      </w:pPr>
      <w:r w:rsidRPr="00881C88">
        <w:rPr>
          <w:rFonts w:asciiTheme="majorHAnsi" w:hAnsiTheme="majorHAnsi" w:cstheme="majorHAnsi"/>
          <w:i/>
          <w:sz w:val="14"/>
          <w:szCs w:val="14"/>
          <w:lang w:val="en-US"/>
        </w:rPr>
        <w:t>Fig 1</w:t>
      </w:r>
      <w:r w:rsidR="006A4783" w:rsidRPr="00881C88">
        <w:rPr>
          <w:rFonts w:asciiTheme="majorHAnsi" w:hAnsiTheme="majorHAnsi" w:cstheme="majorHAnsi"/>
          <w:i/>
          <w:sz w:val="14"/>
          <w:szCs w:val="14"/>
          <w:lang w:val="en-US"/>
        </w:rPr>
        <w:t>6</w:t>
      </w:r>
      <w:r w:rsidR="007D4ABB" w:rsidRPr="00881C88">
        <w:rPr>
          <w:rFonts w:asciiTheme="majorHAnsi" w:hAnsiTheme="majorHAnsi" w:cstheme="majorHAnsi"/>
          <w:i/>
          <w:iCs/>
          <w:sz w:val="14"/>
          <w:szCs w:val="14"/>
          <w:lang w:val="en-US"/>
        </w:rPr>
        <w:t xml:space="preserve"> </w:t>
      </w:r>
      <w:r w:rsidR="00E1471A" w:rsidRPr="00881C88">
        <w:rPr>
          <w:rFonts w:asciiTheme="majorHAnsi" w:hAnsiTheme="majorHAnsi" w:cstheme="majorHAnsi"/>
          <w:i/>
          <w:iCs/>
          <w:sz w:val="14"/>
          <w:szCs w:val="14"/>
          <w:lang w:val="en-US"/>
        </w:rPr>
        <w:t>Publication of decisions of mayors of municipalities</w:t>
      </w:r>
    </w:p>
    <w:p w14:paraId="0BA66FAF" w14:textId="77777777" w:rsidR="00594BD1" w:rsidRPr="00881C88" w:rsidRDefault="00594BD1" w:rsidP="00A70BC5">
      <w:pPr>
        <w:spacing w:line="276" w:lineRule="auto"/>
        <w:rPr>
          <w:rFonts w:asciiTheme="majorHAnsi" w:hAnsiTheme="majorHAnsi" w:cstheme="majorHAnsi"/>
          <w:i/>
          <w:iCs/>
          <w:sz w:val="16"/>
          <w:szCs w:val="16"/>
          <w:lang w:val="en-US"/>
        </w:rPr>
      </w:pPr>
    </w:p>
    <w:p w14:paraId="15F8B8BD" w14:textId="50164D8D" w:rsidR="00F146C3" w:rsidRPr="00881C88" w:rsidRDefault="00E1471A" w:rsidP="006A4783">
      <w:pPr>
        <w:pStyle w:val="Style2"/>
        <w:rPr>
          <w:rFonts w:asciiTheme="majorHAnsi" w:hAnsiTheme="majorHAnsi" w:cstheme="majorHAnsi"/>
          <w:sz w:val="22"/>
          <w:szCs w:val="24"/>
          <w:lang w:val="en-US"/>
        </w:rPr>
      </w:pPr>
      <w:bookmarkStart w:id="52" w:name="_Toc230182087"/>
      <w:r w:rsidRPr="00881C88">
        <w:rPr>
          <w:rFonts w:asciiTheme="majorHAnsi" w:hAnsiTheme="majorHAnsi" w:cstheme="majorHAnsi"/>
          <w:sz w:val="22"/>
          <w:szCs w:val="24"/>
          <w:lang w:val="en-US"/>
        </w:rPr>
        <w:t>PUBLICATION OF THE MAYOR'S ANNUAL PLAN</w:t>
      </w:r>
      <w:bookmarkEnd w:id="52"/>
    </w:p>
    <w:p w14:paraId="01D3E94E" w14:textId="620D2EC1" w:rsidR="00F146C3" w:rsidRPr="00881C88" w:rsidRDefault="00F146C3" w:rsidP="00A70BC5">
      <w:pPr>
        <w:spacing w:line="276" w:lineRule="auto"/>
        <w:rPr>
          <w:rFonts w:asciiTheme="majorHAnsi" w:hAnsiTheme="majorHAnsi" w:cstheme="majorHAnsi"/>
          <w:i/>
          <w:iCs/>
          <w:sz w:val="16"/>
          <w:szCs w:val="16"/>
          <w:lang w:val="en-US"/>
        </w:rPr>
      </w:pPr>
    </w:p>
    <w:p w14:paraId="5B8B4AB3" w14:textId="7C3D792D" w:rsidR="00E1471A" w:rsidRPr="00881C88" w:rsidRDefault="00E1471A" w:rsidP="006D764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Administrative Instruction (MLGA) No. 04/2023 on Open Administration in Municipalities stipulates that municipalities are obliged to publish all official documents, including the Annual Work Plan of the Mayor and directorates.</w:t>
      </w:r>
    </w:p>
    <w:p w14:paraId="41D4A047" w14:textId="3F766CCA" w:rsidR="00E1471A" w:rsidRPr="00881C88" w:rsidRDefault="00E1471A" w:rsidP="006D764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There are 20 municipalities (53%) that have published the Mayor's Work Plan for the period January-December 2025, while 18 municipalities (47%) have not published any Mayor's Work Plan.</w:t>
      </w:r>
    </w:p>
    <w:p w14:paraId="6DD4D137" w14:textId="6050B3D2" w:rsidR="00E1471A" w:rsidRPr="00881C88" w:rsidRDefault="00E1471A" w:rsidP="006D764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Referring to data from the Transparency Assessment Report for 2024, where 24 work plans of mayors were published, a decrease of four (4) municipalities is noted in 2025 compared to the previous year.</w:t>
      </w:r>
    </w:p>
    <w:p w14:paraId="2A76F619" w14:textId="3B704C76" w:rsidR="00EA21F2" w:rsidRPr="00881C88" w:rsidRDefault="00EE3096" w:rsidP="006D764B">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table showing the number of municipalities that have published the Mayor's Work Plan.</w:t>
      </w:r>
    </w:p>
    <w:p w14:paraId="34529DC7" w14:textId="53920566" w:rsidR="00EA21F2" w:rsidRPr="00881C88" w:rsidRDefault="00EA21F2" w:rsidP="00A70BC5">
      <w:pPr>
        <w:spacing w:line="276" w:lineRule="auto"/>
        <w:rPr>
          <w:rFonts w:asciiTheme="majorHAnsi" w:hAnsiTheme="majorHAnsi" w:cstheme="majorHAnsi"/>
          <w:noProof/>
          <w:lang w:val="en-US"/>
        </w:rPr>
      </w:pPr>
      <w:r w:rsidRPr="00881C88">
        <w:rPr>
          <w:rFonts w:asciiTheme="majorHAnsi" w:hAnsiTheme="majorHAnsi" w:cstheme="majorHAnsi"/>
          <w:noProof/>
          <w:lang w:val="en-US" w:eastAsia="sq-AL"/>
        </w:rPr>
        <w:drawing>
          <wp:inline distT="0" distB="0" distL="0" distR="0" wp14:anchorId="7DE30B6C" wp14:editId="76195021">
            <wp:extent cx="5731510" cy="1756800"/>
            <wp:effectExtent l="0" t="0" r="2540" b="15240"/>
            <wp:docPr id="1" name="Chart 1">
              <a:extLst xmlns:a="http://schemas.openxmlformats.org/drawingml/2006/main">
                <a:ext uri="{FF2B5EF4-FFF2-40B4-BE49-F238E27FC236}">
                  <a16:creationId xmlns:a16="http://schemas.microsoft.com/office/drawing/2014/main" id="{28EE2B83-4AE9-4BF7-ADDB-02C900D1C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F95FC97" w14:textId="06BC9F5D" w:rsidR="001322CD" w:rsidRPr="00881C88" w:rsidRDefault="00A85CE9" w:rsidP="006A4783">
      <w:pPr>
        <w:spacing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 1</w:t>
      </w:r>
      <w:r w:rsidR="006A4783" w:rsidRPr="00881C88">
        <w:rPr>
          <w:rFonts w:asciiTheme="majorHAnsi" w:hAnsiTheme="majorHAnsi" w:cstheme="majorHAnsi"/>
          <w:i/>
          <w:sz w:val="14"/>
          <w:szCs w:val="14"/>
          <w:lang w:val="en-US"/>
        </w:rPr>
        <w:t>7</w:t>
      </w:r>
      <w:r w:rsidRPr="00881C88">
        <w:rPr>
          <w:rFonts w:asciiTheme="majorHAnsi" w:hAnsiTheme="majorHAnsi" w:cstheme="majorHAnsi"/>
          <w:i/>
          <w:iCs/>
          <w:sz w:val="14"/>
          <w:szCs w:val="14"/>
          <w:lang w:val="en-US"/>
        </w:rPr>
        <w:t xml:space="preserve"> </w:t>
      </w:r>
      <w:r w:rsidR="00EE3096" w:rsidRPr="00881C88">
        <w:rPr>
          <w:rFonts w:asciiTheme="majorHAnsi" w:hAnsiTheme="majorHAnsi" w:cstheme="majorHAnsi"/>
          <w:i/>
          <w:iCs/>
          <w:sz w:val="14"/>
          <w:szCs w:val="14"/>
          <w:lang w:val="en-US"/>
        </w:rPr>
        <w:t>Publication of the Mayor's Annual Work Plan</w:t>
      </w:r>
    </w:p>
    <w:p w14:paraId="4EB3926B" w14:textId="77777777" w:rsidR="00051CD5" w:rsidRPr="00881C88" w:rsidRDefault="00051CD5" w:rsidP="006A4783">
      <w:pPr>
        <w:spacing w:line="276" w:lineRule="auto"/>
        <w:jc w:val="center"/>
        <w:rPr>
          <w:rFonts w:asciiTheme="majorHAnsi" w:hAnsiTheme="majorHAnsi" w:cstheme="majorHAnsi"/>
          <w:i/>
          <w:iCs/>
          <w:sz w:val="16"/>
          <w:szCs w:val="16"/>
          <w:lang w:val="en-US"/>
        </w:rPr>
      </w:pPr>
    </w:p>
    <w:p w14:paraId="1B03269E" w14:textId="64177EBA" w:rsidR="006A4783" w:rsidRPr="00881C88" w:rsidRDefault="00EE3096" w:rsidP="006A4783">
      <w:pPr>
        <w:pStyle w:val="Style2"/>
        <w:rPr>
          <w:rFonts w:asciiTheme="majorHAnsi" w:hAnsiTheme="majorHAnsi" w:cstheme="majorHAnsi"/>
          <w:sz w:val="22"/>
          <w:szCs w:val="24"/>
          <w:lang w:val="en-US"/>
        </w:rPr>
      </w:pPr>
      <w:bookmarkStart w:id="53" w:name="_Toc230182088"/>
      <w:r w:rsidRPr="00881C88">
        <w:rPr>
          <w:rFonts w:asciiTheme="majorHAnsi" w:hAnsiTheme="majorHAnsi" w:cstheme="majorHAnsi"/>
          <w:sz w:val="22"/>
          <w:szCs w:val="24"/>
          <w:lang w:val="en-US"/>
        </w:rPr>
        <w:t>PUBLICATION OF THE MAYOR’s REPORT</w:t>
      </w:r>
      <w:bookmarkEnd w:id="53"/>
    </w:p>
    <w:p w14:paraId="65E79397" w14:textId="4A686F0D" w:rsidR="00EE3096" w:rsidRPr="00881C88" w:rsidRDefault="00EE309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Law No. 03/L-040 on Local Self-Government, Article 58, stipulates that the mayor is obliged to report to the Municipal Assembly at least once every six months, or whenever requested by the Municipal Assembly, regarding the economic and financial situation of the municipality, as well as the implementation of its investment plans.</w:t>
      </w:r>
    </w:p>
    <w:p w14:paraId="2D3965B6" w14:textId="2881C9E1" w:rsidR="00EE3096" w:rsidRPr="00881C88" w:rsidRDefault="00EE309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Administrative Instruction No. 04/2023 on Open Administration in Municipalities, the mayor's reports must be published on the official website of the municipality, along with other mandatory documents.</w:t>
      </w:r>
    </w:p>
    <w:p w14:paraId="4F09916A" w14:textId="064FE984" w:rsidR="00EE3096" w:rsidRPr="00881C88" w:rsidRDefault="00EE309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findings show that 22 municipalities (58%) have published the mayor's report, while 15 municipalities (42%) have not published any executive reports on their official websites.</w:t>
      </w:r>
    </w:p>
    <w:p w14:paraId="244DE6E0" w14:textId="79EE85A1" w:rsidR="00EE3096" w:rsidRPr="00881C88" w:rsidRDefault="00EE309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2024, when 27 municipalities had the mayor's report published, a decrease of four (4) municipalities is noted in 2025.</w:t>
      </w:r>
    </w:p>
    <w:p w14:paraId="079F3F91" w14:textId="20070744" w:rsidR="00EE3096" w:rsidRPr="00881C88" w:rsidRDefault="00EE309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table presents the number of municipalities that have published the mayor's report.</w:t>
      </w:r>
    </w:p>
    <w:p w14:paraId="1FD89B75" w14:textId="78FDDD2F" w:rsidR="005F3BD8" w:rsidRPr="00881C88" w:rsidRDefault="005F3BD8" w:rsidP="00A70BC5">
      <w:pPr>
        <w:spacing w:line="276" w:lineRule="auto"/>
        <w:contextualSpacing/>
        <w:rPr>
          <w:rFonts w:asciiTheme="majorHAnsi" w:hAnsiTheme="majorHAnsi" w:cstheme="majorHAnsi"/>
          <w:noProof/>
          <w:lang w:val="en-US" w:eastAsia="sq-AL"/>
        </w:rPr>
      </w:pPr>
      <w:r w:rsidRPr="00881C88">
        <w:rPr>
          <w:rFonts w:asciiTheme="majorHAnsi" w:hAnsiTheme="majorHAnsi" w:cstheme="majorHAnsi"/>
          <w:noProof/>
          <w:lang w:val="en-US" w:eastAsia="sq-AL"/>
        </w:rPr>
        <w:drawing>
          <wp:inline distT="0" distB="0" distL="0" distR="0" wp14:anchorId="3E1B5BFF" wp14:editId="3B4BD3F8">
            <wp:extent cx="5888990" cy="1693506"/>
            <wp:effectExtent l="0" t="0" r="16510" b="2540"/>
            <wp:docPr id="8" name="Chart 8">
              <a:extLst xmlns:a="http://schemas.openxmlformats.org/drawingml/2006/main">
                <a:ext uri="{FF2B5EF4-FFF2-40B4-BE49-F238E27FC236}">
                  <a16:creationId xmlns:a16="http://schemas.microsoft.com/office/drawing/2014/main" id="{C076FF51-5B63-4E2D-A18B-6E96850FA1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51885A3" w14:textId="0B110D0E" w:rsidR="00A85CE9" w:rsidRPr="00881C88" w:rsidRDefault="00A85CE9" w:rsidP="006A4783">
      <w:pPr>
        <w:spacing w:line="276" w:lineRule="auto"/>
        <w:contextualSpacing/>
        <w:rPr>
          <w:rFonts w:asciiTheme="majorHAnsi" w:eastAsia="Times New Roman" w:hAnsiTheme="majorHAnsi" w:cstheme="majorHAnsi"/>
          <w:i/>
          <w:color w:val="000000"/>
          <w:sz w:val="16"/>
          <w:szCs w:val="16"/>
          <w:lang w:val="en-US" w:eastAsia="sq-AL"/>
        </w:rPr>
      </w:pPr>
      <w:r w:rsidRPr="00881C88">
        <w:rPr>
          <w:rFonts w:asciiTheme="majorHAnsi" w:eastAsia="Times New Roman" w:hAnsiTheme="majorHAnsi" w:cstheme="majorHAnsi"/>
          <w:i/>
          <w:color w:val="000000"/>
          <w:sz w:val="16"/>
          <w:szCs w:val="16"/>
          <w:lang w:val="en-US" w:eastAsia="sq-AL"/>
        </w:rPr>
        <w:t xml:space="preserve">   </w:t>
      </w:r>
    </w:p>
    <w:p w14:paraId="741C93B2" w14:textId="4F285170" w:rsidR="00B70CE7" w:rsidRPr="00881C88" w:rsidRDefault="00A85CE9" w:rsidP="00EE3096">
      <w:pPr>
        <w:spacing w:line="276" w:lineRule="auto"/>
        <w:contextualSpacing/>
        <w:jc w:val="center"/>
        <w:rPr>
          <w:rFonts w:asciiTheme="majorHAnsi" w:eastAsia="Times New Roman" w:hAnsiTheme="majorHAnsi" w:cstheme="majorHAnsi"/>
          <w:i/>
          <w:color w:val="000000"/>
          <w:lang w:val="en-US" w:eastAsia="sq-AL"/>
        </w:rPr>
      </w:pPr>
      <w:r w:rsidRPr="00881C88">
        <w:rPr>
          <w:rFonts w:asciiTheme="majorHAnsi" w:eastAsia="Times New Roman" w:hAnsiTheme="majorHAnsi" w:cstheme="majorHAnsi"/>
          <w:i/>
          <w:color w:val="000000"/>
          <w:sz w:val="14"/>
          <w:szCs w:val="14"/>
          <w:lang w:val="en-US" w:eastAsia="sq-AL"/>
        </w:rPr>
        <w:t>Fig. 1</w:t>
      </w:r>
      <w:r w:rsidR="006A4783" w:rsidRPr="00881C88">
        <w:rPr>
          <w:rFonts w:asciiTheme="majorHAnsi" w:eastAsia="Times New Roman" w:hAnsiTheme="majorHAnsi" w:cstheme="majorHAnsi"/>
          <w:i/>
          <w:color w:val="000000"/>
          <w:sz w:val="14"/>
          <w:szCs w:val="14"/>
          <w:lang w:val="en-US" w:eastAsia="sq-AL"/>
        </w:rPr>
        <w:t>8</w:t>
      </w:r>
      <w:r w:rsidR="0064001C" w:rsidRPr="00881C88">
        <w:rPr>
          <w:rFonts w:asciiTheme="majorHAnsi" w:eastAsia="Times New Roman" w:hAnsiTheme="majorHAnsi" w:cstheme="majorHAnsi"/>
          <w:i/>
          <w:color w:val="000000"/>
          <w:sz w:val="14"/>
          <w:szCs w:val="14"/>
          <w:lang w:val="en-US" w:eastAsia="sq-AL"/>
        </w:rPr>
        <w:t xml:space="preserve"> </w:t>
      </w:r>
      <w:r w:rsidR="00EE3096" w:rsidRPr="00881C88">
        <w:rPr>
          <w:rFonts w:asciiTheme="majorHAnsi" w:eastAsia="Times New Roman" w:hAnsiTheme="majorHAnsi" w:cstheme="majorHAnsi"/>
          <w:i/>
          <w:color w:val="000000"/>
          <w:sz w:val="14"/>
          <w:szCs w:val="14"/>
          <w:lang w:val="en-US" w:eastAsia="sq-AL"/>
        </w:rPr>
        <w:t>Publication of the Mayor's Report</w:t>
      </w:r>
    </w:p>
    <w:p w14:paraId="075B1631" w14:textId="77777777" w:rsidR="001C5103" w:rsidRPr="00881C88" w:rsidRDefault="001C5103" w:rsidP="00A70BC5">
      <w:pPr>
        <w:spacing w:line="276" w:lineRule="auto"/>
        <w:rPr>
          <w:rFonts w:asciiTheme="majorHAnsi" w:hAnsiTheme="majorHAnsi" w:cstheme="majorHAnsi"/>
          <w:color w:val="2F5496" w:themeColor="accent5" w:themeShade="BF"/>
          <w:lang w:val="en-US"/>
        </w:rPr>
      </w:pPr>
      <w:bookmarkStart w:id="54" w:name="_Toc56692986"/>
      <w:bookmarkStart w:id="55" w:name="_Toc81401212"/>
      <w:bookmarkEnd w:id="47"/>
      <w:bookmarkEnd w:id="48"/>
      <w:bookmarkEnd w:id="49"/>
    </w:p>
    <w:p w14:paraId="4C6F1976" w14:textId="105E1170" w:rsidR="007D4ABB" w:rsidRPr="00881C88" w:rsidRDefault="008208CB" w:rsidP="006A4783">
      <w:pPr>
        <w:spacing w:line="276" w:lineRule="auto"/>
        <w:rPr>
          <w:rFonts w:asciiTheme="majorHAnsi" w:hAnsiTheme="majorHAnsi" w:cstheme="majorHAnsi"/>
          <w:b/>
          <w:color w:val="2F5496" w:themeColor="accent5" w:themeShade="BF"/>
          <w:lang w:val="en-US"/>
        </w:rPr>
      </w:pPr>
      <w:r w:rsidRPr="00881C88">
        <w:rPr>
          <w:rFonts w:asciiTheme="majorHAnsi" w:hAnsiTheme="majorHAnsi" w:cstheme="majorHAnsi"/>
          <w:b/>
          <w:color w:val="2F5496" w:themeColor="accent5" w:themeShade="BF"/>
          <w:lang w:val="en-US"/>
        </w:rPr>
        <w:t>MEETINGS OF THE MAYOR</w:t>
      </w:r>
    </w:p>
    <w:p w14:paraId="027BDC95" w14:textId="230EECEF" w:rsidR="008208CB" w:rsidRPr="00881C88" w:rsidRDefault="008208CB"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Every year, the municipality holds at least two public meetings with citizens on issues of general interest. One of the public meetings is held in the first half of the year, while the other meeting is held in the second half of the year. These public meetings are required to be attended by the highest officials of the municipal bodies, such as: the Mayor, the Chairperson of the Municipal Assembly, directors of departments, chairmen of committees and officials competent for the issues addressed in the public discussion. Public meetings are led and chaired by the </w:t>
      </w:r>
      <w:proofErr w:type="gramStart"/>
      <w:r w:rsidRPr="00881C88">
        <w:rPr>
          <w:rFonts w:asciiTheme="majorHAnsi" w:eastAsia="Times New Roman" w:hAnsiTheme="majorHAnsi" w:cstheme="majorHAnsi"/>
          <w:lang w:val="en-US" w:eastAsia="en-GB"/>
        </w:rPr>
        <w:t>Mayor</w:t>
      </w:r>
      <w:proofErr w:type="gramEnd"/>
      <w:r w:rsidRPr="00881C88">
        <w:rPr>
          <w:rFonts w:asciiTheme="majorHAnsi" w:eastAsia="Times New Roman" w:hAnsiTheme="majorHAnsi" w:cstheme="majorHAnsi"/>
          <w:lang w:val="en-US" w:eastAsia="en-GB"/>
        </w:rPr>
        <w:t xml:space="preserve"> or his representative. The </w:t>
      </w:r>
      <w:proofErr w:type="gramStart"/>
      <w:r w:rsidRPr="00881C88">
        <w:rPr>
          <w:rFonts w:asciiTheme="majorHAnsi" w:eastAsia="Times New Roman" w:hAnsiTheme="majorHAnsi" w:cstheme="majorHAnsi"/>
          <w:lang w:val="en-US" w:eastAsia="en-GB"/>
        </w:rPr>
        <w:t>Mayor</w:t>
      </w:r>
      <w:proofErr w:type="gramEnd"/>
      <w:r w:rsidRPr="00881C88">
        <w:rPr>
          <w:rFonts w:asciiTheme="majorHAnsi" w:eastAsia="Times New Roman" w:hAnsiTheme="majorHAnsi" w:cstheme="majorHAnsi"/>
          <w:lang w:val="en-US" w:eastAsia="en-GB"/>
        </w:rPr>
        <w:t xml:space="preserve"> is authorized to set the agenda and the procedure for carrying out the discussions.</w:t>
      </w:r>
    </w:p>
    <w:p w14:paraId="410EC3E6" w14:textId="53D52005" w:rsidR="006769E2" w:rsidRPr="00881C88" w:rsidRDefault="008208CB"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Data from monitoring official websites for the period January–December 2025 show that notices for meetings with citizens were published by 24 municipalities (64%), while 14 municipalities (36%) did not publish any notices for meetings with citizens.</w:t>
      </w:r>
    </w:p>
    <w:p w14:paraId="6E7E13A3" w14:textId="300121F0" w:rsidR="006769E2" w:rsidRPr="00881C88" w:rsidRDefault="008208CB"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w:t>
      </w:r>
      <w:r w:rsidR="006769E2" w:rsidRPr="00881C88">
        <w:rPr>
          <w:rFonts w:asciiTheme="majorHAnsi" w:eastAsia="Times New Roman" w:hAnsiTheme="majorHAnsi" w:cstheme="majorHAnsi"/>
          <w:lang w:val="en-US" w:eastAsia="en-GB"/>
        </w:rPr>
        <w:t xml:space="preserve"> total:</w:t>
      </w:r>
    </w:p>
    <w:p w14:paraId="3D07B952" w14:textId="2F5D3936" w:rsidR="008208CB" w:rsidRPr="00881C88" w:rsidRDefault="008208CB" w:rsidP="008208CB">
      <w:pPr>
        <w:numPr>
          <w:ilvl w:val="0"/>
          <w:numId w:val="40"/>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24 municipalities (64%) have published a total of 44 meeting notices;</w:t>
      </w:r>
    </w:p>
    <w:p w14:paraId="448D4D97" w14:textId="1556E43E" w:rsidR="008208CB" w:rsidRPr="00881C88" w:rsidRDefault="008208CB" w:rsidP="008208CB">
      <w:pPr>
        <w:numPr>
          <w:ilvl w:val="0"/>
          <w:numId w:val="40"/>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14 municipalities (36%) have not published any notices.</w:t>
      </w:r>
    </w:p>
    <w:p w14:paraId="03E2055B" w14:textId="231D3B90" w:rsidR="006769E2" w:rsidRPr="00881C88" w:rsidRDefault="003B4317"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monitoring process shows that</w:t>
      </w:r>
      <w:r w:rsidR="006769E2" w:rsidRPr="00881C88">
        <w:rPr>
          <w:rFonts w:asciiTheme="majorHAnsi" w:eastAsia="Times New Roman" w:hAnsiTheme="majorHAnsi" w:cstheme="majorHAnsi"/>
          <w:lang w:val="en-US" w:eastAsia="en-GB"/>
        </w:rPr>
        <w:t>:</w:t>
      </w:r>
    </w:p>
    <w:p w14:paraId="160F2A6D" w14:textId="16C1D72D" w:rsidR="003B4317" w:rsidRPr="00881C88" w:rsidRDefault="003B4317" w:rsidP="003B4317">
      <w:pPr>
        <w:numPr>
          <w:ilvl w:val="0"/>
          <w:numId w:val="41"/>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21 municipalities have published notices for two meetings;</w:t>
      </w:r>
    </w:p>
    <w:p w14:paraId="5EDB5B68" w14:textId="3A816EB3" w:rsidR="003B4317" w:rsidRPr="00881C88" w:rsidRDefault="003B4317" w:rsidP="003B4317">
      <w:pPr>
        <w:numPr>
          <w:ilvl w:val="0"/>
          <w:numId w:val="41"/>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3 municipalities have published only one meeting;</w:t>
      </w:r>
    </w:p>
    <w:p w14:paraId="42C0B3D1" w14:textId="6D29F274" w:rsidR="003B4317" w:rsidRPr="00881C88" w:rsidRDefault="003B4317" w:rsidP="003B4317">
      <w:pPr>
        <w:numPr>
          <w:ilvl w:val="0"/>
          <w:numId w:val="41"/>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14 municipalities have not published any notices for meetings with citizens.</w:t>
      </w:r>
    </w:p>
    <w:p w14:paraId="01F1055F" w14:textId="37F5FA84" w:rsidR="003B4317" w:rsidRPr="00881C88" w:rsidRDefault="003B4317"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municipalities that have not published any announcements about the mayor's meetings with citizens are: </w:t>
      </w:r>
      <w:proofErr w:type="spellStart"/>
      <w:r w:rsidRPr="00881C88">
        <w:rPr>
          <w:rFonts w:asciiTheme="majorHAnsi" w:eastAsia="Times New Roman" w:hAnsiTheme="majorHAnsi" w:cstheme="majorHAnsi"/>
          <w:lang w:val="en-US" w:eastAsia="en-GB"/>
        </w:rPr>
        <w:t>Fushe</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Kosova</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Gracanica</w:t>
      </w:r>
      <w:proofErr w:type="spellEnd"/>
      <w:r w:rsidRPr="00881C88">
        <w:rPr>
          <w:rFonts w:asciiTheme="majorHAnsi" w:eastAsia="Times New Roman" w:hAnsiTheme="majorHAnsi" w:cstheme="majorHAnsi"/>
          <w:lang w:val="en-US" w:eastAsia="en-GB"/>
        </w:rPr>
        <w:t xml:space="preserve">, Hani i </w:t>
      </w:r>
      <w:proofErr w:type="spellStart"/>
      <w:r w:rsidRPr="00881C88">
        <w:rPr>
          <w:rFonts w:asciiTheme="majorHAnsi" w:eastAsia="Times New Roman" w:hAnsiTheme="majorHAnsi" w:cstheme="majorHAnsi"/>
          <w:lang w:val="en-US" w:eastAsia="en-GB"/>
        </w:rPr>
        <w:t>Elezit</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Junik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Klina</w:t>
      </w:r>
      <w:proofErr w:type="spellEnd"/>
      <w:r w:rsidRPr="00881C88">
        <w:rPr>
          <w:rFonts w:asciiTheme="majorHAnsi" w:eastAsia="Times New Roman" w:hAnsiTheme="majorHAnsi" w:cstheme="majorHAnsi"/>
          <w:lang w:val="en-US" w:eastAsia="en-GB"/>
        </w:rPr>
        <w:t xml:space="preserve">, Novo </w:t>
      </w:r>
      <w:proofErr w:type="spellStart"/>
      <w:r w:rsidRPr="00881C88">
        <w:rPr>
          <w:rFonts w:asciiTheme="majorHAnsi" w:eastAsia="Times New Roman" w:hAnsiTheme="majorHAnsi" w:cstheme="majorHAnsi"/>
          <w:lang w:val="en-US" w:eastAsia="en-GB"/>
        </w:rPr>
        <w:t>Brdo</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Partesh</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Ranillug</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Shterpce</w:t>
      </w:r>
      <w:proofErr w:type="spellEnd"/>
      <w:r w:rsidRPr="00881C88">
        <w:rPr>
          <w:rFonts w:asciiTheme="majorHAnsi" w:eastAsia="Times New Roman" w:hAnsiTheme="majorHAnsi" w:cstheme="majorHAnsi"/>
          <w:lang w:val="en-US" w:eastAsia="en-GB"/>
        </w:rPr>
        <w:t xml:space="preserve">, Zubin </w:t>
      </w:r>
      <w:proofErr w:type="spellStart"/>
      <w:r w:rsidRPr="00881C88">
        <w:rPr>
          <w:rFonts w:asciiTheme="majorHAnsi" w:eastAsia="Times New Roman" w:hAnsiTheme="majorHAnsi" w:cstheme="majorHAnsi"/>
          <w:lang w:val="en-US" w:eastAsia="en-GB"/>
        </w:rPr>
        <w:t>Potok</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Zvecan</w:t>
      </w:r>
      <w:proofErr w:type="spellEnd"/>
      <w:r w:rsidRPr="00881C88">
        <w:rPr>
          <w:rFonts w:asciiTheme="majorHAnsi" w:eastAsia="Times New Roman" w:hAnsiTheme="majorHAnsi" w:cstheme="majorHAnsi"/>
          <w:lang w:val="en-US" w:eastAsia="en-GB"/>
        </w:rPr>
        <w:t xml:space="preserve">, </w:t>
      </w:r>
      <w:proofErr w:type="spellStart"/>
      <w:r w:rsidRPr="00881C88">
        <w:rPr>
          <w:rFonts w:asciiTheme="majorHAnsi" w:eastAsia="Times New Roman" w:hAnsiTheme="majorHAnsi" w:cstheme="majorHAnsi"/>
          <w:lang w:val="en-US" w:eastAsia="en-GB"/>
        </w:rPr>
        <w:t>Leposaviq</w:t>
      </w:r>
      <w:proofErr w:type="spellEnd"/>
      <w:r w:rsidRPr="00881C88">
        <w:rPr>
          <w:rFonts w:asciiTheme="majorHAnsi" w:eastAsia="Times New Roman" w:hAnsiTheme="majorHAnsi" w:cstheme="majorHAnsi"/>
          <w:lang w:val="en-US" w:eastAsia="en-GB"/>
        </w:rPr>
        <w:t xml:space="preserve">, North Mitrovica and </w:t>
      </w:r>
      <w:proofErr w:type="spellStart"/>
      <w:r w:rsidRPr="00881C88">
        <w:rPr>
          <w:rFonts w:asciiTheme="majorHAnsi" w:eastAsia="Times New Roman" w:hAnsiTheme="majorHAnsi" w:cstheme="majorHAnsi"/>
          <w:lang w:val="en-US" w:eastAsia="en-GB"/>
        </w:rPr>
        <w:t>Mamusha</w:t>
      </w:r>
      <w:proofErr w:type="spellEnd"/>
      <w:r w:rsidRPr="00881C88">
        <w:rPr>
          <w:rFonts w:asciiTheme="majorHAnsi" w:eastAsia="Times New Roman" w:hAnsiTheme="majorHAnsi" w:cstheme="majorHAnsi"/>
          <w:lang w:val="en-US" w:eastAsia="en-GB"/>
        </w:rPr>
        <w:t>.</w:t>
      </w:r>
    </w:p>
    <w:p w14:paraId="14125D2A" w14:textId="769DCB8D" w:rsidR="003B4317" w:rsidRPr="00881C88" w:rsidRDefault="003B4317"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the Report on the Functioning of Kosovo Municipalities, all 38 municipalities have fulfilled the legal obligation to hold at least two meetings with citizens.</w:t>
      </w:r>
    </w:p>
    <w:p w14:paraId="45CF8DF2" w14:textId="77777777" w:rsidR="003B4317" w:rsidRPr="00881C88" w:rsidRDefault="003B4317"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This discrepancy between holding meetings and publishing notices indicates that, although municipalities have met their legal obligation to organize meetings, transparency and citizen awareness have not been ensured consistently. The failure to publish prior notices restricts citizens’ access to information and opportunities for active participation, thereby negatively affecting civic engagement and the quality of local decision-making processes.</w:t>
      </w:r>
    </w:p>
    <w:p w14:paraId="7F574212" w14:textId="286C878D" w:rsidR="006769E2" w:rsidRPr="00881C88" w:rsidRDefault="003B4317" w:rsidP="006769E2">
      <w:pPr>
        <w:spacing w:before="100" w:beforeAutospacing="1" w:after="100" w:afterAutospacing="1" w:line="276" w:lineRule="auto"/>
        <w:rPr>
          <w:rFonts w:asciiTheme="majorHAnsi" w:eastAsia="Times New Roman" w:hAnsiTheme="majorHAnsi" w:cstheme="majorHAnsi"/>
          <w:sz w:val="24"/>
          <w:szCs w:val="24"/>
          <w:lang w:val="en-US" w:eastAsia="en-GB"/>
        </w:rPr>
      </w:pPr>
      <w:r w:rsidRPr="00881C88">
        <w:rPr>
          <w:rFonts w:asciiTheme="majorHAnsi" w:eastAsia="Times New Roman" w:hAnsiTheme="majorHAnsi" w:cstheme="majorHAnsi"/>
          <w:lang w:val="en-US" w:eastAsia="en-GB"/>
        </w:rPr>
        <w:t>The following table presents data for municipalities that have published notices of meetings between the mayor and citizens for the period January–December 2025.</w:t>
      </w:r>
    </w:p>
    <w:p w14:paraId="3620355B" w14:textId="4D0535EF" w:rsidR="006C1F9D" w:rsidRPr="00881C88" w:rsidRDefault="00C7140E" w:rsidP="00F2395A">
      <w:pPr>
        <w:spacing w:after="0" w:line="276" w:lineRule="auto"/>
        <w:rPr>
          <w:rFonts w:asciiTheme="majorHAnsi" w:eastAsia="Times New Roman" w:hAnsiTheme="majorHAnsi" w:cstheme="majorHAnsi"/>
          <w:color w:val="000000"/>
          <w:lang w:val="en-US" w:eastAsia="sq-AL"/>
        </w:rPr>
      </w:pPr>
      <w:r w:rsidRPr="00881C88">
        <w:rPr>
          <w:rFonts w:asciiTheme="majorHAnsi" w:hAnsiTheme="majorHAnsi" w:cstheme="majorHAnsi"/>
          <w:noProof/>
          <w:lang w:val="en-US" w:eastAsia="sq-AL"/>
        </w:rPr>
        <w:drawing>
          <wp:inline distT="0" distB="0" distL="0" distR="0" wp14:anchorId="4ADF1A97" wp14:editId="5C88423D">
            <wp:extent cx="6062400" cy="1814195"/>
            <wp:effectExtent l="0" t="0" r="14605" b="14605"/>
            <wp:docPr id="9" name="Chart 9">
              <a:extLst xmlns:a="http://schemas.openxmlformats.org/drawingml/2006/main">
                <a:ext uri="{FF2B5EF4-FFF2-40B4-BE49-F238E27FC236}">
                  <a16:creationId xmlns:a16="http://schemas.microsoft.com/office/drawing/2014/main" id="{7F362A15-B144-4D51-9804-E27347D35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Start w:id="56" w:name="_Hlk227592583"/>
    </w:p>
    <w:p w14:paraId="72779748" w14:textId="69B6B29A" w:rsidR="0071735D" w:rsidRPr="00881C88" w:rsidRDefault="00F87B93" w:rsidP="006A4783">
      <w:pPr>
        <w:autoSpaceDE w:val="0"/>
        <w:autoSpaceDN w:val="0"/>
        <w:adjustRightInd w:val="0"/>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 </w:t>
      </w:r>
      <w:r w:rsidR="00261961" w:rsidRPr="00881C88">
        <w:rPr>
          <w:rFonts w:asciiTheme="majorHAnsi" w:hAnsiTheme="majorHAnsi" w:cstheme="majorHAnsi"/>
          <w:i/>
          <w:sz w:val="14"/>
          <w:szCs w:val="14"/>
          <w:lang w:val="en-US"/>
        </w:rPr>
        <w:t>1</w:t>
      </w:r>
      <w:r w:rsidR="006A4783" w:rsidRPr="00881C88">
        <w:rPr>
          <w:rFonts w:asciiTheme="majorHAnsi" w:hAnsiTheme="majorHAnsi" w:cstheme="majorHAnsi"/>
          <w:i/>
          <w:sz w:val="14"/>
          <w:szCs w:val="14"/>
          <w:lang w:val="en-US"/>
        </w:rPr>
        <w:t>9</w:t>
      </w:r>
      <w:r w:rsidRPr="00881C88">
        <w:rPr>
          <w:rFonts w:asciiTheme="majorHAnsi" w:hAnsiTheme="majorHAnsi" w:cstheme="majorHAnsi"/>
          <w:i/>
          <w:sz w:val="14"/>
          <w:szCs w:val="14"/>
          <w:lang w:val="en-US"/>
        </w:rPr>
        <w:t xml:space="preserve">. </w:t>
      </w:r>
      <w:bookmarkEnd w:id="56"/>
      <w:r w:rsidR="003B4317" w:rsidRPr="00881C88">
        <w:rPr>
          <w:rFonts w:asciiTheme="majorHAnsi" w:hAnsiTheme="majorHAnsi" w:cstheme="majorHAnsi"/>
          <w:i/>
          <w:sz w:val="14"/>
          <w:szCs w:val="14"/>
          <w:lang w:val="en-US"/>
        </w:rPr>
        <w:t>Number of announcements for mayor's meetings</w:t>
      </w:r>
    </w:p>
    <w:p w14:paraId="16BD7D4A" w14:textId="77777777" w:rsidR="00420BCC" w:rsidRPr="00881C88" w:rsidRDefault="00420BCC" w:rsidP="00A70BC5">
      <w:pPr>
        <w:spacing w:before="100" w:beforeAutospacing="1" w:after="100" w:afterAutospacing="1" w:line="276" w:lineRule="auto"/>
        <w:rPr>
          <w:rFonts w:asciiTheme="majorHAnsi" w:eastAsia="Times New Roman" w:hAnsiTheme="majorHAnsi" w:cstheme="majorHAnsi"/>
          <w:lang w:val="en-US" w:eastAsia="en-GB"/>
        </w:rPr>
      </w:pPr>
    </w:p>
    <w:p w14:paraId="115DD8C3" w14:textId="4115C2F6" w:rsidR="00891A1F" w:rsidRPr="00881C88" w:rsidRDefault="003B4317" w:rsidP="006769E2">
      <w:pPr>
        <w:pStyle w:val="Style3"/>
        <w:spacing w:line="276" w:lineRule="auto"/>
        <w:rPr>
          <w:rFonts w:cstheme="majorHAnsi"/>
          <w:sz w:val="22"/>
          <w:szCs w:val="22"/>
          <w:lang w:val="en-US"/>
        </w:rPr>
      </w:pPr>
      <w:bookmarkStart w:id="57" w:name="_Toc230182089"/>
      <w:r w:rsidRPr="00881C88">
        <w:rPr>
          <w:rFonts w:cstheme="majorHAnsi"/>
          <w:sz w:val="22"/>
          <w:szCs w:val="22"/>
          <w:lang w:val="en-US"/>
        </w:rPr>
        <w:t>Publication of the list of immovable properties of the municipality</w:t>
      </w:r>
      <w:bookmarkEnd w:id="57"/>
    </w:p>
    <w:p w14:paraId="0CE1800A" w14:textId="34F4D20E" w:rsidR="00007342" w:rsidRPr="00881C88" w:rsidRDefault="00007342"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Based on Law No. 06/L-092 on the Allocation </w:t>
      </w:r>
      <w:r w:rsidR="00D179A6" w:rsidRPr="00881C88">
        <w:rPr>
          <w:rFonts w:asciiTheme="majorHAnsi" w:eastAsia="Times New Roman" w:hAnsiTheme="majorHAnsi" w:cstheme="majorHAnsi"/>
          <w:lang w:val="en-US" w:eastAsia="en-GB"/>
        </w:rPr>
        <w:t xml:space="preserve">for Use </w:t>
      </w:r>
      <w:r w:rsidRPr="00881C88">
        <w:rPr>
          <w:rFonts w:asciiTheme="majorHAnsi" w:eastAsia="Times New Roman" w:hAnsiTheme="majorHAnsi" w:cstheme="majorHAnsi"/>
          <w:lang w:val="en-US" w:eastAsia="en-GB"/>
        </w:rPr>
        <w:t>and Exchange of Municipal Immovable Property, in order to ensure full transparency, the municipality is obliged to publish the general list of municipal immovable properties, as well as the special list of properties planned for allocation for use for the following year by December 31, justifying the public interest and economic development of the municipality. The list of immovable properties for allocation for use must contain the following data: cadastral data of the property, its purpose and destination, the date of publication of the notice, as well as the time period for allocation for use of the municipal immovable property.</w:t>
      </w:r>
    </w:p>
    <w:p w14:paraId="50367E11" w14:textId="685BEF30" w:rsidR="006769E2" w:rsidRPr="00881C88" w:rsidRDefault="00D179A6"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These provisions imply the obligation for municipalities to:</w:t>
      </w:r>
    </w:p>
    <w:p w14:paraId="2863FF4B" w14:textId="54C55256" w:rsidR="00D179A6" w:rsidRPr="00881C88" w:rsidRDefault="00D179A6" w:rsidP="00D179A6">
      <w:pPr>
        <w:numPr>
          <w:ilvl w:val="0"/>
          <w:numId w:val="42"/>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to publish in advance the list of municipal properties planned for allocation for use, and</w:t>
      </w:r>
    </w:p>
    <w:p w14:paraId="4BF98842" w14:textId="0328A503" w:rsidR="00D179A6" w:rsidRPr="00881C88" w:rsidRDefault="00D179A6" w:rsidP="00D179A6">
      <w:pPr>
        <w:numPr>
          <w:ilvl w:val="0"/>
          <w:numId w:val="42"/>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to continuously publish the list of municipal properties allocated for use.</w:t>
      </w:r>
    </w:p>
    <w:p w14:paraId="00DD0C76" w14:textId="4D25301B" w:rsidR="001012F7" w:rsidRPr="00881C88" w:rsidRDefault="001012F7"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However, data from monitoring the official websites of municipalities for the period January–December 2025 show that this obligation has not been fulfilled uniformly:</w:t>
      </w:r>
    </w:p>
    <w:p w14:paraId="1226F305" w14:textId="064043AC" w:rsidR="006769E2" w:rsidRPr="00881C88" w:rsidRDefault="001012F7" w:rsidP="006F5A72">
      <w:p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For the list of municipal properties allocated for use</w:t>
      </w:r>
      <w:r w:rsidR="006769E2" w:rsidRPr="00881C88">
        <w:rPr>
          <w:rFonts w:asciiTheme="majorHAnsi" w:eastAsia="Times New Roman" w:hAnsiTheme="majorHAnsi" w:cstheme="majorHAnsi"/>
          <w:b/>
          <w:bCs/>
          <w:lang w:val="en-US" w:eastAsia="en-GB"/>
        </w:rPr>
        <w:t>:</w:t>
      </w:r>
    </w:p>
    <w:p w14:paraId="05BB0BAE" w14:textId="1EC14774" w:rsidR="001012F7" w:rsidRPr="00881C88" w:rsidRDefault="001012F7" w:rsidP="001012F7">
      <w:pPr>
        <w:numPr>
          <w:ilvl w:val="0"/>
          <w:numId w:val="43"/>
        </w:num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2</w:t>
      </w:r>
      <w:r w:rsidR="007B388E">
        <w:rPr>
          <w:rFonts w:asciiTheme="majorHAnsi" w:eastAsia="Times New Roman" w:hAnsiTheme="majorHAnsi" w:cstheme="majorHAnsi"/>
          <w:lang w:val="en-US" w:eastAsia="en-GB"/>
        </w:rPr>
        <w:t>1</w:t>
      </w:r>
      <w:r w:rsidRPr="00881C88">
        <w:rPr>
          <w:rFonts w:asciiTheme="majorHAnsi" w:eastAsia="Times New Roman" w:hAnsiTheme="majorHAnsi" w:cstheme="majorHAnsi"/>
          <w:lang w:val="en-US" w:eastAsia="en-GB"/>
        </w:rPr>
        <w:t xml:space="preserve"> municipalities (53%) have published this list, in accordance with legal requirements;</w:t>
      </w:r>
    </w:p>
    <w:p w14:paraId="6B4B5694" w14:textId="3FF3B5B0" w:rsidR="001012F7" w:rsidRPr="00881C88" w:rsidRDefault="001012F7" w:rsidP="001012F7">
      <w:pPr>
        <w:numPr>
          <w:ilvl w:val="0"/>
          <w:numId w:val="43"/>
        </w:numPr>
        <w:spacing w:before="100" w:beforeAutospacing="1" w:after="100" w:afterAutospacing="1" w:line="240"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1</w:t>
      </w:r>
      <w:r w:rsidR="007B388E">
        <w:rPr>
          <w:rFonts w:asciiTheme="majorHAnsi" w:eastAsia="Times New Roman" w:hAnsiTheme="majorHAnsi" w:cstheme="majorHAnsi"/>
          <w:lang w:val="en-US" w:eastAsia="en-GB"/>
        </w:rPr>
        <w:t>7</w:t>
      </w:r>
      <w:r w:rsidRPr="00881C88">
        <w:rPr>
          <w:rFonts w:asciiTheme="majorHAnsi" w:eastAsia="Times New Roman" w:hAnsiTheme="majorHAnsi" w:cstheme="majorHAnsi"/>
          <w:lang w:val="en-US" w:eastAsia="en-GB"/>
        </w:rPr>
        <w:t xml:space="preserve"> municipalities (47%) have not published it.</w:t>
      </w:r>
    </w:p>
    <w:p w14:paraId="57821604" w14:textId="51D678E3" w:rsidR="006769E2" w:rsidRPr="00881C88" w:rsidRDefault="001012F7" w:rsidP="006769E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b/>
          <w:bCs/>
          <w:lang w:val="en-US" w:eastAsia="en-GB"/>
        </w:rPr>
        <w:t>For the list of municipal properties given for use</w:t>
      </w:r>
      <w:r w:rsidR="006769E2" w:rsidRPr="00881C88">
        <w:rPr>
          <w:rFonts w:asciiTheme="majorHAnsi" w:eastAsia="Times New Roman" w:hAnsiTheme="majorHAnsi" w:cstheme="majorHAnsi"/>
          <w:b/>
          <w:bCs/>
          <w:lang w:val="en-US" w:eastAsia="en-GB"/>
        </w:rPr>
        <w:t>:</w:t>
      </w:r>
    </w:p>
    <w:p w14:paraId="7034CB35" w14:textId="14E51190" w:rsidR="001012F7" w:rsidRPr="00881C88" w:rsidRDefault="001012F7" w:rsidP="001012F7">
      <w:pPr>
        <w:numPr>
          <w:ilvl w:val="0"/>
          <w:numId w:val="44"/>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18 municipalities (47%) have published this list;</w:t>
      </w:r>
    </w:p>
    <w:p w14:paraId="638DF2AA" w14:textId="45618F15" w:rsidR="001012F7" w:rsidRPr="00881C88" w:rsidRDefault="001012F7" w:rsidP="001012F7">
      <w:pPr>
        <w:numPr>
          <w:ilvl w:val="0"/>
          <w:numId w:val="44"/>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20 municipalities (53%) have not published it.</w:t>
      </w:r>
    </w:p>
    <w:p w14:paraId="4F0AC47D" w14:textId="22F937CC" w:rsidR="001012F7" w:rsidRPr="00881C88" w:rsidRDefault="001012F7" w:rsidP="00E271C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table presents data for municipalities regarding the publication of the list of municipal properties allocated for use and the list of municipal properties given for use.</w:t>
      </w:r>
    </w:p>
    <w:p w14:paraId="06781327" w14:textId="3DBADB3A" w:rsidR="004314AE" w:rsidRPr="00881C88" w:rsidRDefault="00216A28" w:rsidP="00A70BC5">
      <w:pPr>
        <w:spacing w:line="276" w:lineRule="auto"/>
        <w:rPr>
          <w:rFonts w:asciiTheme="majorHAnsi" w:hAnsiTheme="majorHAnsi" w:cstheme="majorHAnsi"/>
          <w:b/>
          <w:color w:val="2F5496" w:themeColor="accent5" w:themeShade="BF"/>
          <w:sz w:val="24"/>
          <w:lang w:val="en-US"/>
        </w:rPr>
      </w:pPr>
      <w:r w:rsidRPr="00881C88">
        <w:rPr>
          <w:rFonts w:asciiTheme="majorHAnsi" w:hAnsiTheme="majorHAnsi" w:cstheme="majorHAnsi"/>
          <w:b/>
          <w:bCs/>
          <w:noProof/>
          <w:lang w:val="en-US" w:eastAsia="sq-AL"/>
        </w:rPr>
        <w:drawing>
          <wp:inline distT="0" distB="0" distL="0" distR="0" wp14:anchorId="4479241A" wp14:editId="25A4DB6E">
            <wp:extent cx="5824220" cy="1898780"/>
            <wp:effectExtent l="0" t="0" r="5080" b="6350"/>
            <wp:docPr id="63" name="Chart 63">
              <a:extLst xmlns:a="http://schemas.openxmlformats.org/drawingml/2006/main">
                <a:ext uri="{FF2B5EF4-FFF2-40B4-BE49-F238E27FC236}">
                  <a16:creationId xmlns:a16="http://schemas.microsoft.com/office/drawing/2014/main" id="{093AEFAF-FC9B-4EE9-AECA-4214A83C9F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E3FACFE" w14:textId="5B9CFE41" w:rsidR="00321592" w:rsidRPr="00DB6E16" w:rsidRDefault="00BC02E9" w:rsidP="00DB6E16">
      <w:pPr>
        <w:autoSpaceDE w:val="0"/>
        <w:autoSpaceDN w:val="0"/>
        <w:adjustRightInd w:val="0"/>
        <w:spacing w:after="240" w:line="276" w:lineRule="auto"/>
        <w:jc w:val="center"/>
        <w:rPr>
          <w:rFonts w:asciiTheme="majorHAnsi" w:hAnsiTheme="majorHAnsi" w:cstheme="majorHAnsi"/>
          <w:i/>
          <w:sz w:val="14"/>
          <w:szCs w:val="14"/>
          <w:lang w:val="en-US"/>
        </w:rPr>
      </w:pPr>
      <w:bookmarkStart w:id="58" w:name="_Toc227827178"/>
      <w:bookmarkStart w:id="59" w:name="_Toc230182090"/>
      <w:r w:rsidRPr="00DB6E16">
        <w:rPr>
          <w:rFonts w:asciiTheme="majorHAnsi" w:hAnsiTheme="majorHAnsi" w:cstheme="majorHAnsi"/>
          <w:i/>
          <w:sz w:val="14"/>
          <w:szCs w:val="14"/>
          <w:lang w:val="en-US"/>
        </w:rPr>
        <w:t xml:space="preserve">Fig </w:t>
      </w:r>
      <w:proofErr w:type="gramStart"/>
      <w:r w:rsidR="00891A1F" w:rsidRPr="00DB6E16">
        <w:rPr>
          <w:rFonts w:asciiTheme="majorHAnsi" w:hAnsiTheme="majorHAnsi" w:cstheme="majorHAnsi"/>
          <w:i/>
          <w:sz w:val="14"/>
          <w:szCs w:val="14"/>
          <w:lang w:val="en-US"/>
        </w:rPr>
        <w:t>20</w:t>
      </w:r>
      <w:r w:rsidRPr="00DB6E16">
        <w:rPr>
          <w:rFonts w:asciiTheme="majorHAnsi" w:hAnsiTheme="majorHAnsi" w:cstheme="majorHAnsi"/>
          <w:i/>
          <w:sz w:val="14"/>
          <w:szCs w:val="14"/>
          <w:lang w:val="en-US"/>
        </w:rPr>
        <w:t xml:space="preserve">  </w:t>
      </w:r>
      <w:bookmarkEnd w:id="58"/>
      <w:r w:rsidR="004634B3" w:rsidRPr="00DB6E16">
        <w:rPr>
          <w:rFonts w:asciiTheme="majorHAnsi" w:hAnsiTheme="majorHAnsi" w:cstheme="majorHAnsi"/>
          <w:i/>
          <w:sz w:val="14"/>
          <w:szCs w:val="14"/>
          <w:lang w:val="en-US"/>
        </w:rPr>
        <w:t>Lists</w:t>
      </w:r>
      <w:proofErr w:type="gramEnd"/>
      <w:r w:rsidR="004634B3" w:rsidRPr="00DB6E16">
        <w:rPr>
          <w:rFonts w:asciiTheme="majorHAnsi" w:hAnsiTheme="majorHAnsi" w:cstheme="majorHAnsi"/>
          <w:i/>
          <w:sz w:val="14"/>
          <w:szCs w:val="14"/>
          <w:lang w:val="en-US"/>
        </w:rPr>
        <w:t xml:space="preserve"> of municipal properties allocated for use and list of municipal properties given for use</w:t>
      </w:r>
      <w:bookmarkEnd w:id="59"/>
    </w:p>
    <w:p w14:paraId="65DC84FF" w14:textId="57E71AA7" w:rsidR="006F5A72" w:rsidRPr="00881C88" w:rsidRDefault="006F5A72" w:rsidP="006F5A72">
      <w:pPr>
        <w:rPr>
          <w:rFonts w:asciiTheme="majorHAnsi" w:hAnsiTheme="majorHAnsi" w:cstheme="majorHAnsi"/>
          <w:lang w:val="en-US" w:eastAsia="en-GB"/>
        </w:rPr>
      </w:pPr>
    </w:p>
    <w:p w14:paraId="57F667B6" w14:textId="77777777" w:rsidR="006F5A72" w:rsidRPr="00881C88" w:rsidRDefault="006F5A72" w:rsidP="006F5A72">
      <w:pPr>
        <w:rPr>
          <w:rFonts w:asciiTheme="majorHAnsi" w:hAnsiTheme="majorHAnsi" w:cstheme="majorHAnsi"/>
          <w:lang w:val="en-US" w:eastAsia="en-GB"/>
        </w:rPr>
      </w:pPr>
    </w:p>
    <w:p w14:paraId="2443E3A6" w14:textId="6F5EEB1E" w:rsidR="00216A28" w:rsidRPr="00881C88" w:rsidRDefault="00C22FA5" w:rsidP="006F5A72">
      <w:pPr>
        <w:pStyle w:val="Style3"/>
        <w:spacing w:line="276" w:lineRule="auto"/>
        <w:rPr>
          <w:rFonts w:eastAsia="Times New Roman" w:cstheme="majorHAnsi"/>
          <w:sz w:val="22"/>
          <w:szCs w:val="22"/>
          <w:lang w:val="en-US" w:eastAsia="en-GB"/>
        </w:rPr>
      </w:pPr>
      <w:bookmarkStart w:id="60" w:name="_Toc230182091"/>
      <w:r w:rsidRPr="00881C88">
        <w:rPr>
          <w:rFonts w:eastAsia="Times New Roman" w:cstheme="majorHAnsi"/>
          <w:sz w:val="22"/>
          <w:szCs w:val="22"/>
          <w:lang w:val="en-US" w:eastAsia="en-GB"/>
        </w:rPr>
        <w:t>Report on access to public documents</w:t>
      </w:r>
      <w:bookmarkEnd w:id="60"/>
    </w:p>
    <w:p w14:paraId="20FFA847" w14:textId="137FDFA8" w:rsidR="00C22FA5" w:rsidRPr="00881C88" w:rsidRDefault="00C22FA5"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Article 31 of Law No. 06/L-081 on Access to Public Documents stipulates that, in order to ensure transparency in the work of public institutions and in relation to access to public documents, these institutions, through the officer responsible for access to public documents, are obliged to draft an annual report, no later than the end of January of the current year. This report must include the number of cases in which access to public documents was granted, the number of cases in which access was refused, as well as the reasons for the refusals, for the period up to 31 December of the previous year.</w:t>
      </w:r>
    </w:p>
    <w:p w14:paraId="18FF8071" w14:textId="0749C706" w:rsidR="00C22FA5" w:rsidRPr="00881C88" w:rsidRDefault="00C22FA5"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Data from monitoring the official websites of municipalities for the period January-December 2025 show that 18 municipalities (48%) have published the report on access to public documents, while 20 municipalities (52%) have not published this report on their official websites.</w:t>
      </w:r>
    </w:p>
    <w:p w14:paraId="3A92437E" w14:textId="79626D37" w:rsidR="00584B4E" w:rsidRPr="00881C88" w:rsidRDefault="00584B4E"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2024, when 25 municipalities had published the report while 13 municipalities had not, in 2025 there was a decrease in the number of municipalities that published the annual report. This indicates a lower level of transparency of municipalities in publishing the report on access to public documents.</w:t>
      </w:r>
    </w:p>
    <w:p w14:paraId="4C4B7C49" w14:textId="1EF0CFBD" w:rsidR="00584B4E" w:rsidRPr="00881C88" w:rsidRDefault="00584B4E"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is a figure showing the number of municipalities that have published the report on access to public documents.</w:t>
      </w:r>
    </w:p>
    <w:p w14:paraId="570DC5E3" w14:textId="64321F53" w:rsidR="000A7D95" w:rsidRPr="00881C88" w:rsidRDefault="007F504A" w:rsidP="00216A28">
      <w:pPr>
        <w:spacing w:before="1" w:line="276" w:lineRule="auto"/>
        <w:ind w:right="1435"/>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46C60DC5" wp14:editId="3133EBA1">
            <wp:extent cx="5802630" cy="1660849"/>
            <wp:effectExtent l="0" t="0" r="7620" b="15875"/>
            <wp:docPr id="35" name="Chart 35">
              <a:extLst xmlns:a="http://schemas.openxmlformats.org/drawingml/2006/main">
                <a:ext uri="{FF2B5EF4-FFF2-40B4-BE49-F238E27FC236}">
                  <a16:creationId xmlns:a16="http://schemas.microsoft.com/office/drawing/2014/main" id="{BACF05DA-5BF8-415D-89D5-2CFC454CC8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61" w:name="_Toc56692987"/>
      <w:bookmarkStart w:id="62" w:name="_Toc81401213"/>
      <w:bookmarkEnd w:id="54"/>
      <w:bookmarkEnd w:id="55"/>
    </w:p>
    <w:p w14:paraId="05F5C061" w14:textId="4E3970C2" w:rsidR="004461DD" w:rsidRPr="00881C88" w:rsidRDefault="00261961" w:rsidP="006F5A72">
      <w:pPr>
        <w:spacing w:line="276" w:lineRule="auto"/>
        <w:jc w:val="center"/>
        <w:rPr>
          <w:rFonts w:asciiTheme="majorHAnsi" w:eastAsia="Times New Roman" w:hAnsiTheme="majorHAnsi" w:cstheme="majorHAnsi"/>
          <w:b/>
          <w:i/>
          <w:sz w:val="16"/>
          <w:szCs w:val="16"/>
          <w:lang w:val="en-US"/>
        </w:rPr>
      </w:pPr>
      <w:r w:rsidRPr="00881C88">
        <w:rPr>
          <w:rFonts w:asciiTheme="majorHAnsi" w:eastAsia="Times New Roman" w:hAnsiTheme="majorHAnsi" w:cstheme="majorHAnsi"/>
          <w:i/>
          <w:sz w:val="16"/>
          <w:szCs w:val="16"/>
          <w:lang w:val="en-US"/>
        </w:rPr>
        <w:t>Fig.</w:t>
      </w:r>
      <w:r w:rsidR="00216A28" w:rsidRPr="00881C88">
        <w:rPr>
          <w:rFonts w:asciiTheme="majorHAnsi" w:eastAsia="Times New Roman" w:hAnsiTheme="majorHAnsi" w:cstheme="majorHAnsi"/>
          <w:i/>
          <w:sz w:val="16"/>
          <w:szCs w:val="16"/>
          <w:lang w:val="en-US"/>
        </w:rPr>
        <w:t>21</w:t>
      </w:r>
      <w:r w:rsidR="0071735D" w:rsidRPr="00881C88">
        <w:rPr>
          <w:rFonts w:asciiTheme="majorHAnsi" w:eastAsia="Times New Roman" w:hAnsiTheme="majorHAnsi" w:cstheme="majorHAnsi"/>
          <w:i/>
          <w:sz w:val="16"/>
          <w:szCs w:val="16"/>
          <w:lang w:val="en-US"/>
        </w:rPr>
        <w:t xml:space="preserve">. </w:t>
      </w:r>
      <w:r w:rsidR="00584B4E" w:rsidRPr="00881C88">
        <w:rPr>
          <w:rFonts w:asciiTheme="majorHAnsi" w:eastAsia="Times New Roman" w:hAnsiTheme="majorHAnsi" w:cstheme="majorHAnsi"/>
          <w:i/>
          <w:sz w:val="16"/>
          <w:szCs w:val="16"/>
          <w:lang w:val="en-US"/>
        </w:rPr>
        <w:t>Report on access to public documents</w:t>
      </w:r>
    </w:p>
    <w:p w14:paraId="7239BA4D" w14:textId="7C6BF67A" w:rsidR="00E0466F" w:rsidRPr="00881C88" w:rsidRDefault="00584B4E" w:rsidP="00642BCD">
      <w:pPr>
        <w:pStyle w:val="Style2"/>
        <w:rPr>
          <w:rFonts w:asciiTheme="majorHAnsi" w:hAnsiTheme="majorHAnsi" w:cstheme="majorHAnsi"/>
          <w:lang w:val="en-US"/>
        </w:rPr>
      </w:pPr>
      <w:bookmarkStart w:id="63" w:name="_Toc230182092"/>
      <w:bookmarkEnd w:id="61"/>
      <w:bookmarkEnd w:id="62"/>
      <w:r w:rsidRPr="00881C88">
        <w:rPr>
          <w:rFonts w:asciiTheme="majorHAnsi" w:hAnsiTheme="majorHAnsi" w:cstheme="majorHAnsi"/>
          <w:lang w:val="en-US"/>
        </w:rPr>
        <w:t>FINANCIAL TRANSPARENCY</w:t>
      </w:r>
      <w:bookmarkEnd w:id="63"/>
    </w:p>
    <w:p w14:paraId="2BAD211F" w14:textId="77777777" w:rsidR="00E0466F" w:rsidRPr="00881C88" w:rsidRDefault="00E0466F" w:rsidP="00A70BC5">
      <w:pPr>
        <w:spacing w:line="276" w:lineRule="auto"/>
        <w:rPr>
          <w:rFonts w:asciiTheme="majorHAnsi" w:hAnsiTheme="majorHAnsi" w:cstheme="majorHAnsi"/>
          <w:color w:val="000000" w:themeColor="text1"/>
          <w:sz w:val="24"/>
          <w:szCs w:val="24"/>
          <w:lang w:val="en-US"/>
        </w:rPr>
      </w:pPr>
    </w:p>
    <w:p w14:paraId="245751DD" w14:textId="409FA827" w:rsidR="00584B4E" w:rsidRPr="00881C88" w:rsidRDefault="00584B4E" w:rsidP="00A70BC5">
      <w:pPr>
        <w:spacing w:line="276" w:lineRule="auto"/>
        <w:rPr>
          <w:rFonts w:asciiTheme="majorHAnsi" w:eastAsia="Times New Roman" w:hAnsiTheme="majorHAnsi" w:cstheme="majorHAnsi"/>
          <w:color w:val="000000" w:themeColor="text1"/>
          <w:lang w:val="en-US"/>
        </w:rPr>
      </w:pPr>
      <w:r w:rsidRPr="00881C88">
        <w:rPr>
          <w:rFonts w:asciiTheme="majorHAnsi" w:eastAsia="Times New Roman" w:hAnsiTheme="majorHAnsi" w:cstheme="majorHAnsi"/>
          <w:color w:val="000000" w:themeColor="text1"/>
          <w:lang w:val="en-US"/>
        </w:rPr>
        <w:t>Financial transparency is one of the main criteria of good governance that affects the increase of accountability of municipal bodies to citizens. The importance of transparency affects many aspects including economic and financial sustainability, good governance, as well as the general system of state administration. Through this principle, the opening of the administration to society is enabled, information about its work can be done in different ways and in different volumes, a principle that can be limited only in certain cases in the legislation of each country. Financial transparency makes the administration accessible from the outside. For this reason, the official websites of public institutions are the basic and most applicable platforms for communicating information to citizens, providing information about their scope of activity, financial management, procurement activities, as well as access to public documents.</w:t>
      </w:r>
    </w:p>
    <w:p w14:paraId="4B1EF5C0" w14:textId="2708D23D" w:rsidR="00584B4E" w:rsidRPr="00881C88" w:rsidRDefault="00584B4E" w:rsidP="00A70BC5">
      <w:pPr>
        <w:spacing w:line="276" w:lineRule="auto"/>
        <w:rPr>
          <w:rFonts w:asciiTheme="majorHAnsi" w:hAnsiTheme="majorHAnsi" w:cstheme="majorHAnsi"/>
          <w:lang w:val="en-US"/>
        </w:rPr>
      </w:pPr>
      <w:r w:rsidRPr="00881C88">
        <w:rPr>
          <w:rFonts w:asciiTheme="majorHAnsi" w:hAnsiTheme="majorHAnsi" w:cstheme="majorHAnsi"/>
          <w:lang w:val="en-US"/>
        </w:rPr>
        <w:t>Municipalities are obliged to make public financial documents such as: annual budget plans, medium-term expenditure frameworks, notices of budget hearings, quarterly financial reports, annual financial reports, audit reports, lists of capital investments, etc.</w:t>
      </w:r>
    </w:p>
    <w:p w14:paraId="49DF76B1" w14:textId="77777777" w:rsidR="00E271C1" w:rsidRPr="00881C88" w:rsidRDefault="00E271C1" w:rsidP="00A70BC5">
      <w:pPr>
        <w:spacing w:line="276" w:lineRule="auto"/>
        <w:rPr>
          <w:rFonts w:asciiTheme="majorHAnsi" w:hAnsiTheme="majorHAnsi" w:cstheme="majorHAnsi"/>
          <w:lang w:val="en-US"/>
        </w:rPr>
      </w:pPr>
    </w:p>
    <w:p w14:paraId="7BE240FD" w14:textId="6CE0027D" w:rsidR="00F5429A" w:rsidRPr="00881C88" w:rsidRDefault="00DB4724" w:rsidP="006F5A72">
      <w:pPr>
        <w:pStyle w:val="Style2"/>
        <w:rPr>
          <w:rFonts w:asciiTheme="majorHAnsi" w:hAnsiTheme="majorHAnsi" w:cstheme="majorHAnsi"/>
          <w:sz w:val="22"/>
          <w:szCs w:val="22"/>
          <w:lang w:val="en-US"/>
        </w:rPr>
      </w:pPr>
      <w:bookmarkStart w:id="64" w:name="_Toc230182093"/>
      <w:r w:rsidRPr="00881C88">
        <w:rPr>
          <w:rFonts w:asciiTheme="majorHAnsi" w:hAnsiTheme="majorHAnsi" w:cstheme="majorHAnsi"/>
          <w:sz w:val="22"/>
          <w:szCs w:val="22"/>
          <w:lang w:val="en-US"/>
        </w:rPr>
        <w:t>PUBLICATION OF THE BUDGET PLAN</w:t>
      </w:r>
      <w:bookmarkEnd w:id="64"/>
    </w:p>
    <w:p w14:paraId="5B92EA84" w14:textId="69C99D8A" w:rsidR="00DB4724" w:rsidRPr="00881C88" w:rsidRDefault="00DB4724"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Budget planning in municipalities constitutes a key condition for accountability and for preventing mismanagement of public money. The publication of the Budget Plan is one of the fundamental criteria of good governance, which directly affects the increase of transparency and accountability of municipal bodies towards citizens.</w:t>
      </w:r>
    </w:p>
    <w:p w14:paraId="10DB7414" w14:textId="7102DB40" w:rsidR="006F5A72" w:rsidRPr="00881C88" w:rsidRDefault="00DB4724"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period January-December 2025, 27 municipalities published the Budget Plan, while 11 municipalities did not fulfill this legal obligation.</w:t>
      </w:r>
    </w:p>
    <w:p w14:paraId="2E7AEF3F" w14:textId="31A1CD40" w:rsidR="00DB4724" w:rsidRPr="00881C88" w:rsidRDefault="00DB4724" w:rsidP="00DB4724">
      <w:pPr>
        <w:numPr>
          <w:ilvl w:val="0"/>
          <w:numId w:val="45"/>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27 municipalities (71%) have published the Budget Plan;</w:t>
      </w:r>
    </w:p>
    <w:p w14:paraId="79D2475C" w14:textId="2219174D" w:rsidR="00DB4724" w:rsidRPr="00881C88" w:rsidRDefault="00DB4724" w:rsidP="00DB4724">
      <w:pPr>
        <w:numPr>
          <w:ilvl w:val="0"/>
          <w:numId w:val="45"/>
        </w:num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11 municipalities (29%) have not published it.</w:t>
      </w:r>
    </w:p>
    <w:p w14:paraId="748099A4" w14:textId="1B0963FE" w:rsidR="00DB4724" w:rsidRPr="00881C88" w:rsidRDefault="00DB4724" w:rsidP="006F5A72">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2024, when 30 municipalities had published the Budget Plan and 8 municipalities had not fulfilled this obligation, in 2025 there is a decrease of three municipalities in the publication of the Budget Plan.</w:t>
      </w:r>
    </w:p>
    <w:p w14:paraId="423B777E" w14:textId="3460437A" w:rsidR="006F5A72" w:rsidRPr="00881C88" w:rsidRDefault="00DB4724" w:rsidP="00E271C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table presents the number of municipalities that have published their Budget Plan.</w:t>
      </w:r>
    </w:p>
    <w:p w14:paraId="0B499A9A" w14:textId="3CA3A62E" w:rsidR="00015A8A" w:rsidRPr="00881C88" w:rsidRDefault="00015A8A" w:rsidP="00A70BC5">
      <w:pPr>
        <w:spacing w:after="240" w:line="276" w:lineRule="auto"/>
        <w:rPr>
          <w:rFonts w:asciiTheme="majorHAnsi" w:hAnsiTheme="majorHAnsi" w:cstheme="majorHAnsi"/>
          <w:noProof/>
          <w:lang w:val="en-US"/>
        </w:rPr>
      </w:pPr>
      <w:r w:rsidRPr="00881C88">
        <w:rPr>
          <w:rFonts w:asciiTheme="majorHAnsi" w:hAnsiTheme="majorHAnsi" w:cstheme="majorHAnsi"/>
          <w:noProof/>
          <w:lang w:val="en-US" w:eastAsia="sq-AL"/>
        </w:rPr>
        <w:drawing>
          <wp:inline distT="0" distB="0" distL="0" distR="0" wp14:anchorId="6EF5283C" wp14:editId="785EC04D">
            <wp:extent cx="5889600" cy="1943735"/>
            <wp:effectExtent l="0" t="0" r="16510" b="18415"/>
            <wp:docPr id="58" name="Chart 58">
              <a:extLst xmlns:a="http://schemas.openxmlformats.org/drawingml/2006/main">
                <a:ext uri="{FF2B5EF4-FFF2-40B4-BE49-F238E27FC236}">
                  <a16:creationId xmlns:a16="http://schemas.microsoft.com/office/drawing/2014/main" id="{D826E079-9835-4BCB-96F8-FDC146227C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3D7066A" w14:textId="11D98FF3" w:rsidR="00CE04E0" w:rsidRPr="00881C88" w:rsidRDefault="00913CFE" w:rsidP="00642BCD">
      <w:pPr>
        <w:spacing w:line="276" w:lineRule="auto"/>
        <w:jc w:val="center"/>
        <w:rPr>
          <w:rFonts w:asciiTheme="majorHAnsi" w:hAnsiTheme="majorHAnsi" w:cstheme="majorHAnsi"/>
          <w:sz w:val="24"/>
          <w:lang w:val="en-US"/>
        </w:rPr>
      </w:pPr>
      <w:r w:rsidRPr="00881C88">
        <w:rPr>
          <w:rFonts w:asciiTheme="majorHAnsi" w:hAnsiTheme="majorHAnsi" w:cstheme="majorHAnsi"/>
          <w:i/>
          <w:sz w:val="16"/>
          <w:szCs w:val="16"/>
          <w:lang w:val="en-US"/>
        </w:rPr>
        <w:t>Fig 2</w:t>
      </w:r>
      <w:r w:rsidR="00642BCD" w:rsidRPr="00881C88">
        <w:rPr>
          <w:rFonts w:asciiTheme="majorHAnsi" w:hAnsiTheme="majorHAnsi" w:cstheme="majorHAnsi"/>
          <w:i/>
          <w:sz w:val="16"/>
          <w:szCs w:val="16"/>
          <w:lang w:val="en-US"/>
        </w:rPr>
        <w:t>2.</w:t>
      </w:r>
      <w:r w:rsidR="00261961" w:rsidRPr="00881C88">
        <w:rPr>
          <w:rFonts w:asciiTheme="majorHAnsi" w:hAnsiTheme="majorHAnsi" w:cstheme="majorHAnsi"/>
          <w:i/>
          <w:sz w:val="16"/>
          <w:szCs w:val="16"/>
          <w:lang w:val="en-US"/>
        </w:rPr>
        <w:t xml:space="preserve"> </w:t>
      </w:r>
      <w:r w:rsidR="00DB4724" w:rsidRPr="00881C88">
        <w:rPr>
          <w:rFonts w:asciiTheme="majorHAnsi" w:hAnsiTheme="majorHAnsi" w:cstheme="majorHAnsi"/>
          <w:i/>
          <w:sz w:val="16"/>
          <w:szCs w:val="16"/>
          <w:lang w:val="en-US"/>
        </w:rPr>
        <w:t>Publication of the Budget for 2025</w:t>
      </w:r>
    </w:p>
    <w:p w14:paraId="69E97983" w14:textId="77777777" w:rsidR="00642BCD" w:rsidRPr="00881C88" w:rsidRDefault="00642BCD" w:rsidP="00A70BC5">
      <w:pPr>
        <w:spacing w:line="276" w:lineRule="auto"/>
        <w:rPr>
          <w:rFonts w:asciiTheme="majorHAnsi" w:hAnsiTheme="majorHAnsi" w:cstheme="majorHAnsi"/>
          <w:b/>
          <w:color w:val="2F5496" w:themeColor="accent5" w:themeShade="BF"/>
          <w:sz w:val="20"/>
          <w:szCs w:val="20"/>
          <w:lang w:val="en-US"/>
        </w:rPr>
      </w:pPr>
    </w:p>
    <w:p w14:paraId="72211571" w14:textId="18E2DC73" w:rsidR="00642BCD" w:rsidRPr="00881C88" w:rsidRDefault="00DB4724" w:rsidP="0070449E">
      <w:pPr>
        <w:pStyle w:val="Style2"/>
        <w:spacing w:line="276" w:lineRule="auto"/>
        <w:rPr>
          <w:rFonts w:asciiTheme="majorHAnsi" w:hAnsiTheme="majorHAnsi" w:cstheme="majorHAnsi"/>
          <w:sz w:val="22"/>
          <w:szCs w:val="22"/>
          <w:lang w:val="en-US"/>
        </w:rPr>
      </w:pPr>
      <w:bookmarkStart w:id="65" w:name="_Toc230182094"/>
      <w:r w:rsidRPr="00881C88">
        <w:rPr>
          <w:rFonts w:asciiTheme="majorHAnsi" w:hAnsiTheme="majorHAnsi" w:cstheme="majorHAnsi"/>
          <w:sz w:val="22"/>
          <w:szCs w:val="22"/>
          <w:lang w:val="en-US"/>
        </w:rPr>
        <w:t>MEDIUM-TERM BUDGETARY FRAMEWORK</w:t>
      </w:r>
      <w:bookmarkEnd w:id="65"/>
    </w:p>
    <w:p w14:paraId="2E6DAAE4" w14:textId="77777777" w:rsidR="0070449E" w:rsidRPr="00881C88" w:rsidRDefault="0070449E" w:rsidP="0070449E">
      <w:pPr>
        <w:pStyle w:val="Style2"/>
        <w:spacing w:line="276" w:lineRule="auto"/>
        <w:rPr>
          <w:rFonts w:asciiTheme="majorHAnsi" w:hAnsiTheme="majorHAnsi" w:cstheme="majorHAnsi"/>
          <w:sz w:val="22"/>
          <w:szCs w:val="22"/>
          <w:lang w:val="en-US"/>
        </w:rPr>
      </w:pPr>
    </w:p>
    <w:p w14:paraId="1FACF88D" w14:textId="177CAD6F" w:rsidR="00D929AC" w:rsidRPr="00881C88" w:rsidRDefault="00D929AC" w:rsidP="00A70BC5">
      <w:pPr>
        <w:spacing w:line="276" w:lineRule="auto"/>
        <w:rPr>
          <w:rFonts w:asciiTheme="majorHAnsi" w:hAnsiTheme="majorHAnsi" w:cstheme="majorHAnsi"/>
          <w:lang w:val="en-US"/>
        </w:rPr>
      </w:pPr>
      <w:r w:rsidRPr="00881C88">
        <w:rPr>
          <w:rFonts w:asciiTheme="majorHAnsi" w:hAnsiTheme="majorHAnsi" w:cstheme="majorHAnsi"/>
          <w:lang w:val="en-US"/>
        </w:rPr>
        <w:t>The Medium-Term Budget Framework is the main financial document in which the annual budget for the following year is drafted. The Medium-Term Budget Framework sets priorities, based on comprehensive analysis and budget planning for the following year.</w:t>
      </w:r>
    </w:p>
    <w:p w14:paraId="75747BC7" w14:textId="4E017AC8" w:rsidR="00D929AC" w:rsidRPr="00881C88" w:rsidRDefault="00D929AC" w:rsidP="00A70BC5">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2025 reporting period, 28 municipalities or 74% published the Medium-Term Budget Framework (MTBF), while 10 municipalities or 26% did not publish it.</w:t>
      </w:r>
    </w:p>
    <w:p w14:paraId="01D3653D" w14:textId="220CFA31" w:rsidR="00D929AC" w:rsidRPr="00881C88" w:rsidRDefault="00D929AC" w:rsidP="00A70BC5">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Compared to the data of the Transparency Report for 2024, when 31 municipalities had published the </w:t>
      </w:r>
      <w:r w:rsidR="00E34585" w:rsidRPr="00881C88">
        <w:rPr>
          <w:rFonts w:asciiTheme="majorHAnsi" w:eastAsia="Times New Roman" w:hAnsiTheme="majorHAnsi" w:cstheme="majorHAnsi"/>
          <w:lang w:val="en-US" w:eastAsia="en-GB"/>
        </w:rPr>
        <w:t>MTBF</w:t>
      </w:r>
      <w:r w:rsidRPr="00881C88">
        <w:rPr>
          <w:rFonts w:asciiTheme="majorHAnsi" w:eastAsia="Times New Roman" w:hAnsiTheme="majorHAnsi" w:cstheme="majorHAnsi"/>
          <w:lang w:val="en-US" w:eastAsia="en-GB"/>
        </w:rPr>
        <w:t xml:space="preserve"> and 7 municipalities had not, in 2025 there was a decrease of 3 municipalities in the number of municipalities that had published this document. This indicates a decrease in the level of publication of the </w:t>
      </w:r>
      <w:r w:rsidR="00E34585" w:rsidRPr="00881C88">
        <w:rPr>
          <w:rFonts w:asciiTheme="majorHAnsi" w:eastAsia="Times New Roman" w:hAnsiTheme="majorHAnsi" w:cstheme="majorHAnsi"/>
          <w:lang w:val="en-US" w:eastAsia="en-GB"/>
        </w:rPr>
        <w:t>MTBF</w:t>
      </w:r>
      <w:r w:rsidRPr="00881C88">
        <w:rPr>
          <w:rFonts w:asciiTheme="majorHAnsi" w:eastAsia="Times New Roman" w:hAnsiTheme="majorHAnsi" w:cstheme="majorHAnsi"/>
          <w:lang w:val="en-US" w:eastAsia="en-GB"/>
        </w:rPr>
        <w:t xml:space="preserve"> compared to the previous year.</w:t>
      </w:r>
    </w:p>
    <w:p w14:paraId="09CED54B" w14:textId="23A153A4" w:rsidR="00E34585" w:rsidRPr="00881C88" w:rsidRDefault="00E34585" w:rsidP="00A70BC5">
      <w:pPr>
        <w:spacing w:after="240" w:line="276" w:lineRule="auto"/>
        <w:rPr>
          <w:rFonts w:asciiTheme="majorHAnsi" w:hAnsiTheme="majorHAnsi" w:cstheme="majorHAnsi"/>
          <w:lang w:val="en-US"/>
        </w:rPr>
      </w:pPr>
      <w:r w:rsidRPr="00881C88">
        <w:rPr>
          <w:rFonts w:asciiTheme="majorHAnsi" w:hAnsiTheme="majorHAnsi" w:cstheme="majorHAnsi"/>
          <w:lang w:val="en-US"/>
        </w:rPr>
        <w:t>The number of municipalities that have published the Medium-Term Budget Framework during this period is presented in the table below.</w:t>
      </w:r>
    </w:p>
    <w:p w14:paraId="705815D7" w14:textId="082F776C" w:rsidR="000C5105" w:rsidRPr="00881C88" w:rsidRDefault="000C5105" w:rsidP="00A70BC5">
      <w:pPr>
        <w:spacing w:line="276" w:lineRule="auto"/>
        <w:rPr>
          <w:rFonts w:asciiTheme="majorHAnsi" w:hAnsiTheme="majorHAnsi" w:cstheme="majorHAnsi"/>
          <w:i/>
          <w:sz w:val="16"/>
          <w:szCs w:val="16"/>
          <w:lang w:val="en-US"/>
        </w:rPr>
      </w:pPr>
      <w:r w:rsidRPr="00881C88">
        <w:rPr>
          <w:rFonts w:asciiTheme="majorHAnsi" w:hAnsiTheme="majorHAnsi" w:cstheme="majorHAnsi"/>
          <w:noProof/>
          <w:lang w:val="en-US" w:eastAsia="sq-AL"/>
        </w:rPr>
        <w:drawing>
          <wp:inline distT="0" distB="0" distL="0" distR="0" wp14:anchorId="7A03EF1F" wp14:editId="4D7353F5">
            <wp:extent cx="5781040" cy="1754156"/>
            <wp:effectExtent l="0" t="0" r="10160" b="17780"/>
            <wp:docPr id="61" name="Chart 61">
              <a:extLst xmlns:a="http://schemas.openxmlformats.org/drawingml/2006/main">
                <a:ext uri="{FF2B5EF4-FFF2-40B4-BE49-F238E27FC236}">
                  <a16:creationId xmlns:a16="http://schemas.microsoft.com/office/drawing/2014/main" id="{388E91AF-67E7-4D24-8B9F-23AC11E7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449DA7" w14:textId="155CC58D" w:rsidR="00962FB2" w:rsidRPr="00881C88" w:rsidRDefault="00913CFE" w:rsidP="00642BCD">
      <w:pPr>
        <w:spacing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Fig2</w:t>
      </w:r>
      <w:r w:rsidR="00642BCD" w:rsidRPr="00881C88">
        <w:rPr>
          <w:rFonts w:asciiTheme="majorHAnsi" w:hAnsiTheme="majorHAnsi" w:cstheme="majorHAnsi"/>
          <w:i/>
          <w:sz w:val="14"/>
          <w:szCs w:val="14"/>
          <w:lang w:val="en-US"/>
        </w:rPr>
        <w:t>3</w:t>
      </w:r>
      <w:r w:rsidR="00962FB2" w:rsidRPr="00881C88">
        <w:rPr>
          <w:rFonts w:asciiTheme="majorHAnsi" w:hAnsiTheme="majorHAnsi" w:cstheme="majorHAnsi"/>
          <w:i/>
          <w:sz w:val="14"/>
          <w:szCs w:val="14"/>
          <w:lang w:val="en-US"/>
        </w:rPr>
        <w:t xml:space="preserve">. </w:t>
      </w:r>
      <w:r w:rsidR="00E34585" w:rsidRPr="00881C88">
        <w:rPr>
          <w:rFonts w:asciiTheme="majorHAnsi" w:hAnsiTheme="majorHAnsi" w:cstheme="majorHAnsi"/>
          <w:i/>
          <w:sz w:val="14"/>
          <w:szCs w:val="14"/>
          <w:lang w:val="en-US"/>
        </w:rPr>
        <w:t>Publication of the MTBF</w:t>
      </w:r>
    </w:p>
    <w:p w14:paraId="497A21DA" w14:textId="77777777" w:rsidR="00B53303" w:rsidRPr="00881C88" w:rsidRDefault="00B53303" w:rsidP="0070449E">
      <w:pPr>
        <w:pStyle w:val="Style3"/>
        <w:rPr>
          <w:rFonts w:cstheme="majorHAnsi"/>
          <w:sz w:val="22"/>
          <w:szCs w:val="22"/>
          <w:lang w:val="en-US"/>
        </w:rPr>
      </w:pPr>
    </w:p>
    <w:p w14:paraId="6D7182A2" w14:textId="0F8BF9DE" w:rsidR="007D4ABB" w:rsidRPr="00881C88" w:rsidRDefault="00E34585" w:rsidP="0070449E">
      <w:pPr>
        <w:pStyle w:val="Style3"/>
        <w:rPr>
          <w:rFonts w:cstheme="majorHAnsi"/>
          <w:sz w:val="22"/>
          <w:szCs w:val="22"/>
          <w:lang w:val="en-US"/>
        </w:rPr>
      </w:pPr>
      <w:bookmarkStart w:id="66" w:name="_Toc230182095"/>
      <w:r w:rsidRPr="00881C88">
        <w:rPr>
          <w:rFonts w:cstheme="majorHAnsi"/>
          <w:sz w:val="22"/>
          <w:szCs w:val="22"/>
          <w:lang w:val="en-US"/>
        </w:rPr>
        <w:t>PUBLICATION OF PERIODIC REPORTS</w:t>
      </w:r>
      <w:bookmarkEnd w:id="66"/>
    </w:p>
    <w:p w14:paraId="4E72537E" w14:textId="537694B9" w:rsidR="00E34585" w:rsidRPr="00881C88" w:rsidRDefault="00E34585" w:rsidP="0070449E">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addition to budget planning documents, the legislation in force obliges municipalities to make their financial activities public. The publication of periodic financial reports also facilitates other aspects of external control, enabling the assessment of the efficiency of the work of municipal assemblies, respect for legality, efficient financial management, as well as the overall performance of the municipal executive. Article 45.4 of the Law on Public Financial Management and Accountability stipulates that the mayor, in addition to the obligation to prepare financial reports, is also obliged to publish them on the official website of the municipality.</w:t>
      </w:r>
    </w:p>
    <w:p w14:paraId="4C738EF6" w14:textId="47DF398E" w:rsidR="0070449E" w:rsidRPr="00881C88" w:rsidRDefault="00E34585" w:rsidP="0070449E">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the reporting period January-December 2025, 28 municipalities (74%) published periodic financial reports, while 10 municipalities (26%) did not publish these reports.</w:t>
      </w:r>
    </w:p>
    <w:p w14:paraId="210EE70C" w14:textId="52DDABBD" w:rsidR="00E34585" w:rsidRPr="00881C88" w:rsidRDefault="00E34585" w:rsidP="0070449E">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Transparency Assessment Report data for 2024, a slight decrease is observed in 2025, where the number of municipalities that have published periodic financial reports is lower by two (2) municipalities (from 30 to 28). This indicates a slight decrease in the level of financial reporting by municipalities.</w:t>
      </w:r>
    </w:p>
    <w:p w14:paraId="6DBE9646" w14:textId="4E45E1E4" w:rsidR="0070449E" w:rsidRPr="00881C88" w:rsidRDefault="00E34585" w:rsidP="00E271C1">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following table below shows the number of municipalities that have published periodic financial reports.</w:t>
      </w:r>
    </w:p>
    <w:p w14:paraId="29B364DD" w14:textId="395ADC34" w:rsidR="000C5105" w:rsidRPr="00881C88" w:rsidRDefault="000C5105" w:rsidP="00A70BC5">
      <w:pPr>
        <w:spacing w:after="240" w:line="276" w:lineRule="auto"/>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25FDA177" wp14:editId="41E66DC7">
            <wp:extent cx="5918400" cy="1880870"/>
            <wp:effectExtent l="0" t="0" r="6350" b="5080"/>
            <wp:docPr id="62" name="Chart 62">
              <a:extLst xmlns:a="http://schemas.openxmlformats.org/drawingml/2006/main">
                <a:ext uri="{FF2B5EF4-FFF2-40B4-BE49-F238E27FC236}">
                  <a16:creationId xmlns:a16="http://schemas.microsoft.com/office/drawing/2014/main" id="{7AAC2C9B-3343-4D3D-A1A2-72674CC1D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791C6E" w14:textId="3B1BCE27" w:rsidR="005671EB" w:rsidRPr="00881C88" w:rsidRDefault="001827D4" w:rsidP="00051CD5">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Fig.2</w:t>
      </w:r>
      <w:r w:rsidR="005671EB" w:rsidRPr="00881C88">
        <w:rPr>
          <w:rFonts w:asciiTheme="majorHAnsi" w:hAnsiTheme="majorHAnsi" w:cstheme="majorHAnsi"/>
          <w:i/>
          <w:sz w:val="14"/>
          <w:szCs w:val="14"/>
          <w:lang w:val="en-US"/>
        </w:rPr>
        <w:t>4</w:t>
      </w:r>
      <w:r w:rsidR="006E6D40" w:rsidRPr="00881C88">
        <w:rPr>
          <w:rFonts w:asciiTheme="majorHAnsi" w:hAnsiTheme="majorHAnsi" w:cstheme="majorHAnsi"/>
          <w:i/>
          <w:sz w:val="14"/>
          <w:szCs w:val="14"/>
          <w:lang w:val="en-US"/>
        </w:rPr>
        <w:t>.</w:t>
      </w:r>
      <w:r w:rsidR="00F24AFC" w:rsidRPr="00881C88">
        <w:rPr>
          <w:rFonts w:asciiTheme="majorHAnsi" w:hAnsiTheme="majorHAnsi" w:cstheme="majorHAnsi"/>
          <w:sz w:val="14"/>
          <w:szCs w:val="14"/>
          <w:lang w:val="en-US"/>
        </w:rPr>
        <w:t xml:space="preserve"> </w:t>
      </w:r>
      <w:r w:rsidR="008149A4" w:rsidRPr="00881C88">
        <w:rPr>
          <w:rFonts w:asciiTheme="majorHAnsi" w:hAnsiTheme="majorHAnsi" w:cstheme="majorHAnsi"/>
          <w:i/>
          <w:sz w:val="14"/>
          <w:szCs w:val="14"/>
          <w:lang w:val="en-US"/>
        </w:rPr>
        <w:t>Publication of periodic financial reports</w:t>
      </w:r>
    </w:p>
    <w:p w14:paraId="0D59B2A6" w14:textId="2AF89D50" w:rsidR="00034627" w:rsidRPr="00881C88" w:rsidRDefault="008149A4" w:rsidP="001D0A4C">
      <w:pPr>
        <w:pStyle w:val="Style3"/>
        <w:spacing w:line="276" w:lineRule="auto"/>
        <w:rPr>
          <w:rFonts w:cstheme="majorHAnsi"/>
          <w:sz w:val="22"/>
          <w:szCs w:val="22"/>
          <w:lang w:val="en-US"/>
        </w:rPr>
      </w:pPr>
      <w:bookmarkStart w:id="67" w:name="_Toc230182096"/>
      <w:r w:rsidRPr="00881C88">
        <w:rPr>
          <w:rFonts w:cstheme="majorHAnsi"/>
          <w:sz w:val="22"/>
          <w:szCs w:val="22"/>
          <w:lang w:val="en-US"/>
        </w:rPr>
        <w:t>Annual financial report</w:t>
      </w:r>
      <w:bookmarkEnd w:id="67"/>
    </w:p>
    <w:p w14:paraId="6E683B8D" w14:textId="4DD02E22" w:rsidR="008149A4" w:rsidRPr="00881C88" w:rsidRDefault="008149A4" w:rsidP="001D0A4C">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There are 25 municipalities (66%) that published their annual financial report during 2025, while 13 municipalities (34%) did not publish this report.</w:t>
      </w:r>
    </w:p>
    <w:p w14:paraId="48261BEE" w14:textId="7870B85D" w:rsidR="008149A4" w:rsidRPr="00881C88" w:rsidRDefault="008149A4" w:rsidP="001D0A4C">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data of the Transparency Assessment Report for 2024, a slight decrease is observed in 2025, where the number of municipalities that have published the annual financial report is lower by 3 municipalities (from 28 to 25). This indicates a slight decrease in the level of publication of the annual financial report by municipalities.</w:t>
      </w:r>
    </w:p>
    <w:p w14:paraId="08D6A4D4" w14:textId="0A40B571" w:rsidR="008149A4" w:rsidRPr="00881C88" w:rsidRDefault="008149A4" w:rsidP="008149A4">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The number of municipalities that have published their annual financial report is presented in the table below. </w:t>
      </w:r>
    </w:p>
    <w:p w14:paraId="6EE3178F" w14:textId="162C7267" w:rsidR="00E0466F" w:rsidRPr="00330424" w:rsidRDefault="00015A8A" w:rsidP="00330424">
      <w:pPr>
        <w:spacing w:before="100" w:beforeAutospacing="1" w:after="100" w:afterAutospacing="1" w:line="276" w:lineRule="auto"/>
        <w:rPr>
          <w:rFonts w:asciiTheme="majorHAnsi" w:hAnsiTheme="majorHAnsi" w:cstheme="majorHAnsi"/>
          <w:lang w:val="en-US"/>
        </w:rPr>
      </w:pPr>
      <w:r w:rsidRPr="00881C88">
        <w:rPr>
          <w:rFonts w:asciiTheme="majorHAnsi" w:hAnsiTheme="majorHAnsi" w:cstheme="majorHAnsi"/>
          <w:noProof/>
          <w:sz w:val="16"/>
          <w:szCs w:val="16"/>
          <w:lang w:val="en-US" w:eastAsia="sq-AL"/>
        </w:rPr>
        <w:drawing>
          <wp:inline distT="0" distB="0" distL="0" distR="0" wp14:anchorId="3A1E56D4" wp14:editId="2FD8C07D">
            <wp:extent cx="5943600" cy="1699146"/>
            <wp:effectExtent l="0" t="0" r="0" b="15875"/>
            <wp:docPr id="60" name="Chart 60">
              <a:extLst xmlns:a="http://schemas.openxmlformats.org/drawingml/2006/main">
                <a:ext uri="{FF2B5EF4-FFF2-40B4-BE49-F238E27FC236}">
                  <a16:creationId xmlns:a16="http://schemas.microsoft.com/office/drawing/2014/main" id="{66230E00-81E9-47A5-86BD-F592886F6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30424">
        <w:rPr>
          <w:rFonts w:asciiTheme="majorHAnsi" w:hAnsiTheme="majorHAnsi" w:cstheme="majorHAnsi"/>
          <w:lang w:val="en-US"/>
        </w:rPr>
        <w:t xml:space="preserve">                                                                 </w:t>
      </w:r>
      <w:r w:rsidR="001827D4" w:rsidRPr="00881C88">
        <w:rPr>
          <w:rFonts w:asciiTheme="majorHAnsi" w:hAnsiTheme="majorHAnsi" w:cstheme="majorHAnsi"/>
          <w:i/>
          <w:sz w:val="14"/>
          <w:szCs w:val="14"/>
          <w:lang w:val="en-US"/>
        </w:rPr>
        <w:t>Fig 2</w:t>
      </w:r>
      <w:r w:rsidR="005671EB" w:rsidRPr="00881C88">
        <w:rPr>
          <w:rFonts w:asciiTheme="majorHAnsi" w:hAnsiTheme="majorHAnsi" w:cstheme="majorHAnsi"/>
          <w:i/>
          <w:sz w:val="14"/>
          <w:szCs w:val="14"/>
          <w:lang w:val="en-US"/>
        </w:rPr>
        <w:t>5</w:t>
      </w:r>
      <w:r w:rsidR="007D4ABB" w:rsidRPr="00881C88">
        <w:rPr>
          <w:rFonts w:asciiTheme="majorHAnsi" w:hAnsiTheme="majorHAnsi" w:cstheme="majorHAnsi"/>
          <w:i/>
          <w:sz w:val="14"/>
          <w:szCs w:val="14"/>
          <w:lang w:val="en-US"/>
        </w:rPr>
        <w:t xml:space="preserve"> </w:t>
      </w:r>
      <w:r w:rsidR="008149A4" w:rsidRPr="00881C88">
        <w:rPr>
          <w:rFonts w:asciiTheme="majorHAnsi" w:hAnsiTheme="majorHAnsi" w:cstheme="majorHAnsi"/>
          <w:i/>
          <w:sz w:val="14"/>
          <w:szCs w:val="14"/>
          <w:lang w:val="en-US"/>
        </w:rPr>
        <w:t>Publication of the annual financial report</w:t>
      </w:r>
    </w:p>
    <w:p w14:paraId="19A993DC" w14:textId="2B1A25D0" w:rsidR="008D4D88" w:rsidRPr="00881C88" w:rsidRDefault="00364E39" w:rsidP="004D17CD">
      <w:pPr>
        <w:pStyle w:val="Style3"/>
        <w:spacing w:line="276" w:lineRule="auto"/>
        <w:jc w:val="center"/>
        <w:rPr>
          <w:rFonts w:cstheme="majorHAnsi"/>
          <w:sz w:val="22"/>
          <w:szCs w:val="22"/>
          <w:lang w:val="en-US"/>
        </w:rPr>
      </w:pPr>
      <w:bookmarkStart w:id="68" w:name="_Toc230182097"/>
      <w:r w:rsidRPr="00881C88">
        <w:rPr>
          <w:rFonts w:cstheme="majorHAnsi"/>
          <w:sz w:val="22"/>
          <w:szCs w:val="22"/>
          <w:lang w:val="en-US"/>
        </w:rPr>
        <w:t>Publication of notices for Budget Meetings/Hearings</w:t>
      </w:r>
      <w:bookmarkEnd w:id="68"/>
    </w:p>
    <w:p w14:paraId="5B757B80" w14:textId="1D503B4A" w:rsidR="00364E39" w:rsidRPr="00881C88" w:rsidRDefault="00364E39"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municipality is obliged to hold budget meetings with citizens, in accordance with the Law on Public Financial Management and Accountability. Budget hearings are carried out through forms and techniques of public consultation, including public calls, compliance with legal deadlines, keeping minutes and drafting relevant reports, in accordance with the provisions of Administrative Instruction No. 04/2023 on Open Administration in Municipalities. The notice of budget hearings, together with the budget proposal and explanatory documents, is published at least two (2) weeks before the meeting, according to Article 5, paragraph 2 of this Administrative Instruction.</w:t>
      </w:r>
    </w:p>
    <w:p w14:paraId="56941C52" w14:textId="04361B82" w:rsidR="00364E39" w:rsidRPr="00881C88" w:rsidRDefault="00364E39"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responsible municipal bodies are obliged to plan the budget hearing calendar for the municipal draft budget and the Medium-Term Budget Framework (MTBF), as well as to organize budget hearings in accordance with the Law on Public Financial Management and Accountability.</w:t>
      </w:r>
    </w:p>
    <w:p w14:paraId="65801EA8" w14:textId="61D33569" w:rsidR="00364E39" w:rsidRPr="00881C88" w:rsidRDefault="00364E39"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During 2025, 19 municipalities (50%) published notices of budget meetings, while 19 municipalities (50%) did not fulfill this legal obligation. Meanwhile, 23 municipalities published reports from budget hearings, while 15 municipalities did not publish these reports.</w:t>
      </w:r>
    </w:p>
    <w:p w14:paraId="4C188840" w14:textId="63E57389" w:rsidR="00364E39" w:rsidRPr="00881C88" w:rsidRDefault="00364E39"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Monitoring data shows a discrepancy between the number of notifications and the number of reports of budget hearings, with the number of reports being higher than the number of notifications. This discrepancy indicates that the process has not been implemented in a complete and systematic manner, creating gaps in the chain of transparency and public participation. In some cases, the publication of budget hearing plans has been observed, which is a positive practice; however, this is not considered sufficient in the absence of individual notifications for each budget hearing.</w:t>
      </w:r>
    </w:p>
    <w:p w14:paraId="1167313D" w14:textId="29DDAF7A" w:rsidR="002B476C" w:rsidRPr="00881C88" w:rsidRDefault="002B476C"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According to the Administrative Instruction on Open Administration, each budget hearing must be accompanied by a detailed public notice on the official website of the municipality, public platforms and social networks, in order to ensure full information and effective participation of citizens in the decision-making process on public finances. The number of municipalities that have published notices for budget meetings/discussions is presented in the table below.  </w:t>
      </w:r>
    </w:p>
    <w:p w14:paraId="5549DAAE" w14:textId="6DD9B57E" w:rsidR="009C0A31" w:rsidRPr="00881C88" w:rsidRDefault="004C637A" w:rsidP="00A70BC5">
      <w:pPr>
        <w:spacing w:line="276" w:lineRule="auto"/>
        <w:rPr>
          <w:rFonts w:asciiTheme="majorHAnsi" w:hAnsiTheme="majorHAnsi" w:cstheme="majorHAnsi"/>
          <w:lang w:val="en-US"/>
        </w:rPr>
      </w:pPr>
      <w:r w:rsidRPr="00881C88">
        <w:rPr>
          <w:rFonts w:asciiTheme="majorHAnsi" w:hAnsiTheme="majorHAnsi" w:cstheme="majorHAnsi"/>
          <w:noProof/>
          <w:sz w:val="20"/>
          <w:szCs w:val="20"/>
          <w:lang w:val="en-US" w:eastAsia="sq-AL"/>
        </w:rPr>
        <w:drawing>
          <wp:inline distT="0" distB="0" distL="0" distR="0" wp14:anchorId="5037015E" wp14:editId="3B9F9D03">
            <wp:extent cx="5950424" cy="2210435"/>
            <wp:effectExtent l="0" t="0" r="12700" b="18415"/>
            <wp:docPr id="130" name="Chart 130">
              <a:extLst xmlns:a="http://schemas.openxmlformats.org/drawingml/2006/main">
                <a:ext uri="{FF2B5EF4-FFF2-40B4-BE49-F238E27FC236}">
                  <a16:creationId xmlns:a16="http://schemas.microsoft.com/office/drawing/2014/main" id="{623DC2EF-561C-4841-AE47-95CAE6749F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29D37FE" w14:textId="2735C921" w:rsidR="00E0466F" w:rsidRPr="00881C88" w:rsidRDefault="00646D22" w:rsidP="005671EB">
      <w:pPr>
        <w:autoSpaceDE w:val="0"/>
        <w:autoSpaceDN w:val="0"/>
        <w:adjustRightInd w:val="0"/>
        <w:spacing w:after="240" w:line="276" w:lineRule="auto"/>
        <w:jc w:val="center"/>
        <w:rPr>
          <w:rFonts w:asciiTheme="majorHAnsi" w:hAnsiTheme="majorHAnsi" w:cstheme="majorHAnsi"/>
          <w:sz w:val="16"/>
          <w:szCs w:val="16"/>
          <w:lang w:val="en-US"/>
        </w:rPr>
      </w:pPr>
      <w:bookmarkStart w:id="69" w:name="_Toc130455701"/>
      <w:r w:rsidRPr="00881C88">
        <w:rPr>
          <w:rFonts w:asciiTheme="majorHAnsi" w:hAnsiTheme="majorHAnsi" w:cstheme="majorHAnsi"/>
          <w:i/>
          <w:sz w:val="16"/>
          <w:szCs w:val="16"/>
          <w:lang w:val="en-US"/>
        </w:rPr>
        <w:t>Fig</w:t>
      </w:r>
      <w:r w:rsidR="00E715E7" w:rsidRPr="00881C88">
        <w:rPr>
          <w:rFonts w:asciiTheme="majorHAnsi" w:hAnsiTheme="majorHAnsi" w:cstheme="majorHAnsi"/>
          <w:i/>
          <w:sz w:val="16"/>
          <w:szCs w:val="16"/>
          <w:lang w:val="en-US"/>
        </w:rPr>
        <w:t>.</w:t>
      </w:r>
      <w:r w:rsidRPr="00881C88">
        <w:rPr>
          <w:rFonts w:asciiTheme="majorHAnsi" w:hAnsiTheme="majorHAnsi" w:cstheme="majorHAnsi"/>
          <w:i/>
          <w:sz w:val="16"/>
          <w:szCs w:val="16"/>
          <w:lang w:val="en-US"/>
        </w:rPr>
        <w:t xml:space="preserve"> </w:t>
      </w:r>
      <w:r w:rsidR="001827D4" w:rsidRPr="00881C88">
        <w:rPr>
          <w:rFonts w:asciiTheme="majorHAnsi" w:hAnsiTheme="majorHAnsi" w:cstheme="majorHAnsi"/>
          <w:i/>
          <w:sz w:val="16"/>
          <w:szCs w:val="16"/>
          <w:lang w:val="en-US"/>
        </w:rPr>
        <w:t>2</w:t>
      </w:r>
      <w:r w:rsidR="005671EB" w:rsidRPr="00881C88">
        <w:rPr>
          <w:rFonts w:asciiTheme="majorHAnsi" w:hAnsiTheme="majorHAnsi" w:cstheme="majorHAnsi"/>
          <w:i/>
          <w:sz w:val="16"/>
          <w:szCs w:val="16"/>
          <w:lang w:val="en-US"/>
        </w:rPr>
        <w:t>6</w:t>
      </w:r>
      <w:r w:rsidR="006E6D40" w:rsidRPr="00881C88">
        <w:rPr>
          <w:rFonts w:asciiTheme="majorHAnsi" w:hAnsiTheme="majorHAnsi" w:cstheme="majorHAnsi"/>
          <w:i/>
          <w:sz w:val="16"/>
          <w:szCs w:val="16"/>
          <w:lang w:val="en-US"/>
        </w:rPr>
        <w:t xml:space="preserve"> </w:t>
      </w:r>
      <w:bookmarkStart w:id="70" w:name="_Toc56692989"/>
      <w:bookmarkStart w:id="71" w:name="_Toc81401215"/>
      <w:bookmarkStart w:id="72" w:name="_Toc85812824"/>
      <w:bookmarkEnd w:id="69"/>
      <w:r w:rsidR="002B476C" w:rsidRPr="00881C88">
        <w:rPr>
          <w:rFonts w:asciiTheme="majorHAnsi" w:hAnsiTheme="majorHAnsi" w:cstheme="majorHAnsi"/>
          <w:i/>
          <w:sz w:val="16"/>
          <w:szCs w:val="16"/>
          <w:lang w:val="en-US"/>
        </w:rPr>
        <w:t>Publication of notices for budget meetings</w:t>
      </w:r>
    </w:p>
    <w:p w14:paraId="3217181C" w14:textId="77777777" w:rsidR="003A6511" w:rsidRPr="00881C88" w:rsidRDefault="003A6511" w:rsidP="00A70BC5">
      <w:pPr>
        <w:spacing w:line="276" w:lineRule="auto"/>
        <w:rPr>
          <w:rFonts w:asciiTheme="majorHAnsi" w:hAnsiTheme="majorHAnsi" w:cstheme="majorHAnsi"/>
          <w:b/>
          <w:color w:val="2F5496" w:themeColor="accent5" w:themeShade="BF"/>
          <w:lang w:val="en-US"/>
        </w:rPr>
      </w:pPr>
    </w:p>
    <w:p w14:paraId="7479EBEE" w14:textId="150388F4" w:rsidR="00E0466F" w:rsidRPr="00881C88" w:rsidRDefault="002B476C" w:rsidP="00A70BC5">
      <w:pPr>
        <w:spacing w:line="276" w:lineRule="auto"/>
        <w:rPr>
          <w:rFonts w:asciiTheme="majorHAnsi" w:hAnsiTheme="majorHAnsi" w:cstheme="majorHAnsi"/>
          <w:b/>
          <w:color w:val="2F5496" w:themeColor="accent5" w:themeShade="BF"/>
          <w:lang w:val="en-US"/>
        </w:rPr>
      </w:pPr>
      <w:r w:rsidRPr="00881C88">
        <w:rPr>
          <w:rFonts w:asciiTheme="majorHAnsi" w:hAnsiTheme="majorHAnsi" w:cstheme="majorHAnsi"/>
          <w:b/>
          <w:color w:val="2F5496" w:themeColor="accent5" w:themeShade="BF"/>
          <w:lang w:val="en-US"/>
        </w:rPr>
        <w:t>EXTERNAL AUDITOR'S REPORT</w:t>
      </w:r>
    </w:p>
    <w:p w14:paraId="3B330259" w14:textId="7D1D7DDE" w:rsidR="002B476C" w:rsidRPr="00881C88" w:rsidRDefault="002B476C" w:rsidP="004D17CD">
      <w:pPr>
        <w:autoSpaceDE w:val="0"/>
        <w:autoSpaceDN w:val="0"/>
        <w:adjustRightInd w:val="0"/>
        <w:spacing w:after="240" w:line="276" w:lineRule="auto"/>
        <w:jc w:val="left"/>
        <w:rPr>
          <w:rFonts w:asciiTheme="majorHAnsi" w:hAnsiTheme="majorHAnsi" w:cstheme="majorHAnsi"/>
          <w:lang w:val="en-US"/>
        </w:rPr>
      </w:pPr>
      <w:r w:rsidRPr="00881C88">
        <w:rPr>
          <w:rFonts w:asciiTheme="majorHAnsi" w:hAnsiTheme="majorHAnsi" w:cstheme="majorHAnsi"/>
          <w:lang w:val="en-US"/>
        </w:rPr>
        <w:t>Based on Article 27, paragraph 27.2 of Law No. 03/L-040 on Local Self-Government, all auditor reports and responses of local authorities are made public. The publication of the auditor report is another important indicator, as in this form it provides the public with data on how public money under the management of municipalities has been managed.</w:t>
      </w:r>
    </w:p>
    <w:p w14:paraId="5F484798" w14:textId="45918A06" w:rsidR="002B476C" w:rsidRPr="00881C88" w:rsidRDefault="002B476C" w:rsidP="00A70BC5">
      <w:pPr>
        <w:spacing w:line="276" w:lineRule="auto"/>
        <w:rPr>
          <w:rFonts w:asciiTheme="majorHAnsi" w:hAnsiTheme="majorHAnsi" w:cstheme="majorHAnsi"/>
          <w:bCs/>
          <w:lang w:val="en-US"/>
        </w:rPr>
      </w:pPr>
      <w:r w:rsidRPr="00881C88">
        <w:rPr>
          <w:rFonts w:asciiTheme="majorHAnsi" w:hAnsiTheme="majorHAnsi" w:cstheme="majorHAnsi"/>
          <w:bCs/>
          <w:lang w:val="en-US"/>
        </w:rPr>
        <w:t>During 2025, 1</w:t>
      </w:r>
      <w:r w:rsidR="009C67A5">
        <w:rPr>
          <w:rFonts w:asciiTheme="majorHAnsi" w:hAnsiTheme="majorHAnsi" w:cstheme="majorHAnsi"/>
          <w:bCs/>
          <w:lang w:val="en-US"/>
        </w:rPr>
        <w:t>7</w:t>
      </w:r>
      <w:r w:rsidRPr="00881C88">
        <w:rPr>
          <w:rFonts w:asciiTheme="majorHAnsi" w:hAnsiTheme="majorHAnsi" w:cstheme="majorHAnsi"/>
          <w:bCs/>
          <w:lang w:val="en-US"/>
        </w:rPr>
        <w:t xml:space="preserve"> municipalities or 43% of municipalities published the External Auditor's Report, while 2</w:t>
      </w:r>
      <w:r w:rsidR="009C67A5">
        <w:rPr>
          <w:rFonts w:asciiTheme="majorHAnsi" w:hAnsiTheme="majorHAnsi" w:cstheme="majorHAnsi"/>
          <w:bCs/>
          <w:lang w:val="en-US"/>
        </w:rPr>
        <w:t>1</w:t>
      </w:r>
      <w:r w:rsidRPr="00881C88">
        <w:rPr>
          <w:rFonts w:asciiTheme="majorHAnsi" w:hAnsiTheme="majorHAnsi" w:cstheme="majorHAnsi"/>
          <w:bCs/>
          <w:lang w:val="en-US"/>
        </w:rPr>
        <w:t xml:space="preserve"> municipalities or 57% did not fulfill the legal obligation set forth in Article 27, paragraph 27.2 of Law No. 03/L-040 on Local Self-Government.</w:t>
      </w:r>
    </w:p>
    <w:p w14:paraId="7699FED7" w14:textId="7B68E3D0" w:rsidR="00C723A4" w:rsidRPr="00881C88" w:rsidRDefault="002B476C" w:rsidP="00A70BC5">
      <w:pPr>
        <w:autoSpaceDE w:val="0"/>
        <w:autoSpaceDN w:val="0"/>
        <w:adjustRightInd w:val="0"/>
        <w:spacing w:after="240" w:line="276" w:lineRule="auto"/>
        <w:rPr>
          <w:rFonts w:asciiTheme="majorHAnsi" w:hAnsiTheme="majorHAnsi" w:cstheme="majorHAnsi"/>
          <w:lang w:val="en-US"/>
        </w:rPr>
      </w:pPr>
      <w:r w:rsidRPr="00881C88">
        <w:rPr>
          <w:rFonts w:asciiTheme="majorHAnsi" w:hAnsiTheme="majorHAnsi" w:cstheme="majorHAnsi"/>
          <w:lang w:val="en-US"/>
        </w:rPr>
        <w:t>In the table below it is presented the number of municipalities that have published the External Auditor's Report.</w:t>
      </w:r>
      <w:r w:rsidR="009C67A5">
        <w:rPr>
          <w:rFonts w:asciiTheme="majorHAnsi" w:hAnsiTheme="majorHAnsi" w:cstheme="majorHAnsi"/>
          <w:lang w:val="en-US"/>
        </w:rPr>
        <w:t xml:space="preserve"> </w:t>
      </w:r>
    </w:p>
    <w:p w14:paraId="0CD2758B" w14:textId="46BD3559" w:rsidR="00C723A4" w:rsidRPr="00881C88" w:rsidRDefault="003A6511" w:rsidP="005671EB">
      <w:pPr>
        <w:autoSpaceDE w:val="0"/>
        <w:autoSpaceDN w:val="0"/>
        <w:adjustRightInd w:val="0"/>
        <w:spacing w:after="240" w:line="276" w:lineRule="auto"/>
        <w:jc w:val="center"/>
        <w:rPr>
          <w:rFonts w:asciiTheme="majorHAnsi" w:hAnsiTheme="majorHAnsi" w:cstheme="majorHAnsi"/>
          <w:color w:val="C00000"/>
          <w:sz w:val="20"/>
          <w:szCs w:val="20"/>
          <w:lang w:val="en-US"/>
        </w:rPr>
      </w:pPr>
      <w:r w:rsidRPr="00881C88">
        <w:rPr>
          <w:rFonts w:asciiTheme="majorHAnsi" w:hAnsiTheme="majorHAnsi" w:cstheme="majorHAnsi"/>
          <w:noProof/>
          <w:sz w:val="20"/>
          <w:szCs w:val="20"/>
          <w:lang w:val="en-US" w:eastAsia="sq-AL"/>
        </w:rPr>
        <w:drawing>
          <wp:inline distT="0" distB="0" distL="0" distR="0" wp14:anchorId="091431B1" wp14:editId="6B737B13">
            <wp:extent cx="5731510" cy="1900505"/>
            <wp:effectExtent l="0" t="0" r="2540" b="5080"/>
            <wp:docPr id="132" name="Chart 132">
              <a:extLst xmlns:a="http://schemas.openxmlformats.org/drawingml/2006/main">
                <a:ext uri="{FF2B5EF4-FFF2-40B4-BE49-F238E27FC236}">
                  <a16:creationId xmlns:a16="http://schemas.microsoft.com/office/drawing/2014/main" id="{67101599-2ABA-4860-9120-039779F89C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F41DA8" w14:textId="41BEF723" w:rsidR="00E0466F" w:rsidRPr="00881C88" w:rsidRDefault="001827D4" w:rsidP="005671EB">
      <w:pPr>
        <w:autoSpaceDE w:val="0"/>
        <w:autoSpaceDN w:val="0"/>
        <w:adjustRightInd w:val="0"/>
        <w:spacing w:after="240" w:line="276" w:lineRule="auto"/>
        <w:jc w:val="center"/>
        <w:rPr>
          <w:rFonts w:asciiTheme="majorHAnsi" w:hAnsiTheme="majorHAnsi" w:cstheme="majorHAnsi"/>
          <w:szCs w:val="20"/>
          <w:lang w:val="en-US"/>
        </w:rPr>
      </w:pPr>
      <w:r w:rsidRPr="00881C88">
        <w:rPr>
          <w:rFonts w:asciiTheme="majorHAnsi" w:hAnsiTheme="majorHAnsi" w:cstheme="majorHAnsi"/>
          <w:i/>
          <w:sz w:val="14"/>
          <w:szCs w:val="14"/>
          <w:lang w:val="en-US"/>
        </w:rPr>
        <w:t>Fig.2</w:t>
      </w:r>
      <w:r w:rsidR="005671EB" w:rsidRPr="00881C88">
        <w:rPr>
          <w:rFonts w:asciiTheme="majorHAnsi" w:hAnsiTheme="majorHAnsi" w:cstheme="majorHAnsi"/>
          <w:i/>
          <w:sz w:val="14"/>
          <w:szCs w:val="14"/>
          <w:lang w:val="en-US"/>
        </w:rPr>
        <w:t>7</w:t>
      </w:r>
      <w:r w:rsidR="00A37463" w:rsidRPr="00881C88">
        <w:rPr>
          <w:rFonts w:asciiTheme="majorHAnsi" w:hAnsiTheme="majorHAnsi" w:cstheme="majorHAnsi"/>
          <w:i/>
          <w:sz w:val="14"/>
          <w:szCs w:val="14"/>
          <w:lang w:val="en-US"/>
        </w:rPr>
        <w:t xml:space="preserve"> </w:t>
      </w:r>
      <w:r w:rsidR="002B476C" w:rsidRPr="00881C88">
        <w:rPr>
          <w:rFonts w:asciiTheme="majorHAnsi" w:hAnsiTheme="majorHAnsi" w:cstheme="majorHAnsi"/>
          <w:i/>
          <w:sz w:val="14"/>
          <w:szCs w:val="14"/>
          <w:lang w:val="en-US"/>
        </w:rPr>
        <w:t>External Auditor's Report</w:t>
      </w:r>
    </w:p>
    <w:p w14:paraId="32C09734" w14:textId="77777777" w:rsidR="008E4619" w:rsidRPr="00881C88" w:rsidRDefault="008E4619" w:rsidP="00A70BC5">
      <w:pPr>
        <w:spacing w:line="276" w:lineRule="auto"/>
        <w:rPr>
          <w:rFonts w:asciiTheme="majorHAnsi" w:hAnsiTheme="majorHAnsi" w:cstheme="majorHAnsi"/>
          <w:i/>
          <w:sz w:val="20"/>
          <w:szCs w:val="18"/>
          <w:lang w:val="en-US"/>
        </w:rPr>
      </w:pPr>
    </w:p>
    <w:p w14:paraId="31ED3EFA" w14:textId="201030C7" w:rsidR="001827D4" w:rsidRPr="00881C88" w:rsidRDefault="00AA7529" w:rsidP="005671EB">
      <w:pPr>
        <w:spacing w:line="276" w:lineRule="auto"/>
        <w:jc w:val="left"/>
        <w:rPr>
          <w:rFonts w:asciiTheme="majorHAnsi" w:hAnsiTheme="majorHAnsi" w:cstheme="majorHAnsi"/>
          <w:b/>
          <w:color w:val="2F5496" w:themeColor="accent5" w:themeShade="BF"/>
          <w:sz w:val="24"/>
          <w:lang w:val="en-US"/>
        </w:rPr>
      </w:pPr>
      <w:r w:rsidRPr="00881C88">
        <w:rPr>
          <w:rFonts w:asciiTheme="majorHAnsi" w:hAnsiTheme="majorHAnsi" w:cstheme="majorHAnsi"/>
          <w:b/>
          <w:color w:val="2F5496" w:themeColor="accent5" w:themeShade="BF"/>
          <w:sz w:val="24"/>
          <w:lang w:val="en-US"/>
        </w:rPr>
        <w:t>List of capital investments</w:t>
      </w:r>
    </w:p>
    <w:p w14:paraId="69519A95" w14:textId="380FB2E5" w:rsidR="00AA7529" w:rsidRPr="00881C88" w:rsidRDefault="00AA7529" w:rsidP="004D17CD">
      <w:pPr>
        <w:spacing w:line="276" w:lineRule="auto"/>
        <w:rPr>
          <w:rFonts w:asciiTheme="majorHAnsi" w:hAnsiTheme="majorHAnsi" w:cstheme="majorHAnsi"/>
          <w:lang w:val="en-US"/>
        </w:rPr>
      </w:pPr>
      <w:r w:rsidRPr="00881C88">
        <w:rPr>
          <w:rFonts w:asciiTheme="majorHAnsi" w:hAnsiTheme="majorHAnsi" w:cstheme="majorHAnsi"/>
          <w:lang w:val="en-US"/>
        </w:rPr>
        <w:t xml:space="preserve">The Capital Investment List is a financial document and defines the capital expenditures that are necessary for the implementation of decisions and plans set in municipalities. The Capital Investment List </w:t>
      </w:r>
      <w:r w:rsidR="004654C2" w:rsidRPr="00881C88">
        <w:rPr>
          <w:rFonts w:asciiTheme="majorHAnsi" w:hAnsiTheme="majorHAnsi" w:cstheme="majorHAnsi"/>
          <w:lang w:val="en-US"/>
        </w:rPr>
        <w:t>defines</w:t>
      </w:r>
      <w:r w:rsidRPr="00881C88">
        <w:rPr>
          <w:rFonts w:asciiTheme="majorHAnsi" w:hAnsiTheme="majorHAnsi" w:cstheme="majorHAnsi"/>
          <w:lang w:val="en-US"/>
        </w:rPr>
        <w:t xml:space="preserve"> the implementation time, cost, sources of financing and other detailed information. The publication of the Capital Investment List is part of financial transparency and </w:t>
      </w:r>
      <w:r w:rsidR="004654C2" w:rsidRPr="00881C88">
        <w:rPr>
          <w:rFonts w:asciiTheme="majorHAnsi" w:hAnsiTheme="majorHAnsi" w:cstheme="majorHAnsi"/>
          <w:lang w:val="en-US"/>
        </w:rPr>
        <w:t>defines</w:t>
      </w:r>
      <w:r w:rsidRPr="00881C88">
        <w:rPr>
          <w:rFonts w:asciiTheme="majorHAnsi" w:hAnsiTheme="majorHAnsi" w:cstheme="majorHAnsi"/>
          <w:lang w:val="en-US"/>
        </w:rPr>
        <w:t xml:space="preserve"> the highest priority of securing funds, as well as the budgetary allocation necessary for the regular financing of the capital project during the preparation and approval of the Kosovo Consolidated Budget.</w:t>
      </w:r>
    </w:p>
    <w:p w14:paraId="152C6DC0" w14:textId="61180580"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Regarding the Capital Investments category, during the period 2025, 15 municipalities or 40% have published the list of capital investments, while 23 municipalities or 60% have not fulfilled this legal obligation.</w:t>
      </w:r>
    </w:p>
    <w:p w14:paraId="651C2599" w14:textId="4E57F9B5"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Compared to the Transparency Report data for 2024, in 2025 there is a decrease of 7 fewer municipalities that have published the list of capital investments, from 22 to 15 municipalities. This reflects a decrease in the level of transparency of municipalities in this category during 2025.</w:t>
      </w:r>
    </w:p>
    <w:p w14:paraId="3C04E158" w14:textId="5D74397E" w:rsidR="004654C2" w:rsidRPr="00881C88" w:rsidRDefault="004654C2" w:rsidP="004D17CD">
      <w:pPr>
        <w:autoSpaceDE w:val="0"/>
        <w:autoSpaceDN w:val="0"/>
        <w:adjustRightInd w:val="0"/>
        <w:spacing w:after="240" w:line="276" w:lineRule="auto"/>
        <w:rPr>
          <w:rFonts w:asciiTheme="majorHAnsi" w:hAnsiTheme="majorHAnsi" w:cstheme="majorHAnsi"/>
          <w:lang w:val="en-US"/>
        </w:rPr>
      </w:pPr>
      <w:r w:rsidRPr="00881C88">
        <w:rPr>
          <w:rFonts w:asciiTheme="majorHAnsi" w:hAnsiTheme="majorHAnsi" w:cstheme="majorHAnsi"/>
          <w:lang w:val="en-US"/>
        </w:rPr>
        <w:t>The number of municipalities that have published the Capital Investment List are presented in the table below.</w:t>
      </w:r>
    </w:p>
    <w:p w14:paraId="3460D805" w14:textId="52CE8224" w:rsidR="000B2571" w:rsidRPr="00881C88" w:rsidRDefault="003A6511" w:rsidP="00A70BC5">
      <w:pPr>
        <w:autoSpaceDE w:val="0"/>
        <w:autoSpaceDN w:val="0"/>
        <w:adjustRightInd w:val="0"/>
        <w:spacing w:after="240" w:line="276" w:lineRule="auto"/>
        <w:rPr>
          <w:rFonts w:asciiTheme="majorHAnsi" w:hAnsiTheme="majorHAnsi" w:cstheme="majorHAnsi"/>
          <w:color w:val="C00000"/>
          <w:lang w:val="en-US"/>
        </w:rPr>
      </w:pPr>
      <w:r w:rsidRPr="00881C88">
        <w:rPr>
          <w:rFonts w:asciiTheme="majorHAnsi" w:hAnsiTheme="majorHAnsi" w:cstheme="majorHAnsi"/>
          <w:noProof/>
          <w:lang w:val="en-US" w:eastAsia="sq-AL"/>
        </w:rPr>
        <w:drawing>
          <wp:inline distT="0" distB="0" distL="0" distR="0" wp14:anchorId="3C6494A8" wp14:editId="55A75D73">
            <wp:extent cx="5990400" cy="1814195"/>
            <wp:effectExtent l="0" t="0" r="10795" b="14605"/>
            <wp:docPr id="133" name="Chart 133">
              <a:extLst xmlns:a="http://schemas.openxmlformats.org/drawingml/2006/main">
                <a:ext uri="{FF2B5EF4-FFF2-40B4-BE49-F238E27FC236}">
                  <a16:creationId xmlns:a16="http://schemas.microsoft.com/office/drawing/2014/main" id="{FB6FA4ED-3054-4DE1-98A3-09582091EE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3F4044" w14:textId="30EA7108" w:rsidR="00A70FDB" w:rsidRPr="00881C88" w:rsidRDefault="006A4954" w:rsidP="004D17CD">
      <w:pPr>
        <w:autoSpaceDE w:val="0"/>
        <w:autoSpaceDN w:val="0"/>
        <w:adjustRightInd w:val="0"/>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 </w:t>
      </w:r>
      <w:r w:rsidR="001827D4" w:rsidRPr="00881C88">
        <w:rPr>
          <w:rFonts w:asciiTheme="majorHAnsi" w:hAnsiTheme="majorHAnsi" w:cstheme="majorHAnsi"/>
          <w:i/>
          <w:sz w:val="14"/>
          <w:szCs w:val="14"/>
          <w:lang w:val="en-US"/>
        </w:rPr>
        <w:t>2</w:t>
      </w:r>
      <w:r w:rsidR="005671EB" w:rsidRPr="00881C88">
        <w:rPr>
          <w:rFonts w:asciiTheme="majorHAnsi" w:hAnsiTheme="majorHAnsi" w:cstheme="majorHAnsi"/>
          <w:i/>
          <w:sz w:val="14"/>
          <w:szCs w:val="14"/>
          <w:lang w:val="en-US"/>
        </w:rPr>
        <w:t>8</w:t>
      </w:r>
      <w:r w:rsidRPr="00881C88">
        <w:rPr>
          <w:rFonts w:asciiTheme="majorHAnsi" w:hAnsiTheme="majorHAnsi" w:cstheme="majorHAnsi"/>
          <w:i/>
          <w:sz w:val="14"/>
          <w:szCs w:val="14"/>
          <w:lang w:val="en-US"/>
        </w:rPr>
        <w:t xml:space="preserve"> </w:t>
      </w:r>
      <w:r w:rsidR="004654C2" w:rsidRPr="00881C88">
        <w:rPr>
          <w:rFonts w:asciiTheme="majorHAnsi" w:hAnsiTheme="majorHAnsi" w:cstheme="majorHAnsi"/>
          <w:i/>
          <w:sz w:val="14"/>
          <w:szCs w:val="14"/>
          <w:lang w:val="en-US"/>
        </w:rPr>
        <w:t>Publication of the list of capital investments</w:t>
      </w:r>
    </w:p>
    <w:p w14:paraId="53A5D9E3" w14:textId="1152346C" w:rsidR="00A70FDB" w:rsidRPr="00881C88" w:rsidRDefault="00A70FDB" w:rsidP="004D17CD">
      <w:pPr>
        <w:autoSpaceDE w:val="0"/>
        <w:autoSpaceDN w:val="0"/>
        <w:adjustRightInd w:val="0"/>
        <w:spacing w:after="240" w:line="276" w:lineRule="auto"/>
        <w:rPr>
          <w:rFonts w:asciiTheme="majorHAnsi" w:hAnsiTheme="majorHAnsi" w:cstheme="majorHAnsi"/>
          <w:i/>
          <w:color w:val="1F3864" w:themeColor="accent5" w:themeShade="80"/>
          <w:lang w:val="en-US"/>
        </w:rPr>
      </w:pPr>
    </w:p>
    <w:p w14:paraId="19B1BFD2" w14:textId="14651FED" w:rsidR="00A70FDB" w:rsidRPr="00881C88" w:rsidRDefault="004654C2" w:rsidP="004D17CD">
      <w:pPr>
        <w:pStyle w:val="Style2"/>
        <w:spacing w:line="276" w:lineRule="auto"/>
        <w:rPr>
          <w:rFonts w:asciiTheme="majorHAnsi" w:hAnsiTheme="majorHAnsi" w:cstheme="majorHAnsi"/>
          <w:color w:val="1F3864" w:themeColor="accent5" w:themeShade="80"/>
          <w:sz w:val="22"/>
          <w:szCs w:val="22"/>
          <w:lang w:val="en-US"/>
        </w:rPr>
      </w:pPr>
      <w:bookmarkStart w:id="73" w:name="_Toc230182098"/>
      <w:r w:rsidRPr="00881C88">
        <w:rPr>
          <w:rFonts w:asciiTheme="majorHAnsi" w:hAnsiTheme="majorHAnsi" w:cstheme="majorHAnsi"/>
          <w:color w:val="1F3864" w:themeColor="accent5" w:themeShade="80"/>
          <w:sz w:val="22"/>
          <w:szCs w:val="22"/>
          <w:lang w:val="en-US"/>
        </w:rPr>
        <w:t>PARTICIPATORY BUDGETING</w:t>
      </w:r>
      <w:bookmarkEnd w:id="73"/>
    </w:p>
    <w:p w14:paraId="7FFFF082" w14:textId="08E03533"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Article 31 of Administrative Instruction No. 04/2023 on Open Administration in Municipalities, in order to increase citizen involvement in decision-making processes, especially in the budgeting process, municipalities may apply the participatory budgeting methodology.</w:t>
      </w:r>
    </w:p>
    <w:p w14:paraId="5E53BFCF" w14:textId="7A7BB6E0"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In this regard, the </w:t>
      </w:r>
      <w:proofErr w:type="gramStart"/>
      <w:r w:rsidRPr="00881C88">
        <w:rPr>
          <w:rFonts w:asciiTheme="majorHAnsi" w:eastAsia="Times New Roman" w:hAnsiTheme="majorHAnsi" w:cstheme="majorHAnsi"/>
          <w:lang w:val="en-US" w:eastAsia="en-GB"/>
        </w:rPr>
        <w:t>Mayor</w:t>
      </w:r>
      <w:proofErr w:type="gramEnd"/>
      <w:r w:rsidRPr="00881C88">
        <w:rPr>
          <w:rFonts w:asciiTheme="majorHAnsi" w:eastAsia="Times New Roman" w:hAnsiTheme="majorHAnsi" w:cstheme="majorHAnsi"/>
          <w:lang w:val="en-US" w:eastAsia="en-GB"/>
        </w:rPr>
        <w:t xml:space="preserve"> has a key role in initiating and managing the participatory budgeting process, in cooperation with the Municipal Assembly and with a wide range of stakeholders, including citizens, local activists, civil society representatives, informal citizen groups, business organizations, marginalized groups, local councils and other stakeholders.</w:t>
      </w:r>
    </w:p>
    <w:p w14:paraId="567CD441" w14:textId="7FA6E8CC"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order to support municipalities in implementing this good practice for increasing citizen participation in decision-making, the Ministry of Local Government Administration has drafted and distributed to municipalities the Explanatory Manual on the criteria and procedures for implementing participatory budgeting.</w:t>
      </w:r>
    </w:p>
    <w:p w14:paraId="653CED56" w14:textId="2F843B57" w:rsidR="004654C2" w:rsidRPr="00881C88" w:rsidRDefault="004654C2" w:rsidP="004D17CD">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Given that participatory budgeting has only been implemented in the last two years, gradual progress in this direction is observed at the municipal level. A significant number of municipalities have created dedicated spaces on their official websites through specific links for participatory budgeting, enabling citizens to be involved in the selection of projects of public interest. This practice contributes to increasing transparency, accountability and citizen participation in local decision-making processes.</w:t>
      </w:r>
    </w:p>
    <w:p w14:paraId="61004A97" w14:textId="154D11E9" w:rsidR="004654C2" w:rsidRPr="00881C88" w:rsidRDefault="004654C2" w:rsidP="004D17CD">
      <w:pPr>
        <w:autoSpaceDE w:val="0"/>
        <w:autoSpaceDN w:val="0"/>
        <w:adjustRightInd w:val="0"/>
        <w:spacing w:after="240"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the table below is presented the number of municipalities</w:t>
      </w:r>
      <w:r w:rsidR="00102D52" w:rsidRPr="00881C88">
        <w:rPr>
          <w:rFonts w:asciiTheme="majorHAnsi" w:eastAsia="Times New Roman" w:hAnsiTheme="majorHAnsi" w:cstheme="majorHAnsi"/>
          <w:lang w:val="en-US" w:eastAsia="en-GB"/>
        </w:rPr>
        <w:t xml:space="preserve"> that</w:t>
      </w:r>
      <w:r w:rsidRPr="00881C88">
        <w:rPr>
          <w:rFonts w:asciiTheme="majorHAnsi" w:eastAsia="Times New Roman" w:hAnsiTheme="majorHAnsi" w:cstheme="majorHAnsi"/>
          <w:lang w:val="en-US" w:eastAsia="en-GB"/>
        </w:rPr>
        <w:t xml:space="preserve"> dedicated to participatory budgeting on their official websites, through specific links.</w:t>
      </w:r>
    </w:p>
    <w:p w14:paraId="4C57928B" w14:textId="0DE7242F" w:rsidR="00A70FDB" w:rsidRPr="00881C88" w:rsidRDefault="00A70FDB" w:rsidP="005671EB">
      <w:pPr>
        <w:pStyle w:val="Style2"/>
        <w:rPr>
          <w:rFonts w:asciiTheme="majorHAnsi" w:hAnsiTheme="majorHAnsi" w:cstheme="majorHAnsi"/>
          <w:lang w:val="en-US"/>
        </w:rPr>
      </w:pPr>
      <w:bookmarkStart w:id="74" w:name="_Toc230181860"/>
      <w:bookmarkStart w:id="75" w:name="_Toc230182099"/>
      <w:r w:rsidRPr="00881C88">
        <w:rPr>
          <w:rFonts w:asciiTheme="majorHAnsi" w:hAnsiTheme="majorHAnsi" w:cstheme="majorHAnsi"/>
          <w:noProof/>
          <w:lang w:val="en-US" w:eastAsia="sq-AL"/>
        </w:rPr>
        <w:drawing>
          <wp:inline distT="0" distB="0" distL="0" distR="0" wp14:anchorId="24238DE0" wp14:editId="4DE9C3D1">
            <wp:extent cx="5975985" cy="1772816"/>
            <wp:effectExtent l="0" t="0" r="5715" b="18415"/>
            <wp:docPr id="128" name="Chart 128">
              <a:extLst xmlns:a="http://schemas.openxmlformats.org/drawingml/2006/main">
                <a:ext uri="{FF2B5EF4-FFF2-40B4-BE49-F238E27FC236}">
                  <a16:creationId xmlns:a16="http://schemas.microsoft.com/office/drawing/2014/main" id="{3583960F-B539-4800-BAC8-682D01D643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74"/>
      <w:bookmarkEnd w:id="75"/>
    </w:p>
    <w:p w14:paraId="44D7FAFB" w14:textId="63D1F93B" w:rsidR="007A53C4" w:rsidRPr="00642B8B" w:rsidRDefault="007A53C4" w:rsidP="00642B8B">
      <w:pPr>
        <w:autoSpaceDE w:val="0"/>
        <w:autoSpaceDN w:val="0"/>
        <w:adjustRightInd w:val="0"/>
        <w:spacing w:after="240" w:line="276" w:lineRule="auto"/>
        <w:jc w:val="center"/>
        <w:rPr>
          <w:rFonts w:asciiTheme="majorHAnsi" w:hAnsiTheme="majorHAnsi" w:cstheme="majorHAnsi"/>
          <w:i/>
          <w:sz w:val="14"/>
          <w:szCs w:val="14"/>
          <w:lang w:val="en-US"/>
        </w:rPr>
      </w:pPr>
      <w:r w:rsidRPr="00642B8B">
        <w:rPr>
          <w:rFonts w:asciiTheme="majorHAnsi" w:hAnsiTheme="majorHAnsi" w:cstheme="majorHAnsi"/>
          <w:i/>
          <w:sz w:val="14"/>
          <w:szCs w:val="14"/>
          <w:lang w:val="en-US"/>
        </w:rPr>
        <w:t xml:space="preserve">Fig 29  </w:t>
      </w:r>
      <w:r w:rsidR="00102D52" w:rsidRPr="00642B8B">
        <w:rPr>
          <w:rFonts w:asciiTheme="majorHAnsi" w:hAnsiTheme="majorHAnsi" w:cstheme="majorHAnsi"/>
          <w:i/>
          <w:sz w:val="14"/>
          <w:szCs w:val="14"/>
          <w:lang w:val="en-US"/>
        </w:rPr>
        <w:t>Specific links for participatory budgeting</w:t>
      </w:r>
    </w:p>
    <w:p w14:paraId="4595F183" w14:textId="3D7A6099" w:rsidR="00102D52" w:rsidRPr="00881C88" w:rsidRDefault="00102D52" w:rsidP="00A01FBB">
      <w:pPr>
        <w:spacing w:line="276" w:lineRule="auto"/>
        <w:jc w:val="left"/>
        <w:rPr>
          <w:rFonts w:asciiTheme="majorHAnsi" w:hAnsiTheme="majorHAnsi" w:cstheme="majorHAnsi"/>
          <w:lang w:val="en-US"/>
        </w:rPr>
      </w:pPr>
      <w:r w:rsidRPr="00881C88">
        <w:rPr>
          <w:rFonts w:asciiTheme="majorHAnsi" w:hAnsiTheme="majorHAnsi" w:cstheme="majorHAnsi"/>
          <w:lang w:val="en-US"/>
        </w:rPr>
        <w:t>After summarizing data from the budget transparency segment, provided by the official websites of municipalities, a figure reflecting the performance of municipalities in budget transparency indicators during 2025 is presented in the table below.</w:t>
      </w:r>
    </w:p>
    <w:p w14:paraId="48524C8B" w14:textId="1A28FDEC" w:rsidR="00A01FBB" w:rsidRPr="00881C88" w:rsidRDefault="00A01FBB" w:rsidP="005671EB">
      <w:pPr>
        <w:pStyle w:val="Style2"/>
        <w:rPr>
          <w:rFonts w:asciiTheme="majorHAnsi" w:hAnsiTheme="majorHAnsi" w:cstheme="majorHAnsi"/>
          <w:lang w:val="en-US"/>
        </w:rPr>
      </w:pPr>
      <w:bookmarkStart w:id="76" w:name="_Toc230181861"/>
      <w:bookmarkStart w:id="77" w:name="_Toc230182100"/>
      <w:r w:rsidRPr="00881C88">
        <w:rPr>
          <w:rFonts w:asciiTheme="majorHAnsi" w:hAnsiTheme="majorHAnsi" w:cstheme="majorHAnsi"/>
          <w:noProof/>
          <w:lang w:val="en-US" w:eastAsia="sq-AL"/>
        </w:rPr>
        <w:drawing>
          <wp:inline distT="0" distB="0" distL="0" distR="0" wp14:anchorId="31A2012E" wp14:editId="3F6A2B8B">
            <wp:extent cx="5731510" cy="2114115"/>
            <wp:effectExtent l="0" t="0" r="2540" b="635"/>
            <wp:docPr id="139" name="Chart 139">
              <a:extLst xmlns:a="http://schemas.openxmlformats.org/drawingml/2006/main">
                <a:ext uri="{FF2B5EF4-FFF2-40B4-BE49-F238E27FC236}">
                  <a16:creationId xmlns:a16="http://schemas.microsoft.com/office/drawing/2014/main" id="{18FF6978-B2F5-41C3-88B4-2A6301CFE7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76"/>
      <w:bookmarkEnd w:id="77"/>
    </w:p>
    <w:p w14:paraId="4F397ADB" w14:textId="50377F33" w:rsidR="00A01FBB" w:rsidRPr="00642B8B" w:rsidRDefault="00A01FBB" w:rsidP="00642B8B">
      <w:pPr>
        <w:autoSpaceDE w:val="0"/>
        <w:autoSpaceDN w:val="0"/>
        <w:adjustRightInd w:val="0"/>
        <w:spacing w:after="240" w:line="276" w:lineRule="auto"/>
        <w:jc w:val="center"/>
        <w:rPr>
          <w:rFonts w:asciiTheme="majorHAnsi" w:hAnsiTheme="majorHAnsi" w:cstheme="majorHAnsi"/>
          <w:i/>
          <w:sz w:val="14"/>
          <w:szCs w:val="14"/>
          <w:lang w:val="en-US"/>
        </w:rPr>
      </w:pPr>
      <w:r w:rsidRPr="00642B8B">
        <w:rPr>
          <w:rFonts w:asciiTheme="majorHAnsi" w:hAnsiTheme="majorHAnsi" w:cstheme="majorHAnsi"/>
          <w:i/>
          <w:sz w:val="14"/>
          <w:szCs w:val="14"/>
          <w:lang w:val="en-US"/>
        </w:rPr>
        <w:t xml:space="preserve">Fig. 30 </w:t>
      </w:r>
      <w:r w:rsidR="00102D52" w:rsidRPr="00642B8B">
        <w:rPr>
          <w:rFonts w:asciiTheme="majorHAnsi" w:hAnsiTheme="majorHAnsi" w:cstheme="majorHAnsi"/>
          <w:i/>
          <w:sz w:val="14"/>
          <w:szCs w:val="14"/>
          <w:lang w:val="en-US"/>
        </w:rPr>
        <w:t>Budget transparency</w:t>
      </w:r>
    </w:p>
    <w:p w14:paraId="13387F44" w14:textId="77777777" w:rsidR="00FD544E" w:rsidRPr="00881C88" w:rsidRDefault="00FD544E" w:rsidP="005671EB">
      <w:pPr>
        <w:pStyle w:val="Style2"/>
        <w:rPr>
          <w:rFonts w:asciiTheme="majorHAnsi" w:hAnsiTheme="majorHAnsi" w:cstheme="majorHAnsi"/>
          <w:lang w:val="en-US"/>
        </w:rPr>
      </w:pPr>
      <w:bookmarkStart w:id="78" w:name="_Toc163220247"/>
    </w:p>
    <w:p w14:paraId="39921BBE" w14:textId="6BABA838" w:rsidR="004057E0" w:rsidRPr="00881C88" w:rsidRDefault="00102D52" w:rsidP="00173A2F">
      <w:pPr>
        <w:pStyle w:val="Style2"/>
        <w:spacing w:line="276" w:lineRule="auto"/>
        <w:rPr>
          <w:rFonts w:asciiTheme="majorHAnsi" w:hAnsiTheme="majorHAnsi" w:cstheme="majorHAnsi"/>
          <w:sz w:val="22"/>
          <w:szCs w:val="22"/>
          <w:lang w:val="en-US"/>
        </w:rPr>
      </w:pPr>
      <w:bookmarkStart w:id="79" w:name="_Toc230182101"/>
      <w:bookmarkEnd w:id="70"/>
      <w:bookmarkEnd w:id="71"/>
      <w:bookmarkEnd w:id="72"/>
      <w:bookmarkEnd w:id="78"/>
      <w:r w:rsidRPr="00881C88">
        <w:rPr>
          <w:rFonts w:asciiTheme="majorHAnsi" w:hAnsiTheme="majorHAnsi" w:cstheme="majorHAnsi"/>
          <w:sz w:val="22"/>
          <w:szCs w:val="22"/>
          <w:lang w:val="en-US"/>
        </w:rPr>
        <w:t>TRANSPARENCY IN PUBLIC PROCUREMENT</w:t>
      </w:r>
      <w:bookmarkEnd w:id="79"/>
    </w:p>
    <w:p w14:paraId="353F1354" w14:textId="77777777" w:rsidR="00A90247" w:rsidRPr="00881C88" w:rsidRDefault="00A90247" w:rsidP="00173A2F">
      <w:pPr>
        <w:spacing w:line="276" w:lineRule="auto"/>
        <w:rPr>
          <w:rFonts w:asciiTheme="majorHAnsi" w:hAnsiTheme="majorHAnsi" w:cstheme="majorHAnsi"/>
          <w:color w:val="000000" w:themeColor="text1"/>
          <w:lang w:val="en-US"/>
        </w:rPr>
      </w:pPr>
    </w:p>
    <w:p w14:paraId="6D74419D" w14:textId="0C1BDD69" w:rsidR="00102D52" w:rsidRPr="00881C88" w:rsidRDefault="00102D52" w:rsidP="00173A2F">
      <w:pPr>
        <w:spacing w:line="276" w:lineRule="auto"/>
        <w:rPr>
          <w:rFonts w:asciiTheme="majorHAnsi" w:hAnsiTheme="majorHAnsi" w:cstheme="majorHAnsi"/>
          <w:lang w:val="en-US"/>
        </w:rPr>
      </w:pPr>
      <w:bookmarkStart w:id="80" w:name="_Toc85812825"/>
      <w:r w:rsidRPr="00881C88">
        <w:rPr>
          <w:rFonts w:asciiTheme="majorHAnsi" w:hAnsiTheme="majorHAnsi" w:cstheme="majorHAnsi"/>
          <w:lang w:val="en-US"/>
        </w:rPr>
        <w:t>Public procurement is one of the most sensitive processes for each budgetary organization, which requires full transparency and accountability according to legal rules. Municipal authorities are obliged by law to compile a procurement plan where they must plan projects, services and costs for each project and service in this plan. The municipal procurement plan must be compiled and published in the first three months of the year. Also, municipalities as contracting authorities, based on the Rules and Operational Guidelines for Public Procurement from the PPRC, must provide information regarding contract notices, notices of cancellation of procurement activities as well as contract award notices/notifications of design contest results, regardless of the type or estimated value.</w:t>
      </w:r>
    </w:p>
    <w:p w14:paraId="782FC594" w14:textId="61757649" w:rsidR="007D4ABB" w:rsidRPr="00881C88" w:rsidRDefault="00102D52" w:rsidP="00173A2F">
      <w:pPr>
        <w:pStyle w:val="Style2"/>
        <w:spacing w:line="276" w:lineRule="auto"/>
        <w:rPr>
          <w:rFonts w:asciiTheme="majorHAnsi" w:hAnsiTheme="majorHAnsi" w:cstheme="majorHAnsi"/>
          <w:color w:val="1F3864" w:themeColor="accent5" w:themeShade="80"/>
          <w:sz w:val="22"/>
          <w:szCs w:val="22"/>
          <w:lang w:val="en-US"/>
        </w:rPr>
      </w:pPr>
      <w:bookmarkStart w:id="81" w:name="_Toc230182102"/>
      <w:r w:rsidRPr="00881C88">
        <w:rPr>
          <w:rFonts w:asciiTheme="majorHAnsi" w:hAnsiTheme="majorHAnsi" w:cstheme="majorHAnsi"/>
          <w:color w:val="1F3864" w:themeColor="accent5" w:themeShade="80"/>
          <w:sz w:val="22"/>
          <w:szCs w:val="22"/>
          <w:lang w:val="en-US"/>
        </w:rPr>
        <w:t>PUBLICATION OF THE PROCUREMENT PLAN</w:t>
      </w:r>
      <w:bookmarkEnd w:id="81"/>
    </w:p>
    <w:p w14:paraId="3968287B" w14:textId="77777777" w:rsidR="00173A2F" w:rsidRPr="00881C88" w:rsidRDefault="00173A2F" w:rsidP="00173A2F">
      <w:pPr>
        <w:spacing w:line="276" w:lineRule="auto"/>
        <w:rPr>
          <w:rFonts w:asciiTheme="majorHAnsi" w:hAnsiTheme="majorHAnsi" w:cstheme="majorHAnsi"/>
          <w:lang w:val="en-US"/>
        </w:rPr>
      </w:pPr>
    </w:p>
    <w:p w14:paraId="6450D3E7" w14:textId="655D9466" w:rsidR="00102D52" w:rsidRPr="00881C88" w:rsidRDefault="00102D52" w:rsidP="00173A2F">
      <w:pPr>
        <w:spacing w:line="276" w:lineRule="auto"/>
        <w:rPr>
          <w:rFonts w:asciiTheme="majorHAnsi" w:hAnsiTheme="majorHAnsi" w:cstheme="majorHAnsi"/>
          <w:lang w:val="en-US"/>
        </w:rPr>
      </w:pPr>
      <w:bookmarkStart w:id="82" w:name="_Toc130455706"/>
      <w:r w:rsidRPr="00881C88">
        <w:rPr>
          <w:rFonts w:asciiTheme="majorHAnsi" w:hAnsiTheme="majorHAnsi" w:cstheme="majorHAnsi"/>
          <w:lang w:val="en-US"/>
        </w:rPr>
        <w:t>Law No. 04/L-042 on Public Procurement has stipulated that not less than sixty (60) days before the beginning of each fiscal year, each contracting authority shall prepare, in writing, a preliminary procurement plan, which identifies reasonable details of all supplies, services and works that the contracting authority intends to procure during the fiscal year in question. Procurement plans are important because they identify all expected requirements that will be procured during a period, provide a timeframe for the realization of these requirements, and provide an estimate of the procurement value.</w:t>
      </w:r>
    </w:p>
    <w:p w14:paraId="2315E704" w14:textId="3165C132" w:rsidR="00916E79" w:rsidRPr="00881C88" w:rsidRDefault="00916E79" w:rsidP="00454D44">
      <w:pPr>
        <w:spacing w:line="276" w:lineRule="auto"/>
        <w:rPr>
          <w:rFonts w:asciiTheme="majorHAnsi" w:hAnsiTheme="majorHAnsi" w:cstheme="majorHAnsi"/>
          <w:lang w:val="en-US"/>
        </w:rPr>
      </w:pPr>
      <w:r w:rsidRPr="00881C88">
        <w:rPr>
          <w:rFonts w:asciiTheme="majorHAnsi" w:hAnsiTheme="majorHAnsi" w:cstheme="majorHAnsi"/>
          <w:lang w:val="en-US"/>
        </w:rPr>
        <w:t xml:space="preserve">According to data from the Municipal Transparency Assessment Report for the reporting period of 2025, 27 municipalities (71%) have published their public procurement plan, while 11 municipalities (29%) have not published it. </w:t>
      </w:r>
    </w:p>
    <w:p w14:paraId="0B07D17D" w14:textId="5AAF490D" w:rsidR="00916E79" w:rsidRPr="00881C88" w:rsidRDefault="00916E79" w:rsidP="00454D44">
      <w:pPr>
        <w:spacing w:line="276" w:lineRule="auto"/>
        <w:rPr>
          <w:rFonts w:asciiTheme="majorHAnsi" w:hAnsiTheme="majorHAnsi" w:cstheme="majorHAnsi"/>
          <w:lang w:val="en-US"/>
        </w:rPr>
      </w:pPr>
      <w:r w:rsidRPr="00881C88">
        <w:rPr>
          <w:rFonts w:asciiTheme="majorHAnsi" w:hAnsiTheme="majorHAnsi" w:cstheme="majorHAnsi"/>
          <w:lang w:val="en-US"/>
        </w:rPr>
        <w:t>Compared to 2024, when 29 municipalities had published their public procurement plans, while 9 municipalities had not, in 2025 there was a decrease of 2 municipalities in the number of municipalities that had published this document (from 29 to 27). This represents a slight decrease in the level of transparency in this area.</w:t>
      </w:r>
    </w:p>
    <w:p w14:paraId="7630E398" w14:textId="634F340F" w:rsidR="00916E79" w:rsidRPr="00881C88" w:rsidRDefault="00916E79" w:rsidP="00173A2F">
      <w:pPr>
        <w:autoSpaceDE w:val="0"/>
        <w:autoSpaceDN w:val="0"/>
        <w:adjustRightInd w:val="0"/>
        <w:spacing w:after="240" w:line="276" w:lineRule="auto"/>
        <w:rPr>
          <w:rFonts w:asciiTheme="majorHAnsi" w:hAnsiTheme="majorHAnsi" w:cstheme="majorHAnsi"/>
          <w:lang w:val="en-US"/>
        </w:rPr>
      </w:pPr>
      <w:r w:rsidRPr="00881C88">
        <w:rPr>
          <w:rFonts w:asciiTheme="majorHAnsi" w:hAnsiTheme="majorHAnsi" w:cstheme="majorHAnsi"/>
          <w:lang w:val="en-US"/>
        </w:rPr>
        <w:t>The number of municipalities that have published the Procurement Plan is presented in the table below.</w:t>
      </w:r>
    </w:p>
    <w:p w14:paraId="34855351" w14:textId="47F45A47" w:rsidR="003A6511" w:rsidRPr="00881C88" w:rsidRDefault="003A6511" w:rsidP="00A70BC5">
      <w:pPr>
        <w:autoSpaceDE w:val="0"/>
        <w:autoSpaceDN w:val="0"/>
        <w:adjustRightInd w:val="0"/>
        <w:spacing w:after="240" w:line="276" w:lineRule="auto"/>
        <w:rPr>
          <w:rFonts w:asciiTheme="majorHAnsi" w:hAnsiTheme="majorHAnsi" w:cstheme="majorHAnsi"/>
          <w:noProof/>
          <w:lang w:val="en-US"/>
        </w:rPr>
      </w:pPr>
      <w:r w:rsidRPr="00881C88">
        <w:rPr>
          <w:rFonts w:asciiTheme="majorHAnsi" w:hAnsiTheme="majorHAnsi" w:cstheme="majorHAnsi"/>
          <w:noProof/>
          <w:lang w:val="en-US" w:eastAsia="sq-AL"/>
        </w:rPr>
        <mc:AlternateContent>
          <mc:Choice Requires="cx1">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a16="http://schemas.microsoft.com/office/drawing/2014/main" id="{0C3E606A-41E9-4726-BA4C-60EF413BAC9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40FA62BB" wp14:editId="06F8CD22">
                <wp:extent cx="5731510" cy="1872000"/>
                <wp:effectExtent l="0" t="0" r="2540" b="13970"/>
                <wp:docPr id="136" name="Chart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E606A-41E9-4726-BA4C-60EF413BAC9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6" name="Chart 13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3E606A-41E9-4726-BA4C-60EF413BAC9E}"/>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5731510" cy="1871980"/>
                        </a:xfrm>
                        <a:prstGeom prst="rect">
                          <a:avLst/>
                        </a:prstGeom>
                      </pic:spPr>
                    </pic:pic>
                  </a:graphicData>
                </a:graphic>
              </wp:inline>
            </w:drawing>
          </mc:Fallback>
        </mc:AlternateContent>
      </w:r>
    </w:p>
    <w:p w14:paraId="4A61C532" w14:textId="599A0B83" w:rsidR="00FA731B" w:rsidRPr="00881C88" w:rsidRDefault="001827D4" w:rsidP="005671EB">
      <w:pPr>
        <w:autoSpaceDE w:val="0"/>
        <w:autoSpaceDN w:val="0"/>
        <w:adjustRightInd w:val="0"/>
        <w:spacing w:after="240" w:line="276" w:lineRule="auto"/>
        <w:jc w:val="center"/>
        <w:rPr>
          <w:rFonts w:asciiTheme="majorHAnsi" w:hAnsiTheme="majorHAnsi" w:cstheme="majorHAnsi"/>
          <w:szCs w:val="20"/>
          <w:lang w:val="en-US"/>
        </w:rPr>
      </w:pPr>
      <w:r w:rsidRPr="00881C88">
        <w:rPr>
          <w:rFonts w:asciiTheme="majorHAnsi" w:hAnsiTheme="majorHAnsi" w:cstheme="majorHAnsi"/>
          <w:i/>
          <w:sz w:val="14"/>
          <w:szCs w:val="14"/>
          <w:lang w:val="en-US"/>
        </w:rPr>
        <w:t>Fig.</w:t>
      </w:r>
      <w:r w:rsidR="006C1F9D" w:rsidRPr="00881C88">
        <w:rPr>
          <w:rFonts w:asciiTheme="majorHAnsi" w:hAnsiTheme="majorHAnsi" w:cstheme="majorHAnsi"/>
          <w:i/>
          <w:sz w:val="14"/>
          <w:szCs w:val="14"/>
          <w:lang w:val="en-US"/>
        </w:rPr>
        <w:t>31</w:t>
      </w:r>
      <w:r w:rsidR="00FA731B" w:rsidRPr="00881C88">
        <w:rPr>
          <w:rFonts w:asciiTheme="majorHAnsi" w:hAnsiTheme="majorHAnsi" w:cstheme="majorHAnsi"/>
          <w:i/>
          <w:sz w:val="14"/>
          <w:szCs w:val="14"/>
          <w:lang w:val="en-US"/>
        </w:rPr>
        <w:t xml:space="preserve">   </w:t>
      </w:r>
      <w:r w:rsidR="00916E79" w:rsidRPr="00881C88">
        <w:rPr>
          <w:rFonts w:asciiTheme="majorHAnsi" w:hAnsiTheme="majorHAnsi" w:cstheme="majorHAnsi"/>
          <w:i/>
          <w:sz w:val="14"/>
          <w:szCs w:val="14"/>
          <w:lang w:val="en-US"/>
        </w:rPr>
        <w:t>Publication of the Procurement Plan</w:t>
      </w:r>
    </w:p>
    <w:bookmarkEnd w:id="82"/>
    <w:p w14:paraId="21A4499A" w14:textId="77777777" w:rsidR="008E4619" w:rsidRPr="00881C88" w:rsidRDefault="008E4619" w:rsidP="00A70BC5">
      <w:pPr>
        <w:autoSpaceDE w:val="0"/>
        <w:autoSpaceDN w:val="0"/>
        <w:adjustRightInd w:val="0"/>
        <w:spacing w:after="240" w:line="276" w:lineRule="auto"/>
        <w:rPr>
          <w:rFonts w:asciiTheme="majorHAnsi" w:hAnsiTheme="majorHAnsi" w:cstheme="majorHAnsi"/>
          <w:lang w:val="en-US"/>
        </w:rPr>
      </w:pPr>
    </w:p>
    <w:p w14:paraId="36A86346" w14:textId="60EEAE97" w:rsidR="00240E19" w:rsidRPr="00881C88" w:rsidRDefault="00916E79" w:rsidP="00173A2F">
      <w:pPr>
        <w:pStyle w:val="Style2"/>
        <w:spacing w:line="276" w:lineRule="auto"/>
        <w:rPr>
          <w:rFonts w:asciiTheme="majorHAnsi" w:hAnsiTheme="majorHAnsi" w:cstheme="majorHAnsi"/>
          <w:lang w:val="en-US"/>
        </w:rPr>
      </w:pPr>
      <w:bookmarkStart w:id="83" w:name="_Toc230182103"/>
      <w:r w:rsidRPr="00881C88">
        <w:rPr>
          <w:rFonts w:asciiTheme="majorHAnsi" w:hAnsiTheme="majorHAnsi" w:cstheme="majorHAnsi"/>
          <w:lang w:val="en-US"/>
        </w:rPr>
        <w:t>PUBLICATION OF THE PROCUREMENT REPORT</w:t>
      </w:r>
      <w:bookmarkEnd w:id="83"/>
    </w:p>
    <w:p w14:paraId="3CFE1D54" w14:textId="77777777" w:rsidR="00832088" w:rsidRPr="00881C88" w:rsidRDefault="00832088" w:rsidP="00173A2F">
      <w:pPr>
        <w:pStyle w:val="Style2"/>
        <w:spacing w:line="276" w:lineRule="auto"/>
        <w:rPr>
          <w:rFonts w:asciiTheme="majorHAnsi" w:hAnsiTheme="majorHAnsi" w:cstheme="majorHAnsi"/>
          <w:lang w:val="en-US"/>
        </w:rPr>
      </w:pPr>
    </w:p>
    <w:p w14:paraId="6A109DE0" w14:textId="421CA25A" w:rsidR="00916E79" w:rsidRPr="00881C88" w:rsidRDefault="00916E79" w:rsidP="00173A2F">
      <w:pPr>
        <w:spacing w:line="276" w:lineRule="auto"/>
        <w:rPr>
          <w:rFonts w:asciiTheme="majorHAnsi" w:hAnsiTheme="majorHAnsi" w:cstheme="majorHAnsi"/>
          <w:lang w:val="en-US"/>
        </w:rPr>
      </w:pPr>
      <w:r w:rsidRPr="00881C88">
        <w:rPr>
          <w:rFonts w:asciiTheme="majorHAnsi" w:hAnsiTheme="majorHAnsi" w:cstheme="majorHAnsi"/>
          <w:lang w:val="en-US"/>
        </w:rPr>
        <w:t>For each contract or framework agreement covered by the law in force, and whenever a dynamic purchasing system is set up, the contracting authority or entity shall prepare a written report, setting out the name and address of the contracting authority or entity, the subject matter and the estimated value of the contract, framework agreement or dynamic purchasing system, as the case may be. Procurement reports shall reflect the expenditure of public money through public procurement.</w:t>
      </w:r>
    </w:p>
    <w:p w14:paraId="7CC0D247" w14:textId="6DFA88F4" w:rsidR="00916E79" w:rsidRPr="00881C88" w:rsidRDefault="00916E79" w:rsidP="00454D44">
      <w:pPr>
        <w:spacing w:before="100" w:beforeAutospacing="1" w:after="100" w:afterAutospacing="1" w:line="240" w:lineRule="auto"/>
        <w:jc w:val="left"/>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According to data from the Municipal Transparency Assessment Report for the 2025 reporting period, 19 municipalities (50%) have published the annual public procurement report, while another 19 municipalities (50%) have not published it.</w:t>
      </w:r>
    </w:p>
    <w:p w14:paraId="624C6E82" w14:textId="4D1F6C2B" w:rsidR="00C174D8" w:rsidRPr="00881C88" w:rsidRDefault="00C174D8" w:rsidP="00454D44">
      <w:pPr>
        <w:pStyle w:val="NormalWeb"/>
        <w:rPr>
          <w:rFonts w:eastAsia="Times New Roman"/>
          <w:sz w:val="22"/>
          <w:szCs w:val="22"/>
          <w:lang w:val="en-US" w:eastAsia="en-GB"/>
        </w:rPr>
      </w:pPr>
      <w:r w:rsidRPr="00881C88">
        <w:rPr>
          <w:rFonts w:eastAsia="Times New Roman"/>
          <w:sz w:val="22"/>
          <w:szCs w:val="22"/>
          <w:lang w:val="en-US" w:eastAsia="en-GB"/>
        </w:rPr>
        <w:t>Compared to the Transparency Report data for 2024, in 2025 there is a decrease of 4 municipalities in the number of municipalities that have published the report. This indicates a slight decrease in the level of transparency in this area.</w:t>
      </w:r>
    </w:p>
    <w:p w14:paraId="5E1AA7B4" w14:textId="7C5828F1" w:rsidR="00DF3842" w:rsidRPr="00881C88" w:rsidRDefault="00C174D8" w:rsidP="00173A2F">
      <w:pPr>
        <w:autoSpaceDE w:val="0"/>
        <w:autoSpaceDN w:val="0"/>
        <w:adjustRightInd w:val="0"/>
        <w:spacing w:after="240" w:line="276" w:lineRule="auto"/>
        <w:rPr>
          <w:rFonts w:asciiTheme="majorHAnsi" w:hAnsiTheme="majorHAnsi" w:cstheme="majorHAnsi"/>
          <w:sz w:val="24"/>
          <w:szCs w:val="24"/>
          <w:lang w:val="en-US"/>
        </w:rPr>
      </w:pPr>
      <w:r w:rsidRPr="00881C88">
        <w:rPr>
          <w:rFonts w:asciiTheme="majorHAnsi" w:hAnsiTheme="majorHAnsi" w:cstheme="majorHAnsi"/>
          <w:lang w:val="en-US"/>
        </w:rPr>
        <w:t>The following table shows the number of municipalities that have published the Procurement Report</w:t>
      </w:r>
      <w:r w:rsidR="007D4ABB" w:rsidRPr="00881C88">
        <w:rPr>
          <w:rFonts w:asciiTheme="majorHAnsi" w:hAnsiTheme="majorHAnsi" w:cstheme="majorHAnsi"/>
          <w:sz w:val="24"/>
          <w:szCs w:val="24"/>
          <w:lang w:val="en-US"/>
        </w:rPr>
        <w:t xml:space="preserve">. </w:t>
      </w:r>
    </w:p>
    <w:p w14:paraId="3FA07E28" w14:textId="1464884B" w:rsidR="00DB7181" w:rsidRPr="00881C88" w:rsidRDefault="00F249E4" w:rsidP="00454D44">
      <w:pPr>
        <w:autoSpaceDE w:val="0"/>
        <w:autoSpaceDN w:val="0"/>
        <w:adjustRightInd w:val="0"/>
        <w:spacing w:after="240" w:line="276" w:lineRule="auto"/>
        <w:jc w:val="center"/>
        <w:rPr>
          <w:rFonts w:asciiTheme="majorHAnsi" w:hAnsiTheme="majorHAnsi" w:cstheme="majorHAnsi"/>
          <w:lang w:val="en-US"/>
        </w:rPr>
      </w:pPr>
      <w:r w:rsidRPr="00881C88">
        <w:rPr>
          <w:rFonts w:asciiTheme="majorHAnsi" w:hAnsiTheme="majorHAnsi" w:cstheme="majorHAnsi"/>
          <w:noProof/>
          <w:lang w:val="en-US" w:eastAsia="sq-AL"/>
        </w:rPr>
        <w:drawing>
          <wp:inline distT="0" distB="0" distL="0" distR="0" wp14:anchorId="252B14F0" wp14:editId="201462C8">
            <wp:extent cx="5918200" cy="1726164"/>
            <wp:effectExtent l="0" t="0" r="6350" b="7620"/>
            <wp:docPr id="137" name="Chart 137">
              <a:extLst xmlns:a="http://schemas.openxmlformats.org/drawingml/2006/main">
                <a:ext uri="{FF2B5EF4-FFF2-40B4-BE49-F238E27FC236}">
                  <a16:creationId xmlns:a16="http://schemas.microsoft.com/office/drawing/2014/main" id="{7B0E41D4-4181-45F1-87A6-4599BFA9CF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14A63E" w14:textId="2A6B0D9B" w:rsidR="00DF3842" w:rsidRPr="00881C88" w:rsidRDefault="001827D4" w:rsidP="00454D44">
      <w:pPr>
        <w:spacing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 </w:t>
      </w:r>
      <w:r w:rsidR="005671EB" w:rsidRPr="00881C88">
        <w:rPr>
          <w:rFonts w:asciiTheme="majorHAnsi" w:hAnsiTheme="majorHAnsi" w:cstheme="majorHAnsi"/>
          <w:i/>
          <w:sz w:val="14"/>
          <w:szCs w:val="14"/>
          <w:lang w:val="en-US"/>
        </w:rPr>
        <w:t>3</w:t>
      </w:r>
      <w:r w:rsidR="006C1F9D" w:rsidRPr="00881C88">
        <w:rPr>
          <w:rFonts w:asciiTheme="majorHAnsi" w:hAnsiTheme="majorHAnsi" w:cstheme="majorHAnsi"/>
          <w:i/>
          <w:sz w:val="14"/>
          <w:szCs w:val="14"/>
          <w:lang w:val="en-US"/>
        </w:rPr>
        <w:t>2</w:t>
      </w:r>
      <w:r w:rsidR="00DF3842" w:rsidRPr="00881C88">
        <w:rPr>
          <w:rFonts w:asciiTheme="majorHAnsi" w:hAnsiTheme="majorHAnsi" w:cstheme="majorHAnsi"/>
          <w:i/>
          <w:sz w:val="14"/>
          <w:szCs w:val="14"/>
          <w:lang w:val="en-US"/>
        </w:rPr>
        <w:t xml:space="preserve">. </w:t>
      </w:r>
      <w:r w:rsidR="00C174D8" w:rsidRPr="00881C88">
        <w:rPr>
          <w:rFonts w:asciiTheme="majorHAnsi" w:hAnsiTheme="majorHAnsi" w:cstheme="majorHAnsi"/>
          <w:i/>
          <w:sz w:val="14"/>
          <w:szCs w:val="14"/>
          <w:lang w:val="en-US"/>
        </w:rPr>
        <w:t>Publication of the procurement report</w:t>
      </w:r>
    </w:p>
    <w:p w14:paraId="323A469B" w14:textId="77777777" w:rsidR="004D56AA" w:rsidRPr="00881C88" w:rsidRDefault="004D56AA" w:rsidP="00173A2F">
      <w:pPr>
        <w:pStyle w:val="Style1"/>
        <w:spacing w:line="276" w:lineRule="auto"/>
        <w:rPr>
          <w:rFonts w:cstheme="majorHAnsi"/>
          <w:lang w:val="en-US"/>
        </w:rPr>
      </w:pPr>
    </w:p>
    <w:p w14:paraId="00B376FD" w14:textId="6811103D" w:rsidR="007D4ABB" w:rsidRPr="00881C88" w:rsidRDefault="00C174D8" w:rsidP="00C174D8">
      <w:pPr>
        <w:pStyle w:val="Style2"/>
        <w:spacing w:line="276" w:lineRule="auto"/>
        <w:jc w:val="left"/>
        <w:rPr>
          <w:rFonts w:asciiTheme="majorHAnsi" w:hAnsiTheme="majorHAnsi" w:cstheme="majorHAnsi"/>
          <w:lang w:val="en-US"/>
        </w:rPr>
      </w:pPr>
      <w:bookmarkStart w:id="84" w:name="_Toc230182104"/>
      <w:r w:rsidRPr="00881C88">
        <w:rPr>
          <w:rFonts w:asciiTheme="majorHAnsi" w:hAnsiTheme="majorHAnsi" w:cstheme="majorHAnsi"/>
          <w:lang w:val="en-US"/>
        </w:rPr>
        <w:t>IMPLEMENTATION OF MINIMUM STANDARDS OF PUBLIC CONSULTATIONS</w:t>
      </w:r>
      <w:bookmarkEnd w:id="84"/>
    </w:p>
    <w:p w14:paraId="7FE870BE" w14:textId="77777777" w:rsidR="007D4ABB" w:rsidRPr="00881C88" w:rsidRDefault="007D4ABB" w:rsidP="00173A2F">
      <w:pPr>
        <w:spacing w:line="276" w:lineRule="auto"/>
        <w:rPr>
          <w:rFonts w:asciiTheme="majorHAnsi" w:hAnsiTheme="majorHAnsi" w:cstheme="majorHAnsi"/>
          <w:sz w:val="24"/>
          <w:szCs w:val="24"/>
          <w:lang w:val="en-US"/>
        </w:rPr>
      </w:pPr>
    </w:p>
    <w:p w14:paraId="72208CC5" w14:textId="17A4F530" w:rsidR="00C174D8" w:rsidRPr="00881C88" w:rsidRDefault="00C174D8"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Administrative Instruction No. 04/2023 on Open Administration in Municipalities has set minimum standards for public consultation, thus obliges local authorities to ensure the participation of citizens and other interested parties during the policy-making and decision-making process at the local level, promotes municipal transparency, and influences the development of sustainable policies for the general interest.</w:t>
      </w:r>
    </w:p>
    <w:p w14:paraId="55AC063E" w14:textId="0A3D8136" w:rsidR="007D4ABB" w:rsidRPr="00881C88" w:rsidRDefault="00C174D8"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This administrative instruction sets out the rules, principles, forms, procedures and minimum standards for public consultation in municipalities when developing municipal policies and by-laws. The municipality is obliged to provide public consultation for all local policy documents, as follows:</w:t>
      </w:r>
    </w:p>
    <w:p w14:paraId="7E36A556"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1. Municipal acts subject to public consultation;</w:t>
      </w:r>
    </w:p>
    <w:p w14:paraId="1171C4CA"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2. Draft Municipal Statute;</w:t>
      </w:r>
    </w:p>
    <w:p w14:paraId="54972644"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3. Draft municipal regulations;</w:t>
      </w:r>
    </w:p>
    <w:p w14:paraId="45A3D0F9"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4. Draft municipal budget for the following year, as well as the budget review;</w:t>
      </w:r>
    </w:p>
    <w:p w14:paraId="3894CB3B"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5. Medium-term budget framework for the next 3 years;</w:t>
      </w:r>
    </w:p>
    <w:p w14:paraId="3F456A0E"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6. Development strategies and action plans at the local level within the framework of sectoral areas;</w:t>
      </w:r>
    </w:p>
    <w:p w14:paraId="650269D5" w14:textId="77777777"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7. All draft spatial plans at the local level, in accordance with the legislation on spatial planning;</w:t>
      </w:r>
    </w:p>
    <w:p w14:paraId="05832EE5" w14:textId="76B31A90" w:rsidR="00C174D8" w:rsidRPr="00881C88" w:rsidRDefault="00C174D8" w:rsidP="00C174D8">
      <w:pPr>
        <w:spacing w:after="240" w:line="276" w:lineRule="auto"/>
        <w:rPr>
          <w:rFonts w:asciiTheme="majorHAnsi" w:hAnsiTheme="majorHAnsi" w:cstheme="majorHAnsi"/>
          <w:lang w:val="en-US"/>
        </w:rPr>
      </w:pPr>
      <w:r w:rsidRPr="00881C88">
        <w:rPr>
          <w:rFonts w:asciiTheme="majorHAnsi" w:hAnsiTheme="majorHAnsi" w:cstheme="majorHAnsi"/>
          <w:lang w:val="en-US"/>
        </w:rPr>
        <w:t>8. All other documents for which municipalities assess that they are necessary to undergo public consultation</w:t>
      </w:r>
      <w:r w:rsidR="00113728" w:rsidRPr="00881C88">
        <w:rPr>
          <w:rFonts w:asciiTheme="majorHAnsi" w:hAnsiTheme="majorHAnsi" w:cstheme="majorHAnsi"/>
          <w:lang w:val="en-US"/>
        </w:rPr>
        <w:t>.</w:t>
      </w:r>
    </w:p>
    <w:p w14:paraId="500EFA27" w14:textId="77777777" w:rsidR="00113728" w:rsidRPr="00881C88" w:rsidRDefault="00113728" w:rsidP="00C174D8">
      <w:pPr>
        <w:spacing w:after="240" w:line="276" w:lineRule="auto"/>
        <w:rPr>
          <w:rFonts w:asciiTheme="majorHAnsi" w:hAnsiTheme="majorHAnsi" w:cstheme="majorHAnsi"/>
          <w:lang w:val="en-US"/>
        </w:rPr>
      </w:pPr>
    </w:p>
    <w:p w14:paraId="7CC6D7D8" w14:textId="540DEFC8" w:rsidR="007D4ABB" w:rsidRPr="00881C88" w:rsidRDefault="00113728" w:rsidP="00173A2F">
      <w:pPr>
        <w:pStyle w:val="Style2"/>
        <w:spacing w:line="276" w:lineRule="auto"/>
        <w:rPr>
          <w:rFonts w:asciiTheme="majorHAnsi" w:hAnsiTheme="majorHAnsi" w:cstheme="majorHAnsi"/>
          <w:lang w:val="en-US"/>
        </w:rPr>
      </w:pPr>
      <w:bookmarkStart w:id="85" w:name="_Toc230182105"/>
      <w:r w:rsidRPr="00881C88">
        <w:rPr>
          <w:rFonts w:asciiTheme="majorHAnsi" w:hAnsiTheme="majorHAnsi" w:cstheme="majorHAnsi"/>
          <w:lang w:val="en-US"/>
        </w:rPr>
        <w:t>PUBLIC CONSULTATION PLAN</w:t>
      </w:r>
      <w:bookmarkEnd w:id="85"/>
    </w:p>
    <w:p w14:paraId="7152D745" w14:textId="77777777" w:rsidR="00113728" w:rsidRPr="00881C88" w:rsidRDefault="00113728" w:rsidP="00113728">
      <w:pPr>
        <w:rPr>
          <w:lang w:val="en-US"/>
        </w:rPr>
      </w:pPr>
    </w:p>
    <w:p w14:paraId="3DE22D14" w14:textId="07E8F169" w:rsidR="00113728" w:rsidRPr="00881C88" w:rsidRDefault="00113728"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Based on Article 20 of the Administrative Instruction No. 04/2023 on Open Administration in Municipalities, the Public Consultation Plan must be published on the official website of the municipality. The general planning of public consultations is carried out at an early stage during the drafting of the municipal work plan for the next calendar year, as well as when drafting the public communication plan.</w:t>
      </w:r>
    </w:p>
    <w:p w14:paraId="6B157C95" w14:textId="293075DF" w:rsidR="00113728" w:rsidRPr="00881C88" w:rsidRDefault="00113728"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monitoring of municipal websites, 17 municipalities or 45% of them have published the planning of public consultations, while 21 municipalities or 55% have not published it.</w:t>
      </w:r>
    </w:p>
    <w:p w14:paraId="5BE0C44E" w14:textId="2F18E405" w:rsidR="00113728" w:rsidRPr="00881C88" w:rsidRDefault="00113728"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2024, 23 municipalities published public consultation plans, while in 2025 this number dropped to 17 municipalities. This represents a decrease of 6 municipalities in 2025 compared to 2024. This indicates a decrease in the level of transparency in the publication of public consultation plans.</w:t>
      </w:r>
    </w:p>
    <w:p w14:paraId="253923D9" w14:textId="6515ACD0" w:rsidR="00113728" w:rsidRPr="00881C88" w:rsidRDefault="00113728"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publication of public consultation planning by municipalities that have fulfilled their legal obligations is presented in the table below.</w:t>
      </w:r>
    </w:p>
    <w:p w14:paraId="14B437A3" w14:textId="6112DF85" w:rsidR="001219BA" w:rsidRPr="00881C88" w:rsidRDefault="00FD544E" w:rsidP="00173A2F">
      <w:pPr>
        <w:spacing w:line="276" w:lineRule="auto"/>
        <w:rPr>
          <w:rFonts w:asciiTheme="majorHAnsi" w:hAnsiTheme="majorHAnsi" w:cstheme="majorHAnsi"/>
          <w:color w:val="C00000"/>
          <w:lang w:val="en-US"/>
        </w:rPr>
      </w:pPr>
      <w:r w:rsidRPr="00881C88">
        <w:rPr>
          <w:rFonts w:asciiTheme="majorHAnsi" w:hAnsiTheme="majorHAnsi" w:cstheme="majorHAnsi"/>
          <w:noProof/>
          <w:lang w:val="en-US" w:eastAsia="sq-AL"/>
        </w:rPr>
        <mc:AlternateContent>
          <mc:Choice Requires="cx1">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a16="http://schemas.microsoft.com/office/drawing/2014/main" id="{886AEE3E-DD2B-4E94-8291-17E033EC0919}"/>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6"/>
                  </a:graphicData>
                </a:graphic>
              </wp:inline>
            </w:drawing>
          </mc:Choice>
          <mc:Fallback>
            <w:drawing>
              <wp:inline distT="0" distB="0" distL="0" distR="0" wp14:anchorId="2C15E71B" wp14:editId="7DDA1E28">
                <wp:extent cx="5731510" cy="1738630"/>
                <wp:effectExtent l="0" t="0" r="2540" b="13970"/>
                <wp:docPr id="135" name="Chart 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6AEE3E-DD2B-4E94-8291-17E033EC0919}"/>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5" name="Chart 13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6AEE3E-DD2B-4E94-8291-17E033EC0919}"/>
                            </a:ext>
                          </a:extLst>
                        </pic:cNvPr>
                        <pic:cNvPicPr>
                          <a:picLocks noGrp="1" noRot="1" noChangeAspect="1" noMove="1" noResize="1" noEditPoints="1" noAdjustHandles="1" noChangeArrowheads="1" noChangeShapeType="1"/>
                        </pic:cNvPicPr>
                      </pic:nvPicPr>
                      <pic:blipFill>
                        <a:blip r:embed="rId47"/>
                        <a:stretch>
                          <a:fillRect/>
                        </a:stretch>
                      </pic:blipFill>
                      <pic:spPr>
                        <a:xfrm>
                          <a:off x="0" y="0"/>
                          <a:ext cx="5731510" cy="1738630"/>
                        </a:xfrm>
                        <a:prstGeom prst="rect">
                          <a:avLst/>
                        </a:prstGeom>
                      </pic:spPr>
                    </pic:pic>
                  </a:graphicData>
                </a:graphic>
              </wp:inline>
            </w:drawing>
          </mc:Fallback>
        </mc:AlternateContent>
      </w:r>
    </w:p>
    <w:p w14:paraId="72D9EC8A" w14:textId="69B7516D" w:rsidR="003379CB" w:rsidRPr="00881C88" w:rsidRDefault="003B4239" w:rsidP="00173A2F">
      <w:pPr>
        <w:spacing w:after="240" w:line="276" w:lineRule="auto"/>
        <w:rPr>
          <w:rFonts w:asciiTheme="majorHAnsi" w:hAnsiTheme="majorHAnsi" w:cstheme="majorHAnsi"/>
          <w:sz w:val="20"/>
          <w:szCs w:val="20"/>
          <w:lang w:val="en-US"/>
        </w:rPr>
      </w:pPr>
      <w:r w:rsidRPr="00881C88">
        <w:rPr>
          <w:rFonts w:asciiTheme="majorHAnsi" w:hAnsiTheme="majorHAnsi" w:cstheme="majorHAnsi"/>
          <w:sz w:val="20"/>
          <w:szCs w:val="20"/>
          <w:lang w:val="en-US"/>
        </w:rPr>
        <w:t xml:space="preserve">                                                        </w:t>
      </w:r>
      <w:r w:rsidR="00517ECE" w:rsidRPr="00881C88">
        <w:rPr>
          <w:rFonts w:asciiTheme="majorHAnsi" w:hAnsiTheme="majorHAnsi" w:cstheme="majorHAnsi"/>
          <w:i/>
          <w:color w:val="000000" w:themeColor="text1"/>
          <w:sz w:val="14"/>
          <w:szCs w:val="16"/>
          <w:lang w:val="en-US"/>
        </w:rPr>
        <w:t>Fig</w:t>
      </w:r>
      <w:r w:rsidR="00094A9B" w:rsidRPr="00881C88">
        <w:rPr>
          <w:rFonts w:asciiTheme="majorHAnsi" w:hAnsiTheme="majorHAnsi" w:cstheme="majorHAnsi"/>
          <w:i/>
          <w:color w:val="000000" w:themeColor="text1"/>
          <w:sz w:val="14"/>
          <w:szCs w:val="16"/>
          <w:lang w:val="en-US"/>
        </w:rPr>
        <w:t>.</w:t>
      </w:r>
      <w:r w:rsidR="00A475ED" w:rsidRPr="00881C88">
        <w:rPr>
          <w:rFonts w:asciiTheme="majorHAnsi" w:hAnsiTheme="majorHAnsi" w:cstheme="majorHAnsi"/>
          <w:i/>
          <w:color w:val="000000" w:themeColor="text1"/>
          <w:sz w:val="14"/>
          <w:szCs w:val="16"/>
          <w:lang w:val="en-US"/>
        </w:rPr>
        <w:t>3</w:t>
      </w:r>
      <w:r w:rsidR="006C1F9D" w:rsidRPr="00881C88">
        <w:rPr>
          <w:rFonts w:asciiTheme="majorHAnsi" w:hAnsiTheme="majorHAnsi" w:cstheme="majorHAnsi"/>
          <w:i/>
          <w:color w:val="000000" w:themeColor="text1"/>
          <w:sz w:val="14"/>
          <w:szCs w:val="16"/>
          <w:lang w:val="en-US"/>
        </w:rPr>
        <w:t>3</w:t>
      </w:r>
      <w:r w:rsidR="003379CB" w:rsidRPr="00881C88">
        <w:rPr>
          <w:rFonts w:asciiTheme="majorHAnsi" w:hAnsiTheme="majorHAnsi" w:cstheme="majorHAnsi"/>
          <w:i/>
          <w:color w:val="000000" w:themeColor="text1"/>
          <w:sz w:val="14"/>
          <w:szCs w:val="16"/>
          <w:lang w:val="en-US"/>
        </w:rPr>
        <w:t xml:space="preserve"> </w:t>
      </w:r>
      <w:r w:rsidR="00113728" w:rsidRPr="00881C88">
        <w:rPr>
          <w:rFonts w:asciiTheme="majorHAnsi" w:hAnsiTheme="majorHAnsi" w:cstheme="majorHAnsi"/>
          <w:i/>
          <w:color w:val="000000" w:themeColor="text1"/>
          <w:sz w:val="14"/>
          <w:szCs w:val="16"/>
          <w:lang w:val="en-US"/>
        </w:rPr>
        <w:t>The public consultation plan</w:t>
      </w:r>
    </w:p>
    <w:p w14:paraId="0FB439F0" w14:textId="77777777" w:rsidR="00832088" w:rsidRPr="00881C88" w:rsidRDefault="00832088" w:rsidP="00691961">
      <w:pPr>
        <w:pStyle w:val="Style3"/>
        <w:rPr>
          <w:lang w:val="en-US"/>
        </w:rPr>
      </w:pPr>
    </w:p>
    <w:p w14:paraId="1EE50B96" w14:textId="28D5615E" w:rsidR="00832088" w:rsidRPr="00881C88" w:rsidRDefault="00113728" w:rsidP="00691961">
      <w:pPr>
        <w:pStyle w:val="Style3"/>
        <w:rPr>
          <w:lang w:val="en-US"/>
        </w:rPr>
      </w:pPr>
      <w:bookmarkStart w:id="86" w:name="_Toc230182106"/>
      <w:r w:rsidRPr="00881C88">
        <w:rPr>
          <w:lang w:val="en-US"/>
        </w:rPr>
        <w:t>Public consultation notices</w:t>
      </w:r>
      <w:bookmarkEnd w:id="86"/>
    </w:p>
    <w:p w14:paraId="663C0431" w14:textId="77777777" w:rsidR="00691961" w:rsidRPr="00881C88" w:rsidRDefault="00691961" w:rsidP="00691961">
      <w:pPr>
        <w:pStyle w:val="Style3"/>
        <w:rPr>
          <w:lang w:val="en-US"/>
        </w:rPr>
      </w:pPr>
    </w:p>
    <w:p w14:paraId="3A4ACAF5" w14:textId="264DD117" w:rsidR="00113728" w:rsidRPr="00881C88" w:rsidRDefault="00113728"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Based on Article 27 of Administrative Instruction No. 04/2023 on Open Administration in Municipalities, the Proposing Body ensures conditions for conducting written and electronic consultations, including timely information on the methods and deadlines for public consultation.</w:t>
      </w:r>
    </w:p>
    <w:p w14:paraId="50DE14D0" w14:textId="736514A5" w:rsidR="00113728" w:rsidRPr="00881C88" w:rsidRDefault="00113728"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The written and electronic notice shall contain: The project proposal for which comments are requested, the exact address to which written and electronic comments should be sent, information (name, surname and e-mail) about the person responsible for receiving comments and the deadline for submitting comments.</w:t>
      </w:r>
    </w:p>
    <w:p w14:paraId="221C6D3D" w14:textId="73F9F456" w:rsidR="00113728" w:rsidRPr="00881C88" w:rsidRDefault="00113728" w:rsidP="00691961">
      <w:pPr>
        <w:spacing w:before="100" w:beforeAutospacing="1" w:after="100" w:afterAutospacing="1" w:line="276" w:lineRule="auto"/>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Public consultation notices during the period January–December 2025 were published by 27 municipalities (71%), while 11 municipalities (29%) did not publish any notice. The comparison between the municipalities that published public consultation notices (27) and those that published the consultation plan (17) shows that some municipalities have not fully fulfilled their legal obligations in this regard.</w:t>
      </w:r>
    </w:p>
    <w:p w14:paraId="44A00992" w14:textId="5B38E8FD" w:rsidR="00113728" w:rsidRPr="00881C88" w:rsidRDefault="00113728" w:rsidP="00691961">
      <w:pPr>
        <w:spacing w:before="100" w:beforeAutospacing="1" w:after="100" w:afterAutospacing="1" w:line="276" w:lineRule="auto"/>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Also, compared to the data of the Transparency Assessment Report for 2024, the level of publication of public consultation notices remains the same, with no changes in the number of municipalities that have published them.</w:t>
      </w:r>
    </w:p>
    <w:p w14:paraId="0131FEC2" w14:textId="4BDD798B" w:rsidR="00690B57" w:rsidRPr="00881C88" w:rsidRDefault="00690B57"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The number of announcements from municipalities that have published public consultation notices is presented in the table below.</w:t>
      </w:r>
    </w:p>
    <w:p w14:paraId="116B833D" w14:textId="5C339F1E" w:rsidR="00C6232D" w:rsidRPr="00881C88" w:rsidRDefault="008940A2"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hAnsiTheme="majorHAnsi" w:cstheme="majorHAnsi"/>
          <w:noProof/>
          <w:lang w:val="en-US" w:eastAsia="sq-AL"/>
        </w:rPr>
        <mc:AlternateContent>
          <mc:Choice Requires="cx1">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a16="http://schemas.microsoft.com/office/drawing/2014/main" id="{ACAFF5AA-A46D-4123-A3F5-EAE44BF3D6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8"/>
                  </a:graphicData>
                </a:graphic>
              </wp:inline>
            </w:drawing>
          </mc:Choice>
          <mc:Fallback>
            <w:drawing>
              <wp:inline distT="0" distB="0" distL="0" distR="0" wp14:anchorId="55941363" wp14:editId="323544B4">
                <wp:extent cx="5731510" cy="1850400"/>
                <wp:effectExtent l="0" t="0" r="2540" b="16510"/>
                <wp:docPr id="138" name="Chart 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F5AA-A46D-4123-A3F5-EAE44BF3D6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8" name="Chart 1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FF5AA-A46D-4123-A3F5-EAE44BF3D600}"/>
                            </a:ext>
                          </a:extLst>
                        </pic:cNvPr>
                        <pic:cNvPicPr>
                          <a:picLocks noGrp="1" noRot="1" noChangeAspect="1" noMove="1" noResize="1" noEditPoints="1" noAdjustHandles="1" noChangeArrowheads="1" noChangeShapeType="1"/>
                        </pic:cNvPicPr>
                      </pic:nvPicPr>
                      <pic:blipFill>
                        <a:blip r:embed="rId49"/>
                        <a:stretch>
                          <a:fillRect/>
                        </a:stretch>
                      </pic:blipFill>
                      <pic:spPr>
                        <a:xfrm>
                          <a:off x="0" y="0"/>
                          <a:ext cx="5731510" cy="1850390"/>
                        </a:xfrm>
                        <a:prstGeom prst="rect">
                          <a:avLst/>
                        </a:prstGeom>
                      </pic:spPr>
                    </pic:pic>
                  </a:graphicData>
                </a:graphic>
              </wp:inline>
            </w:drawing>
          </mc:Fallback>
        </mc:AlternateContent>
      </w:r>
    </w:p>
    <w:p w14:paraId="40A51F3F" w14:textId="03B294DB" w:rsidR="00B87205" w:rsidRPr="00881C88" w:rsidRDefault="00B87205" w:rsidP="00691961">
      <w:pPr>
        <w:spacing w:after="240" w:line="276" w:lineRule="auto"/>
        <w:jc w:val="center"/>
        <w:rPr>
          <w:rFonts w:asciiTheme="majorHAnsi" w:hAnsiTheme="majorHAnsi" w:cstheme="majorHAnsi"/>
          <w:b/>
          <w:i/>
          <w:color w:val="000000" w:themeColor="text1"/>
          <w:sz w:val="12"/>
          <w:szCs w:val="16"/>
          <w:lang w:val="en-US"/>
        </w:rPr>
      </w:pPr>
      <w:r w:rsidRPr="00881C88">
        <w:rPr>
          <w:rFonts w:asciiTheme="majorHAnsi" w:hAnsiTheme="majorHAnsi" w:cstheme="majorHAnsi"/>
          <w:i/>
          <w:sz w:val="14"/>
          <w:szCs w:val="14"/>
          <w:lang w:val="en-US"/>
        </w:rPr>
        <w:t xml:space="preserve">Fig. </w:t>
      </w:r>
      <w:r w:rsidR="00A475ED" w:rsidRPr="00881C88">
        <w:rPr>
          <w:rFonts w:asciiTheme="majorHAnsi" w:hAnsiTheme="majorHAnsi" w:cstheme="majorHAnsi"/>
          <w:i/>
          <w:sz w:val="14"/>
          <w:szCs w:val="14"/>
          <w:lang w:val="en-US"/>
        </w:rPr>
        <w:t>3</w:t>
      </w:r>
      <w:r w:rsidR="006C1F9D" w:rsidRPr="00881C88">
        <w:rPr>
          <w:rFonts w:asciiTheme="majorHAnsi" w:hAnsiTheme="majorHAnsi" w:cstheme="majorHAnsi"/>
          <w:i/>
          <w:sz w:val="14"/>
          <w:szCs w:val="14"/>
          <w:lang w:val="en-US"/>
        </w:rPr>
        <w:t>4</w:t>
      </w:r>
      <w:r w:rsidR="00A475ED" w:rsidRPr="00881C88">
        <w:rPr>
          <w:rFonts w:asciiTheme="majorHAnsi" w:hAnsiTheme="majorHAnsi" w:cstheme="majorHAnsi"/>
          <w:i/>
          <w:sz w:val="14"/>
          <w:szCs w:val="14"/>
          <w:lang w:val="en-US"/>
        </w:rPr>
        <w:t>.</w:t>
      </w:r>
      <w:r w:rsidRPr="00881C88">
        <w:rPr>
          <w:rFonts w:asciiTheme="majorHAnsi" w:hAnsiTheme="majorHAnsi" w:cstheme="majorHAnsi"/>
          <w:i/>
          <w:sz w:val="14"/>
          <w:szCs w:val="14"/>
          <w:lang w:val="en-US"/>
        </w:rPr>
        <w:t xml:space="preserve"> </w:t>
      </w:r>
      <w:r w:rsidR="00690B57" w:rsidRPr="00881C88">
        <w:rPr>
          <w:rFonts w:asciiTheme="majorHAnsi" w:hAnsiTheme="majorHAnsi" w:cstheme="majorHAnsi"/>
          <w:i/>
          <w:sz w:val="14"/>
          <w:szCs w:val="14"/>
          <w:lang w:val="en-US"/>
        </w:rPr>
        <w:t>Public consultation notices</w:t>
      </w:r>
    </w:p>
    <w:p w14:paraId="55F59105" w14:textId="77777777" w:rsidR="004D7E2E" w:rsidRPr="00881C88" w:rsidRDefault="004D7E2E" w:rsidP="00691961">
      <w:pPr>
        <w:pStyle w:val="Style3"/>
        <w:rPr>
          <w:lang w:val="en-US"/>
        </w:rPr>
      </w:pPr>
    </w:p>
    <w:p w14:paraId="0D35D9B1" w14:textId="2D271581" w:rsidR="003357C4" w:rsidRPr="00881C88" w:rsidRDefault="004D4F40" w:rsidP="00691961">
      <w:pPr>
        <w:pStyle w:val="Style3"/>
        <w:rPr>
          <w:lang w:val="en-US"/>
        </w:rPr>
      </w:pPr>
      <w:bookmarkStart w:id="87" w:name="_Toc230182107"/>
      <w:r w:rsidRPr="00881C88">
        <w:rPr>
          <w:lang w:val="en-US"/>
        </w:rPr>
        <w:t>Draft proposals for public consultations and explanatory memorandums</w:t>
      </w:r>
      <w:bookmarkEnd w:id="87"/>
    </w:p>
    <w:p w14:paraId="381FB30A" w14:textId="42FB7BCA" w:rsidR="004D4F40" w:rsidRPr="00881C88" w:rsidRDefault="004D4F40"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Based on the Administrative Instruction on Open Administration, municipalities have an obligation, through the officer responsible for public consultations, in coordination with the officer responsible for drafting the draft proposal, to notify interested parties of: the date, place and time of the public meeting; </w:t>
      </w:r>
      <w:r w:rsidRPr="00881C88">
        <w:rPr>
          <w:rFonts w:asciiTheme="majorHAnsi" w:eastAsia="Times New Roman" w:hAnsiTheme="majorHAnsi" w:cstheme="majorHAnsi"/>
          <w:b/>
          <w:bCs/>
          <w:u w:val="single"/>
          <w:lang w:val="en-US" w:eastAsia="en-GB"/>
        </w:rPr>
        <w:t>the draft proposal that is the subject of public consultation; the explanatory memorandum on the content of the draft proposal;</w:t>
      </w:r>
      <w:r w:rsidRPr="00881C88">
        <w:rPr>
          <w:rFonts w:asciiTheme="majorHAnsi" w:eastAsia="Times New Roman" w:hAnsiTheme="majorHAnsi" w:cstheme="majorHAnsi"/>
          <w:lang w:val="en-US" w:eastAsia="en-GB"/>
        </w:rPr>
        <w:t xml:space="preserve"> as well as the contact information (name, surname and email) of the person responsible for receiving comments, along with the accompanying documents.</w:t>
      </w:r>
    </w:p>
    <w:p w14:paraId="6457E293" w14:textId="1AEB8D59" w:rsidR="004D4F40" w:rsidRPr="00881C88" w:rsidRDefault="004D4F40"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Through the official website and the Government Platform for Public Consultations, the municipality ensures the publication of notices for consultations on draft proposals, consultation deadlines, explanatory memoranda, the address for receiving comments, as well as the publication of reports/results of the public consultation.</w:t>
      </w:r>
    </w:p>
    <w:p w14:paraId="7615730F" w14:textId="0CBC86EF" w:rsidR="004D4F40" w:rsidRPr="00881C88" w:rsidRDefault="004D4F40"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According to data from monitoring the official websites of municipalities for the period January-December 2025, 19 municipalities or 50% have published a total of 74 draft proposals, while 19 municipalities or 50% have not published any draft proposals.</w:t>
      </w:r>
    </w:p>
    <w:p w14:paraId="614A8D5A" w14:textId="18095B14" w:rsidR="004D4F40" w:rsidRPr="00881C88" w:rsidRDefault="004D4F40"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As for the explanatory memorandum, only two municipalities have published the explanatory memorandum, while 26 municipalities have not published any explanatory memorandum. Based on the data of the Transparency Assessment Report for 2024, when no explanatory memorandum was published, a slight improvement is observed in 2025, although the level of compliance remains very low.</w:t>
      </w:r>
    </w:p>
    <w:p w14:paraId="3E3B8F7A" w14:textId="7C6B1E0B" w:rsidR="004D4F40" w:rsidRPr="00881C88" w:rsidRDefault="004D4F40"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It is generally assessed that municipalities should increase their commitment to fully fulfilling the public consultation indicators, starting from consultation planning, public notices, explanatory memoranda and draft proposals, as these documents constitute a prerequisite for effective and transparent consultation. The lack of an explanatory memorandum, in particular, negatively affects the quality of the public consultation process and the understanding of strategic documents by citizens.</w:t>
      </w:r>
    </w:p>
    <w:p w14:paraId="24815164" w14:textId="24867A1C" w:rsidR="004D4F40" w:rsidRPr="00881C88" w:rsidRDefault="004D4F40" w:rsidP="00173A2F">
      <w:pPr>
        <w:spacing w:after="240" w:line="276" w:lineRule="auto"/>
        <w:rPr>
          <w:rFonts w:asciiTheme="majorHAnsi" w:hAnsiTheme="majorHAnsi" w:cstheme="majorHAnsi"/>
          <w:lang w:val="en-US"/>
        </w:rPr>
      </w:pPr>
      <w:r w:rsidRPr="00881C88">
        <w:rPr>
          <w:rFonts w:asciiTheme="majorHAnsi" w:hAnsiTheme="majorHAnsi" w:cstheme="majorHAnsi"/>
          <w:lang w:val="en-US"/>
        </w:rPr>
        <w:t>The following table presents the number of municipalities that have published draft acts/proposals for public consultations and explanatory memorandums.</w:t>
      </w:r>
    </w:p>
    <w:p w14:paraId="63AAA9D2" w14:textId="025E360D" w:rsidR="00322A5F" w:rsidRPr="00881C88" w:rsidRDefault="00C6232D" w:rsidP="00173A2F">
      <w:pPr>
        <w:spacing w:after="240" w:line="276" w:lineRule="auto"/>
        <w:rPr>
          <w:rFonts w:asciiTheme="majorHAnsi" w:hAnsiTheme="majorHAnsi" w:cstheme="majorHAnsi"/>
          <w:color w:val="C00000"/>
          <w:lang w:val="en-US"/>
        </w:rPr>
      </w:pPr>
      <w:r w:rsidRPr="00881C88">
        <w:rPr>
          <w:rFonts w:asciiTheme="majorHAnsi" w:hAnsiTheme="majorHAnsi" w:cstheme="majorHAnsi"/>
          <w:noProof/>
          <w:lang w:val="en-US" w:eastAsia="sq-AL"/>
        </w:rPr>
        <w:drawing>
          <wp:inline distT="0" distB="0" distL="0" distR="0" wp14:anchorId="32DE30B4" wp14:editId="65A760FF">
            <wp:extent cx="6112305" cy="2433320"/>
            <wp:effectExtent l="0" t="0" r="3175" b="5080"/>
            <wp:docPr id="147" name="Chart 147">
              <a:extLst xmlns:a="http://schemas.openxmlformats.org/drawingml/2006/main">
                <a:ext uri="{FF2B5EF4-FFF2-40B4-BE49-F238E27FC236}">
                  <a16:creationId xmlns:a16="http://schemas.microsoft.com/office/drawing/2014/main" id="{EE584A14-1CE6-43C0-A7E0-7EBECDAF0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41BC86" w14:textId="2AB233BE" w:rsidR="009F64FE" w:rsidRPr="00881C88" w:rsidRDefault="00333275" w:rsidP="00691961">
      <w:pPr>
        <w:autoSpaceDE w:val="0"/>
        <w:autoSpaceDN w:val="0"/>
        <w:adjustRightInd w:val="0"/>
        <w:spacing w:after="240" w:line="276" w:lineRule="auto"/>
        <w:jc w:val="center"/>
        <w:rPr>
          <w:rFonts w:asciiTheme="majorHAnsi" w:hAnsiTheme="majorHAnsi" w:cstheme="majorHAnsi"/>
          <w:sz w:val="24"/>
          <w:lang w:val="en-US"/>
        </w:rPr>
      </w:pPr>
      <w:r w:rsidRPr="00881C88">
        <w:rPr>
          <w:rFonts w:asciiTheme="majorHAnsi" w:hAnsiTheme="majorHAnsi" w:cstheme="majorHAnsi"/>
          <w:i/>
          <w:sz w:val="14"/>
          <w:szCs w:val="16"/>
          <w:lang w:val="en-US"/>
        </w:rPr>
        <w:t>Fig3</w:t>
      </w:r>
      <w:r w:rsidR="006C1F9D" w:rsidRPr="00881C88">
        <w:rPr>
          <w:rFonts w:asciiTheme="majorHAnsi" w:hAnsiTheme="majorHAnsi" w:cstheme="majorHAnsi"/>
          <w:i/>
          <w:sz w:val="14"/>
          <w:szCs w:val="16"/>
          <w:lang w:val="en-US"/>
        </w:rPr>
        <w:t>5</w:t>
      </w:r>
      <w:r w:rsidR="00E800E7" w:rsidRPr="00881C88">
        <w:rPr>
          <w:rFonts w:asciiTheme="majorHAnsi" w:hAnsiTheme="majorHAnsi" w:cstheme="majorHAnsi"/>
          <w:i/>
          <w:sz w:val="14"/>
          <w:szCs w:val="16"/>
          <w:lang w:val="en-US"/>
        </w:rPr>
        <w:t xml:space="preserve">. </w:t>
      </w:r>
      <w:r w:rsidR="004D4F40" w:rsidRPr="00881C88">
        <w:rPr>
          <w:rFonts w:asciiTheme="majorHAnsi" w:hAnsiTheme="majorHAnsi" w:cstheme="majorHAnsi"/>
          <w:i/>
          <w:sz w:val="14"/>
          <w:szCs w:val="16"/>
          <w:lang w:val="en-US"/>
        </w:rPr>
        <w:t>Publication of draft proposals for public consultations</w:t>
      </w:r>
    </w:p>
    <w:p w14:paraId="4F664964" w14:textId="4CCB8369" w:rsidR="00832088" w:rsidRPr="00881C88" w:rsidRDefault="004D4F40" w:rsidP="00691961">
      <w:pPr>
        <w:pStyle w:val="Style3"/>
        <w:rPr>
          <w:lang w:val="en-US"/>
        </w:rPr>
      </w:pPr>
      <w:bookmarkStart w:id="88" w:name="_Toc230182108"/>
      <w:bookmarkStart w:id="89" w:name="_Toc130455711"/>
      <w:r w:rsidRPr="00881C88">
        <w:rPr>
          <w:lang w:val="en-US"/>
        </w:rPr>
        <w:t>Publication of reports for public consultations</w:t>
      </w:r>
      <w:bookmarkEnd w:id="88"/>
    </w:p>
    <w:p w14:paraId="5ED2518D" w14:textId="0711284D" w:rsidR="0078473E" w:rsidRPr="00881C88" w:rsidRDefault="0078473E"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 xml:space="preserve">According to Administrative Instruction No. 04/2023 on Open Administration in Municipalities, the official responsible for drafting the draft proposal, during the public consultation, collects comments and prepares a report with the results of the public consultation. The municipality also ensures the provision of responses regarding the status of the proposals received during the public discussions, through a special report, which is published on the official website of the municipality and on the Government Platform for Public Consultations. </w:t>
      </w:r>
    </w:p>
    <w:p w14:paraId="072F3BD9" w14:textId="5DE10F90" w:rsidR="0078473E" w:rsidRPr="00881C88" w:rsidRDefault="0078473E"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Within five (5) calendar days after the completion of the report by the working group for public review, the report is sent to the officer responsible for public consultations, who is obliged to ensure its publication on the official website of the municipality and on the Government's Public Consultation Platform.</w:t>
      </w:r>
    </w:p>
    <w:p w14:paraId="0FE32E0E" w14:textId="4E6F9D6B" w:rsidR="00823035" w:rsidRPr="00881C88" w:rsidRDefault="0078473E" w:rsidP="00823035">
      <w:pPr>
        <w:spacing w:before="100" w:beforeAutospacing="1" w:after="100" w:afterAutospacing="1" w:line="276" w:lineRule="auto"/>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During 2025, a total of 64 public consultation reports were published by 18 municipalities, while 20 municipalities did not publish any public consultation reports. Compared to 2024, in 2025 there was a decrease in both the number of municipalities publishing public consultation reports (from 20 to 18 municipalities), as well as in the total number of published reports (from 119 to 64). This indicates a decrease in the level of fulfillment of transparency obligations in the public consultation process.</w:t>
      </w:r>
    </w:p>
    <w:p w14:paraId="6B35A5CD" w14:textId="2809D097" w:rsidR="0078473E" w:rsidRPr="00881C88" w:rsidRDefault="0078473E" w:rsidP="00823035">
      <w:pPr>
        <w:spacing w:before="100" w:beforeAutospacing="1" w:after="100" w:afterAutospacing="1" w:line="276" w:lineRule="auto"/>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 xml:space="preserve">Regarding the </w:t>
      </w:r>
      <w:r w:rsidRPr="00881C88">
        <w:rPr>
          <w:rFonts w:ascii="Times New Roman" w:eastAsia="Times New Roman" w:hAnsi="Times New Roman" w:cs="Times New Roman"/>
          <w:b/>
          <w:bCs/>
          <w:lang w:val="en-US" w:eastAsia="en-GB"/>
        </w:rPr>
        <w:t>Annual Public Consultation Report</w:t>
      </w:r>
      <w:r w:rsidRPr="00881C88">
        <w:rPr>
          <w:rFonts w:ascii="Times New Roman" w:eastAsia="Times New Roman" w:hAnsi="Times New Roman" w:cs="Times New Roman"/>
          <w:lang w:val="en-US" w:eastAsia="en-GB"/>
        </w:rPr>
        <w:t xml:space="preserve"> for the period January-December 2025, 18 municipalities published it, while 20 municipalities did not. Based on the data from the Transparency Assessment Report for 2024, 15 municipalities published the annual public consultation report, while 23 municipalities did not. This indicator shows a slight increase in 2025, with 3 more municipalities publishing the annual public consultation report compared to 2024, reflecting a limited improvement in this area of ​​transparency.</w:t>
      </w:r>
    </w:p>
    <w:p w14:paraId="5A21EBFD" w14:textId="0F505366" w:rsidR="0078473E" w:rsidRPr="00881C88" w:rsidRDefault="0078473E" w:rsidP="00173A2F">
      <w:pPr>
        <w:spacing w:before="100" w:beforeAutospacing="1" w:after="100" w:afterAutospacing="1" w:line="276" w:lineRule="auto"/>
        <w:rPr>
          <w:rFonts w:ascii="Times New Roman" w:eastAsia="Times New Roman" w:hAnsi="Times New Roman" w:cs="Times New Roman"/>
          <w:lang w:val="en-US" w:eastAsia="en-GB"/>
        </w:rPr>
      </w:pPr>
      <w:r w:rsidRPr="00881C88">
        <w:rPr>
          <w:rFonts w:ascii="Times New Roman" w:eastAsia="Times New Roman" w:hAnsi="Times New Roman" w:cs="Times New Roman"/>
          <w:lang w:val="en-US" w:eastAsia="en-GB"/>
        </w:rPr>
        <w:t>The following table presents the number of municipalities that have published public consultation reports and annual public consultation reports.</w:t>
      </w:r>
    </w:p>
    <w:bookmarkEnd w:id="89"/>
    <w:p w14:paraId="1E6FB639" w14:textId="5B9ED406" w:rsidR="00916677" w:rsidRPr="00881C88" w:rsidRDefault="00916677" w:rsidP="00173A2F">
      <w:pPr>
        <w:spacing w:after="240" w:line="276" w:lineRule="auto"/>
        <w:rPr>
          <w:rFonts w:asciiTheme="majorHAnsi" w:hAnsiTheme="majorHAnsi" w:cstheme="majorHAnsi"/>
          <w:i/>
          <w:sz w:val="16"/>
          <w:szCs w:val="16"/>
          <w:lang w:val="en-US"/>
        </w:rPr>
      </w:pPr>
      <w:r w:rsidRPr="00881C88">
        <w:rPr>
          <w:rFonts w:asciiTheme="majorHAnsi" w:hAnsiTheme="majorHAnsi" w:cstheme="majorHAnsi"/>
          <w:b/>
          <w:bCs/>
          <w:noProof/>
          <w:lang w:val="en-US" w:eastAsia="sq-AL"/>
        </w:rPr>
        <w:drawing>
          <wp:inline distT="0" distB="0" distL="0" distR="0" wp14:anchorId="5BDE2382" wp14:editId="0B906ABE">
            <wp:extent cx="6062345" cy="1828800"/>
            <wp:effectExtent l="0" t="0" r="14605" b="0"/>
            <wp:docPr id="149" name="Chart 149">
              <a:extLst xmlns:a="http://schemas.openxmlformats.org/drawingml/2006/main">
                <a:ext uri="{FF2B5EF4-FFF2-40B4-BE49-F238E27FC236}">
                  <a16:creationId xmlns:a16="http://schemas.microsoft.com/office/drawing/2014/main" id="{73486D36-8981-4FF5-8D00-591C584E0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27C699F" w14:textId="1760C84E" w:rsidR="00380BBA" w:rsidRPr="00881C88" w:rsidRDefault="00517ECE" w:rsidP="009D6147">
      <w:pPr>
        <w:spacing w:after="240" w:line="276" w:lineRule="auto"/>
        <w:jc w:val="center"/>
        <w:rPr>
          <w:rFonts w:asciiTheme="majorHAnsi" w:hAnsiTheme="majorHAnsi" w:cstheme="majorHAnsi"/>
          <w:i/>
          <w:sz w:val="14"/>
          <w:szCs w:val="14"/>
          <w:lang w:val="en-US"/>
        </w:rPr>
      </w:pPr>
      <w:r w:rsidRPr="00881C88">
        <w:rPr>
          <w:rFonts w:asciiTheme="majorHAnsi" w:hAnsiTheme="majorHAnsi" w:cstheme="majorHAnsi"/>
          <w:i/>
          <w:sz w:val="14"/>
          <w:szCs w:val="14"/>
          <w:lang w:val="en-US"/>
        </w:rPr>
        <w:t xml:space="preserve">Fig. </w:t>
      </w:r>
      <w:r w:rsidR="00F2395A" w:rsidRPr="00881C88">
        <w:rPr>
          <w:rFonts w:asciiTheme="majorHAnsi" w:hAnsiTheme="majorHAnsi" w:cstheme="majorHAnsi"/>
          <w:i/>
          <w:sz w:val="14"/>
          <w:szCs w:val="14"/>
          <w:lang w:val="en-US"/>
        </w:rPr>
        <w:t>36</w:t>
      </w:r>
      <w:r w:rsidR="00360B20" w:rsidRPr="00881C88">
        <w:rPr>
          <w:rFonts w:asciiTheme="majorHAnsi" w:hAnsiTheme="majorHAnsi" w:cstheme="majorHAnsi"/>
          <w:i/>
          <w:sz w:val="14"/>
          <w:szCs w:val="14"/>
          <w:lang w:val="en-US"/>
        </w:rPr>
        <w:t xml:space="preserve"> </w:t>
      </w:r>
      <w:r w:rsidR="0078473E" w:rsidRPr="00881C88">
        <w:rPr>
          <w:rFonts w:asciiTheme="majorHAnsi" w:hAnsiTheme="majorHAnsi" w:cstheme="majorHAnsi"/>
          <w:i/>
          <w:sz w:val="14"/>
          <w:szCs w:val="14"/>
          <w:lang w:val="en-US"/>
        </w:rPr>
        <w:t>Number of reports for public consultations</w:t>
      </w:r>
    </w:p>
    <w:p w14:paraId="013C2C9D" w14:textId="2B9521BF" w:rsidR="0011684F" w:rsidRPr="00881C88" w:rsidRDefault="0011684F" w:rsidP="00173A2F">
      <w:pPr>
        <w:spacing w:after="240" w:line="276" w:lineRule="auto"/>
        <w:rPr>
          <w:rFonts w:asciiTheme="majorHAnsi" w:hAnsiTheme="majorHAnsi" w:cstheme="majorHAnsi"/>
          <w:i/>
          <w:sz w:val="16"/>
          <w:szCs w:val="16"/>
          <w:lang w:val="en-US"/>
        </w:rPr>
      </w:pPr>
    </w:p>
    <w:p w14:paraId="5AFEF36F" w14:textId="5304A601" w:rsidR="008940A2" w:rsidRPr="00881C88" w:rsidRDefault="0078473E" w:rsidP="00173A2F">
      <w:pPr>
        <w:pStyle w:val="Style3"/>
        <w:spacing w:line="276" w:lineRule="auto"/>
        <w:rPr>
          <w:rFonts w:eastAsia="Times New Roman" w:cstheme="majorHAnsi"/>
          <w:lang w:val="en-US" w:eastAsia="en-GB"/>
        </w:rPr>
      </w:pPr>
      <w:bookmarkStart w:id="90" w:name="_Toc230182109"/>
      <w:r w:rsidRPr="00881C88">
        <w:rPr>
          <w:rFonts w:eastAsia="Times New Roman" w:cstheme="majorHAnsi"/>
          <w:lang w:val="en-US" w:eastAsia="en-GB"/>
        </w:rPr>
        <w:t>Notice on the provision of municipal services</w:t>
      </w:r>
      <w:bookmarkEnd w:id="90"/>
    </w:p>
    <w:p w14:paraId="7A17919E" w14:textId="3DE456B3" w:rsidR="0078473E" w:rsidRPr="00881C88" w:rsidRDefault="0078473E"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the context of publishing and announcing the provision of municipal services, based on data collected from monitoring the official websites of municipalities, it is noted that all municipalities have created sections or links dedicated to municipal services. This indicates a basic level of fulfillment of the obligations for transparency and information to citizens.</w:t>
      </w:r>
    </w:p>
    <w:p w14:paraId="2D2F14AE" w14:textId="362D089A"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However, the level of development and functionality of these sections varies from one municipality to another. In some municipalities, the information is presented in a structured, detailed and easily accessible manner for citizens, including a description of services, application procedures, required documentation and deadlines. While in other municipalities, the information is more limited, less structured and more difficult for users to access.</w:t>
      </w:r>
    </w:p>
    <w:p w14:paraId="133C5FAD" w14:textId="0FE77DEC" w:rsidR="00A549DB" w:rsidRPr="00881C88" w:rsidRDefault="00C23489" w:rsidP="00C23489">
      <w:pPr>
        <w:spacing w:before="100" w:beforeAutospacing="1" w:after="100" w:afterAutospacing="1" w:line="276" w:lineRule="auto"/>
        <w:rPr>
          <w:rFonts w:asciiTheme="majorHAnsi" w:hAnsiTheme="majorHAnsi" w:cstheme="majorHAnsi"/>
          <w:i/>
          <w:sz w:val="16"/>
          <w:szCs w:val="16"/>
          <w:lang w:val="en-US"/>
        </w:rPr>
      </w:pPr>
      <w:r w:rsidRPr="00881C88">
        <w:rPr>
          <w:rFonts w:asciiTheme="majorHAnsi" w:eastAsia="Times New Roman" w:hAnsiTheme="majorHAnsi" w:cstheme="majorHAnsi"/>
          <w:lang w:val="en-US" w:eastAsia="en-GB"/>
        </w:rPr>
        <w:t>Despite these differences in quality and level of advancement, it is found that information on the services provided by municipalities is present on all official websites. This constitutes an important step towards increasing transparency and improving communication with citizens, although there remains a need for further standardization and improvement of the content and access to this information.</w:t>
      </w:r>
    </w:p>
    <w:p w14:paraId="3164EFFC" w14:textId="77777777" w:rsidR="00A549DB" w:rsidRPr="00881C88" w:rsidRDefault="00A549DB" w:rsidP="00173A2F">
      <w:pPr>
        <w:spacing w:after="240" w:line="276" w:lineRule="auto"/>
        <w:rPr>
          <w:rFonts w:asciiTheme="majorHAnsi" w:hAnsiTheme="majorHAnsi" w:cstheme="majorHAnsi"/>
          <w:i/>
          <w:sz w:val="16"/>
          <w:szCs w:val="16"/>
          <w:lang w:val="en-US"/>
        </w:rPr>
      </w:pPr>
    </w:p>
    <w:p w14:paraId="3A05362B" w14:textId="26310020" w:rsidR="00A475ED" w:rsidRPr="00881C88" w:rsidRDefault="00C23489" w:rsidP="00173A2F">
      <w:pPr>
        <w:pStyle w:val="Style2"/>
        <w:spacing w:line="276" w:lineRule="auto"/>
        <w:rPr>
          <w:rFonts w:asciiTheme="majorHAnsi" w:eastAsia="Times New Roman" w:hAnsiTheme="majorHAnsi" w:cstheme="majorHAnsi"/>
          <w:lang w:val="en-US" w:eastAsia="en-GB"/>
        </w:rPr>
      </w:pPr>
      <w:bookmarkStart w:id="91" w:name="_Toc230182110"/>
      <w:r w:rsidRPr="00881C88">
        <w:rPr>
          <w:rFonts w:asciiTheme="majorHAnsi" w:eastAsia="Times New Roman" w:hAnsiTheme="majorHAnsi" w:cstheme="majorHAnsi"/>
          <w:lang w:val="en-US" w:eastAsia="en-GB"/>
        </w:rPr>
        <w:t>RECOMMENDATIONS</w:t>
      </w:r>
      <w:bookmarkEnd w:id="91"/>
    </w:p>
    <w:p w14:paraId="5D8FA5ED" w14:textId="4B1271DB"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Based on the findings of the 2025 report, it is recommended that municipalities take concrete measures to improve the level of transparency and fulfill legal obligations in this area.</w:t>
      </w:r>
    </w:p>
    <w:p w14:paraId="5AF1DD0A" w14:textId="73B5CB50"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First of all, municipalities must ensure full and timely implementation of legal obligations for the publication of documents and activities, in accordance with applicable legislation, including the Law on Local Self-Government, the Law on Access to Public Documents, the Law on Public Finance Management, the Law on Public Procurement and the Administrative Instruction on Open Administration.</w:t>
      </w:r>
    </w:p>
    <w:p w14:paraId="09829CAF" w14:textId="2A6B7B2A"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order to increase institutional transparency, it is necessary for municipalities to regularly and fully publish all documents of the Municipal Assembly and committees, including invitations, agendas, minutes, decisions and municipal acts, eliminating the gap between approved and published acts.</w:t>
      </w:r>
    </w:p>
    <w:p w14:paraId="19669745" w14:textId="38265A4E"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At the same time, significant improvement in financial transparency is required, through regular publication of budgetary and financial documents, such as the budget plan, the Medium-Term Budget Framework, periodic and annual financial reports, audit reports, and lists of capital investments.</w:t>
      </w:r>
    </w:p>
    <w:p w14:paraId="73600F9C" w14:textId="0EBCBA5E"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the area of ​​public procurement, municipalities must guarantee the full publication of the annual procurement plan and report, as a key element for ensuring transparent management of public funds.</w:t>
      </w:r>
    </w:p>
    <w:p w14:paraId="3C557EAF" w14:textId="43B10FE8"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It is also necessary to strengthen the public consultation process, ensuring the publication of consultation plans, notices, draft acts, relevant reports and supporting documents, in order to increase citizen involvement in decision-making.</w:t>
      </w:r>
    </w:p>
    <w:p w14:paraId="6ACA7D00" w14:textId="7507992C"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In order to increase accountability, municipalities should regularly publish the mayor's decisions, plans and work reports, as well as announcements of meetings with citizens.</w:t>
      </w:r>
    </w:p>
    <w:p w14:paraId="2FB98AA3" w14:textId="67D8C518"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It is also necessary for all municipalities to publish an annual report on access to public documents, in accordance with legal requirements, addressing the decline in this indicator during 2025.</w:t>
      </w:r>
    </w:p>
    <w:p w14:paraId="2D32C69C" w14:textId="09C8E896" w:rsidR="00C23489" w:rsidRPr="00881C88" w:rsidRDefault="00C23489" w:rsidP="00173A2F">
      <w:pPr>
        <w:spacing w:before="100" w:beforeAutospacing="1" w:after="100" w:afterAutospacing="1" w:line="276" w:lineRule="auto"/>
        <w:rPr>
          <w:rFonts w:asciiTheme="majorHAnsi" w:eastAsia="Times New Roman" w:hAnsiTheme="majorHAnsi" w:cstheme="majorHAnsi"/>
          <w:lang w:val="en-US" w:eastAsia="en-GB"/>
        </w:rPr>
      </w:pPr>
      <w:r w:rsidRPr="00881C88">
        <w:rPr>
          <w:rFonts w:asciiTheme="majorHAnsi" w:eastAsia="Times New Roman" w:hAnsiTheme="majorHAnsi" w:cstheme="majorHAnsi"/>
          <w:lang w:val="en-US" w:eastAsia="en-GB"/>
        </w:rPr>
        <w:t>To ensure consistency in transparency, it is recommended to establish internal mechanisms for controlling the publication of documents, standardizing formats, and defining clear responsibilities for officials responsible for transparency.</w:t>
      </w:r>
    </w:p>
    <w:p w14:paraId="2D290124" w14:textId="387D29FD" w:rsidR="005069AA" w:rsidRPr="00881C88" w:rsidRDefault="00C23489" w:rsidP="005069AA">
      <w:pPr>
        <w:spacing w:before="100" w:beforeAutospacing="1" w:after="100" w:afterAutospacing="1"/>
        <w:rPr>
          <w:rFonts w:asciiTheme="majorHAnsi" w:eastAsia="Times New Roman" w:hAnsiTheme="majorHAnsi" w:cstheme="majorHAnsi"/>
          <w:lang w:val="en-US" w:eastAsia="sq-AL"/>
        </w:rPr>
      </w:pPr>
      <w:r w:rsidRPr="00881C88">
        <w:rPr>
          <w:rFonts w:asciiTheme="majorHAnsi" w:eastAsia="Times New Roman" w:hAnsiTheme="majorHAnsi" w:cstheme="majorHAnsi"/>
          <w:lang w:val="en-US" w:eastAsia="sq-AL"/>
        </w:rPr>
        <w:t>Overall, most transparency indicators have decreased during 2025 compared to 2024. The indicators that have decreased are</w:t>
      </w:r>
      <w:r w:rsidR="005069AA" w:rsidRPr="00881C88">
        <w:rPr>
          <w:rFonts w:asciiTheme="majorHAnsi" w:eastAsia="Times New Roman" w:hAnsiTheme="majorHAnsi" w:cstheme="majorHAnsi"/>
          <w:lang w:val="en-US" w:eastAsia="sq-AL"/>
        </w:rPr>
        <w:t>:</w:t>
      </w:r>
    </w:p>
    <w:p w14:paraId="04D7B4A9" w14:textId="1E1AD6FA"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Invitations to the Committee on Policy and Finance</w:t>
      </w:r>
    </w:p>
    <w:p w14:paraId="623A6AA5" w14:textId="3914444F"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Invitations to the Committee on Communities</w:t>
      </w:r>
    </w:p>
    <w:p w14:paraId="761A3610" w14:textId="6D0400EF"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Minutes of the Municipal Assembly</w:t>
      </w:r>
    </w:p>
    <w:p w14:paraId="6698F793" w14:textId="1E6B31B2"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Minutes of the Committee on Policy and Finance</w:t>
      </w:r>
    </w:p>
    <w:p w14:paraId="155EB4AC" w14:textId="6B780675"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Minutes of the Committee on Communities</w:t>
      </w:r>
    </w:p>
    <w:p w14:paraId="6D45DE08" w14:textId="55113A91"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Online broadcast of meetings</w:t>
      </w:r>
    </w:p>
    <w:p w14:paraId="2C63D7E9" w14:textId="70C3D5C4"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Municipal Assembly Work Plan</w:t>
      </w:r>
    </w:p>
    <w:p w14:paraId="0D5EDAFE" w14:textId="66EBF5B9"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Mayor's Annual Plan</w:t>
      </w:r>
    </w:p>
    <w:p w14:paraId="0B03F17B" w14:textId="28DEAD45"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Mayor's Report</w:t>
      </w:r>
    </w:p>
    <w:p w14:paraId="3153BFCB" w14:textId="1F2FD010"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Report on access to public documents</w:t>
      </w:r>
    </w:p>
    <w:p w14:paraId="74F1ACDA" w14:textId="6CF0F4DD"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Budget Plan</w:t>
      </w:r>
    </w:p>
    <w:p w14:paraId="76812CCA" w14:textId="0AA05142"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MT</w:t>
      </w:r>
      <w:r w:rsidR="00881C88" w:rsidRPr="00881C88">
        <w:rPr>
          <w:rFonts w:ascii="Times New Roman" w:eastAsia="Times New Roman" w:hAnsi="Times New Roman" w:cs="Times New Roman"/>
          <w:lang w:val="en-US" w:eastAsia="sq-AL"/>
        </w:rPr>
        <w:t>B</w:t>
      </w:r>
      <w:r w:rsidRPr="00881C88">
        <w:rPr>
          <w:rFonts w:ascii="Times New Roman" w:eastAsia="Times New Roman" w:hAnsi="Times New Roman" w:cs="Times New Roman"/>
          <w:lang w:val="en-US" w:eastAsia="sq-AL"/>
        </w:rPr>
        <w:t>F (Medium Term Budget Framework)</w:t>
      </w:r>
    </w:p>
    <w:p w14:paraId="54A03C7D" w14:textId="2EC6B1FA"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Periodic financial reports</w:t>
      </w:r>
    </w:p>
    <w:p w14:paraId="223D7209" w14:textId="6FD2DA47"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Annual financial report</w:t>
      </w:r>
    </w:p>
    <w:p w14:paraId="2A4C88F4" w14:textId="18F10B82" w:rsidR="00C23489" w:rsidRPr="00881C88" w:rsidRDefault="00881C88"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C</w:t>
      </w:r>
      <w:r w:rsidR="00C23489" w:rsidRPr="00881C88">
        <w:rPr>
          <w:rFonts w:ascii="Times New Roman" w:eastAsia="Times New Roman" w:hAnsi="Times New Roman" w:cs="Times New Roman"/>
          <w:lang w:val="en-US" w:eastAsia="sq-AL"/>
        </w:rPr>
        <w:t>apital investments</w:t>
      </w:r>
    </w:p>
    <w:p w14:paraId="552ECFA2" w14:textId="528042E1"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Public procurement plan</w:t>
      </w:r>
    </w:p>
    <w:p w14:paraId="7FE04F44" w14:textId="53E9AB72"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Public procurement report</w:t>
      </w:r>
    </w:p>
    <w:p w14:paraId="5B4DE69A" w14:textId="26285705"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Public consultation planning</w:t>
      </w:r>
    </w:p>
    <w:p w14:paraId="6DCEDA63" w14:textId="2C18E267" w:rsidR="00C23489" w:rsidRPr="00881C88" w:rsidRDefault="00C23489" w:rsidP="00C23489">
      <w:pPr>
        <w:numPr>
          <w:ilvl w:val="0"/>
          <w:numId w:val="46"/>
        </w:numPr>
        <w:spacing w:before="100" w:beforeAutospacing="1" w:after="100" w:afterAutospacing="1" w:line="240" w:lineRule="auto"/>
        <w:jc w:val="left"/>
        <w:rPr>
          <w:rFonts w:ascii="Times New Roman" w:eastAsia="Times New Roman" w:hAnsi="Times New Roman" w:cs="Times New Roman"/>
          <w:lang w:val="en-US" w:eastAsia="sq-AL"/>
        </w:rPr>
      </w:pPr>
      <w:r w:rsidRPr="00881C88">
        <w:rPr>
          <w:rFonts w:ascii="Times New Roman" w:eastAsia="Times New Roman" w:hAnsi="Times New Roman" w:cs="Times New Roman"/>
          <w:lang w:val="en-US" w:eastAsia="sq-AL"/>
        </w:rPr>
        <w:t>Public consultation report</w:t>
      </w:r>
    </w:p>
    <w:p w14:paraId="49CF6316" w14:textId="6FB09529" w:rsidR="0011684F" w:rsidRPr="00881C88" w:rsidRDefault="00881C88" w:rsidP="00173A2F">
      <w:pPr>
        <w:spacing w:after="240" w:line="276" w:lineRule="auto"/>
        <w:rPr>
          <w:rFonts w:asciiTheme="majorHAnsi" w:hAnsiTheme="majorHAnsi" w:cstheme="majorHAnsi"/>
          <w:iCs/>
          <w:lang w:val="en-US"/>
        </w:rPr>
      </w:pPr>
      <w:r w:rsidRPr="00881C88">
        <w:rPr>
          <w:rFonts w:asciiTheme="majorHAnsi" w:hAnsiTheme="majorHAnsi" w:cstheme="majorHAnsi"/>
          <w:iCs/>
          <w:lang w:val="en-US"/>
        </w:rPr>
        <w:t>In conclusion, despite improvements in digital infrastructure, including the launch of new municipal websites, data for 2025 show that the level of transparency remains insufficient. This requires greater institutional commitment and more rigorous implementation of applicable legislation, in order to guarantee citizens' access to public information and increase accountability at the local level.</w:t>
      </w:r>
    </w:p>
    <w:p w14:paraId="5898314B" w14:textId="77777777" w:rsidR="00881C88" w:rsidRPr="00881C88" w:rsidRDefault="00881C88" w:rsidP="00173A2F">
      <w:pPr>
        <w:spacing w:after="240" w:line="276" w:lineRule="auto"/>
        <w:rPr>
          <w:rFonts w:asciiTheme="majorHAnsi" w:hAnsiTheme="majorHAnsi" w:cstheme="majorHAnsi"/>
          <w:i/>
          <w:lang w:val="en-US"/>
        </w:rPr>
      </w:pPr>
    </w:p>
    <w:bookmarkEnd w:id="0"/>
    <w:bookmarkEnd w:id="80"/>
    <w:p w14:paraId="01D58497" w14:textId="77777777" w:rsidR="00A433A2" w:rsidRPr="00881C88" w:rsidRDefault="00A433A2">
      <w:pPr>
        <w:spacing w:after="0" w:line="276" w:lineRule="auto"/>
        <w:rPr>
          <w:rFonts w:asciiTheme="majorHAnsi" w:eastAsia="MS Mincho" w:hAnsiTheme="majorHAnsi" w:cstheme="majorHAnsi"/>
          <w:lang w:val="en-US"/>
        </w:rPr>
      </w:pPr>
    </w:p>
    <w:sectPr w:rsidR="00A433A2" w:rsidRPr="00881C88" w:rsidSect="00D85874">
      <w:type w:val="continuous"/>
      <w:pgSz w:w="11906" w:h="16838"/>
      <w:pgMar w:top="1920" w:right="1440" w:bottom="1710" w:left="1440" w:header="720" w:footer="1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25F71" w14:textId="77777777" w:rsidR="00FB0DC0" w:rsidRDefault="00FB0DC0" w:rsidP="00455D29">
      <w:pPr>
        <w:spacing w:after="0" w:line="240" w:lineRule="auto"/>
      </w:pPr>
      <w:r>
        <w:separator/>
      </w:r>
    </w:p>
  </w:endnote>
  <w:endnote w:type="continuationSeparator" w:id="0">
    <w:p w14:paraId="79CF4711" w14:textId="77777777" w:rsidR="00FB0DC0" w:rsidRDefault="00FB0DC0" w:rsidP="00455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eXGyrePagella">
    <w:altName w:val="Times New Roman"/>
    <w:charset w:val="00"/>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Antenna Light">
    <w:panose1 w:val="00000000000000000000"/>
    <w:charset w:val="00"/>
    <w:family w:val="modern"/>
    <w:notTrueType/>
    <w:pitch w:val="variable"/>
    <w:sig w:usb0="800000AF" w:usb1="5000204A"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B2109" w14:textId="77777777" w:rsidR="006E3FC3" w:rsidRDefault="006E3FC3">
    <w:pPr>
      <w:pStyle w:val="Footer"/>
      <w:rPr>
        <w:lang w:val="en-US"/>
      </w:rPr>
    </w:pPr>
  </w:p>
  <w:p w14:paraId="17CF38CE" w14:textId="77777777" w:rsidR="006E3FC3" w:rsidRDefault="006E3FC3">
    <w:pPr>
      <w:pStyle w:val="Footer"/>
    </w:pPr>
    <w:r>
      <w:rPr>
        <w:noProof/>
        <w:lang w:eastAsia="sq-AL"/>
      </w:rPr>
      <mc:AlternateContent>
        <mc:Choice Requires="wpg">
          <w:drawing>
            <wp:anchor distT="0" distB="0" distL="114300" distR="114300" simplePos="0" relativeHeight="251661312" behindDoc="0" locked="0" layoutInCell="1" allowOverlap="1" wp14:anchorId="2CDE6013" wp14:editId="6A188CE5">
              <wp:simplePos x="0" y="0"/>
              <wp:positionH relativeFrom="margin">
                <wp:posOffset>4767920</wp:posOffset>
              </wp:positionH>
              <wp:positionV relativeFrom="paragraph">
                <wp:posOffset>98425</wp:posOffset>
              </wp:positionV>
              <wp:extent cx="894907" cy="361507"/>
              <wp:effectExtent l="0" t="0" r="635" b="635"/>
              <wp:wrapNone/>
              <wp:docPr id="22" name="Group 22"/>
              <wp:cNvGraphicFramePr/>
              <a:graphic xmlns:a="http://schemas.openxmlformats.org/drawingml/2006/main">
                <a:graphicData uri="http://schemas.microsoft.com/office/word/2010/wordprocessingGroup">
                  <wpg:wgp>
                    <wpg:cNvGrpSpPr/>
                    <wpg:grpSpPr>
                      <a:xfrm>
                        <a:off x="0" y="0"/>
                        <a:ext cx="894907" cy="361507"/>
                        <a:chOff x="0" y="0"/>
                        <a:chExt cx="1282804" cy="518615"/>
                      </a:xfrm>
                    </wpg:grpSpPr>
                    <wps:wsp>
                      <wps:cNvPr id="23"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1C98D4" id="Group 22" o:spid="_x0000_s1026" style="position:absolute;margin-left:375.45pt;margin-top:7.75pt;width:70.45pt;height:28.45pt;z-index:251661312;mso-position-horizontal-relative:margin;mso-width-relative:margin;mso-height-relative:margin"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" fillcolor="#ffc000" stroked="f" strokeweight="1pt">
                <v:stroke joinstyle="miter"/>
              </v:oval>
              <v:oval id="Oval 25"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" fillcolor="#d8d8d8 [2732]" stroked="f" strokeweight="1pt">
                <v:stroke joinstyle="miter"/>
              </v:oval>
              <v:oval id="Oval 26"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" fillcolor="#d8d8d8 [2732]" stroked="f" strokeweight="1pt">
                <v:stroke joinstyle="miter"/>
              </v:oval>
              <v:oval id="Oval 27"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" fillcolor="#d8d8d8 [2732]" stroked="f" strokeweight="1pt">
                <v:stroke joinstyle="miter"/>
              </v:oval>
              <v:oval id="Oval 28"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" fillcolor="#d8d8d8 [2732]" stroked="f" strokeweight="1pt">
                <v:stroke joinstyle="miter"/>
              </v:oval>
              <v:oval id="Oval 29"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" fillcolor="#d8d8d8 [2732]" stroked="f" strokeweight="1pt">
                <v:stroke joinstyle="miter"/>
              </v:oval>
              <v:oval id="Oval 30"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" fillcolor="#d8d8d8 [2732]" stroked="f" strokeweight="1pt">
                <v:stroke joinstyle="miter"/>
              </v:oval>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2A696" w14:textId="77777777" w:rsidR="00FB0DC0" w:rsidRDefault="00FB0DC0" w:rsidP="00455D29">
      <w:pPr>
        <w:spacing w:after="0" w:line="240" w:lineRule="auto"/>
      </w:pPr>
      <w:r>
        <w:separator/>
      </w:r>
    </w:p>
  </w:footnote>
  <w:footnote w:type="continuationSeparator" w:id="0">
    <w:p w14:paraId="063932A4" w14:textId="77777777" w:rsidR="00FB0DC0" w:rsidRDefault="00FB0DC0" w:rsidP="00455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4461490"/>
      <w:docPartObj>
        <w:docPartGallery w:val="Page Numbers (Top of Page)"/>
        <w:docPartUnique/>
      </w:docPartObj>
    </w:sdtPr>
    <w:sdtEndPr/>
    <w:sdtContent>
      <w:p w14:paraId="3D9BE94F" w14:textId="77777777" w:rsidR="006E3FC3" w:rsidRDefault="006E3FC3">
        <w:pPr>
          <w:pStyle w:val="Header"/>
          <w:jc w:val="center"/>
        </w:pPr>
        <w:r>
          <w:rPr>
            <w:noProof/>
            <w:lang w:eastAsia="sq-AL"/>
          </w:rPr>
          <mc:AlternateContent>
            <mc:Choice Requires="wpg">
              <w:drawing>
                <wp:anchor distT="0" distB="0" distL="114300" distR="114300" simplePos="0" relativeHeight="251659264" behindDoc="0" locked="0" layoutInCell="1" allowOverlap="1" wp14:anchorId="207763AC" wp14:editId="1F37705D">
                  <wp:simplePos x="0" y="0"/>
                  <wp:positionH relativeFrom="column">
                    <wp:posOffset>0</wp:posOffset>
                  </wp:positionH>
                  <wp:positionV relativeFrom="paragraph">
                    <wp:posOffset>0</wp:posOffset>
                  </wp:positionV>
                  <wp:extent cx="1282804" cy="518615"/>
                  <wp:effectExtent l="0" t="0" r="0" b="0"/>
                  <wp:wrapNone/>
                  <wp:docPr id="13" name="Group 13"/>
                  <wp:cNvGraphicFramePr/>
                  <a:graphic xmlns:a="http://schemas.openxmlformats.org/drawingml/2006/main">
                    <a:graphicData uri="http://schemas.microsoft.com/office/word/2010/wordprocessingGroup">
                      <wpg:wgp>
                        <wpg:cNvGrpSpPr/>
                        <wpg:grpSpPr>
                          <a:xfrm>
                            <a:off x="0" y="0"/>
                            <a:ext cx="1282804" cy="518615"/>
                            <a:chOff x="0" y="0"/>
                            <a:chExt cx="1282804" cy="518615"/>
                          </a:xfrm>
                        </wpg:grpSpPr>
                        <wps:wsp>
                          <wps:cNvPr id="14" name="Oval 13"/>
                          <wps:cNvSpPr/>
                          <wps:spPr>
                            <a:xfrm>
                              <a:off x="1071349" y="307075"/>
                              <a:ext cx="211455" cy="211455"/>
                            </a:xfrm>
                            <a:prstGeom prst="ellipse">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val 14"/>
                          <wps:cNvSpPr/>
                          <wps:spPr>
                            <a:xfrm>
                              <a:off x="723331" y="307075"/>
                              <a:ext cx="211540" cy="21154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68489" y="307075"/>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l 17"/>
                          <wps:cNvSpPr/>
                          <wps:spPr>
                            <a:xfrm>
                              <a:off x="0" y="307075"/>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wps:cNvSpPr/>
                          <wps:spPr>
                            <a:xfrm>
                              <a:off x="0" y="6824"/>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361666" y="6824"/>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723331" y="0"/>
                              <a:ext cx="211540" cy="211540"/>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a:off x="1071349" y="0"/>
                              <a:ext cx="211455" cy="211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482E8A" id="Group 13" o:spid="_x0000_s1026" style="position:absolute;margin-left:0;margin-top:0;width:101pt;height:40.85pt;z-index:251659264" coordsize="12828,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">
                  <v:oval id="Oval 13" o:spid="_x0000_s1027" style="position:absolute;left:10713;top:3070;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" fillcolor="#1f3763 [1608]" stroked="f" strokeweight="1pt">
                    <v:stroke joinstyle="miter"/>
                  </v:oval>
                  <v:oval id="Oval 14" o:spid="_x0000_s1028" style="position:absolute;left:7233;top:3070;width:2115;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" fillcolor="#ffc000" stroked="f" strokeweight="1pt">
                    <v:stroke joinstyle="miter"/>
                  </v:oval>
                  <v:oval id="Oval 16" o:spid="_x0000_s1029" style="position:absolute;left:3684;top:3070;width:2116;height: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" fillcolor="#d8d8d8 [2732]" stroked="f" strokeweight="1pt">
                    <v:stroke joinstyle="miter"/>
                  </v:oval>
                  <v:oval id="Oval 17" o:spid="_x0000_s1030" style="position:absolute;top:3070;width:2114;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" fillcolor="#d8d8d8 [2732]" stroked="f" strokeweight="1pt">
                    <v:stroke joinstyle="miter"/>
                  </v:oval>
                  <v:oval id="Oval 18" o:spid="_x0000_s1031" style="position:absolute;top:68;width:2114;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" fillcolor="#d8d8d8 [2732]" stroked="f" strokeweight="1pt">
                    <v:stroke joinstyle="miter"/>
                  </v:oval>
                  <v:oval id="Oval 19" o:spid="_x0000_s1032" style="position:absolute;left:3616;top:68;width:2116;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" fillcolor="#d8d8d8 [2732]" stroked="f" strokeweight="1pt">
                    <v:stroke joinstyle="miter"/>
                  </v:oval>
                  <v:oval id="Oval 20" o:spid="_x0000_s1033" style="position:absolute;left:7233;width:2115;height:2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" fillcolor="#d8d8d8 [2732]" stroked="f" strokeweight="1pt">
                    <v:stroke joinstyle="miter"/>
                  </v:oval>
                  <v:oval id="Oval 21" o:spid="_x0000_s1034" style="position:absolute;left:10713;width:2115;height:2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" fillcolor="#d8d8d8 [2732]" stroked="f" strokeweight="1pt">
                    <v:stroke joinstyle="miter"/>
                  </v:oval>
                </v:group>
              </w:pict>
            </mc:Fallback>
          </mc:AlternateContent>
        </w:r>
      </w:p>
      <w:p w14:paraId="21525E3B" w14:textId="77777777" w:rsidR="006E3FC3" w:rsidRDefault="006E3FC3">
        <w:pPr>
          <w:pStyle w:val="Header"/>
          <w:jc w:val="center"/>
        </w:pPr>
      </w:p>
      <w:p w14:paraId="6FF5D1CD" w14:textId="77777777" w:rsidR="006E3FC3" w:rsidRDefault="006E3FC3">
        <w:pPr>
          <w:pStyle w:val="Header"/>
          <w:jc w:val="center"/>
        </w:pPr>
        <w:r>
          <w:fldChar w:fldCharType="begin"/>
        </w:r>
        <w:r>
          <w:instrText xml:space="preserve"> PAGE   \* MERGEFORMAT </w:instrText>
        </w:r>
        <w:r>
          <w:fldChar w:fldCharType="separate"/>
        </w:r>
        <w:r w:rsidR="0035531E">
          <w:rPr>
            <w:noProof/>
          </w:rPr>
          <w:t>12</w:t>
        </w:r>
        <w:r>
          <w:fldChar w:fldCharType="end"/>
        </w:r>
      </w:p>
    </w:sdtContent>
  </w:sdt>
  <w:p w14:paraId="447E938B" w14:textId="77777777" w:rsidR="006E3FC3" w:rsidRDefault="006E3F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77AB3"/>
    <w:multiLevelType w:val="multilevel"/>
    <w:tmpl w:val="D5A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81C0C"/>
    <w:multiLevelType w:val="multilevel"/>
    <w:tmpl w:val="8208D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A3387"/>
    <w:multiLevelType w:val="multilevel"/>
    <w:tmpl w:val="DFAE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2F2BF5"/>
    <w:multiLevelType w:val="multilevel"/>
    <w:tmpl w:val="1930C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A561B9"/>
    <w:multiLevelType w:val="multilevel"/>
    <w:tmpl w:val="6686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EA4270"/>
    <w:multiLevelType w:val="multilevel"/>
    <w:tmpl w:val="58004F7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A0C98"/>
    <w:multiLevelType w:val="multilevel"/>
    <w:tmpl w:val="B4AA5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F624C0"/>
    <w:multiLevelType w:val="multilevel"/>
    <w:tmpl w:val="1296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9C1E62"/>
    <w:multiLevelType w:val="multilevel"/>
    <w:tmpl w:val="B0066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95192"/>
    <w:multiLevelType w:val="hybridMultilevel"/>
    <w:tmpl w:val="070CC382"/>
    <w:lvl w:ilvl="0" w:tplc="305EF3F4">
      <w:start w:val="1"/>
      <w:numFmt w:val="bullet"/>
      <w:lvlText w:val="-"/>
      <w:lvlJc w:val="left"/>
      <w:pPr>
        <w:ind w:left="540" w:hanging="360"/>
      </w:pPr>
      <w:rPr>
        <w:rFonts w:ascii="Calibri Light" w:eastAsiaTheme="minorHAnsi" w:hAnsi="Calibri Light" w:cs="Calibri Light"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291D6D72"/>
    <w:multiLevelType w:val="multilevel"/>
    <w:tmpl w:val="EF42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8508D"/>
    <w:multiLevelType w:val="multilevel"/>
    <w:tmpl w:val="DC5E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F43E56"/>
    <w:multiLevelType w:val="multilevel"/>
    <w:tmpl w:val="49B04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49600E"/>
    <w:multiLevelType w:val="multilevel"/>
    <w:tmpl w:val="A132A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E618D7"/>
    <w:multiLevelType w:val="multilevel"/>
    <w:tmpl w:val="46688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E609C"/>
    <w:multiLevelType w:val="multilevel"/>
    <w:tmpl w:val="2736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1C3663"/>
    <w:multiLevelType w:val="multilevel"/>
    <w:tmpl w:val="810C2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5F3FAB"/>
    <w:multiLevelType w:val="multilevel"/>
    <w:tmpl w:val="7F14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290236"/>
    <w:multiLevelType w:val="multilevel"/>
    <w:tmpl w:val="F3C4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002506"/>
    <w:multiLevelType w:val="multilevel"/>
    <w:tmpl w:val="1AE8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D92252"/>
    <w:multiLevelType w:val="hybridMultilevel"/>
    <w:tmpl w:val="B5CA7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AF24CF"/>
    <w:multiLevelType w:val="multilevel"/>
    <w:tmpl w:val="B65A3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4B1D37"/>
    <w:multiLevelType w:val="multilevel"/>
    <w:tmpl w:val="2018B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593797"/>
    <w:multiLevelType w:val="multilevel"/>
    <w:tmpl w:val="A88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645A1E"/>
    <w:multiLevelType w:val="multilevel"/>
    <w:tmpl w:val="DF26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B56715"/>
    <w:multiLevelType w:val="multilevel"/>
    <w:tmpl w:val="CF0A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EE0EB2"/>
    <w:multiLevelType w:val="multilevel"/>
    <w:tmpl w:val="D8B0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330F13"/>
    <w:multiLevelType w:val="multilevel"/>
    <w:tmpl w:val="E044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DA3264"/>
    <w:multiLevelType w:val="multilevel"/>
    <w:tmpl w:val="B32AB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01660A"/>
    <w:multiLevelType w:val="multilevel"/>
    <w:tmpl w:val="A2AE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0C0465"/>
    <w:multiLevelType w:val="multilevel"/>
    <w:tmpl w:val="9A764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2C5768"/>
    <w:multiLevelType w:val="multilevel"/>
    <w:tmpl w:val="D6D6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AD723D"/>
    <w:multiLevelType w:val="multilevel"/>
    <w:tmpl w:val="AAC82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C63157"/>
    <w:multiLevelType w:val="multilevel"/>
    <w:tmpl w:val="321A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A26893"/>
    <w:multiLevelType w:val="multilevel"/>
    <w:tmpl w:val="16761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3947C2"/>
    <w:multiLevelType w:val="multilevel"/>
    <w:tmpl w:val="2E0CF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6762DB"/>
    <w:multiLevelType w:val="multilevel"/>
    <w:tmpl w:val="63925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541850"/>
    <w:multiLevelType w:val="multilevel"/>
    <w:tmpl w:val="C08C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69427C"/>
    <w:multiLevelType w:val="multilevel"/>
    <w:tmpl w:val="C43A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C326D0"/>
    <w:multiLevelType w:val="multilevel"/>
    <w:tmpl w:val="6076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93EE8"/>
    <w:multiLevelType w:val="hybridMultilevel"/>
    <w:tmpl w:val="EC9A9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373C2"/>
    <w:multiLevelType w:val="multilevel"/>
    <w:tmpl w:val="55E6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EF34EB"/>
    <w:multiLevelType w:val="multilevel"/>
    <w:tmpl w:val="AA52B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66101C"/>
    <w:multiLevelType w:val="multilevel"/>
    <w:tmpl w:val="593A6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273D15"/>
    <w:multiLevelType w:val="hybridMultilevel"/>
    <w:tmpl w:val="FB9C319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9"/>
  </w:num>
  <w:num w:numId="3">
    <w:abstractNumId w:val="44"/>
  </w:num>
  <w:num w:numId="4">
    <w:abstractNumId w:val="20"/>
  </w:num>
  <w:num w:numId="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8"/>
  </w:num>
  <w:num w:numId="8">
    <w:abstractNumId w:val="12"/>
  </w:num>
  <w:num w:numId="9">
    <w:abstractNumId w:val="1"/>
  </w:num>
  <w:num w:numId="10">
    <w:abstractNumId w:val="7"/>
  </w:num>
  <w:num w:numId="11">
    <w:abstractNumId w:val="38"/>
  </w:num>
  <w:num w:numId="12">
    <w:abstractNumId w:val="3"/>
  </w:num>
  <w:num w:numId="13">
    <w:abstractNumId w:val="30"/>
  </w:num>
  <w:num w:numId="14">
    <w:abstractNumId w:val="31"/>
  </w:num>
  <w:num w:numId="15">
    <w:abstractNumId w:val="0"/>
  </w:num>
  <w:num w:numId="16">
    <w:abstractNumId w:val="25"/>
  </w:num>
  <w:num w:numId="17">
    <w:abstractNumId w:val="19"/>
  </w:num>
  <w:num w:numId="18">
    <w:abstractNumId w:val="33"/>
  </w:num>
  <w:num w:numId="19">
    <w:abstractNumId w:val="4"/>
  </w:num>
  <w:num w:numId="20">
    <w:abstractNumId w:val="39"/>
  </w:num>
  <w:num w:numId="21">
    <w:abstractNumId w:val="36"/>
  </w:num>
  <w:num w:numId="22">
    <w:abstractNumId w:val="22"/>
  </w:num>
  <w:num w:numId="23">
    <w:abstractNumId w:val="24"/>
  </w:num>
  <w:num w:numId="24">
    <w:abstractNumId w:val="37"/>
  </w:num>
  <w:num w:numId="25">
    <w:abstractNumId w:val="42"/>
  </w:num>
  <w:num w:numId="26">
    <w:abstractNumId w:val="13"/>
  </w:num>
  <w:num w:numId="27">
    <w:abstractNumId w:val="29"/>
  </w:num>
  <w:num w:numId="28">
    <w:abstractNumId w:val="17"/>
  </w:num>
  <w:num w:numId="29">
    <w:abstractNumId w:val="28"/>
  </w:num>
  <w:num w:numId="30">
    <w:abstractNumId w:val="16"/>
  </w:num>
  <w:num w:numId="31">
    <w:abstractNumId w:val="14"/>
  </w:num>
  <w:num w:numId="32">
    <w:abstractNumId w:val="26"/>
  </w:num>
  <w:num w:numId="33">
    <w:abstractNumId w:val="23"/>
  </w:num>
  <w:num w:numId="34">
    <w:abstractNumId w:val="41"/>
  </w:num>
  <w:num w:numId="35">
    <w:abstractNumId w:val="43"/>
  </w:num>
  <w:num w:numId="36">
    <w:abstractNumId w:val="5"/>
  </w:num>
  <w:num w:numId="37">
    <w:abstractNumId w:val="2"/>
  </w:num>
  <w:num w:numId="38">
    <w:abstractNumId w:val="21"/>
  </w:num>
  <w:num w:numId="39">
    <w:abstractNumId w:val="11"/>
  </w:num>
  <w:num w:numId="40">
    <w:abstractNumId w:val="15"/>
  </w:num>
  <w:num w:numId="41">
    <w:abstractNumId w:val="18"/>
  </w:num>
  <w:num w:numId="42">
    <w:abstractNumId w:val="34"/>
  </w:num>
  <w:num w:numId="43">
    <w:abstractNumId w:val="6"/>
  </w:num>
  <w:num w:numId="44">
    <w:abstractNumId w:val="10"/>
  </w:num>
  <w:num w:numId="45">
    <w:abstractNumId w:val="27"/>
  </w:num>
  <w:num w:numId="46">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899"/>
    <w:rsid w:val="00001527"/>
    <w:rsid w:val="000023AA"/>
    <w:rsid w:val="00005AC5"/>
    <w:rsid w:val="00005DCB"/>
    <w:rsid w:val="00007342"/>
    <w:rsid w:val="000073B7"/>
    <w:rsid w:val="00007968"/>
    <w:rsid w:val="00007B6C"/>
    <w:rsid w:val="000113EB"/>
    <w:rsid w:val="00012849"/>
    <w:rsid w:val="000129BF"/>
    <w:rsid w:val="00015432"/>
    <w:rsid w:val="00015A8A"/>
    <w:rsid w:val="0001613F"/>
    <w:rsid w:val="00017BB9"/>
    <w:rsid w:val="00017D98"/>
    <w:rsid w:val="000203CB"/>
    <w:rsid w:val="000207A8"/>
    <w:rsid w:val="00021261"/>
    <w:rsid w:val="00021453"/>
    <w:rsid w:val="00021DC8"/>
    <w:rsid w:val="00022465"/>
    <w:rsid w:val="000229B8"/>
    <w:rsid w:val="00024C00"/>
    <w:rsid w:val="00024E13"/>
    <w:rsid w:val="00025A7B"/>
    <w:rsid w:val="00026342"/>
    <w:rsid w:val="00026B54"/>
    <w:rsid w:val="00027624"/>
    <w:rsid w:val="00027EAE"/>
    <w:rsid w:val="00027EDA"/>
    <w:rsid w:val="00030BA0"/>
    <w:rsid w:val="00031BB6"/>
    <w:rsid w:val="00031D89"/>
    <w:rsid w:val="00032672"/>
    <w:rsid w:val="00034627"/>
    <w:rsid w:val="00035900"/>
    <w:rsid w:val="00036236"/>
    <w:rsid w:val="000372E3"/>
    <w:rsid w:val="00037668"/>
    <w:rsid w:val="00041E24"/>
    <w:rsid w:val="0004252C"/>
    <w:rsid w:val="00042A3B"/>
    <w:rsid w:val="00043AC7"/>
    <w:rsid w:val="00044228"/>
    <w:rsid w:val="00044E4A"/>
    <w:rsid w:val="0004551E"/>
    <w:rsid w:val="00045CFD"/>
    <w:rsid w:val="000473CE"/>
    <w:rsid w:val="00047701"/>
    <w:rsid w:val="0005042E"/>
    <w:rsid w:val="00050692"/>
    <w:rsid w:val="00051A5D"/>
    <w:rsid w:val="00051CD5"/>
    <w:rsid w:val="00051D18"/>
    <w:rsid w:val="00052C6C"/>
    <w:rsid w:val="00052DD7"/>
    <w:rsid w:val="0005516F"/>
    <w:rsid w:val="00056088"/>
    <w:rsid w:val="000630F3"/>
    <w:rsid w:val="00063FDD"/>
    <w:rsid w:val="000653E6"/>
    <w:rsid w:val="00065B38"/>
    <w:rsid w:val="0006713F"/>
    <w:rsid w:val="000673C2"/>
    <w:rsid w:val="00067DBB"/>
    <w:rsid w:val="000702D0"/>
    <w:rsid w:val="000754F3"/>
    <w:rsid w:val="0007612D"/>
    <w:rsid w:val="00076CF3"/>
    <w:rsid w:val="00077B71"/>
    <w:rsid w:val="00080477"/>
    <w:rsid w:val="00081A62"/>
    <w:rsid w:val="00082E23"/>
    <w:rsid w:val="000830B7"/>
    <w:rsid w:val="0008345C"/>
    <w:rsid w:val="00083DE0"/>
    <w:rsid w:val="00084448"/>
    <w:rsid w:val="0008465A"/>
    <w:rsid w:val="00084F0F"/>
    <w:rsid w:val="00085112"/>
    <w:rsid w:val="000852D8"/>
    <w:rsid w:val="00085957"/>
    <w:rsid w:val="000875E9"/>
    <w:rsid w:val="00091FF4"/>
    <w:rsid w:val="00092CE5"/>
    <w:rsid w:val="0009413B"/>
    <w:rsid w:val="00094A9B"/>
    <w:rsid w:val="00094CE7"/>
    <w:rsid w:val="00094E1D"/>
    <w:rsid w:val="000968D5"/>
    <w:rsid w:val="000A0988"/>
    <w:rsid w:val="000A284C"/>
    <w:rsid w:val="000A2ADD"/>
    <w:rsid w:val="000A37F2"/>
    <w:rsid w:val="000A4F9C"/>
    <w:rsid w:val="000A664B"/>
    <w:rsid w:val="000A7D95"/>
    <w:rsid w:val="000B2571"/>
    <w:rsid w:val="000B2E29"/>
    <w:rsid w:val="000B6673"/>
    <w:rsid w:val="000B6DA5"/>
    <w:rsid w:val="000B75E4"/>
    <w:rsid w:val="000C5105"/>
    <w:rsid w:val="000C5A31"/>
    <w:rsid w:val="000C6083"/>
    <w:rsid w:val="000C76B1"/>
    <w:rsid w:val="000D1025"/>
    <w:rsid w:val="000D17E6"/>
    <w:rsid w:val="000D20B3"/>
    <w:rsid w:val="000D4D80"/>
    <w:rsid w:val="000D5572"/>
    <w:rsid w:val="000D6711"/>
    <w:rsid w:val="000D6FE9"/>
    <w:rsid w:val="000E0270"/>
    <w:rsid w:val="000E3E4B"/>
    <w:rsid w:val="000E40FB"/>
    <w:rsid w:val="000E4247"/>
    <w:rsid w:val="000E478E"/>
    <w:rsid w:val="000E558B"/>
    <w:rsid w:val="000E5EAE"/>
    <w:rsid w:val="000E6EA4"/>
    <w:rsid w:val="000F1CCF"/>
    <w:rsid w:val="000F1D0D"/>
    <w:rsid w:val="000F2F08"/>
    <w:rsid w:val="000F35B7"/>
    <w:rsid w:val="000F5C82"/>
    <w:rsid w:val="00100181"/>
    <w:rsid w:val="001012F7"/>
    <w:rsid w:val="0010168C"/>
    <w:rsid w:val="001023BA"/>
    <w:rsid w:val="00102D52"/>
    <w:rsid w:val="001040CF"/>
    <w:rsid w:val="00104F6B"/>
    <w:rsid w:val="00105C72"/>
    <w:rsid w:val="00107F91"/>
    <w:rsid w:val="00111548"/>
    <w:rsid w:val="001117C0"/>
    <w:rsid w:val="001124A0"/>
    <w:rsid w:val="001126CD"/>
    <w:rsid w:val="00112876"/>
    <w:rsid w:val="00113728"/>
    <w:rsid w:val="00115295"/>
    <w:rsid w:val="001166F3"/>
    <w:rsid w:val="0011684F"/>
    <w:rsid w:val="00120A60"/>
    <w:rsid w:val="001219BA"/>
    <w:rsid w:val="00121CE8"/>
    <w:rsid w:val="00122906"/>
    <w:rsid w:val="00123388"/>
    <w:rsid w:val="00124082"/>
    <w:rsid w:val="00125F12"/>
    <w:rsid w:val="001261C7"/>
    <w:rsid w:val="00127BC5"/>
    <w:rsid w:val="0013010C"/>
    <w:rsid w:val="0013112C"/>
    <w:rsid w:val="0013165C"/>
    <w:rsid w:val="001322CD"/>
    <w:rsid w:val="001322FF"/>
    <w:rsid w:val="00132BA4"/>
    <w:rsid w:val="00132C1E"/>
    <w:rsid w:val="001330D7"/>
    <w:rsid w:val="001353FB"/>
    <w:rsid w:val="001371D0"/>
    <w:rsid w:val="00137FF6"/>
    <w:rsid w:val="00140E96"/>
    <w:rsid w:val="001410F1"/>
    <w:rsid w:val="00141C52"/>
    <w:rsid w:val="00142911"/>
    <w:rsid w:val="00142E62"/>
    <w:rsid w:val="001441F2"/>
    <w:rsid w:val="00144504"/>
    <w:rsid w:val="0014462B"/>
    <w:rsid w:val="001473FE"/>
    <w:rsid w:val="0015166D"/>
    <w:rsid w:val="00153E14"/>
    <w:rsid w:val="001546FB"/>
    <w:rsid w:val="0015480C"/>
    <w:rsid w:val="00155A4C"/>
    <w:rsid w:val="00155DFD"/>
    <w:rsid w:val="00156183"/>
    <w:rsid w:val="00156ED0"/>
    <w:rsid w:val="00157802"/>
    <w:rsid w:val="001613D1"/>
    <w:rsid w:val="0016183D"/>
    <w:rsid w:val="00161E26"/>
    <w:rsid w:val="00162AAD"/>
    <w:rsid w:val="0016363B"/>
    <w:rsid w:val="00163655"/>
    <w:rsid w:val="00163B8A"/>
    <w:rsid w:val="00165088"/>
    <w:rsid w:val="00166777"/>
    <w:rsid w:val="00167E7C"/>
    <w:rsid w:val="001713E3"/>
    <w:rsid w:val="00171697"/>
    <w:rsid w:val="00171DE3"/>
    <w:rsid w:val="00172408"/>
    <w:rsid w:val="001735A8"/>
    <w:rsid w:val="00173A2F"/>
    <w:rsid w:val="00174632"/>
    <w:rsid w:val="00176844"/>
    <w:rsid w:val="001803A3"/>
    <w:rsid w:val="001827D4"/>
    <w:rsid w:val="00184DA7"/>
    <w:rsid w:val="00185A6B"/>
    <w:rsid w:val="0018605B"/>
    <w:rsid w:val="0018704C"/>
    <w:rsid w:val="00187FC3"/>
    <w:rsid w:val="00194855"/>
    <w:rsid w:val="001948F1"/>
    <w:rsid w:val="0019675E"/>
    <w:rsid w:val="00197424"/>
    <w:rsid w:val="001978D6"/>
    <w:rsid w:val="001A0771"/>
    <w:rsid w:val="001A1D56"/>
    <w:rsid w:val="001A4113"/>
    <w:rsid w:val="001A6B2E"/>
    <w:rsid w:val="001A6CA9"/>
    <w:rsid w:val="001A6D3C"/>
    <w:rsid w:val="001A6FD7"/>
    <w:rsid w:val="001B020C"/>
    <w:rsid w:val="001B1A05"/>
    <w:rsid w:val="001B1FAE"/>
    <w:rsid w:val="001B2740"/>
    <w:rsid w:val="001B3758"/>
    <w:rsid w:val="001B5521"/>
    <w:rsid w:val="001C3D26"/>
    <w:rsid w:val="001C467E"/>
    <w:rsid w:val="001C4762"/>
    <w:rsid w:val="001C4859"/>
    <w:rsid w:val="001C4A1E"/>
    <w:rsid w:val="001C5103"/>
    <w:rsid w:val="001C56B1"/>
    <w:rsid w:val="001C6495"/>
    <w:rsid w:val="001D0A4C"/>
    <w:rsid w:val="001D5577"/>
    <w:rsid w:val="001D6358"/>
    <w:rsid w:val="001D63C0"/>
    <w:rsid w:val="001D691C"/>
    <w:rsid w:val="001E4786"/>
    <w:rsid w:val="001E4DD9"/>
    <w:rsid w:val="001E5AAB"/>
    <w:rsid w:val="001E685D"/>
    <w:rsid w:val="001E6F33"/>
    <w:rsid w:val="001F07FE"/>
    <w:rsid w:val="001F2630"/>
    <w:rsid w:val="001F364F"/>
    <w:rsid w:val="001F5C47"/>
    <w:rsid w:val="001F5D80"/>
    <w:rsid w:val="001F5EF1"/>
    <w:rsid w:val="0020023D"/>
    <w:rsid w:val="00201128"/>
    <w:rsid w:val="00201B51"/>
    <w:rsid w:val="002038F3"/>
    <w:rsid w:val="00204FC7"/>
    <w:rsid w:val="00207085"/>
    <w:rsid w:val="002102E3"/>
    <w:rsid w:val="0021168D"/>
    <w:rsid w:val="002125FD"/>
    <w:rsid w:val="00214DCE"/>
    <w:rsid w:val="0021543B"/>
    <w:rsid w:val="002158EF"/>
    <w:rsid w:val="002164DF"/>
    <w:rsid w:val="00216A28"/>
    <w:rsid w:val="002179EF"/>
    <w:rsid w:val="00217C11"/>
    <w:rsid w:val="00221BEB"/>
    <w:rsid w:val="002221E9"/>
    <w:rsid w:val="002227EC"/>
    <w:rsid w:val="00222E8C"/>
    <w:rsid w:val="00224BE6"/>
    <w:rsid w:val="00224FF9"/>
    <w:rsid w:val="002254BD"/>
    <w:rsid w:val="00226442"/>
    <w:rsid w:val="0023050C"/>
    <w:rsid w:val="0023213A"/>
    <w:rsid w:val="00232E62"/>
    <w:rsid w:val="00233A97"/>
    <w:rsid w:val="0023583F"/>
    <w:rsid w:val="00235966"/>
    <w:rsid w:val="00240236"/>
    <w:rsid w:val="00240E19"/>
    <w:rsid w:val="00242137"/>
    <w:rsid w:val="002423B0"/>
    <w:rsid w:val="00242928"/>
    <w:rsid w:val="002436B1"/>
    <w:rsid w:val="00244623"/>
    <w:rsid w:val="00246EDA"/>
    <w:rsid w:val="002514AB"/>
    <w:rsid w:val="00252363"/>
    <w:rsid w:val="002527DC"/>
    <w:rsid w:val="002542E8"/>
    <w:rsid w:val="00255971"/>
    <w:rsid w:val="002569C0"/>
    <w:rsid w:val="00257B52"/>
    <w:rsid w:val="002605FB"/>
    <w:rsid w:val="002617A9"/>
    <w:rsid w:val="00261961"/>
    <w:rsid w:val="00263425"/>
    <w:rsid w:val="002638EB"/>
    <w:rsid w:val="00263A11"/>
    <w:rsid w:val="002643CF"/>
    <w:rsid w:val="00264D23"/>
    <w:rsid w:val="00264E78"/>
    <w:rsid w:val="00265205"/>
    <w:rsid w:val="00265824"/>
    <w:rsid w:val="00267AC7"/>
    <w:rsid w:val="00271E50"/>
    <w:rsid w:val="00272431"/>
    <w:rsid w:val="002739F2"/>
    <w:rsid w:val="00274117"/>
    <w:rsid w:val="00275028"/>
    <w:rsid w:val="00275EF3"/>
    <w:rsid w:val="00276220"/>
    <w:rsid w:val="002803C9"/>
    <w:rsid w:val="00280825"/>
    <w:rsid w:val="00280BB6"/>
    <w:rsid w:val="00281281"/>
    <w:rsid w:val="00282571"/>
    <w:rsid w:val="00282C06"/>
    <w:rsid w:val="00283AA0"/>
    <w:rsid w:val="00283C50"/>
    <w:rsid w:val="00283D63"/>
    <w:rsid w:val="00284065"/>
    <w:rsid w:val="00284AEF"/>
    <w:rsid w:val="00285CEC"/>
    <w:rsid w:val="00290C01"/>
    <w:rsid w:val="00290DE3"/>
    <w:rsid w:val="002923CE"/>
    <w:rsid w:val="00292B39"/>
    <w:rsid w:val="00292BAA"/>
    <w:rsid w:val="00292BE6"/>
    <w:rsid w:val="00293231"/>
    <w:rsid w:val="00293C2A"/>
    <w:rsid w:val="00294F9E"/>
    <w:rsid w:val="00296399"/>
    <w:rsid w:val="00296C7E"/>
    <w:rsid w:val="002972B0"/>
    <w:rsid w:val="002A133F"/>
    <w:rsid w:val="002A19AA"/>
    <w:rsid w:val="002A1FD4"/>
    <w:rsid w:val="002A241C"/>
    <w:rsid w:val="002A362E"/>
    <w:rsid w:val="002A3679"/>
    <w:rsid w:val="002A3940"/>
    <w:rsid w:val="002A46FF"/>
    <w:rsid w:val="002A56C5"/>
    <w:rsid w:val="002B0561"/>
    <w:rsid w:val="002B127D"/>
    <w:rsid w:val="002B302A"/>
    <w:rsid w:val="002B39E9"/>
    <w:rsid w:val="002B46BF"/>
    <w:rsid w:val="002B476C"/>
    <w:rsid w:val="002C0069"/>
    <w:rsid w:val="002C1755"/>
    <w:rsid w:val="002C35B2"/>
    <w:rsid w:val="002C3CD2"/>
    <w:rsid w:val="002C5B58"/>
    <w:rsid w:val="002C616F"/>
    <w:rsid w:val="002C703B"/>
    <w:rsid w:val="002C70F8"/>
    <w:rsid w:val="002C7A51"/>
    <w:rsid w:val="002C7B8A"/>
    <w:rsid w:val="002C7BD3"/>
    <w:rsid w:val="002C7F6E"/>
    <w:rsid w:val="002D03A6"/>
    <w:rsid w:val="002D069B"/>
    <w:rsid w:val="002D06DF"/>
    <w:rsid w:val="002D0A85"/>
    <w:rsid w:val="002D0B44"/>
    <w:rsid w:val="002D0F75"/>
    <w:rsid w:val="002D2518"/>
    <w:rsid w:val="002D3284"/>
    <w:rsid w:val="002D34C8"/>
    <w:rsid w:val="002D4BA0"/>
    <w:rsid w:val="002D5F59"/>
    <w:rsid w:val="002D627F"/>
    <w:rsid w:val="002E0503"/>
    <w:rsid w:val="002E076B"/>
    <w:rsid w:val="002E0F9F"/>
    <w:rsid w:val="002E1DBC"/>
    <w:rsid w:val="002E3A5B"/>
    <w:rsid w:val="002E4303"/>
    <w:rsid w:val="002E4F8A"/>
    <w:rsid w:val="002E58B5"/>
    <w:rsid w:val="002E6A4A"/>
    <w:rsid w:val="002E6C9F"/>
    <w:rsid w:val="002E6CF5"/>
    <w:rsid w:val="002E7443"/>
    <w:rsid w:val="002E7864"/>
    <w:rsid w:val="002E7F5F"/>
    <w:rsid w:val="002F234C"/>
    <w:rsid w:val="002F66C8"/>
    <w:rsid w:val="002F6FA1"/>
    <w:rsid w:val="002F77C7"/>
    <w:rsid w:val="002F7F9D"/>
    <w:rsid w:val="0030067D"/>
    <w:rsid w:val="00307430"/>
    <w:rsid w:val="00312CBE"/>
    <w:rsid w:val="00312D27"/>
    <w:rsid w:val="00315539"/>
    <w:rsid w:val="00315899"/>
    <w:rsid w:val="00315B69"/>
    <w:rsid w:val="00315DCF"/>
    <w:rsid w:val="00316C13"/>
    <w:rsid w:val="00317B12"/>
    <w:rsid w:val="00321158"/>
    <w:rsid w:val="0032123A"/>
    <w:rsid w:val="00321592"/>
    <w:rsid w:val="00322A5F"/>
    <w:rsid w:val="00322AA4"/>
    <w:rsid w:val="00323FCB"/>
    <w:rsid w:val="00325956"/>
    <w:rsid w:val="00325C4E"/>
    <w:rsid w:val="00330424"/>
    <w:rsid w:val="003304F3"/>
    <w:rsid w:val="0033293D"/>
    <w:rsid w:val="00332B26"/>
    <w:rsid w:val="00333275"/>
    <w:rsid w:val="003349E0"/>
    <w:rsid w:val="0033504E"/>
    <w:rsid w:val="003357C4"/>
    <w:rsid w:val="00335BD2"/>
    <w:rsid w:val="003364B8"/>
    <w:rsid w:val="003379CB"/>
    <w:rsid w:val="00337ACF"/>
    <w:rsid w:val="00337EE8"/>
    <w:rsid w:val="00341E73"/>
    <w:rsid w:val="00342618"/>
    <w:rsid w:val="00343940"/>
    <w:rsid w:val="00343E2C"/>
    <w:rsid w:val="003447FA"/>
    <w:rsid w:val="003455A7"/>
    <w:rsid w:val="00347A02"/>
    <w:rsid w:val="00352B5B"/>
    <w:rsid w:val="00354549"/>
    <w:rsid w:val="003550D3"/>
    <w:rsid w:val="0035531E"/>
    <w:rsid w:val="00355C0D"/>
    <w:rsid w:val="00357C1B"/>
    <w:rsid w:val="00360B20"/>
    <w:rsid w:val="00361175"/>
    <w:rsid w:val="00361546"/>
    <w:rsid w:val="00362184"/>
    <w:rsid w:val="00363405"/>
    <w:rsid w:val="00363E56"/>
    <w:rsid w:val="00364713"/>
    <w:rsid w:val="00364E39"/>
    <w:rsid w:val="00366116"/>
    <w:rsid w:val="003662DC"/>
    <w:rsid w:val="003667FA"/>
    <w:rsid w:val="00366A11"/>
    <w:rsid w:val="00366CF9"/>
    <w:rsid w:val="00366D66"/>
    <w:rsid w:val="0036700C"/>
    <w:rsid w:val="0036720E"/>
    <w:rsid w:val="00370D42"/>
    <w:rsid w:val="00372EB9"/>
    <w:rsid w:val="003735C6"/>
    <w:rsid w:val="00375F58"/>
    <w:rsid w:val="00380BBA"/>
    <w:rsid w:val="00381CE8"/>
    <w:rsid w:val="0038325E"/>
    <w:rsid w:val="00390B68"/>
    <w:rsid w:val="00392292"/>
    <w:rsid w:val="00392785"/>
    <w:rsid w:val="00392BF0"/>
    <w:rsid w:val="003931BD"/>
    <w:rsid w:val="00393B6B"/>
    <w:rsid w:val="00395DFC"/>
    <w:rsid w:val="003961D4"/>
    <w:rsid w:val="003965D4"/>
    <w:rsid w:val="00397DD1"/>
    <w:rsid w:val="003A0741"/>
    <w:rsid w:val="003A1C20"/>
    <w:rsid w:val="003A237D"/>
    <w:rsid w:val="003A29B0"/>
    <w:rsid w:val="003A3AD8"/>
    <w:rsid w:val="003A4180"/>
    <w:rsid w:val="003A4524"/>
    <w:rsid w:val="003A4A08"/>
    <w:rsid w:val="003A6511"/>
    <w:rsid w:val="003B03C5"/>
    <w:rsid w:val="003B1DE5"/>
    <w:rsid w:val="003B2756"/>
    <w:rsid w:val="003B3A13"/>
    <w:rsid w:val="003B3FF3"/>
    <w:rsid w:val="003B4239"/>
    <w:rsid w:val="003B4317"/>
    <w:rsid w:val="003B4F2A"/>
    <w:rsid w:val="003B54D6"/>
    <w:rsid w:val="003B5918"/>
    <w:rsid w:val="003B6AFD"/>
    <w:rsid w:val="003C1DF7"/>
    <w:rsid w:val="003C3841"/>
    <w:rsid w:val="003C391D"/>
    <w:rsid w:val="003C49BE"/>
    <w:rsid w:val="003C6E3C"/>
    <w:rsid w:val="003C6F00"/>
    <w:rsid w:val="003D0140"/>
    <w:rsid w:val="003D07EF"/>
    <w:rsid w:val="003D0D80"/>
    <w:rsid w:val="003D130E"/>
    <w:rsid w:val="003D4122"/>
    <w:rsid w:val="003D4A20"/>
    <w:rsid w:val="003D4CBA"/>
    <w:rsid w:val="003D530C"/>
    <w:rsid w:val="003D5A22"/>
    <w:rsid w:val="003E0490"/>
    <w:rsid w:val="003E075C"/>
    <w:rsid w:val="003E08CD"/>
    <w:rsid w:val="003E1060"/>
    <w:rsid w:val="003E16FF"/>
    <w:rsid w:val="003E19DD"/>
    <w:rsid w:val="003E3D8D"/>
    <w:rsid w:val="003E48C2"/>
    <w:rsid w:val="003E6152"/>
    <w:rsid w:val="003E6716"/>
    <w:rsid w:val="003F02A1"/>
    <w:rsid w:val="003F1E50"/>
    <w:rsid w:val="003F2D54"/>
    <w:rsid w:val="003F3E26"/>
    <w:rsid w:val="003F57AE"/>
    <w:rsid w:val="003F660B"/>
    <w:rsid w:val="00402450"/>
    <w:rsid w:val="00402E9A"/>
    <w:rsid w:val="00404688"/>
    <w:rsid w:val="004057E0"/>
    <w:rsid w:val="00406284"/>
    <w:rsid w:val="0040755D"/>
    <w:rsid w:val="00407972"/>
    <w:rsid w:val="00410754"/>
    <w:rsid w:val="00411EB4"/>
    <w:rsid w:val="00412376"/>
    <w:rsid w:val="00412485"/>
    <w:rsid w:val="00413C0B"/>
    <w:rsid w:val="0041748B"/>
    <w:rsid w:val="00420BCC"/>
    <w:rsid w:val="00422CE4"/>
    <w:rsid w:val="004234F0"/>
    <w:rsid w:val="004250B9"/>
    <w:rsid w:val="004275FD"/>
    <w:rsid w:val="0043082F"/>
    <w:rsid w:val="004314AE"/>
    <w:rsid w:val="00431AF3"/>
    <w:rsid w:val="00433624"/>
    <w:rsid w:val="004356D9"/>
    <w:rsid w:val="00435A34"/>
    <w:rsid w:val="0043704D"/>
    <w:rsid w:val="00437072"/>
    <w:rsid w:val="0044008D"/>
    <w:rsid w:val="00440A31"/>
    <w:rsid w:val="00441646"/>
    <w:rsid w:val="00441ABA"/>
    <w:rsid w:val="00442085"/>
    <w:rsid w:val="00443E01"/>
    <w:rsid w:val="00443EFA"/>
    <w:rsid w:val="00444CE0"/>
    <w:rsid w:val="0044505B"/>
    <w:rsid w:val="004461DD"/>
    <w:rsid w:val="004469B8"/>
    <w:rsid w:val="004475EB"/>
    <w:rsid w:val="0045012B"/>
    <w:rsid w:val="004507E3"/>
    <w:rsid w:val="0045103A"/>
    <w:rsid w:val="00451E69"/>
    <w:rsid w:val="00452BF7"/>
    <w:rsid w:val="004534DD"/>
    <w:rsid w:val="004549B1"/>
    <w:rsid w:val="00454D44"/>
    <w:rsid w:val="00455197"/>
    <w:rsid w:val="00455D29"/>
    <w:rsid w:val="00460CC0"/>
    <w:rsid w:val="004610F5"/>
    <w:rsid w:val="00462F33"/>
    <w:rsid w:val="004634B3"/>
    <w:rsid w:val="004654C2"/>
    <w:rsid w:val="00465B84"/>
    <w:rsid w:val="00466532"/>
    <w:rsid w:val="00470E81"/>
    <w:rsid w:val="00471108"/>
    <w:rsid w:val="004729DE"/>
    <w:rsid w:val="0047320B"/>
    <w:rsid w:val="00473A87"/>
    <w:rsid w:val="004747AF"/>
    <w:rsid w:val="00474959"/>
    <w:rsid w:val="00475484"/>
    <w:rsid w:val="00475B59"/>
    <w:rsid w:val="004778C9"/>
    <w:rsid w:val="00477CA0"/>
    <w:rsid w:val="00480119"/>
    <w:rsid w:val="00480C1B"/>
    <w:rsid w:val="004835B6"/>
    <w:rsid w:val="004847AB"/>
    <w:rsid w:val="004856E3"/>
    <w:rsid w:val="00485BBA"/>
    <w:rsid w:val="0048746F"/>
    <w:rsid w:val="00490B90"/>
    <w:rsid w:val="00491B7F"/>
    <w:rsid w:val="00492B8B"/>
    <w:rsid w:val="00492BD9"/>
    <w:rsid w:val="00493819"/>
    <w:rsid w:val="00495D47"/>
    <w:rsid w:val="00497257"/>
    <w:rsid w:val="00497858"/>
    <w:rsid w:val="004A1667"/>
    <w:rsid w:val="004A2EA5"/>
    <w:rsid w:val="004A37C7"/>
    <w:rsid w:val="004A41D5"/>
    <w:rsid w:val="004A4273"/>
    <w:rsid w:val="004A45B2"/>
    <w:rsid w:val="004A54D5"/>
    <w:rsid w:val="004A7396"/>
    <w:rsid w:val="004B011E"/>
    <w:rsid w:val="004B07EE"/>
    <w:rsid w:val="004B1E79"/>
    <w:rsid w:val="004B2308"/>
    <w:rsid w:val="004B46F9"/>
    <w:rsid w:val="004B594F"/>
    <w:rsid w:val="004B5D1A"/>
    <w:rsid w:val="004B5E70"/>
    <w:rsid w:val="004B74AD"/>
    <w:rsid w:val="004C1B1E"/>
    <w:rsid w:val="004C2A29"/>
    <w:rsid w:val="004C3FE8"/>
    <w:rsid w:val="004C5C7C"/>
    <w:rsid w:val="004C60C1"/>
    <w:rsid w:val="004C637A"/>
    <w:rsid w:val="004C655D"/>
    <w:rsid w:val="004D0F33"/>
    <w:rsid w:val="004D1729"/>
    <w:rsid w:val="004D17CD"/>
    <w:rsid w:val="004D20EB"/>
    <w:rsid w:val="004D227F"/>
    <w:rsid w:val="004D2356"/>
    <w:rsid w:val="004D4F40"/>
    <w:rsid w:val="004D56AA"/>
    <w:rsid w:val="004D597A"/>
    <w:rsid w:val="004D5B67"/>
    <w:rsid w:val="004D6E28"/>
    <w:rsid w:val="004D7E2E"/>
    <w:rsid w:val="004E035A"/>
    <w:rsid w:val="004E0DA8"/>
    <w:rsid w:val="004E1358"/>
    <w:rsid w:val="004E244E"/>
    <w:rsid w:val="004E26B8"/>
    <w:rsid w:val="004E44DF"/>
    <w:rsid w:val="004E5C48"/>
    <w:rsid w:val="004E5E7F"/>
    <w:rsid w:val="004E7C1D"/>
    <w:rsid w:val="004F0B8B"/>
    <w:rsid w:val="004F2BA4"/>
    <w:rsid w:val="004F395D"/>
    <w:rsid w:val="004F537A"/>
    <w:rsid w:val="004F576B"/>
    <w:rsid w:val="004F6274"/>
    <w:rsid w:val="00500112"/>
    <w:rsid w:val="0050033F"/>
    <w:rsid w:val="0050128A"/>
    <w:rsid w:val="00501CC8"/>
    <w:rsid w:val="005021A1"/>
    <w:rsid w:val="00502296"/>
    <w:rsid w:val="00502FB3"/>
    <w:rsid w:val="00504BF0"/>
    <w:rsid w:val="00505C9A"/>
    <w:rsid w:val="00505CE2"/>
    <w:rsid w:val="00505F27"/>
    <w:rsid w:val="00506886"/>
    <w:rsid w:val="005069AA"/>
    <w:rsid w:val="005102AE"/>
    <w:rsid w:val="00510C5F"/>
    <w:rsid w:val="00512AB3"/>
    <w:rsid w:val="0051310D"/>
    <w:rsid w:val="0051335B"/>
    <w:rsid w:val="00513883"/>
    <w:rsid w:val="00516726"/>
    <w:rsid w:val="005170F2"/>
    <w:rsid w:val="00517ECE"/>
    <w:rsid w:val="0052060D"/>
    <w:rsid w:val="00521441"/>
    <w:rsid w:val="00522EDC"/>
    <w:rsid w:val="00523B04"/>
    <w:rsid w:val="00524589"/>
    <w:rsid w:val="00524F9B"/>
    <w:rsid w:val="0052621D"/>
    <w:rsid w:val="00526AB1"/>
    <w:rsid w:val="00527355"/>
    <w:rsid w:val="005303BD"/>
    <w:rsid w:val="005315E2"/>
    <w:rsid w:val="005318B0"/>
    <w:rsid w:val="0053193A"/>
    <w:rsid w:val="00532210"/>
    <w:rsid w:val="00532F6D"/>
    <w:rsid w:val="005337B3"/>
    <w:rsid w:val="005347E6"/>
    <w:rsid w:val="005366EC"/>
    <w:rsid w:val="00540F9C"/>
    <w:rsid w:val="0054183F"/>
    <w:rsid w:val="0054277E"/>
    <w:rsid w:val="00542C95"/>
    <w:rsid w:val="00544E4D"/>
    <w:rsid w:val="00546048"/>
    <w:rsid w:val="0054789D"/>
    <w:rsid w:val="00552391"/>
    <w:rsid w:val="00553450"/>
    <w:rsid w:val="00554EF8"/>
    <w:rsid w:val="005559DA"/>
    <w:rsid w:val="005561A4"/>
    <w:rsid w:val="00560906"/>
    <w:rsid w:val="00561953"/>
    <w:rsid w:val="00562E11"/>
    <w:rsid w:val="005641FF"/>
    <w:rsid w:val="00566A61"/>
    <w:rsid w:val="005671EB"/>
    <w:rsid w:val="00570553"/>
    <w:rsid w:val="00571A59"/>
    <w:rsid w:val="00572118"/>
    <w:rsid w:val="00573E5A"/>
    <w:rsid w:val="00574D0C"/>
    <w:rsid w:val="005762A5"/>
    <w:rsid w:val="00576775"/>
    <w:rsid w:val="00576B50"/>
    <w:rsid w:val="00577078"/>
    <w:rsid w:val="00582659"/>
    <w:rsid w:val="005828BD"/>
    <w:rsid w:val="00582ECC"/>
    <w:rsid w:val="005840F4"/>
    <w:rsid w:val="00584B4E"/>
    <w:rsid w:val="005852DF"/>
    <w:rsid w:val="005862E7"/>
    <w:rsid w:val="005874C5"/>
    <w:rsid w:val="00587528"/>
    <w:rsid w:val="005902C5"/>
    <w:rsid w:val="00592B83"/>
    <w:rsid w:val="00593CE4"/>
    <w:rsid w:val="00594B5E"/>
    <w:rsid w:val="00594BD1"/>
    <w:rsid w:val="00595B61"/>
    <w:rsid w:val="00595F19"/>
    <w:rsid w:val="0059617B"/>
    <w:rsid w:val="00597DE7"/>
    <w:rsid w:val="0059F36E"/>
    <w:rsid w:val="005A0A7D"/>
    <w:rsid w:val="005A0EA6"/>
    <w:rsid w:val="005A29EE"/>
    <w:rsid w:val="005A2A89"/>
    <w:rsid w:val="005A3182"/>
    <w:rsid w:val="005A3D00"/>
    <w:rsid w:val="005A4984"/>
    <w:rsid w:val="005A5266"/>
    <w:rsid w:val="005A6819"/>
    <w:rsid w:val="005A7333"/>
    <w:rsid w:val="005B0653"/>
    <w:rsid w:val="005B0D1E"/>
    <w:rsid w:val="005B182A"/>
    <w:rsid w:val="005B1989"/>
    <w:rsid w:val="005B20CF"/>
    <w:rsid w:val="005B5227"/>
    <w:rsid w:val="005B625E"/>
    <w:rsid w:val="005B7DE0"/>
    <w:rsid w:val="005C01EE"/>
    <w:rsid w:val="005C14A6"/>
    <w:rsid w:val="005C2C89"/>
    <w:rsid w:val="005C33D4"/>
    <w:rsid w:val="005C36FC"/>
    <w:rsid w:val="005C3772"/>
    <w:rsid w:val="005C5888"/>
    <w:rsid w:val="005D09E6"/>
    <w:rsid w:val="005D0C2B"/>
    <w:rsid w:val="005D1C05"/>
    <w:rsid w:val="005D28FE"/>
    <w:rsid w:val="005D2C89"/>
    <w:rsid w:val="005D3C72"/>
    <w:rsid w:val="005D57A9"/>
    <w:rsid w:val="005D59E1"/>
    <w:rsid w:val="005D5AD0"/>
    <w:rsid w:val="005D6B56"/>
    <w:rsid w:val="005E3BC9"/>
    <w:rsid w:val="005F1353"/>
    <w:rsid w:val="005F1EFB"/>
    <w:rsid w:val="005F37AB"/>
    <w:rsid w:val="005F3BD8"/>
    <w:rsid w:val="005F412B"/>
    <w:rsid w:val="005F4480"/>
    <w:rsid w:val="005F5772"/>
    <w:rsid w:val="00602183"/>
    <w:rsid w:val="00603469"/>
    <w:rsid w:val="00603B62"/>
    <w:rsid w:val="00604582"/>
    <w:rsid w:val="006046AD"/>
    <w:rsid w:val="00605522"/>
    <w:rsid w:val="00605F43"/>
    <w:rsid w:val="00606003"/>
    <w:rsid w:val="00606E78"/>
    <w:rsid w:val="00610277"/>
    <w:rsid w:val="0061079C"/>
    <w:rsid w:val="006128BA"/>
    <w:rsid w:val="00612A78"/>
    <w:rsid w:val="00613CE4"/>
    <w:rsid w:val="00614009"/>
    <w:rsid w:val="0061668C"/>
    <w:rsid w:val="00616A1B"/>
    <w:rsid w:val="00622E9A"/>
    <w:rsid w:val="006232ED"/>
    <w:rsid w:val="00623C77"/>
    <w:rsid w:val="00623F24"/>
    <w:rsid w:val="006257DA"/>
    <w:rsid w:val="0062583A"/>
    <w:rsid w:val="006261E9"/>
    <w:rsid w:val="00626368"/>
    <w:rsid w:val="00627C0D"/>
    <w:rsid w:val="00631FD9"/>
    <w:rsid w:val="00637B7C"/>
    <w:rsid w:val="0064001C"/>
    <w:rsid w:val="006400B3"/>
    <w:rsid w:val="00640A93"/>
    <w:rsid w:val="00642B8B"/>
    <w:rsid w:val="00642BCD"/>
    <w:rsid w:val="006440E5"/>
    <w:rsid w:val="00645D14"/>
    <w:rsid w:val="00645DF8"/>
    <w:rsid w:val="00646C8D"/>
    <w:rsid w:val="00646D22"/>
    <w:rsid w:val="006504CF"/>
    <w:rsid w:val="006507EA"/>
    <w:rsid w:val="00650B5F"/>
    <w:rsid w:val="00650E49"/>
    <w:rsid w:val="00651BF0"/>
    <w:rsid w:val="00652FD7"/>
    <w:rsid w:val="006532F7"/>
    <w:rsid w:val="00654570"/>
    <w:rsid w:val="00654DAB"/>
    <w:rsid w:val="0065608A"/>
    <w:rsid w:val="006569A8"/>
    <w:rsid w:val="0066070E"/>
    <w:rsid w:val="006607AE"/>
    <w:rsid w:val="00661185"/>
    <w:rsid w:val="0066127E"/>
    <w:rsid w:val="006635EA"/>
    <w:rsid w:val="00666BFA"/>
    <w:rsid w:val="00667281"/>
    <w:rsid w:val="00670DD9"/>
    <w:rsid w:val="00671FD9"/>
    <w:rsid w:val="00675993"/>
    <w:rsid w:val="006769E2"/>
    <w:rsid w:val="0068043C"/>
    <w:rsid w:val="006836E2"/>
    <w:rsid w:val="00683E56"/>
    <w:rsid w:val="00684BD0"/>
    <w:rsid w:val="006853DB"/>
    <w:rsid w:val="00686002"/>
    <w:rsid w:val="006868ED"/>
    <w:rsid w:val="00690B57"/>
    <w:rsid w:val="00691961"/>
    <w:rsid w:val="00691FA2"/>
    <w:rsid w:val="006929CC"/>
    <w:rsid w:val="00694332"/>
    <w:rsid w:val="006944A4"/>
    <w:rsid w:val="0069792A"/>
    <w:rsid w:val="006A0A2E"/>
    <w:rsid w:val="006A2006"/>
    <w:rsid w:val="006A2599"/>
    <w:rsid w:val="006A307E"/>
    <w:rsid w:val="006A371C"/>
    <w:rsid w:val="006A4783"/>
    <w:rsid w:val="006A4954"/>
    <w:rsid w:val="006A517A"/>
    <w:rsid w:val="006A6A95"/>
    <w:rsid w:val="006B348C"/>
    <w:rsid w:val="006B4274"/>
    <w:rsid w:val="006B4468"/>
    <w:rsid w:val="006B44B1"/>
    <w:rsid w:val="006B6C9D"/>
    <w:rsid w:val="006B7475"/>
    <w:rsid w:val="006C0415"/>
    <w:rsid w:val="006C0675"/>
    <w:rsid w:val="006C0828"/>
    <w:rsid w:val="006C127E"/>
    <w:rsid w:val="006C1F9D"/>
    <w:rsid w:val="006C4416"/>
    <w:rsid w:val="006C4938"/>
    <w:rsid w:val="006C4F48"/>
    <w:rsid w:val="006C5024"/>
    <w:rsid w:val="006C5B6E"/>
    <w:rsid w:val="006C6436"/>
    <w:rsid w:val="006D04CC"/>
    <w:rsid w:val="006D1D00"/>
    <w:rsid w:val="006D1DED"/>
    <w:rsid w:val="006D2ED2"/>
    <w:rsid w:val="006D362C"/>
    <w:rsid w:val="006D3921"/>
    <w:rsid w:val="006D5880"/>
    <w:rsid w:val="006D67B5"/>
    <w:rsid w:val="006D764B"/>
    <w:rsid w:val="006D79A2"/>
    <w:rsid w:val="006E0063"/>
    <w:rsid w:val="006E01A3"/>
    <w:rsid w:val="006E049B"/>
    <w:rsid w:val="006E14ED"/>
    <w:rsid w:val="006E3FC3"/>
    <w:rsid w:val="006E4850"/>
    <w:rsid w:val="006E4F86"/>
    <w:rsid w:val="006E5251"/>
    <w:rsid w:val="006E5A07"/>
    <w:rsid w:val="006E6423"/>
    <w:rsid w:val="006E6AAC"/>
    <w:rsid w:val="006E6D40"/>
    <w:rsid w:val="006E7D0A"/>
    <w:rsid w:val="006E7FF0"/>
    <w:rsid w:val="006F16BF"/>
    <w:rsid w:val="006F1893"/>
    <w:rsid w:val="006F18FF"/>
    <w:rsid w:val="006F2099"/>
    <w:rsid w:val="006F23C2"/>
    <w:rsid w:val="006F4022"/>
    <w:rsid w:val="006F5A72"/>
    <w:rsid w:val="006F6397"/>
    <w:rsid w:val="006F6816"/>
    <w:rsid w:val="006F783B"/>
    <w:rsid w:val="006F7D71"/>
    <w:rsid w:val="006F7F6E"/>
    <w:rsid w:val="00701681"/>
    <w:rsid w:val="0070252D"/>
    <w:rsid w:val="0070449E"/>
    <w:rsid w:val="00705F04"/>
    <w:rsid w:val="00705FF5"/>
    <w:rsid w:val="00706929"/>
    <w:rsid w:val="00707488"/>
    <w:rsid w:val="00707CCC"/>
    <w:rsid w:val="007124C0"/>
    <w:rsid w:val="00714776"/>
    <w:rsid w:val="0071735D"/>
    <w:rsid w:val="00720962"/>
    <w:rsid w:val="00721B43"/>
    <w:rsid w:val="0072305A"/>
    <w:rsid w:val="007238E1"/>
    <w:rsid w:val="00723E53"/>
    <w:rsid w:val="007245B2"/>
    <w:rsid w:val="0072495D"/>
    <w:rsid w:val="00724DB8"/>
    <w:rsid w:val="00727544"/>
    <w:rsid w:val="00727592"/>
    <w:rsid w:val="00727A77"/>
    <w:rsid w:val="00731005"/>
    <w:rsid w:val="007316F6"/>
    <w:rsid w:val="007325E6"/>
    <w:rsid w:val="0073351F"/>
    <w:rsid w:val="00733B42"/>
    <w:rsid w:val="00733F79"/>
    <w:rsid w:val="00735EEC"/>
    <w:rsid w:val="007376E1"/>
    <w:rsid w:val="00737F07"/>
    <w:rsid w:val="00740276"/>
    <w:rsid w:val="00742581"/>
    <w:rsid w:val="007425A6"/>
    <w:rsid w:val="00743163"/>
    <w:rsid w:val="00744E57"/>
    <w:rsid w:val="00745270"/>
    <w:rsid w:val="00745F47"/>
    <w:rsid w:val="00750205"/>
    <w:rsid w:val="00751265"/>
    <w:rsid w:val="007527F0"/>
    <w:rsid w:val="00752EAA"/>
    <w:rsid w:val="007537BB"/>
    <w:rsid w:val="007565D0"/>
    <w:rsid w:val="007602A4"/>
    <w:rsid w:val="00761276"/>
    <w:rsid w:val="00762230"/>
    <w:rsid w:val="00764814"/>
    <w:rsid w:val="00764D7D"/>
    <w:rsid w:val="00765A78"/>
    <w:rsid w:val="00766FA9"/>
    <w:rsid w:val="00766FC5"/>
    <w:rsid w:val="00767B72"/>
    <w:rsid w:val="007706D3"/>
    <w:rsid w:val="00770BBB"/>
    <w:rsid w:val="00773841"/>
    <w:rsid w:val="00775F5C"/>
    <w:rsid w:val="00777CCD"/>
    <w:rsid w:val="007807BF"/>
    <w:rsid w:val="00781CF0"/>
    <w:rsid w:val="00782656"/>
    <w:rsid w:val="0078279C"/>
    <w:rsid w:val="0078473E"/>
    <w:rsid w:val="00784FC3"/>
    <w:rsid w:val="00785FBF"/>
    <w:rsid w:val="00786148"/>
    <w:rsid w:val="00786E99"/>
    <w:rsid w:val="007911EA"/>
    <w:rsid w:val="00791377"/>
    <w:rsid w:val="00791491"/>
    <w:rsid w:val="00791EEA"/>
    <w:rsid w:val="00794A07"/>
    <w:rsid w:val="00794DAC"/>
    <w:rsid w:val="00795A9A"/>
    <w:rsid w:val="00796CA0"/>
    <w:rsid w:val="007974DD"/>
    <w:rsid w:val="007A0CAE"/>
    <w:rsid w:val="007A3C2D"/>
    <w:rsid w:val="007A3FED"/>
    <w:rsid w:val="007A4379"/>
    <w:rsid w:val="007A50F8"/>
    <w:rsid w:val="007A53C4"/>
    <w:rsid w:val="007A5937"/>
    <w:rsid w:val="007A6108"/>
    <w:rsid w:val="007A66E6"/>
    <w:rsid w:val="007B25F2"/>
    <w:rsid w:val="007B388E"/>
    <w:rsid w:val="007B400F"/>
    <w:rsid w:val="007C0222"/>
    <w:rsid w:val="007C0F0A"/>
    <w:rsid w:val="007C1CF1"/>
    <w:rsid w:val="007C2F52"/>
    <w:rsid w:val="007C3387"/>
    <w:rsid w:val="007C3D4B"/>
    <w:rsid w:val="007C3EEC"/>
    <w:rsid w:val="007C40E2"/>
    <w:rsid w:val="007C4625"/>
    <w:rsid w:val="007C4844"/>
    <w:rsid w:val="007C4E8C"/>
    <w:rsid w:val="007C5173"/>
    <w:rsid w:val="007C59C6"/>
    <w:rsid w:val="007C6E0F"/>
    <w:rsid w:val="007C77ED"/>
    <w:rsid w:val="007D0FE2"/>
    <w:rsid w:val="007D2BDB"/>
    <w:rsid w:val="007D2EB5"/>
    <w:rsid w:val="007D4ABB"/>
    <w:rsid w:val="007D51FE"/>
    <w:rsid w:val="007D540D"/>
    <w:rsid w:val="007D5840"/>
    <w:rsid w:val="007D6B3A"/>
    <w:rsid w:val="007E06D9"/>
    <w:rsid w:val="007E378D"/>
    <w:rsid w:val="007E421E"/>
    <w:rsid w:val="007E454E"/>
    <w:rsid w:val="007E6839"/>
    <w:rsid w:val="007F1943"/>
    <w:rsid w:val="007F1C85"/>
    <w:rsid w:val="007F204A"/>
    <w:rsid w:val="007F27EE"/>
    <w:rsid w:val="007F2E56"/>
    <w:rsid w:val="007F3EC2"/>
    <w:rsid w:val="007F47E6"/>
    <w:rsid w:val="007F504A"/>
    <w:rsid w:val="007F581E"/>
    <w:rsid w:val="007F5F90"/>
    <w:rsid w:val="00800779"/>
    <w:rsid w:val="00800C5B"/>
    <w:rsid w:val="00807CD9"/>
    <w:rsid w:val="008108DE"/>
    <w:rsid w:val="0081123D"/>
    <w:rsid w:val="00812757"/>
    <w:rsid w:val="00813007"/>
    <w:rsid w:val="00814692"/>
    <w:rsid w:val="008149A4"/>
    <w:rsid w:val="0082025C"/>
    <w:rsid w:val="008208CB"/>
    <w:rsid w:val="00822470"/>
    <w:rsid w:val="00823035"/>
    <w:rsid w:val="00830DD5"/>
    <w:rsid w:val="00831698"/>
    <w:rsid w:val="00831C99"/>
    <w:rsid w:val="00831F90"/>
    <w:rsid w:val="00832088"/>
    <w:rsid w:val="00832949"/>
    <w:rsid w:val="00832BD0"/>
    <w:rsid w:val="00833198"/>
    <w:rsid w:val="0083391B"/>
    <w:rsid w:val="00841420"/>
    <w:rsid w:val="00841BBE"/>
    <w:rsid w:val="00841F02"/>
    <w:rsid w:val="00842723"/>
    <w:rsid w:val="00842AD2"/>
    <w:rsid w:val="00843E1E"/>
    <w:rsid w:val="008440DD"/>
    <w:rsid w:val="00844300"/>
    <w:rsid w:val="008450C1"/>
    <w:rsid w:val="00845848"/>
    <w:rsid w:val="00847CE2"/>
    <w:rsid w:val="00847E96"/>
    <w:rsid w:val="008504EB"/>
    <w:rsid w:val="00852091"/>
    <w:rsid w:val="008557DC"/>
    <w:rsid w:val="00855C41"/>
    <w:rsid w:val="00855F57"/>
    <w:rsid w:val="008569D5"/>
    <w:rsid w:val="008577F5"/>
    <w:rsid w:val="008578E0"/>
    <w:rsid w:val="00861D48"/>
    <w:rsid w:val="0086223B"/>
    <w:rsid w:val="008628EA"/>
    <w:rsid w:val="008635A3"/>
    <w:rsid w:val="00865992"/>
    <w:rsid w:val="008667A6"/>
    <w:rsid w:val="0086716D"/>
    <w:rsid w:val="00867D09"/>
    <w:rsid w:val="00870127"/>
    <w:rsid w:val="00870D60"/>
    <w:rsid w:val="008718C7"/>
    <w:rsid w:val="00873758"/>
    <w:rsid w:val="0087382C"/>
    <w:rsid w:val="00873E61"/>
    <w:rsid w:val="008748B8"/>
    <w:rsid w:val="00875828"/>
    <w:rsid w:val="00877FF1"/>
    <w:rsid w:val="00881C88"/>
    <w:rsid w:val="008839B6"/>
    <w:rsid w:val="00884A92"/>
    <w:rsid w:val="008858FB"/>
    <w:rsid w:val="00887F52"/>
    <w:rsid w:val="00891A1F"/>
    <w:rsid w:val="00893277"/>
    <w:rsid w:val="008935D3"/>
    <w:rsid w:val="008940A2"/>
    <w:rsid w:val="00894608"/>
    <w:rsid w:val="008949E1"/>
    <w:rsid w:val="00896360"/>
    <w:rsid w:val="00896416"/>
    <w:rsid w:val="0089785F"/>
    <w:rsid w:val="008A0055"/>
    <w:rsid w:val="008A0FFA"/>
    <w:rsid w:val="008A25EF"/>
    <w:rsid w:val="008A2C2C"/>
    <w:rsid w:val="008A33B8"/>
    <w:rsid w:val="008A56DD"/>
    <w:rsid w:val="008A5E28"/>
    <w:rsid w:val="008A6891"/>
    <w:rsid w:val="008A7BDC"/>
    <w:rsid w:val="008B189D"/>
    <w:rsid w:val="008B1A9D"/>
    <w:rsid w:val="008B3133"/>
    <w:rsid w:val="008B49F1"/>
    <w:rsid w:val="008B5685"/>
    <w:rsid w:val="008B6146"/>
    <w:rsid w:val="008B6AE1"/>
    <w:rsid w:val="008B7E44"/>
    <w:rsid w:val="008C18E9"/>
    <w:rsid w:val="008C347C"/>
    <w:rsid w:val="008C4A71"/>
    <w:rsid w:val="008C51DB"/>
    <w:rsid w:val="008C66FC"/>
    <w:rsid w:val="008C688F"/>
    <w:rsid w:val="008C7B83"/>
    <w:rsid w:val="008C7F68"/>
    <w:rsid w:val="008D0182"/>
    <w:rsid w:val="008D0CD7"/>
    <w:rsid w:val="008D2A94"/>
    <w:rsid w:val="008D3288"/>
    <w:rsid w:val="008D353F"/>
    <w:rsid w:val="008D4D88"/>
    <w:rsid w:val="008D4DD4"/>
    <w:rsid w:val="008D5281"/>
    <w:rsid w:val="008D5A35"/>
    <w:rsid w:val="008D7118"/>
    <w:rsid w:val="008D7743"/>
    <w:rsid w:val="008D7937"/>
    <w:rsid w:val="008D799E"/>
    <w:rsid w:val="008D7A1E"/>
    <w:rsid w:val="008E1C5F"/>
    <w:rsid w:val="008E2502"/>
    <w:rsid w:val="008E34B5"/>
    <w:rsid w:val="008E3614"/>
    <w:rsid w:val="008E38C6"/>
    <w:rsid w:val="008E44CB"/>
    <w:rsid w:val="008E4619"/>
    <w:rsid w:val="008E4C02"/>
    <w:rsid w:val="008E68AC"/>
    <w:rsid w:val="008F0510"/>
    <w:rsid w:val="008F0879"/>
    <w:rsid w:val="008F2E83"/>
    <w:rsid w:val="008F2F59"/>
    <w:rsid w:val="008F4009"/>
    <w:rsid w:val="008F69A3"/>
    <w:rsid w:val="008F7075"/>
    <w:rsid w:val="009004B9"/>
    <w:rsid w:val="009006A5"/>
    <w:rsid w:val="00902F5D"/>
    <w:rsid w:val="00903597"/>
    <w:rsid w:val="009040E1"/>
    <w:rsid w:val="009044AA"/>
    <w:rsid w:val="00904914"/>
    <w:rsid w:val="00905027"/>
    <w:rsid w:val="00905AB0"/>
    <w:rsid w:val="009066FA"/>
    <w:rsid w:val="00910034"/>
    <w:rsid w:val="009110D4"/>
    <w:rsid w:val="009114E1"/>
    <w:rsid w:val="0091224D"/>
    <w:rsid w:val="00912F89"/>
    <w:rsid w:val="0091318F"/>
    <w:rsid w:val="009137F7"/>
    <w:rsid w:val="00913CFE"/>
    <w:rsid w:val="00914746"/>
    <w:rsid w:val="0091520C"/>
    <w:rsid w:val="00916677"/>
    <w:rsid w:val="009169A8"/>
    <w:rsid w:val="00916E79"/>
    <w:rsid w:val="00916EF2"/>
    <w:rsid w:val="00916F46"/>
    <w:rsid w:val="0092101C"/>
    <w:rsid w:val="00921D1F"/>
    <w:rsid w:val="0092632E"/>
    <w:rsid w:val="00926609"/>
    <w:rsid w:val="00927A52"/>
    <w:rsid w:val="00927EF1"/>
    <w:rsid w:val="00930863"/>
    <w:rsid w:val="0093147F"/>
    <w:rsid w:val="0093241D"/>
    <w:rsid w:val="00933746"/>
    <w:rsid w:val="009348B3"/>
    <w:rsid w:val="00936068"/>
    <w:rsid w:val="009363AF"/>
    <w:rsid w:val="0093757D"/>
    <w:rsid w:val="00940EBB"/>
    <w:rsid w:val="00941027"/>
    <w:rsid w:val="00944CD2"/>
    <w:rsid w:val="00946FB7"/>
    <w:rsid w:val="009502BF"/>
    <w:rsid w:val="0095032A"/>
    <w:rsid w:val="00950681"/>
    <w:rsid w:val="009518A4"/>
    <w:rsid w:val="009518C3"/>
    <w:rsid w:val="00951FAC"/>
    <w:rsid w:val="00953572"/>
    <w:rsid w:val="00954349"/>
    <w:rsid w:val="00955596"/>
    <w:rsid w:val="00956F64"/>
    <w:rsid w:val="00957131"/>
    <w:rsid w:val="00960D99"/>
    <w:rsid w:val="00961756"/>
    <w:rsid w:val="0096180C"/>
    <w:rsid w:val="00961E5B"/>
    <w:rsid w:val="00962AD9"/>
    <w:rsid w:val="00962FB2"/>
    <w:rsid w:val="00963216"/>
    <w:rsid w:val="0096442A"/>
    <w:rsid w:val="0096592A"/>
    <w:rsid w:val="0096649F"/>
    <w:rsid w:val="00966BCD"/>
    <w:rsid w:val="0096784F"/>
    <w:rsid w:val="009720F3"/>
    <w:rsid w:val="00972A16"/>
    <w:rsid w:val="00974E66"/>
    <w:rsid w:val="00976978"/>
    <w:rsid w:val="009771A7"/>
    <w:rsid w:val="009808CA"/>
    <w:rsid w:val="009810AC"/>
    <w:rsid w:val="00984177"/>
    <w:rsid w:val="00984234"/>
    <w:rsid w:val="0098484A"/>
    <w:rsid w:val="00987029"/>
    <w:rsid w:val="009906F9"/>
    <w:rsid w:val="009910EC"/>
    <w:rsid w:val="00993A69"/>
    <w:rsid w:val="0099457B"/>
    <w:rsid w:val="009956AE"/>
    <w:rsid w:val="009975DC"/>
    <w:rsid w:val="00997BCD"/>
    <w:rsid w:val="009A0B1D"/>
    <w:rsid w:val="009A2770"/>
    <w:rsid w:val="009A2994"/>
    <w:rsid w:val="009A5478"/>
    <w:rsid w:val="009A61B5"/>
    <w:rsid w:val="009A7D4C"/>
    <w:rsid w:val="009B1E26"/>
    <w:rsid w:val="009B23E3"/>
    <w:rsid w:val="009B2FDB"/>
    <w:rsid w:val="009B370A"/>
    <w:rsid w:val="009B3BA4"/>
    <w:rsid w:val="009B3EB2"/>
    <w:rsid w:val="009B3FE4"/>
    <w:rsid w:val="009B46B1"/>
    <w:rsid w:val="009B4A05"/>
    <w:rsid w:val="009B596D"/>
    <w:rsid w:val="009B62E1"/>
    <w:rsid w:val="009C0390"/>
    <w:rsid w:val="009C04AA"/>
    <w:rsid w:val="009C068E"/>
    <w:rsid w:val="009C0A31"/>
    <w:rsid w:val="009C101E"/>
    <w:rsid w:val="009C190C"/>
    <w:rsid w:val="009C3268"/>
    <w:rsid w:val="009C3718"/>
    <w:rsid w:val="009C4BCF"/>
    <w:rsid w:val="009C5C20"/>
    <w:rsid w:val="009C67A5"/>
    <w:rsid w:val="009D0048"/>
    <w:rsid w:val="009D13CA"/>
    <w:rsid w:val="009D2271"/>
    <w:rsid w:val="009D2811"/>
    <w:rsid w:val="009D3EA3"/>
    <w:rsid w:val="009D6147"/>
    <w:rsid w:val="009E01F2"/>
    <w:rsid w:val="009E04BB"/>
    <w:rsid w:val="009E066D"/>
    <w:rsid w:val="009E0913"/>
    <w:rsid w:val="009E09F3"/>
    <w:rsid w:val="009E19C9"/>
    <w:rsid w:val="009E57EA"/>
    <w:rsid w:val="009E5A8E"/>
    <w:rsid w:val="009E5F88"/>
    <w:rsid w:val="009E5F8D"/>
    <w:rsid w:val="009E6CCE"/>
    <w:rsid w:val="009E74A1"/>
    <w:rsid w:val="009F05AD"/>
    <w:rsid w:val="009F200A"/>
    <w:rsid w:val="009F2A53"/>
    <w:rsid w:val="009F4BE1"/>
    <w:rsid w:val="009F4E87"/>
    <w:rsid w:val="009F5AA8"/>
    <w:rsid w:val="009F5F54"/>
    <w:rsid w:val="009F64FE"/>
    <w:rsid w:val="009F7131"/>
    <w:rsid w:val="00A0064D"/>
    <w:rsid w:val="00A012E1"/>
    <w:rsid w:val="00A01FBB"/>
    <w:rsid w:val="00A02552"/>
    <w:rsid w:val="00A02C0A"/>
    <w:rsid w:val="00A04107"/>
    <w:rsid w:val="00A0433F"/>
    <w:rsid w:val="00A0445A"/>
    <w:rsid w:val="00A04A11"/>
    <w:rsid w:val="00A054E3"/>
    <w:rsid w:val="00A0667C"/>
    <w:rsid w:val="00A06F75"/>
    <w:rsid w:val="00A07BEE"/>
    <w:rsid w:val="00A1058D"/>
    <w:rsid w:val="00A10A26"/>
    <w:rsid w:val="00A11657"/>
    <w:rsid w:val="00A117F6"/>
    <w:rsid w:val="00A12B95"/>
    <w:rsid w:val="00A13550"/>
    <w:rsid w:val="00A13880"/>
    <w:rsid w:val="00A1405D"/>
    <w:rsid w:val="00A14C3C"/>
    <w:rsid w:val="00A15213"/>
    <w:rsid w:val="00A1685A"/>
    <w:rsid w:val="00A1726C"/>
    <w:rsid w:val="00A17826"/>
    <w:rsid w:val="00A20DDE"/>
    <w:rsid w:val="00A21B13"/>
    <w:rsid w:val="00A22743"/>
    <w:rsid w:val="00A23D19"/>
    <w:rsid w:val="00A25BFD"/>
    <w:rsid w:val="00A25E01"/>
    <w:rsid w:val="00A26610"/>
    <w:rsid w:val="00A2703A"/>
    <w:rsid w:val="00A27F77"/>
    <w:rsid w:val="00A3128C"/>
    <w:rsid w:val="00A318AF"/>
    <w:rsid w:val="00A31F8B"/>
    <w:rsid w:val="00A32092"/>
    <w:rsid w:val="00A322CA"/>
    <w:rsid w:val="00A3232A"/>
    <w:rsid w:val="00A32E2C"/>
    <w:rsid w:val="00A339A9"/>
    <w:rsid w:val="00A33E97"/>
    <w:rsid w:val="00A35B22"/>
    <w:rsid w:val="00A36808"/>
    <w:rsid w:val="00A37463"/>
    <w:rsid w:val="00A375F6"/>
    <w:rsid w:val="00A37B5C"/>
    <w:rsid w:val="00A433A2"/>
    <w:rsid w:val="00A43EC3"/>
    <w:rsid w:val="00A44E9E"/>
    <w:rsid w:val="00A4548D"/>
    <w:rsid w:val="00A457A3"/>
    <w:rsid w:val="00A475ED"/>
    <w:rsid w:val="00A47839"/>
    <w:rsid w:val="00A50FC7"/>
    <w:rsid w:val="00A5225D"/>
    <w:rsid w:val="00A532FB"/>
    <w:rsid w:val="00A54189"/>
    <w:rsid w:val="00A549DB"/>
    <w:rsid w:val="00A55517"/>
    <w:rsid w:val="00A563A6"/>
    <w:rsid w:val="00A57300"/>
    <w:rsid w:val="00A57330"/>
    <w:rsid w:val="00A6006D"/>
    <w:rsid w:val="00A62179"/>
    <w:rsid w:val="00A63B7B"/>
    <w:rsid w:val="00A6500C"/>
    <w:rsid w:val="00A65032"/>
    <w:rsid w:val="00A65324"/>
    <w:rsid w:val="00A65AE5"/>
    <w:rsid w:val="00A65B77"/>
    <w:rsid w:val="00A65EC3"/>
    <w:rsid w:val="00A66083"/>
    <w:rsid w:val="00A676E6"/>
    <w:rsid w:val="00A70B8E"/>
    <w:rsid w:val="00A70BC5"/>
    <w:rsid w:val="00A70C0A"/>
    <w:rsid w:val="00A70FDB"/>
    <w:rsid w:val="00A73E43"/>
    <w:rsid w:val="00A756C2"/>
    <w:rsid w:val="00A75AF2"/>
    <w:rsid w:val="00A76D63"/>
    <w:rsid w:val="00A77AB5"/>
    <w:rsid w:val="00A80473"/>
    <w:rsid w:val="00A809B9"/>
    <w:rsid w:val="00A8123D"/>
    <w:rsid w:val="00A83156"/>
    <w:rsid w:val="00A83537"/>
    <w:rsid w:val="00A83BC0"/>
    <w:rsid w:val="00A84AF0"/>
    <w:rsid w:val="00A85CE9"/>
    <w:rsid w:val="00A862DC"/>
    <w:rsid w:val="00A87E3C"/>
    <w:rsid w:val="00A90247"/>
    <w:rsid w:val="00A91685"/>
    <w:rsid w:val="00A91F70"/>
    <w:rsid w:val="00A93607"/>
    <w:rsid w:val="00A94AC6"/>
    <w:rsid w:val="00A9700A"/>
    <w:rsid w:val="00A975FF"/>
    <w:rsid w:val="00AA12E0"/>
    <w:rsid w:val="00AA30D9"/>
    <w:rsid w:val="00AA32A0"/>
    <w:rsid w:val="00AA40A5"/>
    <w:rsid w:val="00AA47FE"/>
    <w:rsid w:val="00AA480B"/>
    <w:rsid w:val="00AA6B74"/>
    <w:rsid w:val="00AA7529"/>
    <w:rsid w:val="00AB0C24"/>
    <w:rsid w:val="00AB0F88"/>
    <w:rsid w:val="00AB1153"/>
    <w:rsid w:val="00AB1FBA"/>
    <w:rsid w:val="00AB345C"/>
    <w:rsid w:val="00AB3D45"/>
    <w:rsid w:val="00AB531D"/>
    <w:rsid w:val="00AB7322"/>
    <w:rsid w:val="00AC050E"/>
    <w:rsid w:val="00AC09C0"/>
    <w:rsid w:val="00AC1B87"/>
    <w:rsid w:val="00AC278E"/>
    <w:rsid w:val="00AC2B1C"/>
    <w:rsid w:val="00AC37E1"/>
    <w:rsid w:val="00AC5592"/>
    <w:rsid w:val="00AC55FD"/>
    <w:rsid w:val="00AC5F64"/>
    <w:rsid w:val="00AC75DA"/>
    <w:rsid w:val="00AC7AA3"/>
    <w:rsid w:val="00AC7F86"/>
    <w:rsid w:val="00AD0288"/>
    <w:rsid w:val="00AD1F99"/>
    <w:rsid w:val="00AD217D"/>
    <w:rsid w:val="00AD2659"/>
    <w:rsid w:val="00AD283B"/>
    <w:rsid w:val="00AD2974"/>
    <w:rsid w:val="00AD3EE5"/>
    <w:rsid w:val="00AD41EC"/>
    <w:rsid w:val="00AD7605"/>
    <w:rsid w:val="00AE054A"/>
    <w:rsid w:val="00AE100B"/>
    <w:rsid w:val="00AE14D9"/>
    <w:rsid w:val="00AE1AB7"/>
    <w:rsid w:val="00AE1E65"/>
    <w:rsid w:val="00AE329E"/>
    <w:rsid w:val="00AE4F02"/>
    <w:rsid w:val="00AF1812"/>
    <w:rsid w:val="00AF20EC"/>
    <w:rsid w:val="00AF2D87"/>
    <w:rsid w:val="00AF3B0D"/>
    <w:rsid w:val="00AF591D"/>
    <w:rsid w:val="00AF5B05"/>
    <w:rsid w:val="00AF621D"/>
    <w:rsid w:val="00AF73D4"/>
    <w:rsid w:val="00B013C3"/>
    <w:rsid w:val="00B01C65"/>
    <w:rsid w:val="00B03A09"/>
    <w:rsid w:val="00B03D8C"/>
    <w:rsid w:val="00B05A41"/>
    <w:rsid w:val="00B079E6"/>
    <w:rsid w:val="00B1079D"/>
    <w:rsid w:val="00B128CF"/>
    <w:rsid w:val="00B13565"/>
    <w:rsid w:val="00B13C57"/>
    <w:rsid w:val="00B14F52"/>
    <w:rsid w:val="00B175B2"/>
    <w:rsid w:val="00B20CF3"/>
    <w:rsid w:val="00B225F9"/>
    <w:rsid w:val="00B244BC"/>
    <w:rsid w:val="00B248A5"/>
    <w:rsid w:val="00B24B99"/>
    <w:rsid w:val="00B25B25"/>
    <w:rsid w:val="00B26254"/>
    <w:rsid w:val="00B2662C"/>
    <w:rsid w:val="00B266C6"/>
    <w:rsid w:val="00B27681"/>
    <w:rsid w:val="00B3175C"/>
    <w:rsid w:val="00B318E1"/>
    <w:rsid w:val="00B31DD6"/>
    <w:rsid w:val="00B36154"/>
    <w:rsid w:val="00B3655E"/>
    <w:rsid w:val="00B379C6"/>
    <w:rsid w:val="00B423EA"/>
    <w:rsid w:val="00B43564"/>
    <w:rsid w:val="00B436E2"/>
    <w:rsid w:val="00B440F4"/>
    <w:rsid w:val="00B44821"/>
    <w:rsid w:val="00B44A4D"/>
    <w:rsid w:val="00B4502E"/>
    <w:rsid w:val="00B47797"/>
    <w:rsid w:val="00B47842"/>
    <w:rsid w:val="00B47A7F"/>
    <w:rsid w:val="00B47CED"/>
    <w:rsid w:val="00B47E26"/>
    <w:rsid w:val="00B50A58"/>
    <w:rsid w:val="00B521E3"/>
    <w:rsid w:val="00B528A2"/>
    <w:rsid w:val="00B53303"/>
    <w:rsid w:val="00B54134"/>
    <w:rsid w:val="00B5476B"/>
    <w:rsid w:val="00B54A46"/>
    <w:rsid w:val="00B5561B"/>
    <w:rsid w:val="00B55B0D"/>
    <w:rsid w:val="00B5604C"/>
    <w:rsid w:val="00B57050"/>
    <w:rsid w:val="00B6155E"/>
    <w:rsid w:val="00B62032"/>
    <w:rsid w:val="00B623EF"/>
    <w:rsid w:val="00B62892"/>
    <w:rsid w:val="00B63199"/>
    <w:rsid w:val="00B64494"/>
    <w:rsid w:val="00B66C86"/>
    <w:rsid w:val="00B70CE7"/>
    <w:rsid w:val="00B71B5C"/>
    <w:rsid w:val="00B72335"/>
    <w:rsid w:val="00B73A89"/>
    <w:rsid w:val="00B73E46"/>
    <w:rsid w:val="00B751C0"/>
    <w:rsid w:val="00B752FA"/>
    <w:rsid w:val="00B75625"/>
    <w:rsid w:val="00B75710"/>
    <w:rsid w:val="00B75BB4"/>
    <w:rsid w:val="00B75E36"/>
    <w:rsid w:val="00B75E59"/>
    <w:rsid w:val="00B76946"/>
    <w:rsid w:val="00B76A6F"/>
    <w:rsid w:val="00B772EB"/>
    <w:rsid w:val="00B77EBE"/>
    <w:rsid w:val="00B80AA2"/>
    <w:rsid w:val="00B80AB3"/>
    <w:rsid w:val="00B81F2F"/>
    <w:rsid w:val="00B828D6"/>
    <w:rsid w:val="00B84D84"/>
    <w:rsid w:val="00B8583F"/>
    <w:rsid w:val="00B86967"/>
    <w:rsid w:val="00B87205"/>
    <w:rsid w:val="00B914FE"/>
    <w:rsid w:val="00B917BD"/>
    <w:rsid w:val="00B91CC8"/>
    <w:rsid w:val="00B91D55"/>
    <w:rsid w:val="00B925D4"/>
    <w:rsid w:val="00B92BE7"/>
    <w:rsid w:val="00B96996"/>
    <w:rsid w:val="00B96A73"/>
    <w:rsid w:val="00B96B9C"/>
    <w:rsid w:val="00B97268"/>
    <w:rsid w:val="00B97772"/>
    <w:rsid w:val="00BA148B"/>
    <w:rsid w:val="00BA4279"/>
    <w:rsid w:val="00BA4734"/>
    <w:rsid w:val="00BA55DB"/>
    <w:rsid w:val="00BA6CD5"/>
    <w:rsid w:val="00BB02A0"/>
    <w:rsid w:val="00BB3D64"/>
    <w:rsid w:val="00BB452C"/>
    <w:rsid w:val="00BB5C47"/>
    <w:rsid w:val="00BB7989"/>
    <w:rsid w:val="00BC02E9"/>
    <w:rsid w:val="00BC0401"/>
    <w:rsid w:val="00BC0752"/>
    <w:rsid w:val="00BC30DD"/>
    <w:rsid w:val="00BC34BE"/>
    <w:rsid w:val="00BC551C"/>
    <w:rsid w:val="00BC64E4"/>
    <w:rsid w:val="00BC6BB8"/>
    <w:rsid w:val="00BC6C11"/>
    <w:rsid w:val="00BC7533"/>
    <w:rsid w:val="00BC7D44"/>
    <w:rsid w:val="00BD05CA"/>
    <w:rsid w:val="00BD143C"/>
    <w:rsid w:val="00BD3BC6"/>
    <w:rsid w:val="00BD417C"/>
    <w:rsid w:val="00BD4477"/>
    <w:rsid w:val="00BD68DA"/>
    <w:rsid w:val="00BE170B"/>
    <w:rsid w:val="00BE1AFC"/>
    <w:rsid w:val="00BE4BAE"/>
    <w:rsid w:val="00BE51AA"/>
    <w:rsid w:val="00BE5374"/>
    <w:rsid w:val="00BE5F83"/>
    <w:rsid w:val="00BF00AA"/>
    <w:rsid w:val="00BF0B50"/>
    <w:rsid w:val="00BF0C04"/>
    <w:rsid w:val="00BF106A"/>
    <w:rsid w:val="00BF397A"/>
    <w:rsid w:val="00BF3C2A"/>
    <w:rsid w:val="00BF7956"/>
    <w:rsid w:val="00C0258E"/>
    <w:rsid w:val="00C05952"/>
    <w:rsid w:val="00C0705A"/>
    <w:rsid w:val="00C07308"/>
    <w:rsid w:val="00C10222"/>
    <w:rsid w:val="00C1262A"/>
    <w:rsid w:val="00C135A5"/>
    <w:rsid w:val="00C1364B"/>
    <w:rsid w:val="00C1376A"/>
    <w:rsid w:val="00C15500"/>
    <w:rsid w:val="00C170E5"/>
    <w:rsid w:val="00C174D8"/>
    <w:rsid w:val="00C179E0"/>
    <w:rsid w:val="00C208FA"/>
    <w:rsid w:val="00C21056"/>
    <w:rsid w:val="00C22771"/>
    <w:rsid w:val="00C22A6B"/>
    <w:rsid w:val="00C22FA5"/>
    <w:rsid w:val="00C23489"/>
    <w:rsid w:val="00C24FD4"/>
    <w:rsid w:val="00C253AA"/>
    <w:rsid w:val="00C26349"/>
    <w:rsid w:val="00C263D5"/>
    <w:rsid w:val="00C277EF"/>
    <w:rsid w:val="00C27B42"/>
    <w:rsid w:val="00C27B84"/>
    <w:rsid w:val="00C3147F"/>
    <w:rsid w:val="00C32936"/>
    <w:rsid w:val="00C33640"/>
    <w:rsid w:val="00C33B89"/>
    <w:rsid w:val="00C33C77"/>
    <w:rsid w:val="00C33F75"/>
    <w:rsid w:val="00C340C4"/>
    <w:rsid w:val="00C340CB"/>
    <w:rsid w:val="00C35FAC"/>
    <w:rsid w:val="00C36F4F"/>
    <w:rsid w:val="00C41C86"/>
    <w:rsid w:val="00C41D7E"/>
    <w:rsid w:val="00C426B2"/>
    <w:rsid w:val="00C4345E"/>
    <w:rsid w:val="00C44122"/>
    <w:rsid w:val="00C46BB6"/>
    <w:rsid w:val="00C46F42"/>
    <w:rsid w:val="00C47C78"/>
    <w:rsid w:val="00C51860"/>
    <w:rsid w:val="00C5250C"/>
    <w:rsid w:val="00C54AAC"/>
    <w:rsid w:val="00C5523E"/>
    <w:rsid w:val="00C61675"/>
    <w:rsid w:val="00C61D7F"/>
    <w:rsid w:val="00C6232D"/>
    <w:rsid w:val="00C62D23"/>
    <w:rsid w:val="00C632BC"/>
    <w:rsid w:val="00C6531D"/>
    <w:rsid w:val="00C66E14"/>
    <w:rsid w:val="00C67461"/>
    <w:rsid w:val="00C67B38"/>
    <w:rsid w:val="00C7140E"/>
    <w:rsid w:val="00C716B4"/>
    <w:rsid w:val="00C723A4"/>
    <w:rsid w:val="00C73154"/>
    <w:rsid w:val="00C73399"/>
    <w:rsid w:val="00C779C2"/>
    <w:rsid w:val="00C77C44"/>
    <w:rsid w:val="00C80632"/>
    <w:rsid w:val="00C8206D"/>
    <w:rsid w:val="00C82314"/>
    <w:rsid w:val="00C8231A"/>
    <w:rsid w:val="00C840AB"/>
    <w:rsid w:val="00C85C23"/>
    <w:rsid w:val="00C86B6B"/>
    <w:rsid w:val="00C87FE6"/>
    <w:rsid w:val="00C90220"/>
    <w:rsid w:val="00C9025D"/>
    <w:rsid w:val="00C91759"/>
    <w:rsid w:val="00C91DC2"/>
    <w:rsid w:val="00C9311E"/>
    <w:rsid w:val="00C93717"/>
    <w:rsid w:val="00C94686"/>
    <w:rsid w:val="00C96346"/>
    <w:rsid w:val="00C96D97"/>
    <w:rsid w:val="00CA0036"/>
    <w:rsid w:val="00CA1F33"/>
    <w:rsid w:val="00CA3C09"/>
    <w:rsid w:val="00CA4A89"/>
    <w:rsid w:val="00CA4FCB"/>
    <w:rsid w:val="00CA5899"/>
    <w:rsid w:val="00CA590A"/>
    <w:rsid w:val="00CA6771"/>
    <w:rsid w:val="00CA7E25"/>
    <w:rsid w:val="00CB4DE5"/>
    <w:rsid w:val="00CB53B5"/>
    <w:rsid w:val="00CB54EC"/>
    <w:rsid w:val="00CB5823"/>
    <w:rsid w:val="00CB6C6D"/>
    <w:rsid w:val="00CB79D6"/>
    <w:rsid w:val="00CC0107"/>
    <w:rsid w:val="00CC071C"/>
    <w:rsid w:val="00CC0DC9"/>
    <w:rsid w:val="00CC0FEB"/>
    <w:rsid w:val="00CC2868"/>
    <w:rsid w:val="00CC2929"/>
    <w:rsid w:val="00CC323B"/>
    <w:rsid w:val="00CC7019"/>
    <w:rsid w:val="00CC7D4D"/>
    <w:rsid w:val="00CD0630"/>
    <w:rsid w:val="00CD0875"/>
    <w:rsid w:val="00CD1B21"/>
    <w:rsid w:val="00CD2570"/>
    <w:rsid w:val="00CD69D7"/>
    <w:rsid w:val="00CD7029"/>
    <w:rsid w:val="00CD72F7"/>
    <w:rsid w:val="00CE04E0"/>
    <w:rsid w:val="00CE120E"/>
    <w:rsid w:val="00CE19AE"/>
    <w:rsid w:val="00CE1EA5"/>
    <w:rsid w:val="00CE3084"/>
    <w:rsid w:val="00CE3ED8"/>
    <w:rsid w:val="00CE4197"/>
    <w:rsid w:val="00CE49B2"/>
    <w:rsid w:val="00CE4BE8"/>
    <w:rsid w:val="00CE548E"/>
    <w:rsid w:val="00CE5D7D"/>
    <w:rsid w:val="00CE5E32"/>
    <w:rsid w:val="00CE5EF5"/>
    <w:rsid w:val="00CE68AE"/>
    <w:rsid w:val="00CE7872"/>
    <w:rsid w:val="00CE78C4"/>
    <w:rsid w:val="00CF0255"/>
    <w:rsid w:val="00CF0867"/>
    <w:rsid w:val="00CF0B50"/>
    <w:rsid w:val="00CF4442"/>
    <w:rsid w:val="00CF47E9"/>
    <w:rsid w:val="00CF75B2"/>
    <w:rsid w:val="00D01528"/>
    <w:rsid w:val="00D0323B"/>
    <w:rsid w:val="00D03882"/>
    <w:rsid w:val="00D04377"/>
    <w:rsid w:val="00D076B9"/>
    <w:rsid w:val="00D1436E"/>
    <w:rsid w:val="00D14BA0"/>
    <w:rsid w:val="00D169DF"/>
    <w:rsid w:val="00D16D41"/>
    <w:rsid w:val="00D179A6"/>
    <w:rsid w:val="00D17DB3"/>
    <w:rsid w:val="00D2208F"/>
    <w:rsid w:val="00D279C8"/>
    <w:rsid w:val="00D3131E"/>
    <w:rsid w:val="00D3148A"/>
    <w:rsid w:val="00D31E55"/>
    <w:rsid w:val="00D33E37"/>
    <w:rsid w:val="00D3412E"/>
    <w:rsid w:val="00D3437D"/>
    <w:rsid w:val="00D367D6"/>
    <w:rsid w:val="00D40F52"/>
    <w:rsid w:val="00D41D77"/>
    <w:rsid w:val="00D4439A"/>
    <w:rsid w:val="00D46C37"/>
    <w:rsid w:val="00D50A5B"/>
    <w:rsid w:val="00D50F16"/>
    <w:rsid w:val="00D523D9"/>
    <w:rsid w:val="00D538BC"/>
    <w:rsid w:val="00D54146"/>
    <w:rsid w:val="00D5443B"/>
    <w:rsid w:val="00D55566"/>
    <w:rsid w:val="00D57625"/>
    <w:rsid w:val="00D609E5"/>
    <w:rsid w:val="00D60AF1"/>
    <w:rsid w:val="00D625FD"/>
    <w:rsid w:val="00D646B5"/>
    <w:rsid w:val="00D66E45"/>
    <w:rsid w:val="00D677F2"/>
    <w:rsid w:val="00D70DA0"/>
    <w:rsid w:val="00D72EEB"/>
    <w:rsid w:val="00D74553"/>
    <w:rsid w:val="00D755BF"/>
    <w:rsid w:val="00D765F6"/>
    <w:rsid w:val="00D776F1"/>
    <w:rsid w:val="00D82A31"/>
    <w:rsid w:val="00D83453"/>
    <w:rsid w:val="00D83E23"/>
    <w:rsid w:val="00D84CA3"/>
    <w:rsid w:val="00D85834"/>
    <w:rsid w:val="00D85874"/>
    <w:rsid w:val="00D86F5C"/>
    <w:rsid w:val="00D8750A"/>
    <w:rsid w:val="00D92135"/>
    <w:rsid w:val="00D929AC"/>
    <w:rsid w:val="00D9333C"/>
    <w:rsid w:val="00D945A6"/>
    <w:rsid w:val="00D95214"/>
    <w:rsid w:val="00D95AD1"/>
    <w:rsid w:val="00DA0AAB"/>
    <w:rsid w:val="00DA101F"/>
    <w:rsid w:val="00DA1D4B"/>
    <w:rsid w:val="00DA3660"/>
    <w:rsid w:val="00DA37ED"/>
    <w:rsid w:val="00DA5186"/>
    <w:rsid w:val="00DA5909"/>
    <w:rsid w:val="00DA5E6C"/>
    <w:rsid w:val="00DA6D4D"/>
    <w:rsid w:val="00DB1D0A"/>
    <w:rsid w:val="00DB24A7"/>
    <w:rsid w:val="00DB24D5"/>
    <w:rsid w:val="00DB4724"/>
    <w:rsid w:val="00DB4E0F"/>
    <w:rsid w:val="00DB68F7"/>
    <w:rsid w:val="00DB6E16"/>
    <w:rsid w:val="00DB7050"/>
    <w:rsid w:val="00DB7181"/>
    <w:rsid w:val="00DB7625"/>
    <w:rsid w:val="00DC2C61"/>
    <w:rsid w:val="00DC3C98"/>
    <w:rsid w:val="00DC4A09"/>
    <w:rsid w:val="00DC59A0"/>
    <w:rsid w:val="00DC629B"/>
    <w:rsid w:val="00DC753C"/>
    <w:rsid w:val="00DC784F"/>
    <w:rsid w:val="00DD0331"/>
    <w:rsid w:val="00DD0629"/>
    <w:rsid w:val="00DD0AAD"/>
    <w:rsid w:val="00DD1F9B"/>
    <w:rsid w:val="00DD2152"/>
    <w:rsid w:val="00DD21C0"/>
    <w:rsid w:val="00DD37AC"/>
    <w:rsid w:val="00DD3DBD"/>
    <w:rsid w:val="00DD4715"/>
    <w:rsid w:val="00DD7911"/>
    <w:rsid w:val="00DE0F22"/>
    <w:rsid w:val="00DE3569"/>
    <w:rsid w:val="00DE4463"/>
    <w:rsid w:val="00DE54F8"/>
    <w:rsid w:val="00DF01D9"/>
    <w:rsid w:val="00DF1897"/>
    <w:rsid w:val="00DF2EAE"/>
    <w:rsid w:val="00DF3842"/>
    <w:rsid w:val="00DF3E0F"/>
    <w:rsid w:val="00E02827"/>
    <w:rsid w:val="00E0466F"/>
    <w:rsid w:val="00E05816"/>
    <w:rsid w:val="00E06D51"/>
    <w:rsid w:val="00E0791F"/>
    <w:rsid w:val="00E1021D"/>
    <w:rsid w:val="00E1164A"/>
    <w:rsid w:val="00E1218F"/>
    <w:rsid w:val="00E126BD"/>
    <w:rsid w:val="00E13305"/>
    <w:rsid w:val="00E13FB3"/>
    <w:rsid w:val="00E1471A"/>
    <w:rsid w:val="00E147F0"/>
    <w:rsid w:val="00E1522B"/>
    <w:rsid w:val="00E1678D"/>
    <w:rsid w:val="00E17AEF"/>
    <w:rsid w:val="00E17EEA"/>
    <w:rsid w:val="00E2147B"/>
    <w:rsid w:val="00E2292E"/>
    <w:rsid w:val="00E22F60"/>
    <w:rsid w:val="00E23993"/>
    <w:rsid w:val="00E25C16"/>
    <w:rsid w:val="00E25EC8"/>
    <w:rsid w:val="00E26D5C"/>
    <w:rsid w:val="00E271C1"/>
    <w:rsid w:val="00E30576"/>
    <w:rsid w:val="00E30CEA"/>
    <w:rsid w:val="00E329AB"/>
    <w:rsid w:val="00E34585"/>
    <w:rsid w:val="00E34A1C"/>
    <w:rsid w:val="00E34EF6"/>
    <w:rsid w:val="00E350C2"/>
    <w:rsid w:val="00E3620A"/>
    <w:rsid w:val="00E369F2"/>
    <w:rsid w:val="00E370AD"/>
    <w:rsid w:val="00E37692"/>
    <w:rsid w:val="00E40D24"/>
    <w:rsid w:val="00E411B9"/>
    <w:rsid w:val="00E41A5C"/>
    <w:rsid w:val="00E427B0"/>
    <w:rsid w:val="00E43500"/>
    <w:rsid w:val="00E453EB"/>
    <w:rsid w:val="00E46029"/>
    <w:rsid w:val="00E47C43"/>
    <w:rsid w:val="00E47FB3"/>
    <w:rsid w:val="00E52ED5"/>
    <w:rsid w:val="00E53E94"/>
    <w:rsid w:val="00E54424"/>
    <w:rsid w:val="00E54AF9"/>
    <w:rsid w:val="00E54BA0"/>
    <w:rsid w:val="00E55B79"/>
    <w:rsid w:val="00E56113"/>
    <w:rsid w:val="00E56487"/>
    <w:rsid w:val="00E57752"/>
    <w:rsid w:val="00E57DC6"/>
    <w:rsid w:val="00E60A26"/>
    <w:rsid w:val="00E60DD5"/>
    <w:rsid w:val="00E61B1D"/>
    <w:rsid w:val="00E620A0"/>
    <w:rsid w:val="00E6276D"/>
    <w:rsid w:val="00E62C4F"/>
    <w:rsid w:val="00E63841"/>
    <w:rsid w:val="00E63BF8"/>
    <w:rsid w:val="00E64358"/>
    <w:rsid w:val="00E650EE"/>
    <w:rsid w:val="00E6623D"/>
    <w:rsid w:val="00E66271"/>
    <w:rsid w:val="00E66CFA"/>
    <w:rsid w:val="00E67799"/>
    <w:rsid w:val="00E67BCC"/>
    <w:rsid w:val="00E70119"/>
    <w:rsid w:val="00E70943"/>
    <w:rsid w:val="00E70AA9"/>
    <w:rsid w:val="00E715E7"/>
    <w:rsid w:val="00E72B08"/>
    <w:rsid w:val="00E75E5E"/>
    <w:rsid w:val="00E800E7"/>
    <w:rsid w:val="00E8083A"/>
    <w:rsid w:val="00E81A7B"/>
    <w:rsid w:val="00E8247D"/>
    <w:rsid w:val="00E82E8D"/>
    <w:rsid w:val="00E83024"/>
    <w:rsid w:val="00E8314F"/>
    <w:rsid w:val="00E83802"/>
    <w:rsid w:val="00E8435B"/>
    <w:rsid w:val="00E84863"/>
    <w:rsid w:val="00E85561"/>
    <w:rsid w:val="00E8592D"/>
    <w:rsid w:val="00E875F3"/>
    <w:rsid w:val="00E908F5"/>
    <w:rsid w:val="00E90AE2"/>
    <w:rsid w:val="00E92113"/>
    <w:rsid w:val="00E92DCC"/>
    <w:rsid w:val="00E96031"/>
    <w:rsid w:val="00E96752"/>
    <w:rsid w:val="00E967F2"/>
    <w:rsid w:val="00E975CF"/>
    <w:rsid w:val="00E97A4E"/>
    <w:rsid w:val="00EA0597"/>
    <w:rsid w:val="00EA1235"/>
    <w:rsid w:val="00EA21F2"/>
    <w:rsid w:val="00EA3D61"/>
    <w:rsid w:val="00EA488B"/>
    <w:rsid w:val="00EA48FC"/>
    <w:rsid w:val="00EA6113"/>
    <w:rsid w:val="00EA7C02"/>
    <w:rsid w:val="00EB03E8"/>
    <w:rsid w:val="00EB18CF"/>
    <w:rsid w:val="00EB2E8E"/>
    <w:rsid w:val="00EB2F2E"/>
    <w:rsid w:val="00EB7029"/>
    <w:rsid w:val="00EB7CE3"/>
    <w:rsid w:val="00EC093B"/>
    <w:rsid w:val="00EC2017"/>
    <w:rsid w:val="00EC3B9D"/>
    <w:rsid w:val="00EC60A9"/>
    <w:rsid w:val="00EC666E"/>
    <w:rsid w:val="00ED1237"/>
    <w:rsid w:val="00ED2228"/>
    <w:rsid w:val="00ED5A77"/>
    <w:rsid w:val="00ED6DF3"/>
    <w:rsid w:val="00ED73F0"/>
    <w:rsid w:val="00EE193C"/>
    <w:rsid w:val="00EE1995"/>
    <w:rsid w:val="00EE23CC"/>
    <w:rsid w:val="00EE3096"/>
    <w:rsid w:val="00EE4C4A"/>
    <w:rsid w:val="00EE4F7C"/>
    <w:rsid w:val="00EE60CA"/>
    <w:rsid w:val="00EE7757"/>
    <w:rsid w:val="00EE79FE"/>
    <w:rsid w:val="00EE7E2C"/>
    <w:rsid w:val="00EE7E55"/>
    <w:rsid w:val="00EF117E"/>
    <w:rsid w:val="00EF1573"/>
    <w:rsid w:val="00EF2795"/>
    <w:rsid w:val="00EF2CC6"/>
    <w:rsid w:val="00EF3061"/>
    <w:rsid w:val="00EF6521"/>
    <w:rsid w:val="00EF69F0"/>
    <w:rsid w:val="00F0032E"/>
    <w:rsid w:val="00F0084D"/>
    <w:rsid w:val="00F0188C"/>
    <w:rsid w:val="00F02292"/>
    <w:rsid w:val="00F02BD4"/>
    <w:rsid w:val="00F04499"/>
    <w:rsid w:val="00F04527"/>
    <w:rsid w:val="00F060A9"/>
    <w:rsid w:val="00F07023"/>
    <w:rsid w:val="00F0775B"/>
    <w:rsid w:val="00F07802"/>
    <w:rsid w:val="00F110D2"/>
    <w:rsid w:val="00F116D9"/>
    <w:rsid w:val="00F12D0B"/>
    <w:rsid w:val="00F13401"/>
    <w:rsid w:val="00F13EB1"/>
    <w:rsid w:val="00F146C3"/>
    <w:rsid w:val="00F1491A"/>
    <w:rsid w:val="00F15DB0"/>
    <w:rsid w:val="00F15DE0"/>
    <w:rsid w:val="00F16371"/>
    <w:rsid w:val="00F170C8"/>
    <w:rsid w:val="00F2180D"/>
    <w:rsid w:val="00F223FB"/>
    <w:rsid w:val="00F23797"/>
    <w:rsid w:val="00F2395A"/>
    <w:rsid w:val="00F24281"/>
    <w:rsid w:val="00F249E4"/>
    <w:rsid w:val="00F24AFC"/>
    <w:rsid w:val="00F24F55"/>
    <w:rsid w:val="00F258F9"/>
    <w:rsid w:val="00F268DF"/>
    <w:rsid w:val="00F26ADC"/>
    <w:rsid w:val="00F27331"/>
    <w:rsid w:val="00F27563"/>
    <w:rsid w:val="00F275EC"/>
    <w:rsid w:val="00F278C4"/>
    <w:rsid w:val="00F301A6"/>
    <w:rsid w:val="00F32F0C"/>
    <w:rsid w:val="00F36105"/>
    <w:rsid w:val="00F402C3"/>
    <w:rsid w:val="00F40E13"/>
    <w:rsid w:val="00F41532"/>
    <w:rsid w:val="00F41584"/>
    <w:rsid w:val="00F426A4"/>
    <w:rsid w:val="00F44270"/>
    <w:rsid w:val="00F45056"/>
    <w:rsid w:val="00F453F9"/>
    <w:rsid w:val="00F46E0F"/>
    <w:rsid w:val="00F46FF1"/>
    <w:rsid w:val="00F475D4"/>
    <w:rsid w:val="00F5017E"/>
    <w:rsid w:val="00F52335"/>
    <w:rsid w:val="00F52CBD"/>
    <w:rsid w:val="00F53C21"/>
    <w:rsid w:val="00F5429A"/>
    <w:rsid w:val="00F549D4"/>
    <w:rsid w:val="00F54B18"/>
    <w:rsid w:val="00F56066"/>
    <w:rsid w:val="00F568C0"/>
    <w:rsid w:val="00F57289"/>
    <w:rsid w:val="00F61145"/>
    <w:rsid w:val="00F6123C"/>
    <w:rsid w:val="00F628F8"/>
    <w:rsid w:val="00F64013"/>
    <w:rsid w:val="00F6515E"/>
    <w:rsid w:val="00F66808"/>
    <w:rsid w:val="00F67272"/>
    <w:rsid w:val="00F67C76"/>
    <w:rsid w:val="00F718B6"/>
    <w:rsid w:val="00F73B21"/>
    <w:rsid w:val="00F73BE7"/>
    <w:rsid w:val="00F74263"/>
    <w:rsid w:val="00F76B02"/>
    <w:rsid w:val="00F806C9"/>
    <w:rsid w:val="00F81419"/>
    <w:rsid w:val="00F8319A"/>
    <w:rsid w:val="00F843AC"/>
    <w:rsid w:val="00F85EBD"/>
    <w:rsid w:val="00F87745"/>
    <w:rsid w:val="00F87B93"/>
    <w:rsid w:val="00F91E89"/>
    <w:rsid w:val="00F935DD"/>
    <w:rsid w:val="00F93B1C"/>
    <w:rsid w:val="00F9407F"/>
    <w:rsid w:val="00F94B97"/>
    <w:rsid w:val="00F94E68"/>
    <w:rsid w:val="00F94E6C"/>
    <w:rsid w:val="00FA3BF8"/>
    <w:rsid w:val="00FA4670"/>
    <w:rsid w:val="00FA46F7"/>
    <w:rsid w:val="00FA5DBE"/>
    <w:rsid w:val="00FA611D"/>
    <w:rsid w:val="00FA731B"/>
    <w:rsid w:val="00FA7AFA"/>
    <w:rsid w:val="00FB0DC0"/>
    <w:rsid w:val="00FB1A8B"/>
    <w:rsid w:val="00FB3573"/>
    <w:rsid w:val="00FB3EE2"/>
    <w:rsid w:val="00FB411A"/>
    <w:rsid w:val="00FB6031"/>
    <w:rsid w:val="00FB62FC"/>
    <w:rsid w:val="00FB7010"/>
    <w:rsid w:val="00FB7694"/>
    <w:rsid w:val="00FC0693"/>
    <w:rsid w:val="00FC19D0"/>
    <w:rsid w:val="00FC1C59"/>
    <w:rsid w:val="00FC4FFB"/>
    <w:rsid w:val="00FC5032"/>
    <w:rsid w:val="00FC529F"/>
    <w:rsid w:val="00FC57B8"/>
    <w:rsid w:val="00FC6CA0"/>
    <w:rsid w:val="00FC7FE0"/>
    <w:rsid w:val="00FD1CCC"/>
    <w:rsid w:val="00FD3799"/>
    <w:rsid w:val="00FD3CAC"/>
    <w:rsid w:val="00FD5208"/>
    <w:rsid w:val="00FD544E"/>
    <w:rsid w:val="00FD5DE4"/>
    <w:rsid w:val="00FD636F"/>
    <w:rsid w:val="00FD7DEE"/>
    <w:rsid w:val="00FE1AE1"/>
    <w:rsid w:val="00FF08BD"/>
    <w:rsid w:val="00FF109E"/>
    <w:rsid w:val="00FF10A0"/>
    <w:rsid w:val="00FF123A"/>
    <w:rsid w:val="00FF1263"/>
    <w:rsid w:val="00FF29DE"/>
    <w:rsid w:val="00FF4735"/>
    <w:rsid w:val="00FF619D"/>
    <w:rsid w:val="00FF73D8"/>
    <w:rsid w:val="01134996"/>
    <w:rsid w:val="016E6852"/>
    <w:rsid w:val="03084E2D"/>
    <w:rsid w:val="03467E7F"/>
    <w:rsid w:val="03ACAF74"/>
    <w:rsid w:val="046C7616"/>
    <w:rsid w:val="0589E6CA"/>
    <w:rsid w:val="06F7563A"/>
    <w:rsid w:val="0936C387"/>
    <w:rsid w:val="093B1EBE"/>
    <w:rsid w:val="09972DFE"/>
    <w:rsid w:val="09D3D98E"/>
    <w:rsid w:val="0AA8C777"/>
    <w:rsid w:val="0ACF847D"/>
    <w:rsid w:val="0AF33991"/>
    <w:rsid w:val="0B52E52F"/>
    <w:rsid w:val="0B8D3356"/>
    <w:rsid w:val="0BF4F22E"/>
    <w:rsid w:val="0C3F11B4"/>
    <w:rsid w:val="0C4F1335"/>
    <w:rsid w:val="0D38F136"/>
    <w:rsid w:val="0F3BFA93"/>
    <w:rsid w:val="1004EA76"/>
    <w:rsid w:val="10F1C009"/>
    <w:rsid w:val="1220CC53"/>
    <w:rsid w:val="12F229A2"/>
    <w:rsid w:val="13D92AFE"/>
    <w:rsid w:val="13E715CC"/>
    <w:rsid w:val="15943129"/>
    <w:rsid w:val="161ACC73"/>
    <w:rsid w:val="1621C648"/>
    <w:rsid w:val="176278FE"/>
    <w:rsid w:val="19364A63"/>
    <w:rsid w:val="199BA2B5"/>
    <w:rsid w:val="1A14226D"/>
    <w:rsid w:val="1AAD1FC4"/>
    <w:rsid w:val="1B448541"/>
    <w:rsid w:val="1B516E4F"/>
    <w:rsid w:val="1C5E9761"/>
    <w:rsid w:val="1CF050D0"/>
    <w:rsid w:val="1CFF27B5"/>
    <w:rsid w:val="1D6623AA"/>
    <w:rsid w:val="1D71E0F7"/>
    <w:rsid w:val="1DC91B8B"/>
    <w:rsid w:val="1DF4E3F1"/>
    <w:rsid w:val="1E3BE1C0"/>
    <w:rsid w:val="1E9ECBCA"/>
    <w:rsid w:val="1EDDC352"/>
    <w:rsid w:val="20ACA229"/>
    <w:rsid w:val="22BB5623"/>
    <w:rsid w:val="22D0862E"/>
    <w:rsid w:val="230DC55B"/>
    <w:rsid w:val="24A9D6F7"/>
    <w:rsid w:val="24F3670C"/>
    <w:rsid w:val="258ADA37"/>
    <w:rsid w:val="25B33AEC"/>
    <w:rsid w:val="27507215"/>
    <w:rsid w:val="29FFF5D0"/>
    <w:rsid w:val="2AB4AE44"/>
    <w:rsid w:val="2B6D95DB"/>
    <w:rsid w:val="2D7D4571"/>
    <w:rsid w:val="2D84F226"/>
    <w:rsid w:val="2E708651"/>
    <w:rsid w:val="2F0F97E2"/>
    <w:rsid w:val="30A67E16"/>
    <w:rsid w:val="30C7BECD"/>
    <w:rsid w:val="31DB0863"/>
    <w:rsid w:val="324C38FD"/>
    <w:rsid w:val="32F3A41D"/>
    <w:rsid w:val="34625218"/>
    <w:rsid w:val="35FD6DC9"/>
    <w:rsid w:val="363064E0"/>
    <w:rsid w:val="363475D0"/>
    <w:rsid w:val="3714E389"/>
    <w:rsid w:val="37628809"/>
    <w:rsid w:val="38F761F1"/>
    <w:rsid w:val="390E69B8"/>
    <w:rsid w:val="39EFEE3F"/>
    <w:rsid w:val="3A86C2CB"/>
    <w:rsid w:val="3BA4823B"/>
    <w:rsid w:val="3BBE5C9A"/>
    <w:rsid w:val="3C48D177"/>
    <w:rsid w:val="3D3FF078"/>
    <w:rsid w:val="3D9D70D6"/>
    <w:rsid w:val="3DE85942"/>
    <w:rsid w:val="3E652D0E"/>
    <w:rsid w:val="40A63540"/>
    <w:rsid w:val="40EB9E2E"/>
    <w:rsid w:val="418F8484"/>
    <w:rsid w:val="429A07A2"/>
    <w:rsid w:val="448CDE46"/>
    <w:rsid w:val="45B0FBA8"/>
    <w:rsid w:val="471C4016"/>
    <w:rsid w:val="4764A1AC"/>
    <w:rsid w:val="481759BD"/>
    <w:rsid w:val="48697CF7"/>
    <w:rsid w:val="48DD87B6"/>
    <w:rsid w:val="4AA356A4"/>
    <w:rsid w:val="4B2CEBB6"/>
    <w:rsid w:val="4B6FAE06"/>
    <w:rsid w:val="4BA96CB1"/>
    <w:rsid w:val="4C38FB8C"/>
    <w:rsid w:val="4CE269B3"/>
    <w:rsid w:val="4CF6B932"/>
    <w:rsid w:val="4F4CE95A"/>
    <w:rsid w:val="4F5963E9"/>
    <w:rsid w:val="50D26696"/>
    <w:rsid w:val="50FE2ABE"/>
    <w:rsid w:val="5194E801"/>
    <w:rsid w:val="52CC01F1"/>
    <w:rsid w:val="53C5D9FF"/>
    <w:rsid w:val="5404D505"/>
    <w:rsid w:val="5431108D"/>
    <w:rsid w:val="547D4C5E"/>
    <w:rsid w:val="560CD51A"/>
    <w:rsid w:val="56463E83"/>
    <w:rsid w:val="575FC8A5"/>
    <w:rsid w:val="57781D0B"/>
    <w:rsid w:val="57BEC13B"/>
    <w:rsid w:val="58834B7F"/>
    <w:rsid w:val="589670DA"/>
    <w:rsid w:val="593E2A3B"/>
    <w:rsid w:val="594688AE"/>
    <w:rsid w:val="5A1B5AE9"/>
    <w:rsid w:val="5AA61422"/>
    <w:rsid w:val="5B5A3A39"/>
    <w:rsid w:val="5B668C61"/>
    <w:rsid w:val="5B833ED4"/>
    <w:rsid w:val="5BE68819"/>
    <w:rsid w:val="5D3E065E"/>
    <w:rsid w:val="5D5C2BFE"/>
    <w:rsid w:val="5DDE8CE3"/>
    <w:rsid w:val="5FD49355"/>
    <w:rsid w:val="603D879A"/>
    <w:rsid w:val="6047D406"/>
    <w:rsid w:val="626E9BD0"/>
    <w:rsid w:val="6301D492"/>
    <w:rsid w:val="63502233"/>
    <w:rsid w:val="6479EDB0"/>
    <w:rsid w:val="650D05AB"/>
    <w:rsid w:val="66D6C7AB"/>
    <w:rsid w:val="66ED1002"/>
    <w:rsid w:val="6755F635"/>
    <w:rsid w:val="6984E8CC"/>
    <w:rsid w:val="6A269B4D"/>
    <w:rsid w:val="6B6B76D7"/>
    <w:rsid w:val="6BEA1F34"/>
    <w:rsid w:val="6CD0ED90"/>
    <w:rsid w:val="6F8F33E7"/>
    <w:rsid w:val="7021898C"/>
    <w:rsid w:val="7180D873"/>
    <w:rsid w:val="71EEC17A"/>
    <w:rsid w:val="731E2B3B"/>
    <w:rsid w:val="73662DD9"/>
    <w:rsid w:val="748E770E"/>
    <w:rsid w:val="75875814"/>
    <w:rsid w:val="769EBF7A"/>
    <w:rsid w:val="77178B17"/>
    <w:rsid w:val="77E0AE68"/>
    <w:rsid w:val="784E9CD3"/>
    <w:rsid w:val="789F1957"/>
    <w:rsid w:val="7B52B64B"/>
    <w:rsid w:val="7B6DACAE"/>
    <w:rsid w:val="7BF9805E"/>
    <w:rsid w:val="7C72709A"/>
    <w:rsid w:val="7CB55939"/>
    <w:rsid w:val="7CFFB5D4"/>
    <w:rsid w:val="7D600094"/>
    <w:rsid w:val="7F9FB53F"/>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9CE86"/>
  <w15:chartTrackingRefBased/>
  <w15:docId w15:val="{0BB33A4A-D821-4D2A-9CD6-4FE076E18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q-AL"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5DC"/>
  </w:style>
  <w:style w:type="paragraph" w:styleId="Heading1">
    <w:name w:val="heading 1"/>
    <w:basedOn w:val="Normal"/>
    <w:next w:val="Normal"/>
    <w:link w:val="Heading1Char"/>
    <w:uiPriority w:val="9"/>
    <w:qFormat/>
    <w:rsid w:val="00852091"/>
    <w:pPr>
      <w:keepNext/>
      <w:keepLines/>
      <w:spacing w:before="320" w:after="40"/>
      <w:outlineLvl w:val="0"/>
    </w:pPr>
    <w:rPr>
      <w:rFonts w:ascii="Calibri" w:eastAsiaTheme="majorEastAsia" w:hAnsi="Calibri" w:cstheme="majorBidi"/>
      <w:b/>
      <w:bCs/>
      <w:caps/>
      <w:color w:val="806000" w:themeColor="accent4" w:themeShade="80"/>
      <w:spacing w:val="4"/>
      <w:sz w:val="26"/>
      <w:szCs w:val="28"/>
    </w:rPr>
  </w:style>
  <w:style w:type="paragraph" w:styleId="Heading2">
    <w:name w:val="heading 2"/>
    <w:basedOn w:val="Normal"/>
    <w:next w:val="Normal"/>
    <w:link w:val="Heading2Char"/>
    <w:uiPriority w:val="9"/>
    <w:unhideWhenUsed/>
    <w:qFormat/>
    <w:rsid w:val="00C73399"/>
    <w:pPr>
      <w:keepNext/>
      <w:keepLines/>
      <w:spacing w:before="120" w:after="0"/>
      <w:outlineLvl w:val="1"/>
    </w:pPr>
    <w:rPr>
      <w:rFonts w:ascii="Calibri" w:eastAsiaTheme="majorEastAsia" w:hAnsi="Calibri" w:cstheme="majorBidi"/>
      <w:b/>
      <w:bCs/>
      <w:color w:val="44546A" w:themeColor="text2"/>
      <w:sz w:val="26"/>
      <w:szCs w:val="28"/>
    </w:rPr>
  </w:style>
  <w:style w:type="paragraph" w:styleId="Heading3">
    <w:name w:val="heading 3"/>
    <w:basedOn w:val="Normal"/>
    <w:next w:val="Normal"/>
    <w:link w:val="Heading3Char"/>
    <w:uiPriority w:val="9"/>
    <w:unhideWhenUsed/>
    <w:qFormat/>
    <w:rsid w:val="009975D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9975D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9975D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9975D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9975D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9975D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9975D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692"/>
    <w:pPr>
      <w:ind w:left="720"/>
      <w:contextualSpacing/>
    </w:pPr>
  </w:style>
  <w:style w:type="paragraph" w:styleId="Title">
    <w:name w:val="Title"/>
    <w:basedOn w:val="Normal"/>
    <w:next w:val="Normal"/>
    <w:link w:val="TitleChar"/>
    <w:uiPriority w:val="10"/>
    <w:qFormat/>
    <w:rsid w:val="009975D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9975DC"/>
    <w:rPr>
      <w:rFonts w:asciiTheme="majorHAnsi" w:eastAsiaTheme="majorEastAsia" w:hAnsiTheme="majorHAnsi" w:cstheme="majorBidi"/>
      <w:b/>
      <w:bCs/>
      <w:spacing w:val="-7"/>
      <w:sz w:val="48"/>
      <w:szCs w:val="48"/>
    </w:rPr>
  </w:style>
  <w:style w:type="character" w:customStyle="1" w:styleId="Heading2Char">
    <w:name w:val="Heading 2 Char"/>
    <w:basedOn w:val="DefaultParagraphFont"/>
    <w:link w:val="Heading2"/>
    <w:uiPriority w:val="9"/>
    <w:rsid w:val="00C73399"/>
    <w:rPr>
      <w:rFonts w:ascii="Calibri" w:eastAsiaTheme="majorEastAsia" w:hAnsi="Calibri" w:cstheme="majorBidi"/>
      <w:b/>
      <w:bCs/>
      <w:color w:val="44546A" w:themeColor="text2"/>
      <w:sz w:val="26"/>
      <w:szCs w:val="28"/>
    </w:rPr>
  </w:style>
  <w:style w:type="paragraph" w:styleId="NoSpacing">
    <w:name w:val="No Spacing"/>
    <w:link w:val="NoSpacingChar"/>
    <w:uiPriority w:val="1"/>
    <w:qFormat/>
    <w:rsid w:val="009975DC"/>
    <w:pPr>
      <w:spacing w:after="0" w:line="240" w:lineRule="auto"/>
    </w:pPr>
  </w:style>
  <w:style w:type="character" w:customStyle="1" w:styleId="NoSpacingChar">
    <w:name w:val="No Spacing Char"/>
    <w:link w:val="NoSpacing"/>
    <w:uiPriority w:val="1"/>
    <w:rsid w:val="006D1DED"/>
  </w:style>
  <w:style w:type="paragraph" w:customStyle="1" w:styleId="Contactinfo">
    <w:name w:val="Contact info"/>
    <w:basedOn w:val="Normal"/>
    <w:uiPriority w:val="1"/>
    <w:rsid w:val="006D1DED"/>
    <w:pPr>
      <w:spacing w:before="100" w:after="200" w:line="240" w:lineRule="auto"/>
      <w:jc w:val="right"/>
    </w:pPr>
    <w:rPr>
      <w:caps/>
      <w:kern w:val="22"/>
      <w:sz w:val="20"/>
      <w:szCs w:val="20"/>
      <w:lang w:val="en-US"/>
      <w14:ligatures w14:val="standard"/>
    </w:rPr>
  </w:style>
  <w:style w:type="table" w:styleId="PlainTable5">
    <w:name w:val="Plain Table 5"/>
    <w:basedOn w:val="TableNormal"/>
    <w:uiPriority w:val="45"/>
    <w:rsid w:val="006532F7"/>
    <w:pPr>
      <w:spacing w:after="0" w:line="240" w:lineRule="auto"/>
    </w:pPr>
    <w:rPr>
      <w:rFonts w:eastAsia="MS Mincho"/>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455D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5D29"/>
  </w:style>
  <w:style w:type="paragraph" w:styleId="Footer">
    <w:name w:val="footer"/>
    <w:basedOn w:val="Normal"/>
    <w:link w:val="FooterChar"/>
    <w:uiPriority w:val="99"/>
    <w:unhideWhenUsed/>
    <w:rsid w:val="00455D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5D29"/>
  </w:style>
  <w:style w:type="character" w:customStyle="1" w:styleId="Heading1Char">
    <w:name w:val="Heading 1 Char"/>
    <w:basedOn w:val="DefaultParagraphFont"/>
    <w:link w:val="Heading1"/>
    <w:uiPriority w:val="9"/>
    <w:rsid w:val="00852091"/>
    <w:rPr>
      <w:rFonts w:ascii="Calibri" w:eastAsiaTheme="majorEastAsia" w:hAnsi="Calibri" w:cstheme="majorBidi"/>
      <w:b/>
      <w:bCs/>
      <w:caps/>
      <w:color w:val="806000" w:themeColor="accent4" w:themeShade="80"/>
      <w:spacing w:val="4"/>
      <w:sz w:val="26"/>
      <w:szCs w:val="28"/>
    </w:rPr>
  </w:style>
  <w:style w:type="character" w:customStyle="1" w:styleId="Heading3Char">
    <w:name w:val="Heading 3 Char"/>
    <w:basedOn w:val="DefaultParagraphFont"/>
    <w:link w:val="Heading3"/>
    <w:uiPriority w:val="9"/>
    <w:rsid w:val="009975D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9975D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9975D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9975D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9975DC"/>
    <w:rPr>
      <w:i/>
      <w:iCs/>
    </w:rPr>
  </w:style>
  <w:style w:type="character" w:customStyle="1" w:styleId="Heading8Char">
    <w:name w:val="Heading 8 Char"/>
    <w:basedOn w:val="DefaultParagraphFont"/>
    <w:link w:val="Heading8"/>
    <w:uiPriority w:val="9"/>
    <w:semiHidden/>
    <w:rsid w:val="009975DC"/>
    <w:rPr>
      <w:b/>
      <w:bCs/>
    </w:rPr>
  </w:style>
  <w:style w:type="character" w:customStyle="1" w:styleId="Heading9Char">
    <w:name w:val="Heading 9 Char"/>
    <w:basedOn w:val="DefaultParagraphFont"/>
    <w:link w:val="Heading9"/>
    <w:uiPriority w:val="9"/>
    <w:semiHidden/>
    <w:rsid w:val="009975DC"/>
    <w:rPr>
      <w:i/>
      <w:iCs/>
    </w:rPr>
  </w:style>
  <w:style w:type="paragraph" w:styleId="Caption">
    <w:name w:val="caption"/>
    <w:basedOn w:val="Normal"/>
    <w:next w:val="Normal"/>
    <w:uiPriority w:val="35"/>
    <w:unhideWhenUsed/>
    <w:qFormat/>
    <w:rsid w:val="009975DC"/>
    <w:rPr>
      <w:b/>
      <w:bCs/>
      <w:sz w:val="18"/>
      <w:szCs w:val="18"/>
    </w:rPr>
  </w:style>
  <w:style w:type="paragraph" w:styleId="Subtitle">
    <w:name w:val="Subtitle"/>
    <w:basedOn w:val="Normal"/>
    <w:next w:val="Normal"/>
    <w:link w:val="SubtitleChar"/>
    <w:uiPriority w:val="11"/>
    <w:qFormat/>
    <w:rsid w:val="009975D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975DC"/>
    <w:rPr>
      <w:rFonts w:asciiTheme="majorHAnsi" w:eastAsiaTheme="majorEastAsia" w:hAnsiTheme="majorHAnsi" w:cstheme="majorBidi"/>
      <w:sz w:val="24"/>
      <w:szCs w:val="24"/>
    </w:rPr>
  </w:style>
  <w:style w:type="character" w:styleId="Strong">
    <w:name w:val="Strong"/>
    <w:basedOn w:val="DefaultParagraphFont"/>
    <w:uiPriority w:val="22"/>
    <w:qFormat/>
    <w:rsid w:val="009975DC"/>
    <w:rPr>
      <w:b/>
      <w:bCs/>
      <w:color w:val="auto"/>
    </w:rPr>
  </w:style>
  <w:style w:type="character" w:styleId="Emphasis">
    <w:name w:val="Emphasis"/>
    <w:basedOn w:val="DefaultParagraphFont"/>
    <w:uiPriority w:val="20"/>
    <w:qFormat/>
    <w:rsid w:val="009975DC"/>
    <w:rPr>
      <w:i/>
      <w:iCs/>
      <w:color w:val="auto"/>
    </w:rPr>
  </w:style>
  <w:style w:type="paragraph" w:styleId="Quote">
    <w:name w:val="Quote"/>
    <w:basedOn w:val="Normal"/>
    <w:next w:val="Normal"/>
    <w:link w:val="QuoteChar"/>
    <w:uiPriority w:val="29"/>
    <w:qFormat/>
    <w:rsid w:val="009975D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9975D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9975D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9975D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9975DC"/>
    <w:rPr>
      <w:i/>
      <w:iCs/>
      <w:color w:val="auto"/>
    </w:rPr>
  </w:style>
  <w:style w:type="character" w:styleId="IntenseEmphasis">
    <w:name w:val="Intense Emphasis"/>
    <w:basedOn w:val="DefaultParagraphFont"/>
    <w:uiPriority w:val="21"/>
    <w:qFormat/>
    <w:rsid w:val="009975DC"/>
    <w:rPr>
      <w:b/>
      <w:bCs/>
      <w:i/>
      <w:iCs/>
      <w:color w:val="auto"/>
    </w:rPr>
  </w:style>
  <w:style w:type="character" w:styleId="SubtleReference">
    <w:name w:val="Subtle Reference"/>
    <w:basedOn w:val="DefaultParagraphFont"/>
    <w:uiPriority w:val="31"/>
    <w:qFormat/>
    <w:rsid w:val="009975DC"/>
    <w:rPr>
      <w:smallCaps/>
      <w:color w:val="auto"/>
      <w:u w:val="single" w:color="7F7F7F" w:themeColor="text1" w:themeTint="80"/>
    </w:rPr>
  </w:style>
  <w:style w:type="character" w:styleId="IntenseReference">
    <w:name w:val="Intense Reference"/>
    <w:basedOn w:val="DefaultParagraphFont"/>
    <w:uiPriority w:val="32"/>
    <w:qFormat/>
    <w:rsid w:val="009975DC"/>
    <w:rPr>
      <w:b/>
      <w:bCs/>
      <w:smallCaps/>
      <w:color w:val="auto"/>
      <w:u w:val="single"/>
    </w:rPr>
  </w:style>
  <w:style w:type="character" w:styleId="BookTitle">
    <w:name w:val="Book Title"/>
    <w:basedOn w:val="DefaultParagraphFont"/>
    <w:uiPriority w:val="33"/>
    <w:qFormat/>
    <w:rsid w:val="009975DC"/>
    <w:rPr>
      <w:b/>
      <w:bCs/>
      <w:smallCaps/>
      <w:color w:val="auto"/>
    </w:rPr>
  </w:style>
  <w:style w:type="paragraph" w:styleId="TOCHeading">
    <w:name w:val="TOC Heading"/>
    <w:basedOn w:val="Heading1"/>
    <w:next w:val="Normal"/>
    <w:uiPriority w:val="39"/>
    <w:unhideWhenUsed/>
    <w:qFormat/>
    <w:rsid w:val="009975DC"/>
    <w:pPr>
      <w:outlineLvl w:val="9"/>
    </w:pPr>
  </w:style>
  <w:style w:type="paragraph" w:styleId="TOC2">
    <w:name w:val="toc 2"/>
    <w:basedOn w:val="Normal"/>
    <w:next w:val="Normal"/>
    <w:autoRedefine/>
    <w:uiPriority w:val="39"/>
    <w:unhideWhenUsed/>
    <w:rsid w:val="00DB6E16"/>
    <w:pPr>
      <w:tabs>
        <w:tab w:val="right" w:leader="dot" w:pos="9016"/>
      </w:tabs>
      <w:spacing w:after="100"/>
      <w:ind w:left="220"/>
    </w:pPr>
    <w:rPr>
      <w:rFonts w:asciiTheme="majorHAnsi" w:eastAsia="Times New Roman" w:hAnsiTheme="majorHAnsi" w:cstheme="majorHAnsi"/>
      <w:b/>
      <w:bCs/>
      <w:noProof/>
      <w:sz w:val="18"/>
      <w:szCs w:val="18"/>
      <w:lang w:val="en-US"/>
    </w:rPr>
  </w:style>
  <w:style w:type="table" w:styleId="TableGrid">
    <w:name w:val="Table Grid"/>
    <w:basedOn w:val="TableNormal"/>
    <w:uiPriority w:val="39"/>
    <w:rsid w:val="008557D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D0331"/>
    <w:pPr>
      <w:spacing w:after="0" w:line="240" w:lineRule="auto"/>
    </w:pPr>
    <w:rPr>
      <w:sz w:val="20"/>
      <w:szCs w:val="20"/>
    </w:rPr>
  </w:style>
  <w:style w:type="character" w:customStyle="1" w:styleId="FootnoteTextChar">
    <w:name w:val="Footnote Text Char"/>
    <w:basedOn w:val="DefaultParagraphFont"/>
    <w:link w:val="FootnoteText"/>
    <w:uiPriority w:val="99"/>
    <w:rsid w:val="00DD0331"/>
    <w:rPr>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DD0331"/>
    <w:rPr>
      <w:vertAlign w:val="superscript"/>
    </w:rPr>
  </w:style>
  <w:style w:type="paragraph" w:styleId="TOC1">
    <w:name w:val="toc 1"/>
    <w:basedOn w:val="Normal"/>
    <w:next w:val="Normal"/>
    <w:autoRedefine/>
    <w:uiPriority w:val="39"/>
    <w:unhideWhenUsed/>
    <w:rsid w:val="00CB4DE5"/>
    <w:pPr>
      <w:tabs>
        <w:tab w:val="right" w:leader="dot" w:pos="9016"/>
      </w:tabs>
      <w:spacing w:after="100" w:line="240" w:lineRule="auto"/>
    </w:pPr>
    <w:rPr>
      <w:rFonts w:ascii="Times New Roman" w:eastAsia="Times New Roman" w:hAnsi="Times New Roman" w:cs="Times New Roman"/>
      <w:noProof/>
      <w:sz w:val="16"/>
      <w:lang w:val="en-GB" w:eastAsia="en-GB"/>
    </w:rPr>
  </w:style>
  <w:style w:type="character" w:styleId="Hyperlink">
    <w:name w:val="Hyperlink"/>
    <w:basedOn w:val="DefaultParagraphFont"/>
    <w:uiPriority w:val="99"/>
    <w:unhideWhenUsed/>
    <w:rsid w:val="000852D8"/>
    <w:rPr>
      <w:color w:val="0563C1" w:themeColor="hyperlink"/>
      <w:u w:val="single"/>
    </w:rPr>
  </w:style>
  <w:style w:type="paragraph" w:styleId="NormalWeb">
    <w:name w:val="Normal (Web)"/>
    <w:basedOn w:val="Normal"/>
    <w:uiPriority w:val="99"/>
    <w:unhideWhenUsed/>
    <w:rsid w:val="00052DD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E57EA"/>
    <w:rPr>
      <w:sz w:val="16"/>
      <w:szCs w:val="16"/>
    </w:rPr>
  </w:style>
  <w:style w:type="paragraph" w:styleId="CommentText">
    <w:name w:val="annotation text"/>
    <w:basedOn w:val="Normal"/>
    <w:link w:val="CommentTextChar"/>
    <w:uiPriority w:val="99"/>
    <w:semiHidden/>
    <w:unhideWhenUsed/>
    <w:rsid w:val="009E57EA"/>
    <w:pPr>
      <w:spacing w:line="240" w:lineRule="auto"/>
    </w:pPr>
    <w:rPr>
      <w:sz w:val="20"/>
      <w:szCs w:val="20"/>
    </w:rPr>
  </w:style>
  <w:style w:type="character" w:customStyle="1" w:styleId="CommentTextChar">
    <w:name w:val="Comment Text Char"/>
    <w:basedOn w:val="DefaultParagraphFont"/>
    <w:link w:val="CommentText"/>
    <w:uiPriority w:val="99"/>
    <w:semiHidden/>
    <w:rsid w:val="009E57EA"/>
    <w:rPr>
      <w:sz w:val="20"/>
      <w:szCs w:val="20"/>
    </w:rPr>
  </w:style>
  <w:style w:type="paragraph" w:styleId="CommentSubject">
    <w:name w:val="annotation subject"/>
    <w:basedOn w:val="CommentText"/>
    <w:next w:val="CommentText"/>
    <w:link w:val="CommentSubjectChar"/>
    <w:uiPriority w:val="99"/>
    <w:semiHidden/>
    <w:unhideWhenUsed/>
    <w:rsid w:val="009E57EA"/>
    <w:rPr>
      <w:b/>
      <w:bCs/>
    </w:rPr>
  </w:style>
  <w:style w:type="character" w:customStyle="1" w:styleId="CommentSubjectChar">
    <w:name w:val="Comment Subject Char"/>
    <w:basedOn w:val="CommentTextChar"/>
    <w:link w:val="CommentSubject"/>
    <w:uiPriority w:val="99"/>
    <w:semiHidden/>
    <w:rsid w:val="009E57EA"/>
    <w:rPr>
      <w:b/>
      <w:bCs/>
      <w:sz w:val="20"/>
      <w:szCs w:val="20"/>
    </w:rPr>
  </w:style>
  <w:style w:type="paragraph" w:styleId="BalloonText">
    <w:name w:val="Balloon Text"/>
    <w:basedOn w:val="Normal"/>
    <w:link w:val="BalloonTextChar"/>
    <w:uiPriority w:val="99"/>
    <w:semiHidden/>
    <w:unhideWhenUsed/>
    <w:rsid w:val="009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7EA"/>
    <w:rPr>
      <w:rFonts w:ascii="Segoe UI" w:hAnsi="Segoe UI" w:cs="Segoe UI"/>
      <w:sz w:val="18"/>
      <w:szCs w:val="18"/>
    </w:rPr>
  </w:style>
  <w:style w:type="paragraph" w:styleId="Revision">
    <w:name w:val="Revision"/>
    <w:hidden/>
    <w:uiPriority w:val="99"/>
    <w:semiHidden/>
    <w:rsid w:val="004534DD"/>
    <w:pPr>
      <w:spacing w:after="0" w:line="240" w:lineRule="auto"/>
      <w:jc w:val="left"/>
    </w:pPr>
  </w:style>
  <w:style w:type="paragraph" w:styleId="TOC3">
    <w:name w:val="toc 3"/>
    <w:basedOn w:val="Normal"/>
    <w:next w:val="Normal"/>
    <w:autoRedefine/>
    <w:uiPriority w:val="39"/>
    <w:unhideWhenUsed/>
    <w:rsid w:val="00DA6D4D"/>
    <w:pPr>
      <w:spacing w:after="100" w:line="259" w:lineRule="auto"/>
      <w:ind w:left="440"/>
      <w:jc w:val="left"/>
    </w:pPr>
    <w:rPr>
      <w:rFonts w:cs="Times New Roman"/>
      <w:lang w:val="en-US"/>
    </w:rPr>
  </w:style>
  <w:style w:type="table" w:styleId="GridTable3">
    <w:name w:val="Grid Table 3"/>
    <w:basedOn w:val="TableNormal"/>
    <w:uiPriority w:val="48"/>
    <w:rsid w:val="00FA7AFA"/>
    <w:pPr>
      <w:spacing w:after="0" w:line="240" w:lineRule="auto"/>
      <w:jc w:val="left"/>
    </w:pPr>
    <w:rPr>
      <w:sz w:val="21"/>
      <w:szCs w:val="21"/>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FA7AFA"/>
    <w:pPr>
      <w:spacing w:after="0" w:line="240" w:lineRule="auto"/>
      <w:jc w:val="left"/>
    </w:pPr>
    <w:rPr>
      <w:sz w:val="21"/>
      <w:szCs w:val="21"/>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363E5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BodyText">
    <w:name w:val="Body Text"/>
    <w:basedOn w:val="Normal"/>
    <w:link w:val="BodyTextChar"/>
    <w:uiPriority w:val="1"/>
    <w:qFormat/>
    <w:rsid w:val="00144504"/>
    <w:pPr>
      <w:widowControl w:val="0"/>
      <w:autoSpaceDE w:val="0"/>
      <w:autoSpaceDN w:val="0"/>
      <w:spacing w:after="0" w:line="240" w:lineRule="auto"/>
      <w:jc w:val="left"/>
    </w:pPr>
    <w:rPr>
      <w:rFonts w:ascii="TeXGyrePagella" w:eastAsia="TeXGyrePagella" w:hAnsi="TeXGyrePagella" w:cs="TeXGyrePagella"/>
      <w:sz w:val="24"/>
      <w:szCs w:val="24"/>
    </w:rPr>
  </w:style>
  <w:style w:type="character" w:customStyle="1" w:styleId="BodyTextChar">
    <w:name w:val="Body Text Char"/>
    <w:basedOn w:val="DefaultParagraphFont"/>
    <w:link w:val="BodyText"/>
    <w:uiPriority w:val="1"/>
    <w:rsid w:val="00144504"/>
    <w:rPr>
      <w:rFonts w:ascii="TeXGyrePagella" w:eastAsia="TeXGyrePagella" w:hAnsi="TeXGyrePagella" w:cs="TeXGyrePagella"/>
      <w:noProof/>
      <w:sz w:val="24"/>
      <w:szCs w:val="24"/>
    </w:rPr>
  </w:style>
  <w:style w:type="paragraph" w:styleId="PlainText">
    <w:name w:val="Plain Text"/>
    <w:basedOn w:val="Normal"/>
    <w:link w:val="PlainTextChar"/>
    <w:uiPriority w:val="99"/>
    <w:unhideWhenUsed/>
    <w:rsid w:val="002C5B58"/>
    <w:pPr>
      <w:spacing w:after="0" w:line="240" w:lineRule="auto"/>
      <w:jc w:val="left"/>
    </w:pPr>
    <w:rPr>
      <w:rFonts w:ascii="Calibri" w:eastAsiaTheme="minorHAnsi" w:hAnsi="Calibri"/>
      <w:szCs w:val="21"/>
    </w:rPr>
  </w:style>
  <w:style w:type="character" w:customStyle="1" w:styleId="PlainTextChar">
    <w:name w:val="Plain Text Char"/>
    <w:basedOn w:val="DefaultParagraphFont"/>
    <w:link w:val="PlainText"/>
    <w:uiPriority w:val="99"/>
    <w:rsid w:val="002C5B58"/>
    <w:rPr>
      <w:rFonts w:ascii="Calibri" w:eastAsiaTheme="minorHAnsi" w:hAnsi="Calibri"/>
      <w:szCs w:val="21"/>
    </w:rPr>
  </w:style>
  <w:style w:type="paragraph" w:customStyle="1" w:styleId="Style1">
    <w:name w:val="Style1"/>
    <w:basedOn w:val="Heading1"/>
    <w:link w:val="Style1Char"/>
    <w:qFormat/>
    <w:rsid w:val="00852091"/>
    <w:rPr>
      <w:rFonts w:asciiTheme="majorHAnsi" w:hAnsiTheme="majorHAnsi"/>
      <w:color w:val="00B0F0"/>
      <w:sz w:val="28"/>
    </w:rPr>
  </w:style>
  <w:style w:type="paragraph" w:customStyle="1" w:styleId="Style2">
    <w:name w:val="Style2"/>
    <w:basedOn w:val="Style1"/>
    <w:link w:val="Style2Char"/>
    <w:qFormat/>
    <w:rsid w:val="00852091"/>
    <w:rPr>
      <w:rFonts w:ascii="Times New Roman" w:hAnsi="Times New Roman"/>
      <w:color w:val="2F5496" w:themeColor="accent5" w:themeShade="BF"/>
      <w:sz w:val="24"/>
    </w:rPr>
  </w:style>
  <w:style w:type="character" w:customStyle="1" w:styleId="Style1Char">
    <w:name w:val="Style1 Char"/>
    <w:basedOn w:val="Heading1Char"/>
    <w:link w:val="Style1"/>
    <w:rsid w:val="00852091"/>
    <w:rPr>
      <w:rFonts w:asciiTheme="majorHAnsi" w:eastAsiaTheme="majorEastAsia" w:hAnsiTheme="majorHAnsi" w:cstheme="majorBidi"/>
      <w:b/>
      <w:bCs/>
      <w:caps/>
      <w:color w:val="00B0F0"/>
      <w:spacing w:val="4"/>
      <w:sz w:val="28"/>
      <w:szCs w:val="28"/>
    </w:rPr>
  </w:style>
  <w:style w:type="paragraph" w:customStyle="1" w:styleId="Style3">
    <w:name w:val="Style3"/>
    <w:basedOn w:val="Heading2"/>
    <w:link w:val="Style3Char"/>
    <w:qFormat/>
    <w:rsid w:val="00852091"/>
    <w:rPr>
      <w:rFonts w:asciiTheme="majorHAnsi" w:hAnsiTheme="majorHAnsi"/>
      <w:color w:val="2F5496" w:themeColor="accent5" w:themeShade="BF"/>
    </w:rPr>
  </w:style>
  <w:style w:type="character" w:customStyle="1" w:styleId="Style2Char">
    <w:name w:val="Style2 Char"/>
    <w:basedOn w:val="Style1Char"/>
    <w:link w:val="Style2"/>
    <w:rsid w:val="00852091"/>
    <w:rPr>
      <w:rFonts w:ascii="Times New Roman" w:eastAsiaTheme="majorEastAsia" w:hAnsi="Times New Roman" w:cstheme="majorBidi"/>
      <w:b/>
      <w:bCs/>
      <w:caps/>
      <w:color w:val="2F5496" w:themeColor="accent5" w:themeShade="BF"/>
      <w:spacing w:val="4"/>
      <w:sz w:val="24"/>
      <w:szCs w:val="28"/>
    </w:rPr>
  </w:style>
  <w:style w:type="character" w:customStyle="1" w:styleId="Style3Char">
    <w:name w:val="Style3 Char"/>
    <w:basedOn w:val="Heading2Char"/>
    <w:link w:val="Style3"/>
    <w:rsid w:val="00852091"/>
    <w:rPr>
      <w:rFonts w:asciiTheme="majorHAnsi" w:eastAsiaTheme="majorEastAsia" w:hAnsiTheme="majorHAnsi" w:cstheme="majorBidi"/>
      <w:b/>
      <w:bCs/>
      <w:color w:val="2F5496" w:themeColor="accent5" w:themeShade="BF"/>
      <w:sz w:val="26"/>
      <w:szCs w:val="28"/>
    </w:rPr>
  </w:style>
  <w:style w:type="paragraph" w:styleId="Bibliography">
    <w:name w:val="Bibliography"/>
    <w:basedOn w:val="Normal"/>
    <w:next w:val="Normal"/>
    <w:uiPriority w:val="37"/>
    <w:unhideWhenUsed/>
    <w:rsid w:val="008D7A1E"/>
  </w:style>
  <w:style w:type="paragraph" w:styleId="EndnoteText">
    <w:name w:val="endnote text"/>
    <w:basedOn w:val="Normal"/>
    <w:link w:val="EndnoteTextChar"/>
    <w:uiPriority w:val="99"/>
    <w:semiHidden/>
    <w:unhideWhenUsed/>
    <w:rsid w:val="008D7A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7A1E"/>
    <w:rPr>
      <w:sz w:val="20"/>
      <w:szCs w:val="20"/>
    </w:rPr>
  </w:style>
  <w:style w:type="character" w:styleId="EndnoteReference">
    <w:name w:val="endnote reference"/>
    <w:basedOn w:val="DefaultParagraphFont"/>
    <w:uiPriority w:val="99"/>
    <w:semiHidden/>
    <w:unhideWhenUsed/>
    <w:rsid w:val="008D7A1E"/>
    <w:rPr>
      <w:vertAlign w:val="superscript"/>
    </w:rPr>
  </w:style>
  <w:style w:type="paragraph" w:customStyle="1" w:styleId="xmsobodytext">
    <w:name w:val="x_msobodytext"/>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 w:type="paragraph" w:customStyle="1" w:styleId="xmsonormal">
    <w:name w:val="x_msonormal"/>
    <w:basedOn w:val="Normal"/>
    <w:rsid w:val="00602183"/>
    <w:pPr>
      <w:spacing w:before="100" w:beforeAutospacing="1" w:after="100" w:afterAutospacing="1" w:line="240" w:lineRule="auto"/>
      <w:jc w:val="left"/>
    </w:pPr>
    <w:rPr>
      <w:rFonts w:ascii="Times New Roman" w:eastAsia="Times New Roman" w:hAnsi="Times New Roman" w:cs="Times New Roman"/>
      <w:sz w:val="24"/>
      <w:szCs w:val="24"/>
      <w:lang w:eastAsia="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4997">
      <w:bodyDiv w:val="1"/>
      <w:marLeft w:val="0"/>
      <w:marRight w:val="0"/>
      <w:marTop w:val="0"/>
      <w:marBottom w:val="0"/>
      <w:divBdr>
        <w:top w:val="none" w:sz="0" w:space="0" w:color="auto"/>
        <w:left w:val="none" w:sz="0" w:space="0" w:color="auto"/>
        <w:bottom w:val="none" w:sz="0" w:space="0" w:color="auto"/>
        <w:right w:val="none" w:sz="0" w:space="0" w:color="auto"/>
      </w:divBdr>
    </w:div>
    <w:div w:id="16124642">
      <w:bodyDiv w:val="1"/>
      <w:marLeft w:val="0"/>
      <w:marRight w:val="0"/>
      <w:marTop w:val="0"/>
      <w:marBottom w:val="0"/>
      <w:divBdr>
        <w:top w:val="none" w:sz="0" w:space="0" w:color="auto"/>
        <w:left w:val="none" w:sz="0" w:space="0" w:color="auto"/>
        <w:bottom w:val="none" w:sz="0" w:space="0" w:color="auto"/>
        <w:right w:val="none" w:sz="0" w:space="0" w:color="auto"/>
      </w:divBdr>
    </w:div>
    <w:div w:id="37895390">
      <w:bodyDiv w:val="1"/>
      <w:marLeft w:val="0"/>
      <w:marRight w:val="0"/>
      <w:marTop w:val="0"/>
      <w:marBottom w:val="0"/>
      <w:divBdr>
        <w:top w:val="none" w:sz="0" w:space="0" w:color="auto"/>
        <w:left w:val="none" w:sz="0" w:space="0" w:color="auto"/>
        <w:bottom w:val="none" w:sz="0" w:space="0" w:color="auto"/>
        <w:right w:val="none" w:sz="0" w:space="0" w:color="auto"/>
      </w:divBdr>
    </w:div>
    <w:div w:id="67197186">
      <w:bodyDiv w:val="1"/>
      <w:marLeft w:val="0"/>
      <w:marRight w:val="0"/>
      <w:marTop w:val="0"/>
      <w:marBottom w:val="0"/>
      <w:divBdr>
        <w:top w:val="none" w:sz="0" w:space="0" w:color="auto"/>
        <w:left w:val="none" w:sz="0" w:space="0" w:color="auto"/>
        <w:bottom w:val="none" w:sz="0" w:space="0" w:color="auto"/>
        <w:right w:val="none" w:sz="0" w:space="0" w:color="auto"/>
      </w:divBdr>
    </w:div>
    <w:div w:id="107622788">
      <w:bodyDiv w:val="1"/>
      <w:marLeft w:val="0"/>
      <w:marRight w:val="0"/>
      <w:marTop w:val="0"/>
      <w:marBottom w:val="0"/>
      <w:divBdr>
        <w:top w:val="none" w:sz="0" w:space="0" w:color="auto"/>
        <w:left w:val="none" w:sz="0" w:space="0" w:color="auto"/>
        <w:bottom w:val="none" w:sz="0" w:space="0" w:color="auto"/>
        <w:right w:val="none" w:sz="0" w:space="0" w:color="auto"/>
      </w:divBdr>
    </w:div>
    <w:div w:id="114376287">
      <w:bodyDiv w:val="1"/>
      <w:marLeft w:val="0"/>
      <w:marRight w:val="0"/>
      <w:marTop w:val="0"/>
      <w:marBottom w:val="0"/>
      <w:divBdr>
        <w:top w:val="none" w:sz="0" w:space="0" w:color="auto"/>
        <w:left w:val="none" w:sz="0" w:space="0" w:color="auto"/>
        <w:bottom w:val="none" w:sz="0" w:space="0" w:color="auto"/>
        <w:right w:val="none" w:sz="0" w:space="0" w:color="auto"/>
      </w:divBdr>
    </w:div>
    <w:div w:id="141850176">
      <w:bodyDiv w:val="1"/>
      <w:marLeft w:val="0"/>
      <w:marRight w:val="0"/>
      <w:marTop w:val="0"/>
      <w:marBottom w:val="0"/>
      <w:divBdr>
        <w:top w:val="none" w:sz="0" w:space="0" w:color="auto"/>
        <w:left w:val="none" w:sz="0" w:space="0" w:color="auto"/>
        <w:bottom w:val="none" w:sz="0" w:space="0" w:color="auto"/>
        <w:right w:val="none" w:sz="0" w:space="0" w:color="auto"/>
      </w:divBdr>
    </w:div>
    <w:div w:id="158693942">
      <w:bodyDiv w:val="1"/>
      <w:marLeft w:val="0"/>
      <w:marRight w:val="0"/>
      <w:marTop w:val="0"/>
      <w:marBottom w:val="0"/>
      <w:divBdr>
        <w:top w:val="none" w:sz="0" w:space="0" w:color="auto"/>
        <w:left w:val="none" w:sz="0" w:space="0" w:color="auto"/>
        <w:bottom w:val="none" w:sz="0" w:space="0" w:color="auto"/>
        <w:right w:val="none" w:sz="0" w:space="0" w:color="auto"/>
      </w:divBdr>
    </w:div>
    <w:div w:id="198326139">
      <w:bodyDiv w:val="1"/>
      <w:marLeft w:val="0"/>
      <w:marRight w:val="0"/>
      <w:marTop w:val="0"/>
      <w:marBottom w:val="0"/>
      <w:divBdr>
        <w:top w:val="none" w:sz="0" w:space="0" w:color="auto"/>
        <w:left w:val="none" w:sz="0" w:space="0" w:color="auto"/>
        <w:bottom w:val="none" w:sz="0" w:space="0" w:color="auto"/>
        <w:right w:val="none" w:sz="0" w:space="0" w:color="auto"/>
      </w:divBdr>
    </w:div>
    <w:div w:id="227541780">
      <w:bodyDiv w:val="1"/>
      <w:marLeft w:val="0"/>
      <w:marRight w:val="0"/>
      <w:marTop w:val="0"/>
      <w:marBottom w:val="0"/>
      <w:divBdr>
        <w:top w:val="none" w:sz="0" w:space="0" w:color="auto"/>
        <w:left w:val="none" w:sz="0" w:space="0" w:color="auto"/>
        <w:bottom w:val="none" w:sz="0" w:space="0" w:color="auto"/>
        <w:right w:val="none" w:sz="0" w:space="0" w:color="auto"/>
      </w:divBdr>
    </w:div>
    <w:div w:id="229115895">
      <w:bodyDiv w:val="1"/>
      <w:marLeft w:val="0"/>
      <w:marRight w:val="0"/>
      <w:marTop w:val="0"/>
      <w:marBottom w:val="0"/>
      <w:divBdr>
        <w:top w:val="none" w:sz="0" w:space="0" w:color="auto"/>
        <w:left w:val="none" w:sz="0" w:space="0" w:color="auto"/>
        <w:bottom w:val="none" w:sz="0" w:space="0" w:color="auto"/>
        <w:right w:val="none" w:sz="0" w:space="0" w:color="auto"/>
      </w:divBdr>
    </w:div>
    <w:div w:id="238056660">
      <w:bodyDiv w:val="1"/>
      <w:marLeft w:val="0"/>
      <w:marRight w:val="0"/>
      <w:marTop w:val="0"/>
      <w:marBottom w:val="0"/>
      <w:divBdr>
        <w:top w:val="none" w:sz="0" w:space="0" w:color="auto"/>
        <w:left w:val="none" w:sz="0" w:space="0" w:color="auto"/>
        <w:bottom w:val="none" w:sz="0" w:space="0" w:color="auto"/>
        <w:right w:val="none" w:sz="0" w:space="0" w:color="auto"/>
      </w:divBdr>
    </w:div>
    <w:div w:id="248468810">
      <w:bodyDiv w:val="1"/>
      <w:marLeft w:val="0"/>
      <w:marRight w:val="0"/>
      <w:marTop w:val="0"/>
      <w:marBottom w:val="0"/>
      <w:divBdr>
        <w:top w:val="none" w:sz="0" w:space="0" w:color="auto"/>
        <w:left w:val="none" w:sz="0" w:space="0" w:color="auto"/>
        <w:bottom w:val="none" w:sz="0" w:space="0" w:color="auto"/>
        <w:right w:val="none" w:sz="0" w:space="0" w:color="auto"/>
      </w:divBdr>
    </w:div>
    <w:div w:id="262029970">
      <w:bodyDiv w:val="1"/>
      <w:marLeft w:val="0"/>
      <w:marRight w:val="0"/>
      <w:marTop w:val="0"/>
      <w:marBottom w:val="0"/>
      <w:divBdr>
        <w:top w:val="none" w:sz="0" w:space="0" w:color="auto"/>
        <w:left w:val="none" w:sz="0" w:space="0" w:color="auto"/>
        <w:bottom w:val="none" w:sz="0" w:space="0" w:color="auto"/>
        <w:right w:val="none" w:sz="0" w:space="0" w:color="auto"/>
      </w:divBdr>
    </w:div>
    <w:div w:id="288827278">
      <w:bodyDiv w:val="1"/>
      <w:marLeft w:val="0"/>
      <w:marRight w:val="0"/>
      <w:marTop w:val="0"/>
      <w:marBottom w:val="0"/>
      <w:divBdr>
        <w:top w:val="none" w:sz="0" w:space="0" w:color="auto"/>
        <w:left w:val="none" w:sz="0" w:space="0" w:color="auto"/>
        <w:bottom w:val="none" w:sz="0" w:space="0" w:color="auto"/>
        <w:right w:val="none" w:sz="0" w:space="0" w:color="auto"/>
      </w:divBdr>
    </w:div>
    <w:div w:id="306210310">
      <w:bodyDiv w:val="1"/>
      <w:marLeft w:val="0"/>
      <w:marRight w:val="0"/>
      <w:marTop w:val="0"/>
      <w:marBottom w:val="0"/>
      <w:divBdr>
        <w:top w:val="none" w:sz="0" w:space="0" w:color="auto"/>
        <w:left w:val="none" w:sz="0" w:space="0" w:color="auto"/>
        <w:bottom w:val="none" w:sz="0" w:space="0" w:color="auto"/>
        <w:right w:val="none" w:sz="0" w:space="0" w:color="auto"/>
      </w:divBdr>
    </w:div>
    <w:div w:id="312417757">
      <w:bodyDiv w:val="1"/>
      <w:marLeft w:val="0"/>
      <w:marRight w:val="0"/>
      <w:marTop w:val="0"/>
      <w:marBottom w:val="0"/>
      <w:divBdr>
        <w:top w:val="none" w:sz="0" w:space="0" w:color="auto"/>
        <w:left w:val="none" w:sz="0" w:space="0" w:color="auto"/>
        <w:bottom w:val="none" w:sz="0" w:space="0" w:color="auto"/>
        <w:right w:val="none" w:sz="0" w:space="0" w:color="auto"/>
      </w:divBdr>
    </w:div>
    <w:div w:id="324746086">
      <w:bodyDiv w:val="1"/>
      <w:marLeft w:val="0"/>
      <w:marRight w:val="0"/>
      <w:marTop w:val="0"/>
      <w:marBottom w:val="0"/>
      <w:divBdr>
        <w:top w:val="none" w:sz="0" w:space="0" w:color="auto"/>
        <w:left w:val="none" w:sz="0" w:space="0" w:color="auto"/>
        <w:bottom w:val="none" w:sz="0" w:space="0" w:color="auto"/>
        <w:right w:val="none" w:sz="0" w:space="0" w:color="auto"/>
      </w:divBdr>
    </w:div>
    <w:div w:id="344719615">
      <w:bodyDiv w:val="1"/>
      <w:marLeft w:val="0"/>
      <w:marRight w:val="0"/>
      <w:marTop w:val="0"/>
      <w:marBottom w:val="0"/>
      <w:divBdr>
        <w:top w:val="none" w:sz="0" w:space="0" w:color="auto"/>
        <w:left w:val="none" w:sz="0" w:space="0" w:color="auto"/>
        <w:bottom w:val="none" w:sz="0" w:space="0" w:color="auto"/>
        <w:right w:val="none" w:sz="0" w:space="0" w:color="auto"/>
      </w:divBdr>
    </w:div>
    <w:div w:id="370887235">
      <w:bodyDiv w:val="1"/>
      <w:marLeft w:val="0"/>
      <w:marRight w:val="0"/>
      <w:marTop w:val="0"/>
      <w:marBottom w:val="0"/>
      <w:divBdr>
        <w:top w:val="none" w:sz="0" w:space="0" w:color="auto"/>
        <w:left w:val="none" w:sz="0" w:space="0" w:color="auto"/>
        <w:bottom w:val="none" w:sz="0" w:space="0" w:color="auto"/>
        <w:right w:val="none" w:sz="0" w:space="0" w:color="auto"/>
      </w:divBdr>
    </w:div>
    <w:div w:id="379137306">
      <w:bodyDiv w:val="1"/>
      <w:marLeft w:val="0"/>
      <w:marRight w:val="0"/>
      <w:marTop w:val="0"/>
      <w:marBottom w:val="0"/>
      <w:divBdr>
        <w:top w:val="none" w:sz="0" w:space="0" w:color="auto"/>
        <w:left w:val="none" w:sz="0" w:space="0" w:color="auto"/>
        <w:bottom w:val="none" w:sz="0" w:space="0" w:color="auto"/>
        <w:right w:val="none" w:sz="0" w:space="0" w:color="auto"/>
      </w:divBdr>
    </w:div>
    <w:div w:id="383330188">
      <w:bodyDiv w:val="1"/>
      <w:marLeft w:val="0"/>
      <w:marRight w:val="0"/>
      <w:marTop w:val="0"/>
      <w:marBottom w:val="0"/>
      <w:divBdr>
        <w:top w:val="none" w:sz="0" w:space="0" w:color="auto"/>
        <w:left w:val="none" w:sz="0" w:space="0" w:color="auto"/>
        <w:bottom w:val="none" w:sz="0" w:space="0" w:color="auto"/>
        <w:right w:val="none" w:sz="0" w:space="0" w:color="auto"/>
      </w:divBdr>
    </w:div>
    <w:div w:id="394937663">
      <w:bodyDiv w:val="1"/>
      <w:marLeft w:val="0"/>
      <w:marRight w:val="0"/>
      <w:marTop w:val="0"/>
      <w:marBottom w:val="0"/>
      <w:divBdr>
        <w:top w:val="none" w:sz="0" w:space="0" w:color="auto"/>
        <w:left w:val="none" w:sz="0" w:space="0" w:color="auto"/>
        <w:bottom w:val="none" w:sz="0" w:space="0" w:color="auto"/>
        <w:right w:val="none" w:sz="0" w:space="0" w:color="auto"/>
      </w:divBdr>
    </w:div>
    <w:div w:id="403380929">
      <w:bodyDiv w:val="1"/>
      <w:marLeft w:val="0"/>
      <w:marRight w:val="0"/>
      <w:marTop w:val="0"/>
      <w:marBottom w:val="0"/>
      <w:divBdr>
        <w:top w:val="none" w:sz="0" w:space="0" w:color="auto"/>
        <w:left w:val="none" w:sz="0" w:space="0" w:color="auto"/>
        <w:bottom w:val="none" w:sz="0" w:space="0" w:color="auto"/>
        <w:right w:val="none" w:sz="0" w:space="0" w:color="auto"/>
      </w:divBdr>
    </w:div>
    <w:div w:id="406997126">
      <w:bodyDiv w:val="1"/>
      <w:marLeft w:val="0"/>
      <w:marRight w:val="0"/>
      <w:marTop w:val="0"/>
      <w:marBottom w:val="0"/>
      <w:divBdr>
        <w:top w:val="none" w:sz="0" w:space="0" w:color="auto"/>
        <w:left w:val="none" w:sz="0" w:space="0" w:color="auto"/>
        <w:bottom w:val="none" w:sz="0" w:space="0" w:color="auto"/>
        <w:right w:val="none" w:sz="0" w:space="0" w:color="auto"/>
      </w:divBdr>
      <w:divsChild>
        <w:div w:id="1842818118">
          <w:marLeft w:val="0"/>
          <w:marRight w:val="0"/>
          <w:marTop w:val="0"/>
          <w:marBottom w:val="0"/>
          <w:divBdr>
            <w:top w:val="none" w:sz="0" w:space="0" w:color="auto"/>
            <w:left w:val="none" w:sz="0" w:space="0" w:color="auto"/>
            <w:bottom w:val="none" w:sz="0" w:space="0" w:color="auto"/>
            <w:right w:val="none" w:sz="0" w:space="0" w:color="auto"/>
          </w:divBdr>
          <w:divsChild>
            <w:div w:id="1717505048">
              <w:marLeft w:val="0"/>
              <w:marRight w:val="0"/>
              <w:marTop w:val="0"/>
              <w:marBottom w:val="0"/>
              <w:divBdr>
                <w:top w:val="none" w:sz="0" w:space="0" w:color="auto"/>
                <w:left w:val="none" w:sz="0" w:space="0" w:color="auto"/>
                <w:bottom w:val="none" w:sz="0" w:space="0" w:color="auto"/>
                <w:right w:val="none" w:sz="0" w:space="0" w:color="auto"/>
              </w:divBdr>
              <w:divsChild>
                <w:div w:id="1077480491">
                  <w:marLeft w:val="0"/>
                  <w:marRight w:val="0"/>
                  <w:marTop w:val="0"/>
                  <w:marBottom w:val="0"/>
                  <w:divBdr>
                    <w:top w:val="none" w:sz="0" w:space="0" w:color="auto"/>
                    <w:left w:val="none" w:sz="0" w:space="0" w:color="auto"/>
                    <w:bottom w:val="none" w:sz="0" w:space="0" w:color="auto"/>
                    <w:right w:val="none" w:sz="0" w:space="0" w:color="auto"/>
                  </w:divBdr>
                  <w:divsChild>
                    <w:div w:id="600527612">
                      <w:marLeft w:val="0"/>
                      <w:marRight w:val="0"/>
                      <w:marTop w:val="0"/>
                      <w:marBottom w:val="0"/>
                      <w:divBdr>
                        <w:top w:val="none" w:sz="0" w:space="0" w:color="auto"/>
                        <w:left w:val="none" w:sz="0" w:space="0" w:color="auto"/>
                        <w:bottom w:val="none" w:sz="0" w:space="0" w:color="auto"/>
                        <w:right w:val="none" w:sz="0" w:space="0" w:color="auto"/>
                      </w:divBdr>
                      <w:divsChild>
                        <w:div w:id="797720551">
                          <w:marLeft w:val="0"/>
                          <w:marRight w:val="0"/>
                          <w:marTop w:val="0"/>
                          <w:marBottom w:val="0"/>
                          <w:divBdr>
                            <w:top w:val="none" w:sz="0" w:space="0" w:color="auto"/>
                            <w:left w:val="none" w:sz="0" w:space="0" w:color="auto"/>
                            <w:bottom w:val="none" w:sz="0" w:space="0" w:color="auto"/>
                            <w:right w:val="none" w:sz="0" w:space="0" w:color="auto"/>
                          </w:divBdr>
                          <w:divsChild>
                            <w:div w:id="15663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096258">
      <w:bodyDiv w:val="1"/>
      <w:marLeft w:val="0"/>
      <w:marRight w:val="0"/>
      <w:marTop w:val="0"/>
      <w:marBottom w:val="0"/>
      <w:divBdr>
        <w:top w:val="none" w:sz="0" w:space="0" w:color="auto"/>
        <w:left w:val="none" w:sz="0" w:space="0" w:color="auto"/>
        <w:bottom w:val="none" w:sz="0" w:space="0" w:color="auto"/>
        <w:right w:val="none" w:sz="0" w:space="0" w:color="auto"/>
      </w:divBdr>
    </w:div>
    <w:div w:id="419177237">
      <w:bodyDiv w:val="1"/>
      <w:marLeft w:val="0"/>
      <w:marRight w:val="0"/>
      <w:marTop w:val="0"/>
      <w:marBottom w:val="0"/>
      <w:divBdr>
        <w:top w:val="none" w:sz="0" w:space="0" w:color="auto"/>
        <w:left w:val="none" w:sz="0" w:space="0" w:color="auto"/>
        <w:bottom w:val="none" w:sz="0" w:space="0" w:color="auto"/>
        <w:right w:val="none" w:sz="0" w:space="0" w:color="auto"/>
      </w:divBdr>
    </w:div>
    <w:div w:id="419839784">
      <w:bodyDiv w:val="1"/>
      <w:marLeft w:val="0"/>
      <w:marRight w:val="0"/>
      <w:marTop w:val="0"/>
      <w:marBottom w:val="0"/>
      <w:divBdr>
        <w:top w:val="none" w:sz="0" w:space="0" w:color="auto"/>
        <w:left w:val="none" w:sz="0" w:space="0" w:color="auto"/>
        <w:bottom w:val="none" w:sz="0" w:space="0" w:color="auto"/>
        <w:right w:val="none" w:sz="0" w:space="0" w:color="auto"/>
      </w:divBdr>
    </w:div>
    <w:div w:id="425734969">
      <w:bodyDiv w:val="1"/>
      <w:marLeft w:val="0"/>
      <w:marRight w:val="0"/>
      <w:marTop w:val="0"/>
      <w:marBottom w:val="0"/>
      <w:divBdr>
        <w:top w:val="none" w:sz="0" w:space="0" w:color="auto"/>
        <w:left w:val="none" w:sz="0" w:space="0" w:color="auto"/>
        <w:bottom w:val="none" w:sz="0" w:space="0" w:color="auto"/>
        <w:right w:val="none" w:sz="0" w:space="0" w:color="auto"/>
      </w:divBdr>
    </w:div>
    <w:div w:id="484712160">
      <w:bodyDiv w:val="1"/>
      <w:marLeft w:val="0"/>
      <w:marRight w:val="0"/>
      <w:marTop w:val="0"/>
      <w:marBottom w:val="0"/>
      <w:divBdr>
        <w:top w:val="none" w:sz="0" w:space="0" w:color="auto"/>
        <w:left w:val="none" w:sz="0" w:space="0" w:color="auto"/>
        <w:bottom w:val="none" w:sz="0" w:space="0" w:color="auto"/>
        <w:right w:val="none" w:sz="0" w:space="0" w:color="auto"/>
      </w:divBdr>
    </w:div>
    <w:div w:id="488252871">
      <w:bodyDiv w:val="1"/>
      <w:marLeft w:val="0"/>
      <w:marRight w:val="0"/>
      <w:marTop w:val="0"/>
      <w:marBottom w:val="0"/>
      <w:divBdr>
        <w:top w:val="none" w:sz="0" w:space="0" w:color="auto"/>
        <w:left w:val="none" w:sz="0" w:space="0" w:color="auto"/>
        <w:bottom w:val="none" w:sz="0" w:space="0" w:color="auto"/>
        <w:right w:val="none" w:sz="0" w:space="0" w:color="auto"/>
      </w:divBdr>
    </w:div>
    <w:div w:id="506333453">
      <w:bodyDiv w:val="1"/>
      <w:marLeft w:val="0"/>
      <w:marRight w:val="0"/>
      <w:marTop w:val="0"/>
      <w:marBottom w:val="0"/>
      <w:divBdr>
        <w:top w:val="none" w:sz="0" w:space="0" w:color="auto"/>
        <w:left w:val="none" w:sz="0" w:space="0" w:color="auto"/>
        <w:bottom w:val="none" w:sz="0" w:space="0" w:color="auto"/>
        <w:right w:val="none" w:sz="0" w:space="0" w:color="auto"/>
      </w:divBdr>
    </w:div>
    <w:div w:id="506555025">
      <w:bodyDiv w:val="1"/>
      <w:marLeft w:val="0"/>
      <w:marRight w:val="0"/>
      <w:marTop w:val="0"/>
      <w:marBottom w:val="0"/>
      <w:divBdr>
        <w:top w:val="none" w:sz="0" w:space="0" w:color="auto"/>
        <w:left w:val="none" w:sz="0" w:space="0" w:color="auto"/>
        <w:bottom w:val="none" w:sz="0" w:space="0" w:color="auto"/>
        <w:right w:val="none" w:sz="0" w:space="0" w:color="auto"/>
      </w:divBdr>
      <w:divsChild>
        <w:div w:id="2142914412">
          <w:marLeft w:val="0"/>
          <w:marRight w:val="0"/>
          <w:marTop w:val="0"/>
          <w:marBottom w:val="0"/>
          <w:divBdr>
            <w:top w:val="none" w:sz="0" w:space="0" w:color="auto"/>
            <w:left w:val="none" w:sz="0" w:space="0" w:color="auto"/>
            <w:bottom w:val="none" w:sz="0" w:space="0" w:color="auto"/>
            <w:right w:val="none" w:sz="0" w:space="0" w:color="auto"/>
          </w:divBdr>
          <w:divsChild>
            <w:div w:id="1775783524">
              <w:marLeft w:val="0"/>
              <w:marRight w:val="0"/>
              <w:marTop w:val="0"/>
              <w:marBottom w:val="0"/>
              <w:divBdr>
                <w:top w:val="none" w:sz="0" w:space="0" w:color="auto"/>
                <w:left w:val="none" w:sz="0" w:space="0" w:color="auto"/>
                <w:bottom w:val="none" w:sz="0" w:space="0" w:color="auto"/>
                <w:right w:val="none" w:sz="0" w:space="0" w:color="auto"/>
              </w:divBdr>
              <w:divsChild>
                <w:div w:id="284771128">
                  <w:marLeft w:val="0"/>
                  <w:marRight w:val="0"/>
                  <w:marTop w:val="0"/>
                  <w:marBottom w:val="0"/>
                  <w:divBdr>
                    <w:top w:val="none" w:sz="0" w:space="0" w:color="auto"/>
                    <w:left w:val="none" w:sz="0" w:space="0" w:color="auto"/>
                    <w:bottom w:val="none" w:sz="0" w:space="0" w:color="auto"/>
                    <w:right w:val="none" w:sz="0" w:space="0" w:color="auto"/>
                  </w:divBdr>
                  <w:divsChild>
                    <w:div w:id="531259823">
                      <w:marLeft w:val="0"/>
                      <w:marRight w:val="0"/>
                      <w:marTop w:val="0"/>
                      <w:marBottom w:val="0"/>
                      <w:divBdr>
                        <w:top w:val="none" w:sz="0" w:space="0" w:color="auto"/>
                        <w:left w:val="none" w:sz="0" w:space="0" w:color="auto"/>
                        <w:bottom w:val="none" w:sz="0" w:space="0" w:color="auto"/>
                        <w:right w:val="none" w:sz="0" w:space="0" w:color="auto"/>
                      </w:divBdr>
                      <w:divsChild>
                        <w:div w:id="379283587">
                          <w:marLeft w:val="0"/>
                          <w:marRight w:val="0"/>
                          <w:marTop w:val="0"/>
                          <w:marBottom w:val="0"/>
                          <w:divBdr>
                            <w:top w:val="none" w:sz="0" w:space="0" w:color="auto"/>
                            <w:left w:val="none" w:sz="0" w:space="0" w:color="auto"/>
                            <w:bottom w:val="none" w:sz="0" w:space="0" w:color="auto"/>
                            <w:right w:val="none" w:sz="0" w:space="0" w:color="auto"/>
                          </w:divBdr>
                          <w:divsChild>
                            <w:div w:id="196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484515">
      <w:bodyDiv w:val="1"/>
      <w:marLeft w:val="0"/>
      <w:marRight w:val="0"/>
      <w:marTop w:val="0"/>
      <w:marBottom w:val="0"/>
      <w:divBdr>
        <w:top w:val="none" w:sz="0" w:space="0" w:color="auto"/>
        <w:left w:val="none" w:sz="0" w:space="0" w:color="auto"/>
        <w:bottom w:val="none" w:sz="0" w:space="0" w:color="auto"/>
        <w:right w:val="none" w:sz="0" w:space="0" w:color="auto"/>
      </w:divBdr>
    </w:div>
    <w:div w:id="537932193">
      <w:bodyDiv w:val="1"/>
      <w:marLeft w:val="0"/>
      <w:marRight w:val="0"/>
      <w:marTop w:val="0"/>
      <w:marBottom w:val="0"/>
      <w:divBdr>
        <w:top w:val="none" w:sz="0" w:space="0" w:color="auto"/>
        <w:left w:val="none" w:sz="0" w:space="0" w:color="auto"/>
        <w:bottom w:val="none" w:sz="0" w:space="0" w:color="auto"/>
        <w:right w:val="none" w:sz="0" w:space="0" w:color="auto"/>
      </w:divBdr>
    </w:div>
    <w:div w:id="560093610">
      <w:bodyDiv w:val="1"/>
      <w:marLeft w:val="0"/>
      <w:marRight w:val="0"/>
      <w:marTop w:val="0"/>
      <w:marBottom w:val="0"/>
      <w:divBdr>
        <w:top w:val="none" w:sz="0" w:space="0" w:color="auto"/>
        <w:left w:val="none" w:sz="0" w:space="0" w:color="auto"/>
        <w:bottom w:val="none" w:sz="0" w:space="0" w:color="auto"/>
        <w:right w:val="none" w:sz="0" w:space="0" w:color="auto"/>
      </w:divBdr>
    </w:div>
    <w:div w:id="561908989">
      <w:bodyDiv w:val="1"/>
      <w:marLeft w:val="0"/>
      <w:marRight w:val="0"/>
      <w:marTop w:val="0"/>
      <w:marBottom w:val="0"/>
      <w:divBdr>
        <w:top w:val="none" w:sz="0" w:space="0" w:color="auto"/>
        <w:left w:val="none" w:sz="0" w:space="0" w:color="auto"/>
        <w:bottom w:val="none" w:sz="0" w:space="0" w:color="auto"/>
        <w:right w:val="none" w:sz="0" w:space="0" w:color="auto"/>
      </w:divBdr>
    </w:div>
    <w:div w:id="586042283">
      <w:bodyDiv w:val="1"/>
      <w:marLeft w:val="0"/>
      <w:marRight w:val="0"/>
      <w:marTop w:val="0"/>
      <w:marBottom w:val="0"/>
      <w:divBdr>
        <w:top w:val="none" w:sz="0" w:space="0" w:color="auto"/>
        <w:left w:val="none" w:sz="0" w:space="0" w:color="auto"/>
        <w:bottom w:val="none" w:sz="0" w:space="0" w:color="auto"/>
        <w:right w:val="none" w:sz="0" w:space="0" w:color="auto"/>
      </w:divBdr>
    </w:div>
    <w:div w:id="586228069">
      <w:bodyDiv w:val="1"/>
      <w:marLeft w:val="0"/>
      <w:marRight w:val="0"/>
      <w:marTop w:val="0"/>
      <w:marBottom w:val="0"/>
      <w:divBdr>
        <w:top w:val="none" w:sz="0" w:space="0" w:color="auto"/>
        <w:left w:val="none" w:sz="0" w:space="0" w:color="auto"/>
        <w:bottom w:val="none" w:sz="0" w:space="0" w:color="auto"/>
        <w:right w:val="none" w:sz="0" w:space="0" w:color="auto"/>
      </w:divBdr>
    </w:div>
    <w:div w:id="618101897">
      <w:bodyDiv w:val="1"/>
      <w:marLeft w:val="0"/>
      <w:marRight w:val="0"/>
      <w:marTop w:val="0"/>
      <w:marBottom w:val="0"/>
      <w:divBdr>
        <w:top w:val="none" w:sz="0" w:space="0" w:color="auto"/>
        <w:left w:val="none" w:sz="0" w:space="0" w:color="auto"/>
        <w:bottom w:val="none" w:sz="0" w:space="0" w:color="auto"/>
        <w:right w:val="none" w:sz="0" w:space="0" w:color="auto"/>
      </w:divBdr>
    </w:div>
    <w:div w:id="629555332">
      <w:bodyDiv w:val="1"/>
      <w:marLeft w:val="0"/>
      <w:marRight w:val="0"/>
      <w:marTop w:val="0"/>
      <w:marBottom w:val="0"/>
      <w:divBdr>
        <w:top w:val="none" w:sz="0" w:space="0" w:color="auto"/>
        <w:left w:val="none" w:sz="0" w:space="0" w:color="auto"/>
        <w:bottom w:val="none" w:sz="0" w:space="0" w:color="auto"/>
        <w:right w:val="none" w:sz="0" w:space="0" w:color="auto"/>
      </w:divBdr>
    </w:div>
    <w:div w:id="637804137">
      <w:bodyDiv w:val="1"/>
      <w:marLeft w:val="0"/>
      <w:marRight w:val="0"/>
      <w:marTop w:val="0"/>
      <w:marBottom w:val="0"/>
      <w:divBdr>
        <w:top w:val="none" w:sz="0" w:space="0" w:color="auto"/>
        <w:left w:val="none" w:sz="0" w:space="0" w:color="auto"/>
        <w:bottom w:val="none" w:sz="0" w:space="0" w:color="auto"/>
        <w:right w:val="none" w:sz="0" w:space="0" w:color="auto"/>
      </w:divBdr>
    </w:div>
    <w:div w:id="638148015">
      <w:bodyDiv w:val="1"/>
      <w:marLeft w:val="0"/>
      <w:marRight w:val="0"/>
      <w:marTop w:val="0"/>
      <w:marBottom w:val="0"/>
      <w:divBdr>
        <w:top w:val="none" w:sz="0" w:space="0" w:color="auto"/>
        <w:left w:val="none" w:sz="0" w:space="0" w:color="auto"/>
        <w:bottom w:val="none" w:sz="0" w:space="0" w:color="auto"/>
        <w:right w:val="none" w:sz="0" w:space="0" w:color="auto"/>
      </w:divBdr>
    </w:div>
    <w:div w:id="651718757">
      <w:bodyDiv w:val="1"/>
      <w:marLeft w:val="0"/>
      <w:marRight w:val="0"/>
      <w:marTop w:val="0"/>
      <w:marBottom w:val="0"/>
      <w:divBdr>
        <w:top w:val="none" w:sz="0" w:space="0" w:color="auto"/>
        <w:left w:val="none" w:sz="0" w:space="0" w:color="auto"/>
        <w:bottom w:val="none" w:sz="0" w:space="0" w:color="auto"/>
        <w:right w:val="none" w:sz="0" w:space="0" w:color="auto"/>
      </w:divBdr>
    </w:div>
    <w:div w:id="667437935">
      <w:bodyDiv w:val="1"/>
      <w:marLeft w:val="0"/>
      <w:marRight w:val="0"/>
      <w:marTop w:val="0"/>
      <w:marBottom w:val="0"/>
      <w:divBdr>
        <w:top w:val="none" w:sz="0" w:space="0" w:color="auto"/>
        <w:left w:val="none" w:sz="0" w:space="0" w:color="auto"/>
        <w:bottom w:val="none" w:sz="0" w:space="0" w:color="auto"/>
        <w:right w:val="none" w:sz="0" w:space="0" w:color="auto"/>
      </w:divBdr>
    </w:div>
    <w:div w:id="688137807">
      <w:bodyDiv w:val="1"/>
      <w:marLeft w:val="0"/>
      <w:marRight w:val="0"/>
      <w:marTop w:val="0"/>
      <w:marBottom w:val="0"/>
      <w:divBdr>
        <w:top w:val="none" w:sz="0" w:space="0" w:color="auto"/>
        <w:left w:val="none" w:sz="0" w:space="0" w:color="auto"/>
        <w:bottom w:val="none" w:sz="0" w:space="0" w:color="auto"/>
        <w:right w:val="none" w:sz="0" w:space="0" w:color="auto"/>
      </w:divBdr>
    </w:div>
    <w:div w:id="711345208">
      <w:bodyDiv w:val="1"/>
      <w:marLeft w:val="0"/>
      <w:marRight w:val="0"/>
      <w:marTop w:val="0"/>
      <w:marBottom w:val="0"/>
      <w:divBdr>
        <w:top w:val="none" w:sz="0" w:space="0" w:color="auto"/>
        <w:left w:val="none" w:sz="0" w:space="0" w:color="auto"/>
        <w:bottom w:val="none" w:sz="0" w:space="0" w:color="auto"/>
        <w:right w:val="none" w:sz="0" w:space="0" w:color="auto"/>
      </w:divBdr>
    </w:div>
    <w:div w:id="716929701">
      <w:bodyDiv w:val="1"/>
      <w:marLeft w:val="0"/>
      <w:marRight w:val="0"/>
      <w:marTop w:val="0"/>
      <w:marBottom w:val="0"/>
      <w:divBdr>
        <w:top w:val="none" w:sz="0" w:space="0" w:color="auto"/>
        <w:left w:val="none" w:sz="0" w:space="0" w:color="auto"/>
        <w:bottom w:val="none" w:sz="0" w:space="0" w:color="auto"/>
        <w:right w:val="none" w:sz="0" w:space="0" w:color="auto"/>
      </w:divBdr>
    </w:div>
    <w:div w:id="732849128">
      <w:bodyDiv w:val="1"/>
      <w:marLeft w:val="0"/>
      <w:marRight w:val="0"/>
      <w:marTop w:val="0"/>
      <w:marBottom w:val="0"/>
      <w:divBdr>
        <w:top w:val="none" w:sz="0" w:space="0" w:color="auto"/>
        <w:left w:val="none" w:sz="0" w:space="0" w:color="auto"/>
        <w:bottom w:val="none" w:sz="0" w:space="0" w:color="auto"/>
        <w:right w:val="none" w:sz="0" w:space="0" w:color="auto"/>
      </w:divBdr>
    </w:div>
    <w:div w:id="734549491">
      <w:bodyDiv w:val="1"/>
      <w:marLeft w:val="0"/>
      <w:marRight w:val="0"/>
      <w:marTop w:val="0"/>
      <w:marBottom w:val="0"/>
      <w:divBdr>
        <w:top w:val="none" w:sz="0" w:space="0" w:color="auto"/>
        <w:left w:val="none" w:sz="0" w:space="0" w:color="auto"/>
        <w:bottom w:val="none" w:sz="0" w:space="0" w:color="auto"/>
        <w:right w:val="none" w:sz="0" w:space="0" w:color="auto"/>
      </w:divBdr>
    </w:div>
    <w:div w:id="740640102">
      <w:bodyDiv w:val="1"/>
      <w:marLeft w:val="0"/>
      <w:marRight w:val="0"/>
      <w:marTop w:val="0"/>
      <w:marBottom w:val="0"/>
      <w:divBdr>
        <w:top w:val="none" w:sz="0" w:space="0" w:color="auto"/>
        <w:left w:val="none" w:sz="0" w:space="0" w:color="auto"/>
        <w:bottom w:val="none" w:sz="0" w:space="0" w:color="auto"/>
        <w:right w:val="none" w:sz="0" w:space="0" w:color="auto"/>
      </w:divBdr>
    </w:div>
    <w:div w:id="785807591">
      <w:bodyDiv w:val="1"/>
      <w:marLeft w:val="0"/>
      <w:marRight w:val="0"/>
      <w:marTop w:val="0"/>
      <w:marBottom w:val="0"/>
      <w:divBdr>
        <w:top w:val="none" w:sz="0" w:space="0" w:color="auto"/>
        <w:left w:val="none" w:sz="0" w:space="0" w:color="auto"/>
        <w:bottom w:val="none" w:sz="0" w:space="0" w:color="auto"/>
        <w:right w:val="none" w:sz="0" w:space="0" w:color="auto"/>
      </w:divBdr>
      <w:divsChild>
        <w:div w:id="486170073">
          <w:marLeft w:val="0"/>
          <w:marRight w:val="0"/>
          <w:marTop w:val="0"/>
          <w:marBottom w:val="0"/>
          <w:divBdr>
            <w:top w:val="none" w:sz="0" w:space="0" w:color="auto"/>
            <w:left w:val="none" w:sz="0" w:space="0" w:color="auto"/>
            <w:bottom w:val="none" w:sz="0" w:space="0" w:color="auto"/>
            <w:right w:val="none" w:sz="0" w:space="0" w:color="auto"/>
          </w:divBdr>
        </w:div>
      </w:divsChild>
    </w:div>
    <w:div w:id="789205113">
      <w:bodyDiv w:val="1"/>
      <w:marLeft w:val="0"/>
      <w:marRight w:val="0"/>
      <w:marTop w:val="0"/>
      <w:marBottom w:val="0"/>
      <w:divBdr>
        <w:top w:val="none" w:sz="0" w:space="0" w:color="auto"/>
        <w:left w:val="none" w:sz="0" w:space="0" w:color="auto"/>
        <w:bottom w:val="none" w:sz="0" w:space="0" w:color="auto"/>
        <w:right w:val="none" w:sz="0" w:space="0" w:color="auto"/>
      </w:divBdr>
    </w:div>
    <w:div w:id="817496622">
      <w:bodyDiv w:val="1"/>
      <w:marLeft w:val="0"/>
      <w:marRight w:val="0"/>
      <w:marTop w:val="0"/>
      <w:marBottom w:val="0"/>
      <w:divBdr>
        <w:top w:val="none" w:sz="0" w:space="0" w:color="auto"/>
        <w:left w:val="none" w:sz="0" w:space="0" w:color="auto"/>
        <w:bottom w:val="none" w:sz="0" w:space="0" w:color="auto"/>
        <w:right w:val="none" w:sz="0" w:space="0" w:color="auto"/>
      </w:divBdr>
    </w:div>
    <w:div w:id="822890463">
      <w:bodyDiv w:val="1"/>
      <w:marLeft w:val="0"/>
      <w:marRight w:val="0"/>
      <w:marTop w:val="0"/>
      <w:marBottom w:val="0"/>
      <w:divBdr>
        <w:top w:val="none" w:sz="0" w:space="0" w:color="auto"/>
        <w:left w:val="none" w:sz="0" w:space="0" w:color="auto"/>
        <w:bottom w:val="none" w:sz="0" w:space="0" w:color="auto"/>
        <w:right w:val="none" w:sz="0" w:space="0" w:color="auto"/>
      </w:divBdr>
    </w:div>
    <w:div w:id="833296452">
      <w:bodyDiv w:val="1"/>
      <w:marLeft w:val="0"/>
      <w:marRight w:val="0"/>
      <w:marTop w:val="0"/>
      <w:marBottom w:val="0"/>
      <w:divBdr>
        <w:top w:val="none" w:sz="0" w:space="0" w:color="auto"/>
        <w:left w:val="none" w:sz="0" w:space="0" w:color="auto"/>
        <w:bottom w:val="none" w:sz="0" w:space="0" w:color="auto"/>
        <w:right w:val="none" w:sz="0" w:space="0" w:color="auto"/>
      </w:divBdr>
    </w:div>
    <w:div w:id="845053830">
      <w:bodyDiv w:val="1"/>
      <w:marLeft w:val="0"/>
      <w:marRight w:val="0"/>
      <w:marTop w:val="0"/>
      <w:marBottom w:val="0"/>
      <w:divBdr>
        <w:top w:val="none" w:sz="0" w:space="0" w:color="auto"/>
        <w:left w:val="none" w:sz="0" w:space="0" w:color="auto"/>
        <w:bottom w:val="none" w:sz="0" w:space="0" w:color="auto"/>
        <w:right w:val="none" w:sz="0" w:space="0" w:color="auto"/>
      </w:divBdr>
    </w:div>
    <w:div w:id="871303327">
      <w:bodyDiv w:val="1"/>
      <w:marLeft w:val="0"/>
      <w:marRight w:val="0"/>
      <w:marTop w:val="0"/>
      <w:marBottom w:val="0"/>
      <w:divBdr>
        <w:top w:val="none" w:sz="0" w:space="0" w:color="auto"/>
        <w:left w:val="none" w:sz="0" w:space="0" w:color="auto"/>
        <w:bottom w:val="none" w:sz="0" w:space="0" w:color="auto"/>
        <w:right w:val="none" w:sz="0" w:space="0" w:color="auto"/>
      </w:divBdr>
    </w:div>
    <w:div w:id="879711224">
      <w:bodyDiv w:val="1"/>
      <w:marLeft w:val="0"/>
      <w:marRight w:val="0"/>
      <w:marTop w:val="0"/>
      <w:marBottom w:val="0"/>
      <w:divBdr>
        <w:top w:val="none" w:sz="0" w:space="0" w:color="auto"/>
        <w:left w:val="none" w:sz="0" w:space="0" w:color="auto"/>
        <w:bottom w:val="none" w:sz="0" w:space="0" w:color="auto"/>
        <w:right w:val="none" w:sz="0" w:space="0" w:color="auto"/>
      </w:divBdr>
    </w:div>
    <w:div w:id="895894168">
      <w:bodyDiv w:val="1"/>
      <w:marLeft w:val="0"/>
      <w:marRight w:val="0"/>
      <w:marTop w:val="0"/>
      <w:marBottom w:val="0"/>
      <w:divBdr>
        <w:top w:val="none" w:sz="0" w:space="0" w:color="auto"/>
        <w:left w:val="none" w:sz="0" w:space="0" w:color="auto"/>
        <w:bottom w:val="none" w:sz="0" w:space="0" w:color="auto"/>
        <w:right w:val="none" w:sz="0" w:space="0" w:color="auto"/>
      </w:divBdr>
    </w:div>
    <w:div w:id="932932679">
      <w:bodyDiv w:val="1"/>
      <w:marLeft w:val="0"/>
      <w:marRight w:val="0"/>
      <w:marTop w:val="0"/>
      <w:marBottom w:val="0"/>
      <w:divBdr>
        <w:top w:val="none" w:sz="0" w:space="0" w:color="auto"/>
        <w:left w:val="none" w:sz="0" w:space="0" w:color="auto"/>
        <w:bottom w:val="none" w:sz="0" w:space="0" w:color="auto"/>
        <w:right w:val="none" w:sz="0" w:space="0" w:color="auto"/>
      </w:divBdr>
    </w:div>
    <w:div w:id="944847260">
      <w:bodyDiv w:val="1"/>
      <w:marLeft w:val="0"/>
      <w:marRight w:val="0"/>
      <w:marTop w:val="0"/>
      <w:marBottom w:val="0"/>
      <w:divBdr>
        <w:top w:val="none" w:sz="0" w:space="0" w:color="auto"/>
        <w:left w:val="none" w:sz="0" w:space="0" w:color="auto"/>
        <w:bottom w:val="none" w:sz="0" w:space="0" w:color="auto"/>
        <w:right w:val="none" w:sz="0" w:space="0" w:color="auto"/>
      </w:divBdr>
    </w:div>
    <w:div w:id="953831414">
      <w:bodyDiv w:val="1"/>
      <w:marLeft w:val="0"/>
      <w:marRight w:val="0"/>
      <w:marTop w:val="0"/>
      <w:marBottom w:val="0"/>
      <w:divBdr>
        <w:top w:val="none" w:sz="0" w:space="0" w:color="auto"/>
        <w:left w:val="none" w:sz="0" w:space="0" w:color="auto"/>
        <w:bottom w:val="none" w:sz="0" w:space="0" w:color="auto"/>
        <w:right w:val="none" w:sz="0" w:space="0" w:color="auto"/>
      </w:divBdr>
    </w:div>
    <w:div w:id="1005716930">
      <w:bodyDiv w:val="1"/>
      <w:marLeft w:val="0"/>
      <w:marRight w:val="0"/>
      <w:marTop w:val="0"/>
      <w:marBottom w:val="0"/>
      <w:divBdr>
        <w:top w:val="none" w:sz="0" w:space="0" w:color="auto"/>
        <w:left w:val="none" w:sz="0" w:space="0" w:color="auto"/>
        <w:bottom w:val="none" w:sz="0" w:space="0" w:color="auto"/>
        <w:right w:val="none" w:sz="0" w:space="0" w:color="auto"/>
      </w:divBdr>
    </w:div>
    <w:div w:id="1007634123">
      <w:bodyDiv w:val="1"/>
      <w:marLeft w:val="0"/>
      <w:marRight w:val="0"/>
      <w:marTop w:val="0"/>
      <w:marBottom w:val="0"/>
      <w:divBdr>
        <w:top w:val="none" w:sz="0" w:space="0" w:color="auto"/>
        <w:left w:val="none" w:sz="0" w:space="0" w:color="auto"/>
        <w:bottom w:val="none" w:sz="0" w:space="0" w:color="auto"/>
        <w:right w:val="none" w:sz="0" w:space="0" w:color="auto"/>
      </w:divBdr>
    </w:div>
    <w:div w:id="1013579987">
      <w:bodyDiv w:val="1"/>
      <w:marLeft w:val="0"/>
      <w:marRight w:val="0"/>
      <w:marTop w:val="0"/>
      <w:marBottom w:val="0"/>
      <w:divBdr>
        <w:top w:val="none" w:sz="0" w:space="0" w:color="auto"/>
        <w:left w:val="none" w:sz="0" w:space="0" w:color="auto"/>
        <w:bottom w:val="none" w:sz="0" w:space="0" w:color="auto"/>
        <w:right w:val="none" w:sz="0" w:space="0" w:color="auto"/>
      </w:divBdr>
    </w:div>
    <w:div w:id="1032077533">
      <w:bodyDiv w:val="1"/>
      <w:marLeft w:val="0"/>
      <w:marRight w:val="0"/>
      <w:marTop w:val="0"/>
      <w:marBottom w:val="0"/>
      <w:divBdr>
        <w:top w:val="none" w:sz="0" w:space="0" w:color="auto"/>
        <w:left w:val="none" w:sz="0" w:space="0" w:color="auto"/>
        <w:bottom w:val="none" w:sz="0" w:space="0" w:color="auto"/>
        <w:right w:val="none" w:sz="0" w:space="0" w:color="auto"/>
      </w:divBdr>
    </w:div>
    <w:div w:id="1039861177">
      <w:bodyDiv w:val="1"/>
      <w:marLeft w:val="0"/>
      <w:marRight w:val="0"/>
      <w:marTop w:val="0"/>
      <w:marBottom w:val="0"/>
      <w:divBdr>
        <w:top w:val="none" w:sz="0" w:space="0" w:color="auto"/>
        <w:left w:val="none" w:sz="0" w:space="0" w:color="auto"/>
        <w:bottom w:val="none" w:sz="0" w:space="0" w:color="auto"/>
        <w:right w:val="none" w:sz="0" w:space="0" w:color="auto"/>
      </w:divBdr>
    </w:div>
    <w:div w:id="1050883272">
      <w:bodyDiv w:val="1"/>
      <w:marLeft w:val="0"/>
      <w:marRight w:val="0"/>
      <w:marTop w:val="0"/>
      <w:marBottom w:val="0"/>
      <w:divBdr>
        <w:top w:val="none" w:sz="0" w:space="0" w:color="auto"/>
        <w:left w:val="none" w:sz="0" w:space="0" w:color="auto"/>
        <w:bottom w:val="none" w:sz="0" w:space="0" w:color="auto"/>
        <w:right w:val="none" w:sz="0" w:space="0" w:color="auto"/>
      </w:divBdr>
      <w:divsChild>
        <w:div w:id="158476">
          <w:marLeft w:val="0"/>
          <w:marRight w:val="0"/>
          <w:marTop w:val="0"/>
          <w:marBottom w:val="0"/>
          <w:divBdr>
            <w:top w:val="none" w:sz="0" w:space="0" w:color="auto"/>
            <w:left w:val="none" w:sz="0" w:space="0" w:color="auto"/>
            <w:bottom w:val="none" w:sz="0" w:space="0" w:color="auto"/>
            <w:right w:val="none" w:sz="0" w:space="0" w:color="auto"/>
          </w:divBdr>
          <w:divsChild>
            <w:div w:id="1517041014">
              <w:marLeft w:val="0"/>
              <w:marRight w:val="0"/>
              <w:marTop w:val="0"/>
              <w:marBottom w:val="0"/>
              <w:divBdr>
                <w:top w:val="none" w:sz="0" w:space="0" w:color="auto"/>
                <w:left w:val="none" w:sz="0" w:space="0" w:color="auto"/>
                <w:bottom w:val="none" w:sz="0" w:space="0" w:color="auto"/>
                <w:right w:val="none" w:sz="0" w:space="0" w:color="auto"/>
              </w:divBdr>
              <w:divsChild>
                <w:div w:id="1857228717">
                  <w:marLeft w:val="0"/>
                  <w:marRight w:val="0"/>
                  <w:marTop w:val="0"/>
                  <w:marBottom w:val="0"/>
                  <w:divBdr>
                    <w:top w:val="none" w:sz="0" w:space="0" w:color="auto"/>
                    <w:left w:val="none" w:sz="0" w:space="0" w:color="auto"/>
                    <w:bottom w:val="none" w:sz="0" w:space="0" w:color="auto"/>
                    <w:right w:val="none" w:sz="0" w:space="0" w:color="auto"/>
                  </w:divBdr>
                  <w:divsChild>
                    <w:div w:id="504444464">
                      <w:marLeft w:val="0"/>
                      <w:marRight w:val="0"/>
                      <w:marTop w:val="0"/>
                      <w:marBottom w:val="0"/>
                      <w:divBdr>
                        <w:top w:val="none" w:sz="0" w:space="0" w:color="auto"/>
                        <w:left w:val="none" w:sz="0" w:space="0" w:color="auto"/>
                        <w:bottom w:val="none" w:sz="0" w:space="0" w:color="auto"/>
                        <w:right w:val="none" w:sz="0" w:space="0" w:color="auto"/>
                      </w:divBdr>
                      <w:divsChild>
                        <w:div w:id="1490251688">
                          <w:marLeft w:val="0"/>
                          <w:marRight w:val="0"/>
                          <w:marTop w:val="0"/>
                          <w:marBottom w:val="0"/>
                          <w:divBdr>
                            <w:top w:val="none" w:sz="0" w:space="0" w:color="auto"/>
                            <w:left w:val="none" w:sz="0" w:space="0" w:color="auto"/>
                            <w:bottom w:val="none" w:sz="0" w:space="0" w:color="auto"/>
                            <w:right w:val="none" w:sz="0" w:space="0" w:color="auto"/>
                          </w:divBdr>
                          <w:divsChild>
                            <w:div w:id="57882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789620">
          <w:marLeft w:val="0"/>
          <w:marRight w:val="0"/>
          <w:marTop w:val="0"/>
          <w:marBottom w:val="0"/>
          <w:divBdr>
            <w:top w:val="none" w:sz="0" w:space="0" w:color="auto"/>
            <w:left w:val="none" w:sz="0" w:space="0" w:color="auto"/>
            <w:bottom w:val="none" w:sz="0" w:space="0" w:color="auto"/>
            <w:right w:val="none" w:sz="0" w:space="0" w:color="auto"/>
          </w:divBdr>
          <w:divsChild>
            <w:div w:id="732197686">
              <w:marLeft w:val="0"/>
              <w:marRight w:val="0"/>
              <w:marTop w:val="0"/>
              <w:marBottom w:val="0"/>
              <w:divBdr>
                <w:top w:val="none" w:sz="0" w:space="0" w:color="auto"/>
                <w:left w:val="none" w:sz="0" w:space="0" w:color="auto"/>
                <w:bottom w:val="none" w:sz="0" w:space="0" w:color="auto"/>
                <w:right w:val="none" w:sz="0" w:space="0" w:color="auto"/>
              </w:divBdr>
              <w:divsChild>
                <w:div w:id="1948391800">
                  <w:marLeft w:val="0"/>
                  <w:marRight w:val="0"/>
                  <w:marTop w:val="0"/>
                  <w:marBottom w:val="0"/>
                  <w:divBdr>
                    <w:top w:val="none" w:sz="0" w:space="0" w:color="auto"/>
                    <w:left w:val="none" w:sz="0" w:space="0" w:color="auto"/>
                    <w:bottom w:val="none" w:sz="0" w:space="0" w:color="auto"/>
                    <w:right w:val="none" w:sz="0" w:space="0" w:color="auto"/>
                  </w:divBdr>
                  <w:divsChild>
                    <w:div w:id="393164350">
                      <w:marLeft w:val="0"/>
                      <w:marRight w:val="0"/>
                      <w:marTop w:val="0"/>
                      <w:marBottom w:val="0"/>
                      <w:divBdr>
                        <w:top w:val="none" w:sz="0" w:space="0" w:color="auto"/>
                        <w:left w:val="none" w:sz="0" w:space="0" w:color="auto"/>
                        <w:bottom w:val="none" w:sz="0" w:space="0" w:color="auto"/>
                        <w:right w:val="none" w:sz="0" w:space="0" w:color="auto"/>
                      </w:divBdr>
                      <w:divsChild>
                        <w:div w:id="1365862545">
                          <w:marLeft w:val="0"/>
                          <w:marRight w:val="0"/>
                          <w:marTop w:val="0"/>
                          <w:marBottom w:val="0"/>
                          <w:divBdr>
                            <w:top w:val="none" w:sz="0" w:space="0" w:color="auto"/>
                            <w:left w:val="none" w:sz="0" w:space="0" w:color="auto"/>
                            <w:bottom w:val="none" w:sz="0" w:space="0" w:color="auto"/>
                            <w:right w:val="none" w:sz="0" w:space="0" w:color="auto"/>
                          </w:divBdr>
                          <w:divsChild>
                            <w:div w:id="1893226211">
                              <w:marLeft w:val="0"/>
                              <w:marRight w:val="0"/>
                              <w:marTop w:val="0"/>
                              <w:marBottom w:val="0"/>
                              <w:divBdr>
                                <w:top w:val="none" w:sz="0" w:space="0" w:color="auto"/>
                                <w:left w:val="none" w:sz="0" w:space="0" w:color="auto"/>
                                <w:bottom w:val="none" w:sz="0" w:space="0" w:color="auto"/>
                                <w:right w:val="none" w:sz="0" w:space="0" w:color="auto"/>
                              </w:divBdr>
                              <w:divsChild>
                                <w:div w:id="161285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572425">
          <w:marLeft w:val="0"/>
          <w:marRight w:val="0"/>
          <w:marTop w:val="0"/>
          <w:marBottom w:val="0"/>
          <w:divBdr>
            <w:top w:val="none" w:sz="0" w:space="0" w:color="auto"/>
            <w:left w:val="none" w:sz="0" w:space="0" w:color="auto"/>
            <w:bottom w:val="none" w:sz="0" w:space="0" w:color="auto"/>
            <w:right w:val="none" w:sz="0" w:space="0" w:color="auto"/>
          </w:divBdr>
          <w:divsChild>
            <w:div w:id="1590114739">
              <w:marLeft w:val="0"/>
              <w:marRight w:val="0"/>
              <w:marTop w:val="0"/>
              <w:marBottom w:val="0"/>
              <w:divBdr>
                <w:top w:val="none" w:sz="0" w:space="0" w:color="auto"/>
                <w:left w:val="none" w:sz="0" w:space="0" w:color="auto"/>
                <w:bottom w:val="none" w:sz="0" w:space="0" w:color="auto"/>
                <w:right w:val="none" w:sz="0" w:space="0" w:color="auto"/>
              </w:divBdr>
              <w:divsChild>
                <w:div w:id="1037773299">
                  <w:marLeft w:val="0"/>
                  <w:marRight w:val="0"/>
                  <w:marTop w:val="0"/>
                  <w:marBottom w:val="0"/>
                  <w:divBdr>
                    <w:top w:val="none" w:sz="0" w:space="0" w:color="auto"/>
                    <w:left w:val="none" w:sz="0" w:space="0" w:color="auto"/>
                    <w:bottom w:val="none" w:sz="0" w:space="0" w:color="auto"/>
                    <w:right w:val="none" w:sz="0" w:space="0" w:color="auto"/>
                  </w:divBdr>
                  <w:divsChild>
                    <w:div w:id="2033262876">
                      <w:marLeft w:val="0"/>
                      <w:marRight w:val="0"/>
                      <w:marTop w:val="0"/>
                      <w:marBottom w:val="0"/>
                      <w:divBdr>
                        <w:top w:val="none" w:sz="0" w:space="0" w:color="auto"/>
                        <w:left w:val="none" w:sz="0" w:space="0" w:color="auto"/>
                        <w:bottom w:val="none" w:sz="0" w:space="0" w:color="auto"/>
                        <w:right w:val="none" w:sz="0" w:space="0" w:color="auto"/>
                      </w:divBdr>
                      <w:divsChild>
                        <w:div w:id="1833135762">
                          <w:marLeft w:val="0"/>
                          <w:marRight w:val="0"/>
                          <w:marTop w:val="0"/>
                          <w:marBottom w:val="0"/>
                          <w:divBdr>
                            <w:top w:val="none" w:sz="0" w:space="0" w:color="auto"/>
                            <w:left w:val="none" w:sz="0" w:space="0" w:color="auto"/>
                            <w:bottom w:val="none" w:sz="0" w:space="0" w:color="auto"/>
                            <w:right w:val="none" w:sz="0" w:space="0" w:color="auto"/>
                          </w:divBdr>
                          <w:divsChild>
                            <w:div w:id="52907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924142">
      <w:bodyDiv w:val="1"/>
      <w:marLeft w:val="0"/>
      <w:marRight w:val="0"/>
      <w:marTop w:val="0"/>
      <w:marBottom w:val="0"/>
      <w:divBdr>
        <w:top w:val="none" w:sz="0" w:space="0" w:color="auto"/>
        <w:left w:val="none" w:sz="0" w:space="0" w:color="auto"/>
        <w:bottom w:val="none" w:sz="0" w:space="0" w:color="auto"/>
        <w:right w:val="none" w:sz="0" w:space="0" w:color="auto"/>
      </w:divBdr>
    </w:div>
    <w:div w:id="1057826016">
      <w:bodyDiv w:val="1"/>
      <w:marLeft w:val="0"/>
      <w:marRight w:val="0"/>
      <w:marTop w:val="0"/>
      <w:marBottom w:val="0"/>
      <w:divBdr>
        <w:top w:val="none" w:sz="0" w:space="0" w:color="auto"/>
        <w:left w:val="none" w:sz="0" w:space="0" w:color="auto"/>
        <w:bottom w:val="none" w:sz="0" w:space="0" w:color="auto"/>
        <w:right w:val="none" w:sz="0" w:space="0" w:color="auto"/>
      </w:divBdr>
    </w:div>
    <w:div w:id="1058670564">
      <w:bodyDiv w:val="1"/>
      <w:marLeft w:val="0"/>
      <w:marRight w:val="0"/>
      <w:marTop w:val="0"/>
      <w:marBottom w:val="0"/>
      <w:divBdr>
        <w:top w:val="none" w:sz="0" w:space="0" w:color="auto"/>
        <w:left w:val="none" w:sz="0" w:space="0" w:color="auto"/>
        <w:bottom w:val="none" w:sz="0" w:space="0" w:color="auto"/>
        <w:right w:val="none" w:sz="0" w:space="0" w:color="auto"/>
      </w:divBdr>
    </w:div>
    <w:div w:id="1060983184">
      <w:bodyDiv w:val="1"/>
      <w:marLeft w:val="0"/>
      <w:marRight w:val="0"/>
      <w:marTop w:val="0"/>
      <w:marBottom w:val="0"/>
      <w:divBdr>
        <w:top w:val="none" w:sz="0" w:space="0" w:color="auto"/>
        <w:left w:val="none" w:sz="0" w:space="0" w:color="auto"/>
        <w:bottom w:val="none" w:sz="0" w:space="0" w:color="auto"/>
        <w:right w:val="none" w:sz="0" w:space="0" w:color="auto"/>
      </w:divBdr>
    </w:div>
    <w:div w:id="1076979821">
      <w:bodyDiv w:val="1"/>
      <w:marLeft w:val="0"/>
      <w:marRight w:val="0"/>
      <w:marTop w:val="0"/>
      <w:marBottom w:val="0"/>
      <w:divBdr>
        <w:top w:val="none" w:sz="0" w:space="0" w:color="auto"/>
        <w:left w:val="none" w:sz="0" w:space="0" w:color="auto"/>
        <w:bottom w:val="none" w:sz="0" w:space="0" w:color="auto"/>
        <w:right w:val="none" w:sz="0" w:space="0" w:color="auto"/>
      </w:divBdr>
    </w:div>
    <w:div w:id="1095638046">
      <w:bodyDiv w:val="1"/>
      <w:marLeft w:val="0"/>
      <w:marRight w:val="0"/>
      <w:marTop w:val="0"/>
      <w:marBottom w:val="0"/>
      <w:divBdr>
        <w:top w:val="none" w:sz="0" w:space="0" w:color="auto"/>
        <w:left w:val="none" w:sz="0" w:space="0" w:color="auto"/>
        <w:bottom w:val="none" w:sz="0" w:space="0" w:color="auto"/>
        <w:right w:val="none" w:sz="0" w:space="0" w:color="auto"/>
      </w:divBdr>
    </w:div>
    <w:div w:id="1115371369">
      <w:bodyDiv w:val="1"/>
      <w:marLeft w:val="0"/>
      <w:marRight w:val="0"/>
      <w:marTop w:val="0"/>
      <w:marBottom w:val="0"/>
      <w:divBdr>
        <w:top w:val="none" w:sz="0" w:space="0" w:color="auto"/>
        <w:left w:val="none" w:sz="0" w:space="0" w:color="auto"/>
        <w:bottom w:val="none" w:sz="0" w:space="0" w:color="auto"/>
        <w:right w:val="none" w:sz="0" w:space="0" w:color="auto"/>
      </w:divBdr>
    </w:div>
    <w:div w:id="1135222746">
      <w:bodyDiv w:val="1"/>
      <w:marLeft w:val="0"/>
      <w:marRight w:val="0"/>
      <w:marTop w:val="0"/>
      <w:marBottom w:val="0"/>
      <w:divBdr>
        <w:top w:val="none" w:sz="0" w:space="0" w:color="auto"/>
        <w:left w:val="none" w:sz="0" w:space="0" w:color="auto"/>
        <w:bottom w:val="none" w:sz="0" w:space="0" w:color="auto"/>
        <w:right w:val="none" w:sz="0" w:space="0" w:color="auto"/>
      </w:divBdr>
    </w:div>
    <w:div w:id="1155993224">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4786162">
      <w:bodyDiv w:val="1"/>
      <w:marLeft w:val="0"/>
      <w:marRight w:val="0"/>
      <w:marTop w:val="0"/>
      <w:marBottom w:val="0"/>
      <w:divBdr>
        <w:top w:val="none" w:sz="0" w:space="0" w:color="auto"/>
        <w:left w:val="none" w:sz="0" w:space="0" w:color="auto"/>
        <w:bottom w:val="none" w:sz="0" w:space="0" w:color="auto"/>
        <w:right w:val="none" w:sz="0" w:space="0" w:color="auto"/>
      </w:divBdr>
    </w:div>
    <w:div w:id="1169128414">
      <w:bodyDiv w:val="1"/>
      <w:marLeft w:val="0"/>
      <w:marRight w:val="0"/>
      <w:marTop w:val="0"/>
      <w:marBottom w:val="0"/>
      <w:divBdr>
        <w:top w:val="none" w:sz="0" w:space="0" w:color="auto"/>
        <w:left w:val="none" w:sz="0" w:space="0" w:color="auto"/>
        <w:bottom w:val="none" w:sz="0" w:space="0" w:color="auto"/>
        <w:right w:val="none" w:sz="0" w:space="0" w:color="auto"/>
      </w:divBdr>
    </w:div>
    <w:div w:id="1234270514">
      <w:bodyDiv w:val="1"/>
      <w:marLeft w:val="0"/>
      <w:marRight w:val="0"/>
      <w:marTop w:val="0"/>
      <w:marBottom w:val="0"/>
      <w:divBdr>
        <w:top w:val="none" w:sz="0" w:space="0" w:color="auto"/>
        <w:left w:val="none" w:sz="0" w:space="0" w:color="auto"/>
        <w:bottom w:val="none" w:sz="0" w:space="0" w:color="auto"/>
        <w:right w:val="none" w:sz="0" w:space="0" w:color="auto"/>
      </w:divBdr>
    </w:div>
    <w:div w:id="1297755392">
      <w:bodyDiv w:val="1"/>
      <w:marLeft w:val="0"/>
      <w:marRight w:val="0"/>
      <w:marTop w:val="0"/>
      <w:marBottom w:val="0"/>
      <w:divBdr>
        <w:top w:val="none" w:sz="0" w:space="0" w:color="auto"/>
        <w:left w:val="none" w:sz="0" w:space="0" w:color="auto"/>
        <w:bottom w:val="none" w:sz="0" w:space="0" w:color="auto"/>
        <w:right w:val="none" w:sz="0" w:space="0" w:color="auto"/>
      </w:divBdr>
    </w:div>
    <w:div w:id="1309633113">
      <w:bodyDiv w:val="1"/>
      <w:marLeft w:val="0"/>
      <w:marRight w:val="0"/>
      <w:marTop w:val="0"/>
      <w:marBottom w:val="0"/>
      <w:divBdr>
        <w:top w:val="none" w:sz="0" w:space="0" w:color="auto"/>
        <w:left w:val="none" w:sz="0" w:space="0" w:color="auto"/>
        <w:bottom w:val="none" w:sz="0" w:space="0" w:color="auto"/>
        <w:right w:val="none" w:sz="0" w:space="0" w:color="auto"/>
      </w:divBdr>
    </w:div>
    <w:div w:id="1349327570">
      <w:bodyDiv w:val="1"/>
      <w:marLeft w:val="0"/>
      <w:marRight w:val="0"/>
      <w:marTop w:val="0"/>
      <w:marBottom w:val="0"/>
      <w:divBdr>
        <w:top w:val="none" w:sz="0" w:space="0" w:color="auto"/>
        <w:left w:val="none" w:sz="0" w:space="0" w:color="auto"/>
        <w:bottom w:val="none" w:sz="0" w:space="0" w:color="auto"/>
        <w:right w:val="none" w:sz="0" w:space="0" w:color="auto"/>
      </w:divBdr>
    </w:div>
    <w:div w:id="1358001965">
      <w:bodyDiv w:val="1"/>
      <w:marLeft w:val="0"/>
      <w:marRight w:val="0"/>
      <w:marTop w:val="0"/>
      <w:marBottom w:val="0"/>
      <w:divBdr>
        <w:top w:val="none" w:sz="0" w:space="0" w:color="auto"/>
        <w:left w:val="none" w:sz="0" w:space="0" w:color="auto"/>
        <w:bottom w:val="none" w:sz="0" w:space="0" w:color="auto"/>
        <w:right w:val="none" w:sz="0" w:space="0" w:color="auto"/>
      </w:divBdr>
    </w:div>
    <w:div w:id="1360202432">
      <w:bodyDiv w:val="1"/>
      <w:marLeft w:val="0"/>
      <w:marRight w:val="0"/>
      <w:marTop w:val="0"/>
      <w:marBottom w:val="0"/>
      <w:divBdr>
        <w:top w:val="none" w:sz="0" w:space="0" w:color="auto"/>
        <w:left w:val="none" w:sz="0" w:space="0" w:color="auto"/>
        <w:bottom w:val="none" w:sz="0" w:space="0" w:color="auto"/>
        <w:right w:val="none" w:sz="0" w:space="0" w:color="auto"/>
      </w:divBdr>
    </w:div>
    <w:div w:id="1386249232">
      <w:bodyDiv w:val="1"/>
      <w:marLeft w:val="0"/>
      <w:marRight w:val="0"/>
      <w:marTop w:val="0"/>
      <w:marBottom w:val="0"/>
      <w:divBdr>
        <w:top w:val="none" w:sz="0" w:space="0" w:color="auto"/>
        <w:left w:val="none" w:sz="0" w:space="0" w:color="auto"/>
        <w:bottom w:val="none" w:sz="0" w:space="0" w:color="auto"/>
        <w:right w:val="none" w:sz="0" w:space="0" w:color="auto"/>
      </w:divBdr>
    </w:div>
    <w:div w:id="1387147574">
      <w:bodyDiv w:val="1"/>
      <w:marLeft w:val="0"/>
      <w:marRight w:val="0"/>
      <w:marTop w:val="0"/>
      <w:marBottom w:val="0"/>
      <w:divBdr>
        <w:top w:val="none" w:sz="0" w:space="0" w:color="auto"/>
        <w:left w:val="none" w:sz="0" w:space="0" w:color="auto"/>
        <w:bottom w:val="none" w:sz="0" w:space="0" w:color="auto"/>
        <w:right w:val="none" w:sz="0" w:space="0" w:color="auto"/>
      </w:divBdr>
    </w:div>
    <w:div w:id="1443694236">
      <w:bodyDiv w:val="1"/>
      <w:marLeft w:val="0"/>
      <w:marRight w:val="0"/>
      <w:marTop w:val="0"/>
      <w:marBottom w:val="0"/>
      <w:divBdr>
        <w:top w:val="none" w:sz="0" w:space="0" w:color="auto"/>
        <w:left w:val="none" w:sz="0" w:space="0" w:color="auto"/>
        <w:bottom w:val="none" w:sz="0" w:space="0" w:color="auto"/>
        <w:right w:val="none" w:sz="0" w:space="0" w:color="auto"/>
      </w:divBdr>
    </w:div>
    <w:div w:id="1467964637">
      <w:bodyDiv w:val="1"/>
      <w:marLeft w:val="0"/>
      <w:marRight w:val="0"/>
      <w:marTop w:val="0"/>
      <w:marBottom w:val="0"/>
      <w:divBdr>
        <w:top w:val="none" w:sz="0" w:space="0" w:color="auto"/>
        <w:left w:val="none" w:sz="0" w:space="0" w:color="auto"/>
        <w:bottom w:val="none" w:sz="0" w:space="0" w:color="auto"/>
        <w:right w:val="none" w:sz="0" w:space="0" w:color="auto"/>
      </w:divBdr>
    </w:div>
    <w:div w:id="1472282077">
      <w:bodyDiv w:val="1"/>
      <w:marLeft w:val="0"/>
      <w:marRight w:val="0"/>
      <w:marTop w:val="0"/>
      <w:marBottom w:val="0"/>
      <w:divBdr>
        <w:top w:val="none" w:sz="0" w:space="0" w:color="auto"/>
        <w:left w:val="none" w:sz="0" w:space="0" w:color="auto"/>
        <w:bottom w:val="none" w:sz="0" w:space="0" w:color="auto"/>
        <w:right w:val="none" w:sz="0" w:space="0" w:color="auto"/>
      </w:divBdr>
    </w:div>
    <w:div w:id="1474253388">
      <w:bodyDiv w:val="1"/>
      <w:marLeft w:val="0"/>
      <w:marRight w:val="0"/>
      <w:marTop w:val="0"/>
      <w:marBottom w:val="0"/>
      <w:divBdr>
        <w:top w:val="none" w:sz="0" w:space="0" w:color="auto"/>
        <w:left w:val="none" w:sz="0" w:space="0" w:color="auto"/>
        <w:bottom w:val="none" w:sz="0" w:space="0" w:color="auto"/>
        <w:right w:val="none" w:sz="0" w:space="0" w:color="auto"/>
      </w:divBdr>
    </w:div>
    <w:div w:id="1476605371">
      <w:bodyDiv w:val="1"/>
      <w:marLeft w:val="0"/>
      <w:marRight w:val="0"/>
      <w:marTop w:val="0"/>
      <w:marBottom w:val="0"/>
      <w:divBdr>
        <w:top w:val="none" w:sz="0" w:space="0" w:color="auto"/>
        <w:left w:val="none" w:sz="0" w:space="0" w:color="auto"/>
        <w:bottom w:val="none" w:sz="0" w:space="0" w:color="auto"/>
        <w:right w:val="none" w:sz="0" w:space="0" w:color="auto"/>
      </w:divBdr>
    </w:div>
    <w:div w:id="1502042033">
      <w:bodyDiv w:val="1"/>
      <w:marLeft w:val="0"/>
      <w:marRight w:val="0"/>
      <w:marTop w:val="0"/>
      <w:marBottom w:val="0"/>
      <w:divBdr>
        <w:top w:val="none" w:sz="0" w:space="0" w:color="auto"/>
        <w:left w:val="none" w:sz="0" w:space="0" w:color="auto"/>
        <w:bottom w:val="none" w:sz="0" w:space="0" w:color="auto"/>
        <w:right w:val="none" w:sz="0" w:space="0" w:color="auto"/>
      </w:divBdr>
    </w:div>
    <w:div w:id="1508015994">
      <w:bodyDiv w:val="1"/>
      <w:marLeft w:val="0"/>
      <w:marRight w:val="0"/>
      <w:marTop w:val="0"/>
      <w:marBottom w:val="0"/>
      <w:divBdr>
        <w:top w:val="none" w:sz="0" w:space="0" w:color="auto"/>
        <w:left w:val="none" w:sz="0" w:space="0" w:color="auto"/>
        <w:bottom w:val="none" w:sz="0" w:space="0" w:color="auto"/>
        <w:right w:val="none" w:sz="0" w:space="0" w:color="auto"/>
      </w:divBdr>
    </w:div>
    <w:div w:id="1515146664">
      <w:bodyDiv w:val="1"/>
      <w:marLeft w:val="0"/>
      <w:marRight w:val="0"/>
      <w:marTop w:val="0"/>
      <w:marBottom w:val="0"/>
      <w:divBdr>
        <w:top w:val="none" w:sz="0" w:space="0" w:color="auto"/>
        <w:left w:val="none" w:sz="0" w:space="0" w:color="auto"/>
        <w:bottom w:val="none" w:sz="0" w:space="0" w:color="auto"/>
        <w:right w:val="none" w:sz="0" w:space="0" w:color="auto"/>
      </w:divBdr>
    </w:div>
    <w:div w:id="1541478051">
      <w:bodyDiv w:val="1"/>
      <w:marLeft w:val="0"/>
      <w:marRight w:val="0"/>
      <w:marTop w:val="0"/>
      <w:marBottom w:val="0"/>
      <w:divBdr>
        <w:top w:val="none" w:sz="0" w:space="0" w:color="auto"/>
        <w:left w:val="none" w:sz="0" w:space="0" w:color="auto"/>
        <w:bottom w:val="none" w:sz="0" w:space="0" w:color="auto"/>
        <w:right w:val="none" w:sz="0" w:space="0" w:color="auto"/>
      </w:divBdr>
    </w:div>
    <w:div w:id="1552381360">
      <w:bodyDiv w:val="1"/>
      <w:marLeft w:val="0"/>
      <w:marRight w:val="0"/>
      <w:marTop w:val="0"/>
      <w:marBottom w:val="0"/>
      <w:divBdr>
        <w:top w:val="none" w:sz="0" w:space="0" w:color="auto"/>
        <w:left w:val="none" w:sz="0" w:space="0" w:color="auto"/>
        <w:bottom w:val="none" w:sz="0" w:space="0" w:color="auto"/>
        <w:right w:val="none" w:sz="0" w:space="0" w:color="auto"/>
      </w:divBdr>
    </w:div>
    <w:div w:id="1555461771">
      <w:bodyDiv w:val="1"/>
      <w:marLeft w:val="0"/>
      <w:marRight w:val="0"/>
      <w:marTop w:val="0"/>
      <w:marBottom w:val="0"/>
      <w:divBdr>
        <w:top w:val="none" w:sz="0" w:space="0" w:color="auto"/>
        <w:left w:val="none" w:sz="0" w:space="0" w:color="auto"/>
        <w:bottom w:val="none" w:sz="0" w:space="0" w:color="auto"/>
        <w:right w:val="none" w:sz="0" w:space="0" w:color="auto"/>
      </w:divBdr>
    </w:div>
    <w:div w:id="1610744630">
      <w:bodyDiv w:val="1"/>
      <w:marLeft w:val="0"/>
      <w:marRight w:val="0"/>
      <w:marTop w:val="0"/>
      <w:marBottom w:val="0"/>
      <w:divBdr>
        <w:top w:val="none" w:sz="0" w:space="0" w:color="auto"/>
        <w:left w:val="none" w:sz="0" w:space="0" w:color="auto"/>
        <w:bottom w:val="none" w:sz="0" w:space="0" w:color="auto"/>
        <w:right w:val="none" w:sz="0" w:space="0" w:color="auto"/>
      </w:divBdr>
    </w:div>
    <w:div w:id="1623031166">
      <w:bodyDiv w:val="1"/>
      <w:marLeft w:val="0"/>
      <w:marRight w:val="0"/>
      <w:marTop w:val="0"/>
      <w:marBottom w:val="0"/>
      <w:divBdr>
        <w:top w:val="none" w:sz="0" w:space="0" w:color="auto"/>
        <w:left w:val="none" w:sz="0" w:space="0" w:color="auto"/>
        <w:bottom w:val="none" w:sz="0" w:space="0" w:color="auto"/>
        <w:right w:val="none" w:sz="0" w:space="0" w:color="auto"/>
      </w:divBdr>
    </w:div>
    <w:div w:id="1647010820">
      <w:bodyDiv w:val="1"/>
      <w:marLeft w:val="0"/>
      <w:marRight w:val="0"/>
      <w:marTop w:val="0"/>
      <w:marBottom w:val="0"/>
      <w:divBdr>
        <w:top w:val="none" w:sz="0" w:space="0" w:color="auto"/>
        <w:left w:val="none" w:sz="0" w:space="0" w:color="auto"/>
        <w:bottom w:val="none" w:sz="0" w:space="0" w:color="auto"/>
        <w:right w:val="none" w:sz="0" w:space="0" w:color="auto"/>
      </w:divBdr>
    </w:div>
    <w:div w:id="1649241841">
      <w:bodyDiv w:val="1"/>
      <w:marLeft w:val="0"/>
      <w:marRight w:val="0"/>
      <w:marTop w:val="0"/>
      <w:marBottom w:val="0"/>
      <w:divBdr>
        <w:top w:val="none" w:sz="0" w:space="0" w:color="auto"/>
        <w:left w:val="none" w:sz="0" w:space="0" w:color="auto"/>
        <w:bottom w:val="none" w:sz="0" w:space="0" w:color="auto"/>
        <w:right w:val="none" w:sz="0" w:space="0" w:color="auto"/>
      </w:divBdr>
    </w:div>
    <w:div w:id="1660384209">
      <w:bodyDiv w:val="1"/>
      <w:marLeft w:val="0"/>
      <w:marRight w:val="0"/>
      <w:marTop w:val="0"/>
      <w:marBottom w:val="0"/>
      <w:divBdr>
        <w:top w:val="none" w:sz="0" w:space="0" w:color="auto"/>
        <w:left w:val="none" w:sz="0" w:space="0" w:color="auto"/>
        <w:bottom w:val="none" w:sz="0" w:space="0" w:color="auto"/>
        <w:right w:val="none" w:sz="0" w:space="0" w:color="auto"/>
      </w:divBdr>
    </w:div>
    <w:div w:id="1669553715">
      <w:bodyDiv w:val="1"/>
      <w:marLeft w:val="0"/>
      <w:marRight w:val="0"/>
      <w:marTop w:val="0"/>
      <w:marBottom w:val="0"/>
      <w:divBdr>
        <w:top w:val="none" w:sz="0" w:space="0" w:color="auto"/>
        <w:left w:val="none" w:sz="0" w:space="0" w:color="auto"/>
        <w:bottom w:val="none" w:sz="0" w:space="0" w:color="auto"/>
        <w:right w:val="none" w:sz="0" w:space="0" w:color="auto"/>
      </w:divBdr>
    </w:div>
    <w:div w:id="1686244086">
      <w:bodyDiv w:val="1"/>
      <w:marLeft w:val="0"/>
      <w:marRight w:val="0"/>
      <w:marTop w:val="0"/>
      <w:marBottom w:val="0"/>
      <w:divBdr>
        <w:top w:val="none" w:sz="0" w:space="0" w:color="auto"/>
        <w:left w:val="none" w:sz="0" w:space="0" w:color="auto"/>
        <w:bottom w:val="none" w:sz="0" w:space="0" w:color="auto"/>
        <w:right w:val="none" w:sz="0" w:space="0" w:color="auto"/>
      </w:divBdr>
    </w:div>
    <w:div w:id="1706251871">
      <w:bodyDiv w:val="1"/>
      <w:marLeft w:val="0"/>
      <w:marRight w:val="0"/>
      <w:marTop w:val="0"/>
      <w:marBottom w:val="0"/>
      <w:divBdr>
        <w:top w:val="none" w:sz="0" w:space="0" w:color="auto"/>
        <w:left w:val="none" w:sz="0" w:space="0" w:color="auto"/>
        <w:bottom w:val="none" w:sz="0" w:space="0" w:color="auto"/>
        <w:right w:val="none" w:sz="0" w:space="0" w:color="auto"/>
      </w:divBdr>
    </w:div>
    <w:div w:id="1718311005">
      <w:bodyDiv w:val="1"/>
      <w:marLeft w:val="0"/>
      <w:marRight w:val="0"/>
      <w:marTop w:val="0"/>
      <w:marBottom w:val="0"/>
      <w:divBdr>
        <w:top w:val="none" w:sz="0" w:space="0" w:color="auto"/>
        <w:left w:val="none" w:sz="0" w:space="0" w:color="auto"/>
        <w:bottom w:val="none" w:sz="0" w:space="0" w:color="auto"/>
        <w:right w:val="none" w:sz="0" w:space="0" w:color="auto"/>
      </w:divBdr>
    </w:div>
    <w:div w:id="1718695893">
      <w:bodyDiv w:val="1"/>
      <w:marLeft w:val="0"/>
      <w:marRight w:val="0"/>
      <w:marTop w:val="0"/>
      <w:marBottom w:val="0"/>
      <w:divBdr>
        <w:top w:val="none" w:sz="0" w:space="0" w:color="auto"/>
        <w:left w:val="none" w:sz="0" w:space="0" w:color="auto"/>
        <w:bottom w:val="none" w:sz="0" w:space="0" w:color="auto"/>
        <w:right w:val="none" w:sz="0" w:space="0" w:color="auto"/>
      </w:divBdr>
      <w:divsChild>
        <w:div w:id="117257746">
          <w:marLeft w:val="0"/>
          <w:marRight w:val="0"/>
          <w:marTop w:val="0"/>
          <w:marBottom w:val="0"/>
          <w:divBdr>
            <w:top w:val="none" w:sz="0" w:space="0" w:color="auto"/>
            <w:left w:val="none" w:sz="0" w:space="0" w:color="auto"/>
            <w:bottom w:val="none" w:sz="0" w:space="0" w:color="auto"/>
            <w:right w:val="none" w:sz="0" w:space="0" w:color="auto"/>
          </w:divBdr>
          <w:divsChild>
            <w:div w:id="1136140407">
              <w:marLeft w:val="0"/>
              <w:marRight w:val="0"/>
              <w:marTop w:val="0"/>
              <w:marBottom w:val="0"/>
              <w:divBdr>
                <w:top w:val="none" w:sz="0" w:space="0" w:color="auto"/>
                <w:left w:val="none" w:sz="0" w:space="0" w:color="auto"/>
                <w:bottom w:val="none" w:sz="0" w:space="0" w:color="auto"/>
                <w:right w:val="none" w:sz="0" w:space="0" w:color="auto"/>
              </w:divBdr>
              <w:divsChild>
                <w:div w:id="1498685884">
                  <w:marLeft w:val="0"/>
                  <w:marRight w:val="0"/>
                  <w:marTop w:val="0"/>
                  <w:marBottom w:val="0"/>
                  <w:divBdr>
                    <w:top w:val="none" w:sz="0" w:space="0" w:color="auto"/>
                    <w:left w:val="none" w:sz="0" w:space="0" w:color="auto"/>
                    <w:bottom w:val="none" w:sz="0" w:space="0" w:color="auto"/>
                    <w:right w:val="none" w:sz="0" w:space="0" w:color="auto"/>
                  </w:divBdr>
                  <w:divsChild>
                    <w:div w:id="1249386030">
                      <w:marLeft w:val="0"/>
                      <w:marRight w:val="0"/>
                      <w:marTop w:val="0"/>
                      <w:marBottom w:val="0"/>
                      <w:divBdr>
                        <w:top w:val="none" w:sz="0" w:space="0" w:color="auto"/>
                        <w:left w:val="none" w:sz="0" w:space="0" w:color="auto"/>
                        <w:bottom w:val="none" w:sz="0" w:space="0" w:color="auto"/>
                        <w:right w:val="none" w:sz="0" w:space="0" w:color="auto"/>
                      </w:divBdr>
                      <w:divsChild>
                        <w:div w:id="1772118348">
                          <w:marLeft w:val="0"/>
                          <w:marRight w:val="0"/>
                          <w:marTop w:val="0"/>
                          <w:marBottom w:val="0"/>
                          <w:divBdr>
                            <w:top w:val="none" w:sz="0" w:space="0" w:color="auto"/>
                            <w:left w:val="none" w:sz="0" w:space="0" w:color="auto"/>
                            <w:bottom w:val="none" w:sz="0" w:space="0" w:color="auto"/>
                            <w:right w:val="none" w:sz="0" w:space="0" w:color="auto"/>
                          </w:divBdr>
                          <w:divsChild>
                            <w:div w:id="6406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284150">
      <w:bodyDiv w:val="1"/>
      <w:marLeft w:val="0"/>
      <w:marRight w:val="0"/>
      <w:marTop w:val="0"/>
      <w:marBottom w:val="0"/>
      <w:divBdr>
        <w:top w:val="none" w:sz="0" w:space="0" w:color="auto"/>
        <w:left w:val="none" w:sz="0" w:space="0" w:color="auto"/>
        <w:bottom w:val="none" w:sz="0" w:space="0" w:color="auto"/>
        <w:right w:val="none" w:sz="0" w:space="0" w:color="auto"/>
      </w:divBdr>
    </w:div>
    <w:div w:id="1788115394">
      <w:bodyDiv w:val="1"/>
      <w:marLeft w:val="0"/>
      <w:marRight w:val="0"/>
      <w:marTop w:val="0"/>
      <w:marBottom w:val="0"/>
      <w:divBdr>
        <w:top w:val="none" w:sz="0" w:space="0" w:color="auto"/>
        <w:left w:val="none" w:sz="0" w:space="0" w:color="auto"/>
        <w:bottom w:val="none" w:sz="0" w:space="0" w:color="auto"/>
        <w:right w:val="none" w:sz="0" w:space="0" w:color="auto"/>
      </w:divBdr>
    </w:div>
    <w:div w:id="1790583515">
      <w:bodyDiv w:val="1"/>
      <w:marLeft w:val="0"/>
      <w:marRight w:val="0"/>
      <w:marTop w:val="0"/>
      <w:marBottom w:val="0"/>
      <w:divBdr>
        <w:top w:val="none" w:sz="0" w:space="0" w:color="auto"/>
        <w:left w:val="none" w:sz="0" w:space="0" w:color="auto"/>
        <w:bottom w:val="none" w:sz="0" w:space="0" w:color="auto"/>
        <w:right w:val="none" w:sz="0" w:space="0" w:color="auto"/>
      </w:divBdr>
    </w:div>
    <w:div w:id="1799303487">
      <w:bodyDiv w:val="1"/>
      <w:marLeft w:val="0"/>
      <w:marRight w:val="0"/>
      <w:marTop w:val="0"/>
      <w:marBottom w:val="0"/>
      <w:divBdr>
        <w:top w:val="none" w:sz="0" w:space="0" w:color="auto"/>
        <w:left w:val="none" w:sz="0" w:space="0" w:color="auto"/>
        <w:bottom w:val="none" w:sz="0" w:space="0" w:color="auto"/>
        <w:right w:val="none" w:sz="0" w:space="0" w:color="auto"/>
      </w:divBdr>
    </w:div>
    <w:div w:id="1816408444">
      <w:bodyDiv w:val="1"/>
      <w:marLeft w:val="0"/>
      <w:marRight w:val="0"/>
      <w:marTop w:val="0"/>
      <w:marBottom w:val="0"/>
      <w:divBdr>
        <w:top w:val="none" w:sz="0" w:space="0" w:color="auto"/>
        <w:left w:val="none" w:sz="0" w:space="0" w:color="auto"/>
        <w:bottom w:val="none" w:sz="0" w:space="0" w:color="auto"/>
        <w:right w:val="none" w:sz="0" w:space="0" w:color="auto"/>
      </w:divBdr>
    </w:div>
    <w:div w:id="1841382549">
      <w:bodyDiv w:val="1"/>
      <w:marLeft w:val="0"/>
      <w:marRight w:val="0"/>
      <w:marTop w:val="0"/>
      <w:marBottom w:val="0"/>
      <w:divBdr>
        <w:top w:val="none" w:sz="0" w:space="0" w:color="auto"/>
        <w:left w:val="none" w:sz="0" w:space="0" w:color="auto"/>
        <w:bottom w:val="none" w:sz="0" w:space="0" w:color="auto"/>
        <w:right w:val="none" w:sz="0" w:space="0" w:color="auto"/>
      </w:divBdr>
    </w:div>
    <w:div w:id="1876118142">
      <w:bodyDiv w:val="1"/>
      <w:marLeft w:val="0"/>
      <w:marRight w:val="0"/>
      <w:marTop w:val="0"/>
      <w:marBottom w:val="0"/>
      <w:divBdr>
        <w:top w:val="none" w:sz="0" w:space="0" w:color="auto"/>
        <w:left w:val="none" w:sz="0" w:space="0" w:color="auto"/>
        <w:bottom w:val="none" w:sz="0" w:space="0" w:color="auto"/>
        <w:right w:val="none" w:sz="0" w:space="0" w:color="auto"/>
      </w:divBdr>
    </w:div>
    <w:div w:id="1896351608">
      <w:bodyDiv w:val="1"/>
      <w:marLeft w:val="0"/>
      <w:marRight w:val="0"/>
      <w:marTop w:val="0"/>
      <w:marBottom w:val="0"/>
      <w:divBdr>
        <w:top w:val="none" w:sz="0" w:space="0" w:color="auto"/>
        <w:left w:val="none" w:sz="0" w:space="0" w:color="auto"/>
        <w:bottom w:val="none" w:sz="0" w:space="0" w:color="auto"/>
        <w:right w:val="none" w:sz="0" w:space="0" w:color="auto"/>
      </w:divBdr>
    </w:div>
    <w:div w:id="1941327593">
      <w:bodyDiv w:val="1"/>
      <w:marLeft w:val="0"/>
      <w:marRight w:val="0"/>
      <w:marTop w:val="0"/>
      <w:marBottom w:val="0"/>
      <w:divBdr>
        <w:top w:val="none" w:sz="0" w:space="0" w:color="auto"/>
        <w:left w:val="none" w:sz="0" w:space="0" w:color="auto"/>
        <w:bottom w:val="none" w:sz="0" w:space="0" w:color="auto"/>
        <w:right w:val="none" w:sz="0" w:space="0" w:color="auto"/>
      </w:divBdr>
    </w:div>
    <w:div w:id="1955164039">
      <w:bodyDiv w:val="1"/>
      <w:marLeft w:val="0"/>
      <w:marRight w:val="0"/>
      <w:marTop w:val="0"/>
      <w:marBottom w:val="0"/>
      <w:divBdr>
        <w:top w:val="none" w:sz="0" w:space="0" w:color="auto"/>
        <w:left w:val="none" w:sz="0" w:space="0" w:color="auto"/>
        <w:bottom w:val="none" w:sz="0" w:space="0" w:color="auto"/>
        <w:right w:val="none" w:sz="0" w:space="0" w:color="auto"/>
      </w:divBdr>
    </w:div>
    <w:div w:id="1964724956">
      <w:bodyDiv w:val="1"/>
      <w:marLeft w:val="0"/>
      <w:marRight w:val="0"/>
      <w:marTop w:val="0"/>
      <w:marBottom w:val="0"/>
      <w:divBdr>
        <w:top w:val="none" w:sz="0" w:space="0" w:color="auto"/>
        <w:left w:val="none" w:sz="0" w:space="0" w:color="auto"/>
        <w:bottom w:val="none" w:sz="0" w:space="0" w:color="auto"/>
        <w:right w:val="none" w:sz="0" w:space="0" w:color="auto"/>
      </w:divBdr>
    </w:div>
    <w:div w:id="1971783665">
      <w:bodyDiv w:val="1"/>
      <w:marLeft w:val="0"/>
      <w:marRight w:val="0"/>
      <w:marTop w:val="0"/>
      <w:marBottom w:val="0"/>
      <w:divBdr>
        <w:top w:val="none" w:sz="0" w:space="0" w:color="auto"/>
        <w:left w:val="none" w:sz="0" w:space="0" w:color="auto"/>
        <w:bottom w:val="none" w:sz="0" w:space="0" w:color="auto"/>
        <w:right w:val="none" w:sz="0" w:space="0" w:color="auto"/>
      </w:divBdr>
    </w:div>
    <w:div w:id="1975987610">
      <w:bodyDiv w:val="1"/>
      <w:marLeft w:val="0"/>
      <w:marRight w:val="0"/>
      <w:marTop w:val="0"/>
      <w:marBottom w:val="0"/>
      <w:divBdr>
        <w:top w:val="none" w:sz="0" w:space="0" w:color="auto"/>
        <w:left w:val="none" w:sz="0" w:space="0" w:color="auto"/>
        <w:bottom w:val="none" w:sz="0" w:space="0" w:color="auto"/>
        <w:right w:val="none" w:sz="0" w:space="0" w:color="auto"/>
      </w:divBdr>
    </w:div>
    <w:div w:id="1994093709">
      <w:bodyDiv w:val="1"/>
      <w:marLeft w:val="0"/>
      <w:marRight w:val="0"/>
      <w:marTop w:val="0"/>
      <w:marBottom w:val="0"/>
      <w:divBdr>
        <w:top w:val="none" w:sz="0" w:space="0" w:color="auto"/>
        <w:left w:val="none" w:sz="0" w:space="0" w:color="auto"/>
        <w:bottom w:val="none" w:sz="0" w:space="0" w:color="auto"/>
        <w:right w:val="none" w:sz="0" w:space="0" w:color="auto"/>
      </w:divBdr>
    </w:div>
    <w:div w:id="2005669674">
      <w:bodyDiv w:val="1"/>
      <w:marLeft w:val="0"/>
      <w:marRight w:val="0"/>
      <w:marTop w:val="0"/>
      <w:marBottom w:val="0"/>
      <w:divBdr>
        <w:top w:val="none" w:sz="0" w:space="0" w:color="auto"/>
        <w:left w:val="none" w:sz="0" w:space="0" w:color="auto"/>
        <w:bottom w:val="none" w:sz="0" w:space="0" w:color="auto"/>
        <w:right w:val="none" w:sz="0" w:space="0" w:color="auto"/>
      </w:divBdr>
    </w:div>
    <w:div w:id="2031643130">
      <w:bodyDiv w:val="1"/>
      <w:marLeft w:val="0"/>
      <w:marRight w:val="0"/>
      <w:marTop w:val="0"/>
      <w:marBottom w:val="0"/>
      <w:divBdr>
        <w:top w:val="none" w:sz="0" w:space="0" w:color="auto"/>
        <w:left w:val="none" w:sz="0" w:space="0" w:color="auto"/>
        <w:bottom w:val="none" w:sz="0" w:space="0" w:color="auto"/>
        <w:right w:val="none" w:sz="0" w:space="0" w:color="auto"/>
      </w:divBdr>
    </w:div>
    <w:div w:id="2039045222">
      <w:bodyDiv w:val="1"/>
      <w:marLeft w:val="0"/>
      <w:marRight w:val="0"/>
      <w:marTop w:val="0"/>
      <w:marBottom w:val="0"/>
      <w:divBdr>
        <w:top w:val="none" w:sz="0" w:space="0" w:color="auto"/>
        <w:left w:val="none" w:sz="0" w:space="0" w:color="auto"/>
        <w:bottom w:val="none" w:sz="0" w:space="0" w:color="auto"/>
        <w:right w:val="none" w:sz="0" w:space="0" w:color="auto"/>
      </w:divBdr>
      <w:divsChild>
        <w:div w:id="1362559216">
          <w:marLeft w:val="0"/>
          <w:marRight w:val="0"/>
          <w:marTop w:val="0"/>
          <w:marBottom w:val="0"/>
          <w:divBdr>
            <w:top w:val="none" w:sz="0" w:space="0" w:color="auto"/>
            <w:left w:val="none" w:sz="0" w:space="0" w:color="auto"/>
            <w:bottom w:val="none" w:sz="0" w:space="0" w:color="auto"/>
            <w:right w:val="none" w:sz="0" w:space="0" w:color="auto"/>
          </w:divBdr>
          <w:divsChild>
            <w:div w:id="475953262">
              <w:marLeft w:val="0"/>
              <w:marRight w:val="0"/>
              <w:marTop w:val="0"/>
              <w:marBottom w:val="0"/>
              <w:divBdr>
                <w:top w:val="none" w:sz="0" w:space="0" w:color="auto"/>
                <w:left w:val="none" w:sz="0" w:space="0" w:color="auto"/>
                <w:bottom w:val="none" w:sz="0" w:space="0" w:color="auto"/>
                <w:right w:val="none" w:sz="0" w:space="0" w:color="auto"/>
              </w:divBdr>
              <w:divsChild>
                <w:div w:id="853301512">
                  <w:marLeft w:val="0"/>
                  <w:marRight w:val="0"/>
                  <w:marTop w:val="0"/>
                  <w:marBottom w:val="0"/>
                  <w:divBdr>
                    <w:top w:val="none" w:sz="0" w:space="0" w:color="auto"/>
                    <w:left w:val="none" w:sz="0" w:space="0" w:color="auto"/>
                    <w:bottom w:val="none" w:sz="0" w:space="0" w:color="auto"/>
                    <w:right w:val="none" w:sz="0" w:space="0" w:color="auto"/>
                  </w:divBdr>
                  <w:divsChild>
                    <w:div w:id="248850299">
                      <w:marLeft w:val="0"/>
                      <w:marRight w:val="0"/>
                      <w:marTop w:val="0"/>
                      <w:marBottom w:val="0"/>
                      <w:divBdr>
                        <w:top w:val="none" w:sz="0" w:space="0" w:color="auto"/>
                        <w:left w:val="none" w:sz="0" w:space="0" w:color="auto"/>
                        <w:bottom w:val="none" w:sz="0" w:space="0" w:color="auto"/>
                        <w:right w:val="none" w:sz="0" w:space="0" w:color="auto"/>
                      </w:divBdr>
                      <w:divsChild>
                        <w:div w:id="1271283396">
                          <w:marLeft w:val="0"/>
                          <w:marRight w:val="0"/>
                          <w:marTop w:val="0"/>
                          <w:marBottom w:val="0"/>
                          <w:divBdr>
                            <w:top w:val="none" w:sz="0" w:space="0" w:color="auto"/>
                            <w:left w:val="none" w:sz="0" w:space="0" w:color="auto"/>
                            <w:bottom w:val="none" w:sz="0" w:space="0" w:color="auto"/>
                            <w:right w:val="none" w:sz="0" w:space="0" w:color="auto"/>
                          </w:divBdr>
                          <w:divsChild>
                            <w:div w:id="2047020969">
                              <w:marLeft w:val="0"/>
                              <w:marRight w:val="0"/>
                              <w:marTop w:val="0"/>
                              <w:marBottom w:val="0"/>
                              <w:divBdr>
                                <w:top w:val="none" w:sz="0" w:space="0" w:color="auto"/>
                                <w:left w:val="none" w:sz="0" w:space="0" w:color="auto"/>
                                <w:bottom w:val="none" w:sz="0" w:space="0" w:color="auto"/>
                                <w:right w:val="none" w:sz="0" w:space="0" w:color="auto"/>
                              </w:divBdr>
                              <w:divsChild>
                                <w:div w:id="635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45110">
          <w:marLeft w:val="0"/>
          <w:marRight w:val="0"/>
          <w:marTop w:val="0"/>
          <w:marBottom w:val="0"/>
          <w:divBdr>
            <w:top w:val="none" w:sz="0" w:space="0" w:color="auto"/>
            <w:left w:val="none" w:sz="0" w:space="0" w:color="auto"/>
            <w:bottom w:val="none" w:sz="0" w:space="0" w:color="auto"/>
            <w:right w:val="none" w:sz="0" w:space="0" w:color="auto"/>
          </w:divBdr>
          <w:divsChild>
            <w:div w:id="791830522">
              <w:marLeft w:val="0"/>
              <w:marRight w:val="0"/>
              <w:marTop w:val="0"/>
              <w:marBottom w:val="0"/>
              <w:divBdr>
                <w:top w:val="none" w:sz="0" w:space="0" w:color="auto"/>
                <w:left w:val="none" w:sz="0" w:space="0" w:color="auto"/>
                <w:bottom w:val="none" w:sz="0" w:space="0" w:color="auto"/>
                <w:right w:val="none" w:sz="0" w:space="0" w:color="auto"/>
              </w:divBdr>
              <w:divsChild>
                <w:div w:id="2123718253">
                  <w:marLeft w:val="0"/>
                  <w:marRight w:val="0"/>
                  <w:marTop w:val="0"/>
                  <w:marBottom w:val="0"/>
                  <w:divBdr>
                    <w:top w:val="none" w:sz="0" w:space="0" w:color="auto"/>
                    <w:left w:val="none" w:sz="0" w:space="0" w:color="auto"/>
                    <w:bottom w:val="none" w:sz="0" w:space="0" w:color="auto"/>
                    <w:right w:val="none" w:sz="0" w:space="0" w:color="auto"/>
                  </w:divBdr>
                  <w:divsChild>
                    <w:div w:id="109514923">
                      <w:marLeft w:val="0"/>
                      <w:marRight w:val="0"/>
                      <w:marTop w:val="0"/>
                      <w:marBottom w:val="0"/>
                      <w:divBdr>
                        <w:top w:val="none" w:sz="0" w:space="0" w:color="auto"/>
                        <w:left w:val="none" w:sz="0" w:space="0" w:color="auto"/>
                        <w:bottom w:val="none" w:sz="0" w:space="0" w:color="auto"/>
                        <w:right w:val="none" w:sz="0" w:space="0" w:color="auto"/>
                      </w:divBdr>
                      <w:divsChild>
                        <w:div w:id="2040617090">
                          <w:marLeft w:val="0"/>
                          <w:marRight w:val="0"/>
                          <w:marTop w:val="0"/>
                          <w:marBottom w:val="0"/>
                          <w:divBdr>
                            <w:top w:val="none" w:sz="0" w:space="0" w:color="auto"/>
                            <w:left w:val="none" w:sz="0" w:space="0" w:color="auto"/>
                            <w:bottom w:val="none" w:sz="0" w:space="0" w:color="auto"/>
                            <w:right w:val="none" w:sz="0" w:space="0" w:color="auto"/>
                          </w:divBdr>
                          <w:divsChild>
                            <w:div w:id="794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661238">
          <w:marLeft w:val="0"/>
          <w:marRight w:val="0"/>
          <w:marTop w:val="0"/>
          <w:marBottom w:val="0"/>
          <w:divBdr>
            <w:top w:val="none" w:sz="0" w:space="0" w:color="auto"/>
            <w:left w:val="none" w:sz="0" w:space="0" w:color="auto"/>
            <w:bottom w:val="none" w:sz="0" w:space="0" w:color="auto"/>
            <w:right w:val="none" w:sz="0" w:space="0" w:color="auto"/>
          </w:divBdr>
          <w:divsChild>
            <w:div w:id="1950776440">
              <w:marLeft w:val="0"/>
              <w:marRight w:val="0"/>
              <w:marTop w:val="0"/>
              <w:marBottom w:val="0"/>
              <w:divBdr>
                <w:top w:val="none" w:sz="0" w:space="0" w:color="auto"/>
                <w:left w:val="none" w:sz="0" w:space="0" w:color="auto"/>
                <w:bottom w:val="none" w:sz="0" w:space="0" w:color="auto"/>
                <w:right w:val="none" w:sz="0" w:space="0" w:color="auto"/>
              </w:divBdr>
              <w:divsChild>
                <w:div w:id="1117793663">
                  <w:marLeft w:val="0"/>
                  <w:marRight w:val="0"/>
                  <w:marTop w:val="0"/>
                  <w:marBottom w:val="0"/>
                  <w:divBdr>
                    <w:top w:val="none" w:sz="0" w:space="0" w:color="auto"/>
                    <w:left w:val="none" w:sz="0" w:space="0" w:color="auto"/>
                    <w:bottom w:val="none" w:sz="0" w:space="0" w:color="auto"/>
                    <w:right w:val="none" w:sz="0" w:space="0" w:color="auto"/>
                  </w:divBdr>
                  <w:divsChild>
                    <w:div w:id="1447848025">
                      <w:marLeft w:val="0"/>
                      <w:marRight w:val="0"/>
                      <w:marTop w:val="0"/>
                      <w:marBottom w:val="0"/>
                      <w:divBdr>
                        <w:top w:val="none" w:sz="0" w:space="0" w:color="auto"/>
                        <w:left w:val="none" w:sz="0" w:space="0" w:color="auto"/>
                        <w:bottom w:val="none" w:sz="0" w:space="0" w:color="auto"/>
                        <w:right w:val="none" w:sz="0" w:space="0" w:color="auto"/>
                      </w:divBdr>
                      <w:divsChild>
                        <w:div w:id="2094081676">
                          <w:marLeft w:val="0"/>
                          <w:marRight w:val="0"/>
                          <w:marTop w:val="0"/>
                          <w:marBottom w:val="0"/>
                          <w:divBdr>
                            <w:top w:val="none" w:sz="0" w:space="0" w:color="auto"/>
                            <w:left w:val="none" w:sz="0" w:space="0" w:color="auto"/>
                            <w:bottom w:val="none" w:sz="0" w:space="0" w:color="auto"/>
                            <w:right w:val="none" w:sz="0" w:space="0" w:color="auto"/>
                          </w:divBdr>
                          <w:divsChild>
                            <w:div w:id="1990674720">
                              <w:marLeft w:val="0"/>
                              <w:marRight w:val="0"/>
                              <w:marTop w:val="0"/>
                              <w:marBottom w:val="0"/>
                              <w:divBdr>
                                <w:top w:val="none" w:sz="0" w:space="0" w:color="auto"/>
                                <w:left w:val="none" w:sz="0" w:space="0" w:color="auto"/>
                                <w:bottom w:val="none" w:sz="0" w:space="0" w:color="auto"/>
                                <w:right w:val="none" w:sz="0" w:space="0" w:color="auto"/>
                              </w:divBdr>
                              <w:divsChild>
                                <w:div w:id="11579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837260">
          <w:marLeft w:val="0"/>
          <w:marRight w:val="0"/>
          <w:marTop w:val="0"/>
          <w:marBottom w:val="0"/>
          <w:divBdr>
            <w:top w:val="none" w:sz="0" w:space="0" w:color="auto"/>
            <w:left w:val="none" w:sz="0" w:space="0" w:color="auto"/>
            <w:bottom w:val="none" w:sz="0" w:space="0" w:color="auto"/>
            <w:right w:val="none" w:sz="0" w:space="0" w:color="auto"/>
          </w:divBdr>
          <w:divsChild>
            <w:div w:id="1555390940">
              <w:marLeft w:val="0"/>
              <w:marRight w:val="0"/>
              <w:marTop w:val="0"/>
              <w:marBottom w:val="0"/>
              <w:divBdr>
                <w:top w:val="none" w:sz="0" w:space="0" w:color="auto"/>
                <w:left w:val="none" w:sz="0" w:space="0" w:color="auto"/>
                <w:bottom w:val="none" w:sz="0" w:space="0" w:color="auto"/>
                <w:right w:val="none" w:sz="0" w:space="0" w:color="auto"/>
              </w:divBdr>
              <w:divsChild>
                <w:div w:id="438067052">
                  <w:marLeft w:val="0"/>
                  <w:marRight w:val="0"/>
                  <w:marTop w:val="0"/>
                  <w:marBottom w:val="0"/>
                  <w:divBdr>
                    <w:top w:val="none" w:sz="0" w:space="0" w:color="auto"/>
                    <w:left w:val="none" w:sz="0" w:space="0" w:color="auto"/>
                    <w:bottom w:val="none" w:sz="0" w:space="0" w:color="auto"/>
                    <w:right w:val="none" w:sz="0" w:space="0" w:color="auto"/>
                  </w:divBdr>
                  <w:divsChild>
                    <w:div w:id="857235330">
                      <w:marLeft w:val="0"/>
                      <w:marRight w:val="0"/>
                      <w:marTop w:val="0"/>
                      <w:marBottom w:val="0"/>
                      <w:divBdr>
                        <w:top w:val="none" w:sz="0" w:space="0" w:color="auto"/>
                        <w:left w:val="none" w:sz="0" w:space="0" w:color="auto"/>
                        <w:bottom w:val="none" w:sz="0" w:space="0" w:color="auto"/>
                        <w:right w:val="none" w:sz="0" w:space="0" w:color="auto"/>
                      </w:divBdr>
                      <w:divsChild>
                        <w:div w:id="779960289">
                          <w:marLeft w:val="0"/>
                          <w:marRight w:val="0"/>
                          <w:marTop w:val="0"/>
                          <w:marBottom w:val="0"/>
                          <w:divBdr>
                            <w:top w:val="none" w:sz="0" w:space="0" w:color="auto"/>
                            <w:left w:val="none" w:sz="0" w:space="0" w:color="auto"/>
                            <w:bottom w:val="none" w:sz="0" w:space="0" w:color="auto"/>
                            <w:right w:val="none" w:sz="0" w:space="0" w:color="auto"/>
                          </w:divBdr>
                          <w:divsChild>
                            <w:div w:id="83402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738086">
          <w:marLeft w:val="0"/>
          <w:marRight w:val="0"/>
          <w:marTop w:val="0"/>
          <w:marBottom w:val="0"/>
          <w:divBdr>
            <w:top w:val="none" w:sz="0" w:space="0" w:color="auto"/>
            <w:left w:val="none" w:sz="0" w:space="0" w:color="auto"/>
            <w:bottom w:val="none" w:sz="0" w:space="0" w:color="auto"/>
            <w:right w:val="none" w:sz="0" w:space="0" w:color="auto"/>
          </w:divBdr>
          <w:divsChild>
            <w:div w:id="1671181110">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sChild>
                    <w:div w:id="167907374">
                      <w:marLeft w:val="0"/>
                      <w:marRight w:val="0"/>
                      <w:marTop w:val="0"/>
                      <w:marBottom w:val="0"/>
                      <w:divBdr>
                        <w:top w:val="none" w:sz="0" w:space="0" w:color="auto"/>
                        <w:left w:val="none" w:sz="0" w:space="0" w:color="auto"/>
                        <w:bottom w:val="none" w:sz="0" w:space="0" w:color="auto"/>
                        <w:right w:val="none" w:sz="0" w:space="0" w:color="auto"/>
                      </w:divBdr>
                      <w:divsChild>
                        <w:div w:id="1467818510">
                          <w:marLeft w:val="0"/>
                          <w:marRight w:val="0"/>
                          <w:marTop w:val="0"/>
                          <w:marBottom w:val="0"/>
                          <w:divBdr>
                            <w:top w:val="none" w:sz="0" w:space="0" w:color="auto"/>
                            <w:left w:val="none" w:sz="0" w:space="0" w:color="auto"/>
                            <w:bottom w:val="none" w:sz="0" w:space="0" w:color="auto"/>
                            <w:right w:val="none" w:sz="0" w:space="0" w:color="auto"/>
                          </w:divBdr>
                          <w:divsChild>
                            <w:div w:id="326835194">
                              <w:marLeft w:val="0"/>
                              <w:marRight w:val="0"/>
                              <w:marTop w:val="0"/>
                              <w:marBottom w:val="0"/>
                              <w:divBdr>
                                <w:top w:val="none" w:sz="0" w:space="0" w:color="auto"/>
                                <w:left w:val="none" w:sz="0" w:space="0" w:color="auto"/>
                                <w:bottom w:val="none" w:sz="0" w:space="0" w:color="auto"/>
                                <w:right w:val="none" w:sz="0" w:space="0" w:color="auto"/>
                              </w:divBdr>
                              <w:divsChild>
                                <w:div w:id="64246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268183">
          <w:marLeft w:val="0"/>
          <w:marRight w:val="0"/>
          <w:marTop w:val="0"/>
          <w:marBottom w:val="0"/>
          <w:divBdr>
            <w:top w:val="none" w:sz="0" w:space="0" w:color="auto"/>
            <w:left w:val="none" w:sz="0" w:space="0" w:color="auto"/>
            <w:bottom w:val="none" w:sz="0" w:space="0" w:color="auto"/>
            <w:right w:val="none" w:sz="0" w:space="0" w:color="auto"/>
          </w:divBdr>
          <w:divsChild>
            <w:div w:id="99375500">
              <w:marLeft w:val="0"/>
              <w:marRight w:val="0"/>
              <w:marTop w:val="0"/>
              <w:marBottom w:val="0"/>
              <w:divBdr>
                <w:top w:val="none" w:sz="0" w:space="0" w:color="auto"/>
                <w:left w:val="none" w:sz="0" w:space="0" w:color="auto"/>
                <w:bottom w:val="none" w:sz="0" w:space="0" w:color="auto"/>
                <w:right w:val="none" w:sz="0" w:space="0" w:color="auto"/>
              </w:divBdr>
              <w:divsChild>
                <w:div w:id="1994337036">
                  <w:marLeft w:val="0"/>
                  <w:marRight w:val="0"/>
                  <w:marTop w:val="0"/>
                  <w:marBottom w:val="0"/>
                  <w:divBdr>
                    <w:top w:val="none" w:sz="0" w:space="0" w:color="auto"/>
                    <w:left w:val="none" w:sz="0" w:space="0" w:color="auto"/>
                    <w:bottom w:val="none" w:sz="0" w:space="0" w:color="auto"/>
                    <w:right w:val="none" w:sz="0" w:space="0" w:color="auto"/>
                  </w:divBdr>
                  <w:divsChild>
                    <w:div w:id="226496112">
                      <w:marLeft w:val="0"/>
                      <w:marRight w:val="0"/>
                      <w:marTop w:val="0"/>
                      <w:marBottom w:val="0"/>
                      <w:divBdr>
                        <w:top w:val="none" w:sz="0" w:space="0" w:color="auto"/>
                        <w:left w:val="none" w:sz="0" w:space="0" w:color="auto"/>
                        <w:bottom w:val="none" w:sz="0" w:space="0" w:color="auto"/>
                        <w:right w:val="none" w:sz="0" w:space="0" w:color="auto"/>
                      </w:divBdr>
                      <w:divsChild>
                        <w:div w:id="21632889">
                          <w:marLeft w:val="0"/>
                          <w:marRight w:val="0"/>
                          <w:marTop w:val="0"/>
                          <w:marBottom w:val="0"/>
                          <w:divBdr>
                            <w:top w:val="none" w:sz="0" w:space="0" w:color="auto"/>
                            <w:left w:val="none" w:sz="0" w:space="0" w:color="auto"/>
                            <w:bottom w:val="none" w:sz="0" w:space="0" w:color="auto"/>
                            <w:right w:val="none" w:sz="0" w:space="0" w:color="auto"/>
                          </w:divBdr>
                          <w:divsChild>
                            <w:div w:id="167151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121471">
          <w:marLeft w:val="0"/>
          <w:marRight w:val="0"/>
          <w:marTop w:val="0"/>
          <w:marBottom w:val="0"/>
          <w:divBdr>
            <w:top w:val="none" w:sz="0" w:space="0" w:color="auto"/>
            <w:left w:val="none" w:sz="0" w:space="0" w:color="auto"/>
            <w:bottom w:val="none" w:sz="0" w:space="0" w:color="auto"/>
            <w:right w:val="none" w:sz="0" w:space="0" w:color="auto"/>
          </w:divBdr>
          <w:divsChild>
            <w:div w:id="1413891804">
              <w:marLeft w:val="0"/>
              <w:marRight w:val="0"/>
              <w:marTop w:val="0"/>
              <w:marBottom w:val="0"/>
              <w:divBdr>
                <w:top w:val="none" w:sz="0" w:space="0" w:color="auto"/>
                <w:left w:val="none" w:sz="0" w:space="0" w:color="auto"/>
                <w:bottom w:val="none" w:sz="0" w:space="0" w:color="auto"/>
                <w:right w:val="none" w:sz="0" w:space="0" w:color="auto"/>
              </w:divBdr>
              <w:divsChild>
                <w:div w:id="1087311245">
                  <w:marLeft w:val="0"/>
                  <w:marRight w:val="0"/>
                  <w:marTop w:val="0"/>
                  <w:marBottom w:val="0"/>
                  <w:divBdr>
                    <w:top w:val="none" w:sz="0" w:space="0" w:color="auto"/>
                    <w:left w:val="none" w:sz="0" w:space="0" w:color="auto"/>
                    <w:bottom w:val="none" w:sz="0" w:space="0" w:color="auto"/>
                    <w:right w:val="none" w:sz="0" w:space="0" w:color="auto"/>
                  </w:divBdr>
                  <w:divsChild>
                    <w:div w:id="694699918">
                      <w:marLeft w:val="0"/>
                      <w:marRight w:val="0"/>
                      <w:marTop w:val="0"/>
                      <w:marBottom w:val="0"/>
                      <w:divBdr>
                        <w:top w:val="none" w:sz="0" w:space="0" w:color="auto"/>
                        <w:left w:val="none" w:sz="0" w:space="0" w:color="auto"/>
                        <w:bottom w:val="none" w:sz="0" w:space="0" w:color="auto"/>
                        <w:right w:val="none" w:sz="0" w:space="0" w:color="auto"/>
                      </w:divBdr>
                      <w:divsChild>
                        <w:div w:id="388112337">
                          <w:marLeft w:val="0"/>
                          <w:marRight w:val="0"/>
                          <w:marTop w:val="0"/>
                          <w:marBottom w:val="0"/>
                          <w:divBdr>
                            <w:top w:val="none" w:sz="0" w:space="0" w:color="auto"/>
                            <w:left w:val="none" w:sz="0" w:space="0" w:color="auto"/>
                            <w:bottom w:val="none" w:sz="0" w:space="0" w:color="auto"/>
                            <w:right w:val="none" w:sz="0" w:space="0" w:color="auto"/>
                          </w:divBdr>
                          <w:divsChild>
                            <w:div w:id="1365325465">
                              <w:marLeft w:val="0"/>
                              <w:marRight w:val="0"/>
                              <w:marTop w:val="0"/>
                              <w:marBottom w:val="0"/>
                              <w:divBdr>
                                <w:top w:val="none" w:sz="0" w:space="0" w:color="auto"/>
                                <w:left w:val="none" w:sz="0" w:space="0" w:color="auto"/>
                                <w:bottom w:val="none" w:sz="0" w:space="0" w:color="auto"/>
                                <w:right w:val="none" w:sz="0" w:space="0" w:color="auto"/>
                              </w:divBdr>
                              <w:divsChild>
                                <w:div w:id="71304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0594">
          <w:marLeft w:val="0"/>
          <w:marRight w:val="0"/>
          <w:marTop w:val="0"/>
          <w:marBottom w:val="0"/>
          <w:divBdr>
            <w:top w:val="none" w:sz="0" w:space="0" w:color="auto"/>
            <w:left w:val="none" w:sz="0" w:space="0" w:color="auto"/>
            <w:bottom w:val="none" w:sz="0" w:space="0" w:color="auto"/>
            <w:right w:val="none" w:sz="0" w:space="0" w:color="auto"/>
          </w:divBdr>
          <w:divsChild>
            <w:div w:id="592737475">
              <w:marLeft w:val="0"/>
              <w:marRight w:val="0"/>
              <w:marTop w:val="0"/>
              <w:marBottom w:val="0"/>
              <w:divBdr>
                <w:top w:val="none" w:sz="0" w:space="0" w:color="auto"/>
                <w:left w:val="none" w:sz="0" w:space="0" w:color="auto"/>
                <w:bottom w:val="none" w:sz="0" w:space="0" w:color="auto"/>
                <w:right w:val="none" w:sz="0" w:space="0" w:color="auto"/>
              </w:divBdr>
              <w:divsChild>
                <w:div w:id="245313243">
                  <w:marLeft w:val="0"/>
                  <w:marRight w:val="0"/>
                  <w:marTop w:val="0"/>
                  <w:marBottom w:val="0"/>
                  <w:divBdr>
                    <w:top w:val="none" w:sz="0" w:space="0" w:color="auto"/>
                    <w:left w:val="none" w:sz="0" w:space="0" w:color="auto"/>
                    <w:bottom w:val="none" w:sz="0" w:space="0" w:color="auto"/>
                    <w:right w:val="none" w:sz="0" w:space="0" w:color="auto"/>
                  </w:divBdr>
                  <w:divsChild>
                    <w:div w:id="1544826270">
                      <w:marLeft w:val="0"/>
                      <w:marRight w:val="0"/>
                      <w:marTop w:val="0"/>
                      <w:marBottom w:val="0"/>
                      <w:divBdr>
                        <w:top w:val="none" w:sz="0" w:space="0" w:color="auto"/>
                        <w:left w:val="none" w:sz="0" w:space="0" w:color="auto"/>
                        <w:bottom w:val="none" w:sz="0" w:space="0" w:color="auto"/>
                        <w:right w:val="none" w:sz="0" w:space="0" w:color="auto"/>
                      </w:divBdr>
                      <w:divsChild>
                        <w:div w:id="527645582">
                          <w:marLeft w:val="0"/>
                          <w:marRight w:val="0"/>
                          <w:marTop w:val="0"/>
                          <w:marBottom w:val="0"/>
                          <w:divBdr>
                            <w:top w:val="none" w:sz="0" w:space="0" w:color="auto"/>
                            <w:left w:val="none" w:sz="0" w:space="0" w:color="auto"/>
                            <w:bottom w:val="none" w:sz="0" w:space="0" w:color="auto"/>
                            <w:right w:val="none" w:sz="0" w:space="0" w:color="auto"/>
                          </w:divBdr>
                          <w:divsChild>
                            <w:div w:id="18101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86529">
          <w:marLeft w:val="0"/>
          <w:marRight w:val="0"/>
          <w:marTop w:val="0"/>
          <w:marBottom w:val="0"/>
          <w:divBdr>
            <w:top w:val="none" w:sz="0" w:space="0" w:color="auto"/>
            <w:left w:val="none" w:sz="0" w:space="0" w:color="auto"/>
            <w:bottom w:val="none" w:sz="0" w:space="0" w:color="auto"/>
            <w:right w:val="none" w:sz="0" w:space="0" w:color="auto"/>
          </w:divBdr>
          <w:divsChild>
            <w:div w:id="375201783">
              <w:marLeft w:val="0"/>
              <w:marRight w:val="0"/>
              <w:marTop w:val="0"/>
              <w:marBottom w:val="0"/>
              <w:divBdr>
                <w:top w:val="none" w:sz="0" w:space="0" w:color="auto"/>
                <w:left w:val="none" w:sz="0" w:space="0" w:color="auto"/>
                <w:bottom w:val="none" w:sz="0" w:space="0" w:color="auto"/>
                <w:right w:val="none" w:sz="0" w:space="0" w:color="auto"/>
              </w:divBdr>
              <w:divsChild>
                <w:div w:id="1269511009">
                  <w:marLeft w:val="0"/>
                  <w:marRight w:val="0"/>
                  <w:marTop w:val="0"/>
                  <w:marBottom w:val="0"/>
                  <w:divBdr>
                    <w:top w:val="none" w:sz="0" w:space="0" w:color="auto"/>
                    <w:left w:val="none" w:sz="0" w:space="0" w:color="auto"/>
                    <w:bottom w:val="none" w:sz="0" w:space="0" w:color="auto"/>
                    <w:right w:val="none" w:sz="0" w:space="0" w:color="auto"/>
                  </w:divBdr>
                  <w:divsChild>
                    <w:div w:id="787626717">
                      <w:marLeft w:val="0"/>
                      <w:marRight w:val="0"/>
                      <w:marTop w:val="0"/>
                      <w:marBottom w:val="0"/>
                      <w:divBdr>
                        <w:top w:val="none" w:sz="0" w:space="0" w:color="auto"/>
                        <w:left w:val="none" w:sz="0" w:space="0" w:color="auto"/>
                        <w:bottom w:val="none" w:sz="0" w:space="0" w:color="auto"/>
                        <w:right w:val="none" w:sz="0" w:space="0" w:color="auto"/>
                      </w:divBdr>
                      <w:divsChild>
                        <w:div w:id="1263104553">
                          <w:marLeft w:val="0"/>
                          <w:marRight w:val="0"/>
                          <w:marTop w:val="0"/>
                          <w:marBottom w:val="0"/>
                          <w:divBdr>
                            <w:top w:val="none" w:sz="0" w:space="0" w:color="auto"/>
                            <w:left w:val="none" w:sz="0" w:space="0" w:color="auto"/>
                            <w:bottom w:val="none" w:sz="0" w:space="0" w:color="auto"/>
                            <w:right w:val="none" w:sz="0" w:space="0" w:color="auto"/>
                          </w:divBdr>
                          <w:divsChild>
                            <w:div w:id="804591356">
                              <w:marLeft w:val="0"/>
                              <w:marRight w:val="0"/>
                              <w:marTop w:val="0"/>
                              <w:marBottom w:val="0"/>
                              <w:divBdr>
                                <w:top w:val="none" w:sz="0" w:space="0" w:color="auto"/>
                                <w:left w:val="none" w:sz="0" w:space="0" w:color="auto"/>
                                <w:bottom w:val="none" w:sz="0" w:space="0" w:color="auto"/>
                                <w:right w:val="none" w:sz="0" w:space="0" w:color="auto"/>
                              </w:divBdr>
                              <w:divsChild>
                                <w:div w:id="7049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266407">
          <w:marLeft w:val="0"/>
          <w:marRight w:val="0"/>
          <w:marTop w:val="0"/>
          <w:marBottom w:val="0"/>
          <w:divBdr>
            <w:top w:val="none" w:sz="0" w:space="0" w:color="auto"/>
            <w:left w:val="none" w:sz="0" w:space="0" w:color="auto"/>
            <w:bottom w:val="none" w:sz="0" w:space="0" w:color="auto"/>
            <w:right w:val="none" w:sz="0" w:space="0" w:color="auto"/>
          </w:divBdr>
          <w:divsChild>
            <w:div w:id="1819422397">
              <w:marLeft w:val="0"/>
              <w:marRight w:val="0"/>
              <w:marTop w:val="0"/>
              <w:marBottom w:val="0"/>
              <w:divBdr>
                <w:top w:val="none" w:sz="0" w:space="0" w:color="auto"/>
                <w:left w:val="none" w:sz="0" w:space="0" w:color="auto"/>
                <w:bottom w:val="none" w:sz="0" w:space="0" w:color="auto"/>
                <w:right w:val="none" w:sz="0" w:space="0" w:color="auto"/>
              </w:divBdr>
              <w:divsChild>
                <w:div w:id="826554962">
                  <w:marLeft w:val="0"/>
                  <w:marRight w:val="0"/>
                  <w:marTop w:val="0"/>
                  <w:marBottom w:val="0"/>
                  <w:divBdr>
                    <w:top w:val="none" w:sz="0" w:space="0" w:color="auto"/>
                    <w:left w:val="none" w:sz="0" w:space="0" w:color="auto"/>
                    <w:bottom w:val="none" w:sz="0" w:space="0" w:color="auto"/>
                    <w:right w:val="none" w:sz="0" w:space="0" w:color="auto"/>
                  </w:divBdr>
                  <w:divsChild>
                    <w:div w:id="777139662">
                      <w:marLeft w:val="0"/>
                      <w:marRight w:val="0"/>
                      <w:marTop w:val="0"/>
                      <w:marBottom w:val="0"/>
                      <w:divBdr>
                        <w:top w:val="none" w:sz="0" w:space="0" w:color="auto"/>
                        <w:left w:val="none" w:sz="0" w:space="0" w:color="auto"/>
                        <w:bottom w:val="none" w:sz="0" w:space="0" w:color="auto"/>
                        <w:right w:val="none" w:sz="0" w:space="0" w:color="auto"/>
                      </w:divBdr>
                      <w:divsChild>
                        <w:div w:id="99493131">
                          <w:marLeft w:val="0"/>
                          <w:marRight w:val="0"/>
                          <w:marTop w:val="0"/>
                          <w:marBottom w:val="0"/>
                          <w:divBdr>
                            <w:top w:val="none" w:sz="0" w:space="0" w:color="auto"/>
                            <w:left w:val="none" w:sz="0" w:space="0" w:color="auto"/>
                            <w:bottom w:val="none" w:sz="0" w:space="0" w:color="auto"/>
                            <w:right w:val="none" w:sz="0" w:space="0" w:color="auto"/>
                          </w:divBdr>
                          <w:divsChild>
                            <w:div w:id="2013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962370">
          <w:marLeft w:val="0"/>
          <w:marRight w:val="0"/>
          <w:marTop w:val="0"/>
          <w:marBottom w:val="0"/>
          <w:divBdr>
            <w:top w:val="none" w:sz="0" w:space="0" w:color="auto"/>
            <w:left w:val="none" w:sz="0" w:space="0" w:color="auto"/>
            <w:bottom w:val="none" w:sz="0" w:space="0" w:color="auto"/>
            <w:right w:val="none" w:sz="0" w:space="0" w:color="auto"/>
          </w:divBdr>
          <w:divsChild>
            <w:div w:id="1646080523">
              <w:marLeft w:val="0"/>
              <w:marRight w:val="0"/>
              <w:marTop w:val="0"/>
              <w:marBottom w:val="0"/>
              <w:divBdr>
                <w:top w:val="none" w:sz="0" w:space="0" w:color="auto"/>
                <w:left w:val="none" w:sz="0" w:space="0" w:color="auto"/>
                <w:bottom w:val="none" w:sz="0" w:space="0" w:color="auto"/>
                <w:right w:val="none" w:sz="0" w:space="0" w:color="auto"/>
              </w:divBdr>
              <w:divsChild>
                <w:div w:id="1853831838">
                  <w:marLeft w:val="0"/>
                  <w:marRight w:val="0"/>
                  <w:marTop w:val="0"/>
                  <w:marBottom w:val="0"/>
                  <w:divBdr>
                    <w:top w:val="none" w:sz="0" w:space="0" w:color="auto"/>
                    <w:left w:val="none" w:sz="0" w:space="0" w:color="auto"/>
                    <w:bottom w:val="none" w:sz="0" w:space="0" w:color="auto"/>
                    <w:right w:val="none" w:sz="0" w:space="0" w:color="auto"/>
                  </w:divBdr>
                  <w:divsChild>
                    <w:div w:id="751312754">
                      <w:marLeft w:val="0"/>
                      <w:marRight w:val="0"/>
                      <w:marTop w:val="0"/>
                      <w:marBottom w:val="0"/>
                      <w:divBdr>
                        <w:top w:val="none" w:sz="0" w:space="0" w:color="auto"/>
                        <w:left w:val="none" w:sz="0" w:space="0" w:color="auto"/>
                        <w:bottom w:val="none" w:sz="0" w:space="0" w:color="auto"/>
                        <w:right w:val="none" w:sz="0" w:space="0" w:color="auto"/>
                      </w:divBdr>
                      <w:divsChild>
                        <w:div w:id="51511948">
                          <w:marLeft w:val="0"/>
                          <w:marRight w:val="0"/>
                          <w:marTop w:val="0"/>
                          <w:marBottom w:val="0"/>
                          <w:divBdr>
                            <w:top w:val="none" w:sz="0" w:space="0" w:color="auto"/>
                            <w:left w:val="none" w:sz="0" w:space="0" w:color="auto"/>
                            <w:bottom w:val="none" w:sz="0" w:space="0" w:color="auto"/>
                            <w:right w:val="none" w:sz="0" w:space="0" w:color="auto"/>
                          </w:divBdr>
                          <w:divsChild>
                            <w:div w:id="1243488638">
                              <w:marLeft w:val="0"/>
                              <w:marRight w:val="0"/>
                              <w:marTop w:val="0"/>
                              <w:marBottom w:val="0"/>
                              <w:divBdr>
                                <w:top w:val="none" w:sz="0" w:space="0" w:color="auto"/>
                                <w:left w:val="none" w:sz="0" w:space="0" w:color="auto"/>
                                <w:bottom w:val="none" w:sz="0" w:space="0" w:color="auto"/>
                                <w:right w:val="none" w:sz="0" w:space="0" w:color="auto"/>
                              </w:divBdr>
                              <w:divsChild>
                                <w:div w:id="92623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27601">
          <w:marLeft w:val="0"/>
          <w:marRight w:val="0"/>
          <w:marTop w:val="0"/>
          <w:marBottom w:val="0"/>
          <w:divBdr>
            <w:top w:val="none" w:sz="0" w:space="0" w:color="auto"/>
            <w:left w:val="none" w:sz="0" w:space="0" w:color="auto"/>
            <w:bottom w:val="none" w:sz="0" w:space="0" w:color="auto"/>
            <w:right w:val="none" w:sz="0" w:space="0" w:color="auto"/>
          </w:divBdr>
          <w:divsChild>
            <w:div w:id="12613062">
              <w:marLeft w:val="0"/>
              <w:marRight w:val="0"/>
              <w:marTop w:val="0"/>
              <w:marBottom w:val="0"/>
              <w:divBdr>
                <w:top w:val="none" w:sz="0" w:space="0" w:color="auto"/>
                <w:left w:val="none" w:sz="0" w:space="0" w:color="auto"/>
                <w:bottom w:val="none" w:sz="0" w:space="0" w:color="auto"/>
                <w:right w:val="none" w:sz="0" w:space="0" w:color="auto"/>
              </w:divBdr>
              <w:divsChild>
                <w:div w:id="1025592919">
                  <w:marLeft w:val="0"/>
                  <w:marRight w:val="0"/>
                  <w:marTop w:val="0"/>
                  <w:marBottom w:val="0"/>
                  <w:divBdr>
                    <w:top w:val="none" w:sz="0" w:space="0" w:color="auto"/>
                    <w:left w:val="none" w:sz="0" w:space="0" w:color="auto"/>
                    <w:bottom w:val="none" w:sz="0" w:space="0" w:color="auto"/>
                    <w:right w:val="none" w:sz="0" w:space="0" w:color="auto"/>
                  </w:divBdr>
                  <w:divsChild>
                    <w:div w:id="1884831119">
                      <w:marLeft w:val="0"/>
                      <w:marRight w:val="0"/>
                      <w:marTop w:val="0"/>
                      <w:marBottom w:val="0"/>
                      <w:divBdr>
                        <w:top w:val="none" w:sz="0" w:space="0" w:color="auto"/>
                        <w:left w:val="none" w:sz="0" w:space="0" w:color="auto"/>
                        <w:bottom w:val="none" w:sz="0" w:space="0" w:color="auto"/>
                        <w:right w:val="none" w:sz="0" w:space="0" w:color="auto"/>
                      </w:divBdr>
                      <w:divsChild>
                        <w:div w:id="1888102439">
                          <w:marLeft w:val="0"/>
                          <w:marRight w:val="0"/>
                          <w:marTop w:val="0"/>
                          <w:marBottom w:val="0"/>
                          <w:divBdr>
                            <w:top w:val="none" w:sz="0" w:space="0" w:color="auto"/>
                            <w:left w:val="none" w:sz="0" w:space="0" w:color="auto"/>
                            <w:bottom w:val="none" w:sz="0" w:space="0" w:color="auto"/>
                            <w:right w:val="none" w:sz="0" w:space="0" w:color="auto"/>
                          </w:divBdr>
                          <w:divsChild>
                            <w:div w:id="7263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167115">
          <w:marLeft w:val="0"/>
          <w:marRight w:val="0"/>
          <w:marTop w:val="0"/>
          <w:marBottom w:val="0"/>
          <w:divBdr>
            <w:top w:val="none" w:sz="0" w:space="0" w:color="auto"/>
            <w:left w:val="none" w:sz="0" w:space="0" w:color="auto"/>
            <w:bottom w:val="none" w:sz="0" w:space="0" w:color="auto"/>
            <w:right w:val="none" w:sz="0" w:space="0" w:color="auto"/>
          </w:divBdr>
          <w:divsChild>
            <w:div w:id="1734548132">
              <w:marLeft w:val="0"/>
              <w:marRight w:val="0"/>
              <w:marTop w:val="0"/>
              <w:marBottom w:val="0"/>
              <w:divBdr>
                <w:top w:val="none" w:sz="0" w:space="0" w:color="auto"/>
                <w:left w:val="none" w:sz="0" w:space="0" w:color="auto"/>
                <w:bottom w:val="none" w:sz="0" w:space="0" w:color="auto"/>
                <w:right w:val="none" w:sz="0" w:space="0" w:color="auto"/>
              </w:divBdr>
              <w:divsChild>
                <w:div w:id="1407654603">
                  <w:marLeft w:val="0"/>
                  <w:marRight w:val="0"/>
                  <w:marTop w:val="0"/>
                  <w:marBottom w:val="0"/>
                  <w:divBdr>
                    <w:top w:val="none" w:sz="0" w:space="0" w:color="auto"/>
                    <w:left w:val="none" w:sz="0" w:space="0" w:color="auto"/>
                    <w:bottom w:val="none" w:sz="0" w:space="0" w:color="auto"/>
                    <w:right w:val="none" w:sz="0" w:space="0" w:color="auto"/>
                  </w:divBdr>
                  <w:divsChild>
                    <w:div w:id="2045015858">
                      <w:marLeft w:val="0"/>
                      <w:marRight w:val="0"/>
                      <w:marTop w:val="0"/>
                      <w:marBottom w:val="0"/>
                      <w:divBdr>
                        <w:top w:val="none" w:sz="0" w:space="0" w:color="auto"/>
                        <w:left w:val="none" w:sz="0" w:space="0" w:color="auto"/>
                        <w:bottom w:val="none" w:sz="0" w:space="0" w:color="auto"/>
                        <w:right w:val="none" w:sz="0" w:space="0" w:color="auto"/>
                      </w:divBdr>
                      <w:divsChild>
                        <w:div w:id="1905749373">
                          <w:marLeft w:val="0"/>
                          <w:marRight w:val="0"/>
                          <w:marTop w:val="0"/>
                          <w:marBottom w:val="0"/>
                          <w:divBdr>
                            <w:top w:val="none" w:sz="0" w:space="0" w:color="auto"/>
                            <w:left w:val="none" w:sz="0" w:space="0" w:color="auto"/>
                            <w:bottom w:val="none" w:sz="0" w:space="0" w:color="auto"/>
                            <w:right w:val="none" w:sz="0" w:space="0" w:color="auto"/>
                          </w:divBdr>
                          <w:divsChild>
                            <w:div w:id="1736123771">
                              <w:marLeft w:val="0"/>
                              <w:marRight w:val="0"/>
                              <w:marTop w:val="0"/>
                              <w:marBottom w:val="0"/>
                              <w:divBdr>
                                <w:top w:val="none" w:sz="0" w:space="0" w:color="auto"/>
                                <w:left w:val="none" w:sz="0" w:space="0" w:color="auto"/>
                                <w:bottom w:val="none" w:sz="0" w:space="0" w:color="auto"/>
                                <w:right w:val="none" w:sz="0" w:space="0" w:color="auto"/>
                              </w:divBdr>
                              <w:divsChild>
                                <w:div w:id="205796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644436">
          <w:marLeft w:val="0"/>
          <w:marRight w:val="0"/>
          <w:marTop w:val="0"/>
          <w:marBottom w:val="0"/>
          <w:divBdr>
            <w:top w:val="none" w:sz="0" w:space="0" w:color="auto"/>
            <w:left w:val="none" w:sz="0" w:space="0" w:color="auto"/>
            <w:bottom w:val="none" w:sz="0" w:space="0" w:color="auto"/>
            <w:right w:val="none" w:sz="0" w:space="0" w:color="auto"/>
          </w:divBdr>
          <w:divsChild>
            <w:div w:id="418799101">
              <w:marLeft w:val="0"/>
              <w:marRight w:val="0"/>
              <w:marTop w:val="0"/>
              <w:marBottom w:val="0"/>
              <w:divBdr>
                <w:top w:val="none" w:sz="0" w:space="0" w:color="auto"/>
                <w:left w:val="none" w:sz="0" w:space="0" w:color="auto"/>
                <w:bottom w:val="none" w:sz="0" w:space="0" w:color="auto"/>
                <w:right w:val="none" w:sz="0" w:space="0" w:color="auto"/>
              </w:divBdr>
              <w:divsChild>
                <w:div w:id="746074469">
                  <w:marLeft w:val="0"/>
                  <w:marRight w:val="0"/>
                  <w:marTop w:val="0"/>
                  <w:marBottom w:val="0"/>
                  <w:divBdr>
                    <w:top w:val="none" w:sz="0" w:space="0" w:color="auto"/>
                    <w:left w:val="none" w:sz="0" w:space="0" w:color="auto"/>
                    <w:bottom w:val="none" w:sz="0" w:space="0" w:color="auto"/>
                    <w:right w:val="none" w:sz="0" w:space="0" w:color="auto"/>
                  </w:divBdr>
                  <w:divsChild>
                    <w:div w:id="1511023240">
                      <w:marLeft w:val="0"/>
                      <w:marRight w:val="0"/>
                      <w:marTop w:val="0"/>
                      <w:marBottom w:val="0"/>
                      <w:divBdr>
                        <w:top w:val="none" w:sz="0" w:space="0" w:color="auto"/>
                        <w:left w:val="none" w:sz="0" w:space="0" w:color="auto"/>
                        <w:bottom w:val="none" w:sz="0" w:space="0" w:color="auto"/>
                        <w:right w:val="none" w:sz="0" w:space="0" w:color="auto"/>
                      </w:divBdr>
                      <w:divsChild>
                        <w:div w:id="1347711463">
                          <w:marLeft w:val="0"/>
                          <w:marRight w:val="0"/>
                          <w:marTop w:val="0"/>
                          <w:marBottom w:val="0"/>
                          <w:divBdr>
                            <w:top w:val="none" w:sz="0" w:space="0" w:color="auto"/>
                            <w:left w:val="none" w:sz="0" w:space="0" w:color="auto"/>
                            <w:bottom w:val="none" w:sz="0" w:space="0" w:color="auto"/>
                            <w:right w:val="none" w:sz="0" w:space="0" w:color="auto"/>
                          </w:divBdr>
                          <w:divsChild>
                            <w:div w:id="8393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129188">
          <w:marLeft w:val="0"/>
          <w:marRight w:val="0"/>
          <w:marTop w:val="0"/>
          <w:marBottom w:val="0"/>
          <w:divBdr>
            <w:top w:val="none" w:sz="0" w:space="0" w:color="auto"/>
            <w:left w:val="none" w:sz="0" w:space="0" w:color="auto"/>
            <w:bottom w:val="none" w:sz="0" w:space="0" w:color="auto"/>
            <w:right w:val="none" w:sz="0" w:space="0" w:color="auto"/>
          </w:divBdr>
          <w:divsChild>
            <w:div w:id="891161704">
              <w:marLeft w:val="0"/>
              <w:marRight w:val="0"/>
              <w:marTop w:val="0"/>
              <w:marBottom w:val="0"/>
              <w:divBdr>
                <w:top w:val="none" w:sz="0" w:space="0" w:color="auto"/>
                <w:left w:val="none" w:sz="0" w:space="0" w:color="auto"/>
                <w:bottom w:val="none" w:sz="0" w:space="0" w:color="auto"/>
                <w:right w:val="none" w:sz="0" w:space="0" w:color="auto"/>
              </w:divBdr>
              <w:divsChild>
                <w:div w:id="1911036431">
                  <w:marLeft w:val="0"/>
                  <w:marRight w:val="0"/>
                  <w:marTop w:val="0"/>
                  <w:marBottom w:val="0"/>
                  <w:divBdr>
                    <w:top w:val="none" w:sz="0" w:space="0" w:color="auto"/>
                    <w:left w:val="none" w:sz="0" w:space="0" w:color="auto"/>
                    <w:bottom w:val="none" w:sz="0" w:space="0" w:color="auto"/>
                    <w:right w:val="none" w:sz="0" w:space="0" w:color="auto"/>
                  </w:divBdr>
                  <w:divsChild>
                    <w:div w:id="484782240">
                      <w:marLeft w:val="0"/>
                      <w:marRight w:val="0"/>
                      <w:marTop w:val="0"/>
                      <w:marBottom w:val="0"/>
                      <w:divBdr>
                        <w:top w:val="none" w:sz="0" w:space="0" w:color="auto"/>
                        <w:left w:val="none" w:sz="0" w:space="0" w:color="auto"/>
                        <w:bottom w:val="none" w:sz="0" w:space="0" w:color="auto"/>
                        <w:right w:val="none" w:sz="0" w:space="0" w:color="auto"/>
                      </w:divBdr>
                      <w:divsChild>
                        <w:div w:id="1768236766">
                          <w:marLeft w:val="0"/>
                          <w:marRight w:val="0"/>
                          <w:marTop w:val="0"/>
                          <w:marBottom w:val="0"/>
                          <w:divBdr>
                            <w:top w:val="none" w:sz="0" w:space="0" w:color="auto"/>
                            <w:left w:val="none" w:sz="0" w:space="0" w:color="auto"/>
                            <w:bottom w:val="none" w:sz="0" w:space="0" w:color="auto"/>
                            <w:right w:val="none" w:sz="0" w:space="0" w:color="auto"/>
                          </w:divBdr>
                          <w:divsChild>
                            <w:div w:id="53286513">
                              <w:marLeft w:val="0"/>
                              <w:marRight w:val="0"/>
                              <w:marTop w:val="0"/>
                              <w:marBottom w:val="0"/>
                              <w:divBdr>
                                <w:top w:val="none" w:sz="0" w:space="0" w:color="auto"/>
                                <w:left w:val="none" w:sz="0" w:space="0" w:color="auto"/>
                                <w:bottom w:val="none" w:sz="0" w:space="0" w:color="auto"/>
                                <w:right w:val="none" w:sz="0" w:space="0" w:color="auto"/>
                              </w:divBdr>
                              <w:divsChild>
                                <w:div w:id="3596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247647">
          <w:marLeft w:val="0"/>
          <w:marRight w:val="0"/>
          <w:marTop w:val="0"/>
          <w:marBottom w:val="0"/>
          <w:divBdr>
            <w:top w:val="none" w:sz="0" w:space="0" w:color="auto"/>
            <w:left w:val="none" w:sz="0" w:space="0" w:color="auto"/>
            <w:bottom w:val="none" w:sz="0" w:space="0" w:color="auto"/>
            <w:right w:val="none" w:sz="0" w:space="0" w:color="auto"/>
          </w:divBdr>
          <w:divsChild>
            <w:div w:id="1504934891">
              <w:marLeft w:val="0"/>
              <w:marRight w:val="0"/>
              <w:marTop w:val="0"/>
              <w:marBottom w:val="0"/>
              <w:divBdr>
                <w:top w:val="none" w:sz="0" w:space="0" w:color="auto"/>
                <w:left w:val="none" w:sz="0" w:space="0" w:color="auto"/>
                <w:bottom w:val="none" w:sz="0" w:space="0" w:color="auto"/>
                <w:right w:val="none" w:sz="0" w:space="0" w:color="auto"/>
              </w:divBdr>
              <w:divsChild>
                <w:div w:id="57242758">
                  <w:marLeft w:val="0"/>
                  <w:marRight w:val="0"/>
                  <w:marTop w:val="0"/>
                  <w:marBottom w:val="0"/>
                  <w:divBdr>
                    <w:top w:val="none" w:sz="0" w:space="0" w:color="auto"/>
                    <w:left w:val="none" w:sz="0" w:space="0" w:color="auto"/>
                    <w:bottom w:val="none" w:sz="0" w:space="0" w:color="auto"/>
                    <w:right w:val="none" w:sz="0" w:space="0" w:color="auto"/>
                  </w:divBdr>
                  <w:divsChild>
                    <w:div w:id="1775242114">
                      <w:marLeft w:val="0"/>
                      <w:marRight w:val="0"/>
                      <w:marTop w:val="0"/>
                      <w:marBottom w:val="0"/>
                      <w:divBdr>
                        <w:top w:val="none" w:sz="0" w:space="0" w:color="auto"/>
                        <w:left w:val="none" w:sz="0" w:space="0" w:color="auto"/>
                        <w:bottom w:val="none" w:sz="0" w:space="0" w:color="auto"/>
                        <w:right w:val="none" w:sz="0" w:space="0" w:color="auto"/>
                      </w:divBdr>
                      <w:divsChild>
                        <w:div w:id="474831984">
                          <w:marLeft w:val="0"/>
                          <w:marRight w:val="0"/>
                          <w:marTop w:val="0"/>
                          <w:marBottom w:val="0"/>
                          <w:divBdr>
                            <w:top w:val="none" w:sz="0" w:space="0" w:color="auto"/>
                            <w:left w:val="none" w:sz="0" w:space="0" w:color="auto"/>
                            <w:bottom w:val="none" w:sz="0" w:space="0" w:color="auto"/>
                            <w:right w:val="none" w:sz="0" w:space="0" w:color="auto"/>
                          </w:divBdr>
                          <w:divsChild>
                            <w:div w:id="3495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170">
          <w:marLeft w:val="0"/>
          <w:marRight w:val="0"/>
          <w:marTop w:val="0"/>
          <w:marBottom w:val="0"/>
          <w:divBdr>
            <w:top w:val="none" w:sz="0" w:space="0" w:color="auto"/>
            <w:left w:val="none" w:sz="0" w:space="0" w:color="auto"/>
            <w:bottom w:val="none" w:sz="0" w:space="0" w:color="auto"/>
            <w:right w:val="none" w:sz="0" w:space="0" w:color="auto"/>
          </w:divBdr>
          <w:divsChild>
            <w:div w:id="804005701">
              <w:marLeft w:val="0"/>
              <w:marRight w:val="0"/>
              <w:marTop w:val="0"/>
              <w:marBottom w:val="0"/>
              <w:divBdr>
                <w:top w:val="none" w:sz="0" w:space="0" w:color="auto"/>
                <w:left w:val="none" w:sz="0" w:space="0" w:color="auto"/>
                <w:bottom w:val="none" w:sz="0" w:space="0" w:color="auto"/>
                <w:right w:val="none" w:sz="0" w:space="0" w:color="auto"/>
              </w:divBdr>
              <w:divsChild>
                <w:div w:id="1031567053">
                  <w:marLeft w:val="0"/>
                  <w:marRight w:val="0"/>
                  <w:marTop w:val="0"/>
                  <w:marBottom w:val="0"/>
                  <w:divBdr>
                    <w:top w:val="none" w:sz="0" w:space="0" w:color="auto"/>
                    <w:left w:val="none" w:sz="0" w:space="0" w:color="auto"/>
                    <w:bottom w:val="none" w:sz="0" w:space="0" w:color="auto"/>
                    <w:right w:val="none" w:sz="0" w:space="0" w:color="auto"/>
                  </w:divBdr>
                  <w:divsChild>
                    <w:div w:id="918253320">
                      <w:marLeft w:val="0"/>
                      <w:marRight w:val="0"/>
                      <w:marTop w:val="0"/>
                      <w:marBottom w:val="0"/>
                      <w:divBdr>
                        <w:top w:val="none" w:sz="0" w:space="0" w:color="auto"/>
                        <w:left w:val="none" w:sz="0" w:space="0" w:color="auto"/>
                        <w:bottom w:val="none" w:sz="0" w:space="0" w:color="auto"/>
                        <w:right w:val="none" w:sz="0" w:space="0" w:color="auto"/>
                      </w:divBdr>
                      <w:divsChild>
                        <w:div w:id="111093721">
                          <w:marLeft w:val="0"/>
                          <w:marRight w:val="0"/>
                          <w:marTop w:val="0"/>
                          <w:marBottom w:val="0"/>
                          <w:divBdr>
                            <w:top w:val="none" w:sz="0" w:space="0" w:color="auto"/>
                            <w:left w:val="none" w:sz="0" w:space="0" w:color="auto"/>
                            <w:bottom w:val="none" w:sz="0" w:space="0" w:color="auto"/>
                            <w:right w:val="none" w:sz="0" w:space="0" w:color="auto"/>
                          </w:divBdr>
                          <w:divsChild>
                            <w:div w:id="1939407215">
                              <w:marLeft w:val="0"/>
                              <w:marRight w:val="0"/>
                              <w:marTop w:val="0"/>
                              <w:marBottom w:val="0"/>
                              <w:divBdr>
                                <w:top w:val="none" w:sz="0" w:space="0" w:color="auto"/>
                                <w:left w:val="none" w:sz="0" w:space="0" w:color="auto"/>
                                <w:bottom w:val="none" w:sz="0" w:space="0" w:color="auto"/>
                                <w:right w:val="none" w:sz="0" w:space="0" w:color="auto"/>
                              </w:divBdr>
                              <w:divsChild>
                                <w:div w:id="114153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2654">
          <w:marLeft w:val="0"/>
          <w:marRight w:val="0"/>
          <w:marTop w:val="0"/>
          <w:marBottom w:val="0"/>
          <w:divBdr>
            <w:top w:val="none" w:sz="0" w:space="0" w:color="auto"/>
            <w:left w:val="none" w:sz="0" w:space="0" w:color="auto"/>
            <w:bottom w:val="none" w:sz="0" w:space="0" w:color="auto"/>
            <w:right w:val="none" w:sz="0" w:space="0" w:color="auto"/>
          </w:divBdr>
          <w:divsChild>
            <w:div w:id="109473309">
              <w:marLeft w:val="0"/>
              <w:marRight w:val="0"/>
              <w:marTop w:val="0"/>
              <w:marBottom w:val="0"/>
              <w:divBdr>
                <w:top w:val="none" w:sz="0" w:space="0" w:color="auto"/>
                <w:left w:val="none" w:sz="0" w:space="0" w:color="auto"/>
                <w:bottom w:val="none" w:sz="0" w:space="0" w:color="auto"/>
                <w:right w:val="none" w:sz="0" w:space="0" w:color="auto"/>
              </w:divBdr>
              <w:divsChild>
                <w:div w:id="213739557">
                  <w:marLeft w:val="0"/>
                  <w:marRight w:val="0"/>
                  <w:marTop w:val="0"/>
                  <w:marBottom w:val="0"/>
                  <w:divBdr>
                    <w:top w:val="none" w:sz="0" w:space="0" w:color="auto"/>
                    <w:left w:val="none" w:sz="0" w:space="0" w:color="auto"/>
                    <w:bottom w:val="none" w:sz="0" w:space="0" w:color="auto"/>
                    <w:right w:val="none" w:sz="0" w:space="0" w:color="auto"/>
                  </w:divBdr>
                  <w:divsChild>
                    <w:div w:id="2125810663">
                      <w:marLeft w:val="0"/>
                      <w:marRight w:val="0"/>
                      <w:marTop w:val="0"/>
                      <w:marBottom w:val="0"/>
                      <w:divBdr>
                        <w:top w:val="none" w:sz="0" w:space="0" w:color="auto"/>
                        <w:left w:val="none" w:sz="0" w:space="0" w:color="auto"/>
                        <w:bottom w:val="none" w:sz="0" w:space="0" w:color="auto"/>
                        <w:right w:val="none" w:sz="0" w:space="0" w:color="auto"/>
                      </w:divBdr>
                      <w:divsChild>
                        <w:div w:id="2011175998">
                          <w:marLeft w:val="0"/>
                          <w:marRight w:val="0"/>
                          <w:marTop w:val="0"/>
                          <w:marBottom w:val="0"/>
                          <w:divBdr>
                            <w:top w:val="none" w:sz="0" w:space="0" w:color="auto"/>
                            <w:left w:val="none" w:sz="0" w:space="0" w:color="auto"/>
                            <w:bottom w:val="none" w:sz="0" w:space="0" w:color="auto"/>
                            <w:right w:val="none" w:sz="0" w:space="0" w:color="auto"/>
                          </w:divBdr>
                          <w:divsChild>
                            <w:div w:id="21287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589823">
          <w:marLeft w:val="0"/>
          <w:marRight w:val="0"/>
          <w:marTop w:val="0"/>
          <w:marBottom w:val="0"/>
          <w:divBdr>
            <w:top w:val="none" w:sz="0" w:space="0" w:color="auto"/>
            <w:left w:val="none" w:sz="0" w:space="0" w:color="auto"/>
            <w:bottom w:val="none" w:sz="0" w:space="0" w:color="auto"/>
            <w:right w:val="none" w:sz="0" w:space="0" w:color="auto"/>
          </w:divBdr>
          <w:divsChild>
            <w:div w:id="1298336821">
              <w:marLeft w:val="0"/>
              <w:marRight w:val="0"/>
              <w:marTop w:val="0"/>
              <w:marBottom w:val="0"/>
              <w:divBdr>
                <w:top w:val="none" w:sz="0" w:space="0" w:color="auto"/>
                <w:left w:val="none" w:sz="0" w:space="0" w:color="auto"/>
                <w:bottom w:val="none" w:sz="0" w:space="0" w:color="auto"/>
                <w:right w:val="none" w:sz="0" w:space="0" w:color="auto"/>
              </w:divBdr>
              <w:divsChild>
                <w:div w:id="2095857937">
                  <w:marLeft w:val="0"/>
                  <w:marRight w:val="0"/>
                  <w:marTop w:val="0"/>
                  <w:marBottom w:val="0"/>
                  <w:divBdr>
                    <w:top w:val="none" w:sz="0" w:space="0" w:color="auto"/>
                    <w:left w:val="none" w:sz="0" w:space="0" w:color="auto"/>
                    <w:bottom w:val="none" w:sz="0" w:space="0" w:color="auto"/>
                    <w:right w:val="none" w:sz="0" w:space="0" w:color="auto"/>
                  </w:divBdr>
                  <w:divsChild>
                    <w:div w:id="989791676">
                      <w:marLeft w:val="0"/>
                      <w:marRight w:val="0"/>
                      <w:marTop w:val="0"/>
                      <w:marBottom w:val="0"/>
                      <w:divBdr>
                        <w:top w:val="none" w:sz="0" w:space="0" w:color="auto"/>
                        <w:left w:val="none" w:sz="0" w:space="0" w:color="auto"/>
                        <w:bottom w:val="none" w:sz="0" w:space="0" w:color="auto"/>
                        <w:right w:val="none" w:sz="0" w:space="0" w:color="auto"/>
                      </w:divBdr>
                      <w:divsChild>
                        <w:div w:id="878279827">
                          <w:marLeft w:val="0"/>
                          <w:marRight w:val="0"/>
                          <w:marTop w:val="0"/>
                          <w:marBottom w:val="0"/>
                          <w:divBdr>
                            <w:top w:val="none" w:sz="0" w:space="0" w:color="auto"/>
                            <w:left w:val="none" w:sz="0" w:space="0" w:color="auto"/>
                            <w:bottom w:val="none" w:sz="0" w:space="0" w:color="auto"/>
                            <w:right w:val="none" w:sz="0" w:space="0" w:color="auto"/>
                          </w:divBdr>
                          <w:divsChild>
                            <w:div w:id="950280779">
                              <w:marLeft w:val="0"/>
                              <w:marRight w:val="0"/>
                              <w:marTop w:val="0"/>
                              <w:marBottom w:val="0"/>
                              <w:divBdr>
                                <w:top w:val="none" w:sz="0" w:space="0" w:color="auto"/>
                                <w:left w:val="none" w:sz="0" w:space="0" w:color="auto"/>
                                <w:bottom w:val="none" w:sz="0" w:space="0" w:color="auto"/>
                                <w:right w:val="none" w:sz="0" w:space="0" w:color="auto"/>
                              </w:divBdr>
                              <w:divsChild>
                                <w:div w:id="15634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622104">
          <w:marLeft w:val="0"/>
          <w:marRight w:val="0"/>
          <w:marTop w:val="0"/>
          <w:marBottom w:val="0"/>
          <w:divBdr>
            <w:top w:val="none" w:sz="0" w:space="0" w:color="auto"/>
            <w:left w:val="none" w:sz="0" w:space="0" w:color="auto"/>
            <w:bottom w:val="none" w:sz="0" w:space="0" w:color="auto"/>
            <w:right w:val="none" w:sz="0" w:space="0" w:color="auto"/>
          </w:divBdr>
          <w:divsChild>
            <w:div w:id="1401517364">
              <w:marLeft w:val="0"/>
              <w:marRight w:val="0"/>
              <w:marTop w:val="0"/>
              <w:marBottom w:val="0"/>
              <w:divBdr>
                <w:top w:val="none" w:sz="0" w:space="0" w:color="auto"/>
                <w:left w:val="none" w:sz="0" w:space="0" w:color="auto"/>
                <w:bottom w:val="none" w:sz="0" w:space="0" w:color="auto"/>
                <w:right w:val="none" w:sz="0" w:space="0" w:color="auto"/>
              </w:divBdr>
              <w:divsChild>
                <w:div w:id="153300854">
                  <w:marLeft w:val="0"/>
                  <w:marRight w:val="0"/>
                  <w:marTop w:val="0"/>
                  <w:marBottom w:val="0"/>
                  <w:divBdr>
                    <w:top w:val="none" w:sz="0" w:space="0" w:color="auto"/>
                    <w:left w:val="none" w:sz="0" w:space="0" w:color="auto"/>
                    <w:bottom w:val="none" w:sz="0" w:space="0" w:color="auto"/>
                    <w:right w:val="none" w:sz="0" w:space="0" w:color="auto"/>
                  </w:divBdr>
                  <w:divsChild>
                    <w:div w:id="1486386494">
                      <w:marLeft w:val="0"/>
                      <w:marRight w:val="0"/>
                      <w:marTop w:val="0"/>
                      <w:marBottom w:val="0"/>
                      <w:divBdr>
                        <w:top w:val="none" w:sz="0" w:space="0" w:color="auto"/>
                        <w:left w:val="none" w:sz="0" w:space="0" w:color="auto"/>
                        <w:bottom w:val="none" w:sz="0" w:space="0" w:color="auto"/>
                        <w:right w:val="none" w:sz="0" w:space="0" w:color="auto"/>
                      </w:divBdr>
                      <w:divsChild>
                        <w:div w:id="1685134383">
                          <w:marLeft w:val="0"/>
                          <w:marRight w:val="0"/>
                          <w:marTop w:val="0"/>
                          <w:marBottom w:val="0"/>
                          <w:divBdr>
                            <w:top w:val="none" w:sz="0" w:space="0" w:color="auto"/>
                            <w:left w:val="none" w:sz="0" w:space="0" w:color="auto"/>
                            <w:bottom w:val="none" w:sz="0" w:space="0" w:color="auto"/>
                            <w:right w:val="none" w:sz="0" w:space="0" w:color="auto"/>
                          </w:divBdr>
                          <w:divsChild>
                            <w:div w:id="9037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225562">
          <w:marLeft w:val="0"/>
          <w:marRight w:val="0"/>
          <w:marTop w:val="0"/>
          <w:marBottom w:val="0"/>
          <w:divBdr>
            <w:top w:val="none" w:sz="0" w:space="0" w:color="auto"/>
            <w:left w:val="none" w:sz="0" w:space="0" w:color="auto"/>
            <w:bottom w:val="none" w:sz="0" w:space="0" w:color="auto"/>
            <w:right w:val="none" w:sz="0" w:space="0" w:color="auto"/>
          </w:divBdr>
          <w:divsChild>
            <w:div w:id="691029126">
              <w:marLeft w:val="0"/>
              <w:marRight w:val="0"/>
              <w:marTop w:val="0"/>
              <w:marBottom w:val="0"/>
              <w:divBdr>
                <w:top w:val="none" w:sz="0" w:space="0" w:color="auto"/>
                <w:left w:val="none" w:sz="0" w:space="0" w:color="auto"/>
                <w:bottom w:val="none" w:sz="0" w:space="0" w:color="auto"/>
                <w:right w:val="none" w:sz="0" w:space="0" w:color="auto"/>
              </w:divBdr>
              <w:divsChild>
                <w:div w:id="1446578741">
                  <w:marLeft w:val="0"/>
                  <w:marRight w:val="0"/>
                  <w:marTop w:val="0"/>
                  <w:marBottom w:val="0"/>
                  <w:divBdr>
                    <w:top w:val="none" w:sz="0" w:space="0" w:color="auto"/>
                    <w:left w:val="none" w:sz="0" w:space="0" w:color="auto"/>
                    <w:bottom w:val="none" w:sz="0" w:space="0" w:color="auto"/>
                    <w:right w:val="none" w:sz="0" w:space="0" w:color="auto"/>
                  </w:divBdr>
                  <w:divsChild>
                    <w:div w:id="378627678">
                      <w:marLeft w:val="0"/>
                      <w:marRight w:val="0"/>
                      <w:marTop w:val="0"/>
                      <w:marBottom w:val="0"/>
                      <w:divBdr>
                        <w:top w:val="none" w:sz="0" w:space="0" w:color="auto"/>
                        <w:left w:val="none" w:sz="0" w:space="0" w:color="auto"/>
                        <w:bottom w:val="none" w:sz="0" w:space="0" w:color="auto"/>
                        <w:right w:val="none" w:sz="0" w:space="0" w:color="auto"/>
                      </w:divBdr>
                      <w:divsChild>
                        <w:div w:id="1243949126">
                          <w:marLeft w:val="0"/>
                          <w:marRight w:val="0"/>
                          <w:marTop w:val="0"/>
                          <w:marBottom w:val="0"/>
                          <w:divBdr>
                            <w:top w:val="none" w:sz="0" w:space="0" w:color="auto"/>
                            <w:left w:val="none" w:sz="0" w:space="0" w:color="auto"/>
                            <w:bottom w:val="none" w:sz="0" w:space="0" w:color="auto"/>
                            <w:right w:val="none" w:sz="0" w:space="0" w:color="auto"/>
                          </w:divBdr>
                          <w:divsChild>
                            <w:div w:id="426969878">
                              <w:marLeft w:val="0"/>
                              <w:marRight w:val="0"/>
                              <w:marTop w:val="0"/>
                              <w:marBottom w:val="0"/>
                              <w:divBdr>
                                <w:top w:val="none" w:sz="0" w:space="0" w:color="auto"/>
                                <w:left w:val="none" w:sz="0" w:space="0" w:color="auto"/>
                                <w:bottom w:val="none" w:sz="0" w:space="0" w:color="auto"/>
                                <w:right w:val="none" w:sz="0" w:space="0" w:color="auto"/>
                              </w:divBdr>
                              <w:divsChild>
                                <w:div w:id="1761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534816">
          <w:marLeft w:val="0"/>
          <w:marRight w:val="0"/>
          <w:marTop w:val="0"/>
          <w:marBottom w:val="0"/>
          <w:divBdr>
            <w:top w:val="none" w:sz="0" w:space="0" w:color="auto"/>
            <w:left w:val="none" w:sz="0" w:space="0" w:color="auto"/>
            <w:bottom w:val="none" w:sz="0" w:space="0" w:color="auto"/>
            <w:right w:val="none" w:sz="0" w:space="0" w:color="auto"/>
          </w:divBdr>
          <w:divsChild>
            <w:div w:id="636374984">
              <w:marLeft w:val="0"/>
              <w:marRight w:val="0"/>
              <w:marTop w:val="0"/>
              <w:marBottom w:val="0"/>
              <w:divBdr>
                <w:top w:val="none" w:sz="0" w:space="0" w:color="auto"/>
                <w:left w:val="none" w:sz="0" w:space="0" w:color="auto"/>
                <w:bottom w:val="none" w:sz="0" w:space="0" w:color="auto"/>
                <w:right w:val="none" w:sz="0" w:space="0" w:color="auto"/>
              </w:divBdr>
              <w:divsChild>
                <w:div w:id="423498381">
                  <w:marLeft w:val="0"/>
                  <w:marRight w:val="0"/>
                  <w:marTop w:val="0"/>
                  <w:marBottom w:val="0"/>
                  <w:divBdr>
                    <w:top w:val="none" w:sz="0" w:space="0" w:color="auto"/>
                    <w:left w:val="none" w:sz="0" w:space="0" w:color="auto"/>
                    <w:bottom w:val="none" w:sz="0" w:space="0" w:color="auto"/>
                    <w:right w:val="none" w:sz="0" w:space="0" w:color="auto"/>
                  </w:divBdr>
                  <w:divsChild>
                    <w:div w:id="741758769">
                      <w:marLeft w:val="0"/>
                      <w:marRight w:val="0"/>
                      <w:marTop w:val="0"/>
                      <w:marBottom w:val="0"/>
                      <w:divBdr>
                        <w:top w:val="none" w:sz="0" w:space="0" w:color="auto"/>
                        <w:left w:val="none" w:sz="0" w:space="0" w:color="auto"/>
                        <w:bottom w:val="none" w:sz="0" w:space="0" w:color="auto"/>
                        <w:right w:val="none" w:sz="0" w:space="0" w:color="auto"/>
                      </w:divBdr>
                      <w:divsChild>
                        <w:div w:id="1560706962">
                          <w:marLeft w:val="0"/>
                          <w:marRight w:val="0"/>
                          <w:marTop w:val="0"/>
                          <w:marBottom w:val="0"/>
                          <w:divBdr>
                            <w:top w:val="none" w:sz="0" w:space="0" w:color="auto"/>
                            <w:left w:val="none" w:sz="0" w:space="0" w:color="auto"/>
                            <w:bottom w:val="none" w:sz="0" w:space="0" w:color="auto"/>
                            <w:right w:val="none" w:sz="0" w:space="0" w:color="auto"/>
                          </w:divBdr>
                          <w:divsChild>
                            <w:div w:id="110542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0077725">
          <w:marLeft w:val="0"/>
          <w:marRight w:val="0"/>
          <w:marTop w:val="0"/>
          <w:marBottom w:val="0"/>
          <w:divBdr>
            <w:top w:val="none" w:sz="0" w:space="0" w:color="auto"/>
            <w:left w:val="none" w:sz="0" w:space="0" w:color="auto"/>
            <w:bottom w:val="none" w:sz="0" w:space="0" w:color="auto"/>
            <w:right w:val="none" w:sz="0" w:space="0" w:color="auto"/>
          </w:divBdr>
          <w:divsChild>
            <w:div w:id="1466578957">
              <w:marLeft w:val="0"/>
              <w:marRight w:val="0"/>
              <w:marTop w:val="0"/>
              <w:marBottom w:val="0"/>
              <w:divBdr>
                <w:top w:val="none" w:sz="0" w:space="0" w:color="auto"/>
                <w:left w:val="none" w:sz="0" w:space="0" w:color="auto"/>
                <w:bottom w:val="none" w:sz="0" w:space="0" w:color="auto"/>
                <w:right w:val="none" w:sz="0" w:space="0" w:color="auto"/>
              </w:divBdr>
              <w:divsChild>
                <w:div w:id="2102793119">
                  <w:marLeft w:val="0"/>
                  <w:marRight w:val="0"/>
                  <w:marTop w:val="0"/>
                  <w:marBottom w:val="0"/>
                  <w:divBdr>
                    <w:top w:val="none" w:sz="0" w:space="0" w:color="auto"/>
                    <w:left w:val="none" w:sz="0" w:space="0" w:color="auto"/>
                    <w:bottom w:val="none" w:sz="0" w:space="0" w:color="auto"/>
                    <w:right w:val="none" w:sz="0" w:space="0" w:color="auto"/>
                  </w:divBdr>
                  <w:divsChild>
                    <w:div w:id="949705401">
                      <w:marLeft w:val="0"/>
                      <w:marRight w:val="0"/>
                      <w:marTop w:val="0"/>
                      <w:marBottom w:val="0"/>
                      <w:divBdr>
                        <w:top w:val="none" w:sz="0" w:space="0" w:color="auto"/>
                        <w:left w:val="none" w:sz="0" w:space="0" w:color="auto"/>
                        <w:bottom w:val="none" w:sz="0" w:space="0" w:color="auto"/>
                        <w:right w:val="none" w:sz="0" w:space="0" w:color="auto"/>
                      </w:divBdr>
                      <w:divsChild>
                        <w:div w:id="24403726">
                          <w:marLeft w:val="0"/>
                          <w:marRight w:val="0"/>
                          <w:marTop w:val="0"/>
                          <w:marBottom w:val="0"/>
                          <w:divBdr>
                            <w:top w:val="none" w:sz="0" w:space="0" w:color="auto"/>
                            <w:left w:val="none" w:sz="0" w:space="0" w:color="auto"/>
                            <w:bottom w:val="none" w:sz="0" w:space="0" w:color="auto"/>
                            <w:right w:val="none" w:sz="0" w:space="0" w:color="auto"/>
                          </w:divBdr>
                          <w:divsChild>
                            <w:div w:id="1438984425">
                              <w:marLeft w:val="0"/>
                              <w:marRight w:val="0"/>
                              <w:marTop w:val="0"/>
                              <w:marBottom w:val="0"/>
                              <w:divBdr>
                                <w:top w:val="none" w:sz="0" w:space="0" w:color="auto"/>
                                <w:left w:val="none" w:sz="0" w:space="0" w:color="auto"/>
                                <w:bottom w:val="none" w:sz="0" w:space="0" w:color="auto"/>
                                <w:right w:val="none" w:sz="0" w:space="0" w:color="auto"/>
                              </w:divBdr>
                              <w:divsChild>
                                <w:div w:id="71797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2171">
          <w:marLeft w:val="0"/>
          <w:marRight w:val="0"/>
          <w:marTop w:val="0"/>
          <w:marBottom w:val="0"/>
          <w:divBdr>
            <w:top w:val="none" w:sz="0" w:space="0" w:color="auto"/>
            <w:left w:val="none" w:sz="0" w:space="0" w:color="auto"/>
            <w:bottom w:val="none" w:sz="0" w:space="0" w:color="auto"/>
            <w:right w:val="none" w:sz="0" w:space="0" w:color="auto"/>
          </w:divBdr>
          <w:divsChild>
            <w:div w:id="298847005">
              <w:marLeft w:val="0"/>
              <w:marRight w:val="0"/>
              <w:marTop w:val="0"/>
              <w:marBottom w:val="0"/>
              <w:divBdr>
                <w:top w:val="none" w:sz="0" w:space="0" w:color="auto"/>
                <w:left w:val="none" w:sz="0" w:space="0" w:color="auto"/>
                <w:bottom w:val="none" w:sz="0" w:space="0" w:color="auto"/>
                <w:right w:val="none" w:sz="0" w:space="0" w:color="auto"/>
              </w:divBdr>
              <w:divsChild>
                <w:div w:id="1834104699">
                  <w:marLeft w:val="0"/>
                  <w:marRight w:val="0"/>
                  <w:marTop w:val="0"/>
                  <w:marBottom w:val="0"/>
                  <w:divBdr>
                    <w:top w:val="none" w:sz="0" w:space="0" w:color="auto"/>
                    <w:left w:val="none" w:sz="0" w:space="0" w:color="auto"/>
                    <w:bottom w:val="none" w:sz="0" w:space="0" w:color="auto"/>
                    <w:right w:val="none" w:sz="0" w:space="0" w:color="auto"/>
                  </w:divBdr>
                  <w:divsChild>
                    <w:div w:id="593779748">
                      <w:marLeft w:val="0"/>
                      <w:marRight w:val="0"/>
                      <w:marTop w:val="0"/>
                      <w:marBottom w:val="0"/>
                      <w:divBdr>
                        <w:top w:val="none" w:sz="0" w:space="0" w:color="auto"/>
                        <w:left w:val="none" w:sz="0" w:space="0" w:color="auto"/>
                        <w:bottom w:val="none" w:sz="0" w:space="0" w:color="auto"/>
                        <w:right w:val="none" w:sz="0" w:space="0" w:color="auto"/>
                      </w:divBdr>
                      <w:divsChild>
                        <w:div w:id="1285620807">
                          <w:marLeft w:val="0"/>
                          <w:marRight w:val="0"/>
                          <w:marTop w:val="0"/>
                          <w:marBottom w:val="0"/>
                          <w:divBdr>
                            <w:top w:val="none" w:sz="0" w:space="0" w:color="auto"/>
                            <w:left w:val="none" w:sz="0" w:space="0" w:color="auto"/>
                            <w:bottom w:val="none" w:sz="0" w:space="0" w:color="auto"/>
                            <w:right w:val="none" w:sz="0" w:space="0" w:color="auto"/>
                          </w:divBdr>
                          <w:divsChild>
                            <w:div w:id="99584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473599">
          <w:marLeft w:val="0"/>
          <w:marRight w:val="0"/>
          <w:marTop w:val="0"/>
          <w:marBottom w:val="0"/>
          <w:divBdr>
            <w:top w:val="none" w:sz="0" w:space="0" w:color="auto"/>
            <w:left w:val="none" w:sz="0" w:space="0" w:color="auto"/>
            <w:bottom w:val="none" w:sz="0" w:space="0" w:color="auto"/>
            <w:right w:val="none" w:sz="0" w:space="0" w:color="auto"/>
          </w:divBdr>
          <w:divsChild>
            <w:div w:id="730737481">
              <w:marLeft w:val="0"/>
              <w:marRight w:val="0"/>
              <w:marTop w:val="0"/>
              <w:marBottom w:val="0"/>
              <w:divBdr>
                <w:top w:val="none" w:sz="0" w:space="0" w:color="auto"/>
                <w:left w:val="none" w:sz="0" w:space="0" w:color="auto"/>
                <w:bottom w:val="none" w:sz="0" w:space="0" w:color="auto"/>
                <w:right w:val="none" w:sz="0" w:space="0" w:color="auto"/>
              </w:divBdr>
              <w:divsChild>
                <w:div w:id="1219125666">
                  <w:marLeft w:val="0"/>
                  <w:marRight w:val="0"/>
                  <w:marTop w:val="0"/>
                  <w:marBottom w:val="0"/>
                  <w:divBdr>
                    <w:top w:val="none" w:sz="0" w:space="0" w:color="auto"/>
                    <w:left w:val="none" w:sz="0" w:space="0" w:color="auto"/>
                    <w:bottom w:val="none" w:sz="0" w:space="0" w:color="auto"/>
                    <w:right w:val="none" w:sz="0" w:space="0" w:color="auto"/>
                  </w:divBdr>
                  <w:divsChild>
                    <w:div w:id="804397977">
                      <w:marLeft w:val="0"/>
                      <w:marRight w:val="0"/>
                      <w:marTop w:val="0"/>
                      <w:marBottom w:val="0"/>
                      <w:divBdr>
                        <w:top w:val="none" w:sz="0" w:space="0" w:color="auto"/>
                        <w:left w:val="none" w:sz="0" w:space="0" w:color="auto"/>
                        <w:bottom w:val="none" w:sz="0" w:space="0" w:color="auto"/>
                        <w:right w:val="none" w:sz="0" w:space="0" w:color="auto"/>
                      </w:divBdr>
                      <w:divsChild>
                        <w:div w:id="1160122023">
                          <w:marLeft w:val="0"/>
                          <w:marRight w:val="0"/>
                          <w:marTop w:val="0"/>
                          <w:marBottom w:val="0"/>
                          <w:divBdr>
                            <w:top w:val="none" w:sz="0" w:space="0" w:color="auto"/>
                            <w:left w:val="none" w:sz="0" w:space="0" w:color="auto"/>
                            <w:bottom w:val="none" w:sz="0" w:space="0" w:color="auto"/>
                            <w:right w:val="none" w:sz="0" w:space="0" w:color="auto"/>
                          </w:divBdr>
                          <w:divsChild>
                            <w:div w:id="2085487264">
                              <w:marLeft w:val="0"/>
                              <w:marRight w:val="0"/>
                              <w:marTop w:val="0"/>
                              <w:marBottom w:val="0"/>
                              <w:divBdr>
                                <w:top w:val="none" w:sz="0" w:space="0" w:color="auto"/>
                                <w:left w:val="none" w:sz="0" w:space="0" w:color="auto"/>
                                <w:bottom w:val="none" w:sz="0" w:space="0" w:color="auto"/>
                                <w:right w:val="none" w:sz="0" w:space="0" w:color="auto"/>
                              </w:divBdr>
                              <w:divsChild>
                                <w:div w:id="6489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592543">
          <w:marLeft w:val="0"/>
          <w:marRight w:val="0"/>
          <w:marTop w:val="0"/>
          <w:marBottom w:val="0"/>
          <w:divBdr>
            <w:top w:val="none" w:sz="0" w:space="0" w:color="auto"/>
            <w:left w:val="none" w:sz="0" w:space="0" w:color="auto"/>
            <w:bottom w:val="none" w:sz="0" w:space="0" w:color="auto"/>
            <w:right w:val="none" w:sz="0" w:space="0" w:color="auto"/>
          </w:divBdr>
          <w:divsChild>
            <w:div w:id="1258320789">
              <w:marLeft w:val="0"/>
              <w:marRight w:val="0"/>
              <w:marTop w:val="0"/>
              <w:marBottom w:val="0"/>
              <w:divBdr>
                <w:top w:val="none" w:sz="0" w:space="0" w:color="auto"/>
                <w:left w:val="none" w:sz="0" w:space="0" w:color="auto"/>
                <w:bottom w:val="none" w:sz="0" w:space="0" w:color="auto"/>
                <w:right w:val="none" w:sz="0" w:space="0" w:color="auto"/>
              </w:divBdr>
              <w:divsChild>
                <w:div w:id="1481507015">
                  <w:marLeft w:val="0"/>
                  <w:marRight w:val="0"/>
                  <w:marTop w:val="0"/>
                  <w:marBottom w:val="0"/>
                  <w:divBdr>
                    <w:top w:val="none" w:sz="0" w:space="0" w:color="auto"/>
                    <w:left w:val="none" w:sz="0" w:space="0" w:color="auto"/>
                    <w:bottom w:val="none" w:sz="0" w:space="0" w:color="auto"/>
                    <w:right w:val="none" w:sz="0" w:space="0" w:color="auto"/>
                  </w:divBdr>
                  <w:divsChild>
                    <w:div w:id="383912679">
                      <w:marLeft w:val="0"/>
                      <w:marRight w:val="0"/>
                      <w:marTop w:val="0"/>
                      <w:marBottom w:val="0"/>
                      <w:divBdr>
                        <w:top w:val="none" w:sz="0" w:space="0" w:color="auto"/>
                        <w:left w:val="none" w:sz="0" w:space="0" w:color="auto"/>
                        <w:bottom w:val="none" w:sz="0" w:space="0" w:color="auto"/>
                        <w:right w:val="none" w:sz="0" w:space="0" w:color="auto"/>
                      </w:divBdr>
                      <w:divsChild>
                        <w:div w:id="539317805">
                          <w:marLeft w:val="0"/>
                          <w:marRight w:val="0"/>
                          <w:marTop w:val="0"/>
                          <w:marBottom w:val="0"/>
                          <w:divBdr>
                            <w:top w:val="none" w:sz="0" w:space="0" w:color="auto"/>
                            <w:left w:val="none" w:sz="0" w:space="0" w:color="auto"/>
                            <w:bottom w:val="none" w:sz="0" w:space="0" w:color="auto"/>
                            <w:right w:val="none" w:sz="0" w:space="0" w:color="auto"/>
                          </w:divBdr>
                          <w:divsChild>
                            <w:div w:id="14533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8848">
          <w:marLeft w:val="0"/>
          <w:marRight w:val="0"/>
          <w:marTop w:val="0"/>
          <w:marBottom w:val="0"/>
          <w:divBdr>
            <w:top w:val="none" w:sz="0" w:space="0" w:color="auto"/>
            <w:left w:val="none" w:sz="0" w:space="0" w:color="auto"/>
            <w:bottom w:val="none" w:sz="0" w:space="0" w:color="auto"/>
            <w:right w:val="none" w:sz="0" w:space="0" w:color="auto"/>
          </w:divBdr>
          <w:divsChild>
            <w:div w:id="2122264920">
              <w:marLeft w:val="0"/>
              <w:marRight w:val="0"/>
              <w:marTop w:val="0"/>
              <w:marBottom w:val="0"/>
              <w:divBdr>
                <w:top w:val="none" w:sz="0" w:space="0" w:color="auto"/>
                <w:left w:val="none" w:sz="0" w:space="0" w:color="auto"/>
                <w:bottom w:val="none" w:sz="0" w:space="0" w:color="auto"/>
                <w:right w:val="none" w:sz="0" w:space="0" w:color="auto"/>
              </w:divBdr>
              <w:divsChild>
                <w:div w:id="953557945">
                  <w:marLeft w:val="0"/>
                  <w:marRight w:val="0"/>
                  <w:marTop w:val="0"/>
                  <w:marBottom w:val="0"/>
                  <w:divBdr>
                    <w:top w:val="none" w:sz="0" w:space="0" w:color="auto"/>
                    <w:left w:val="none" w:sz="0" w:space="0" w:color="auto"/>
                    <w:bottom w:val="none" w:sz="0" w:space="0" w:color="auto"/>
                    <w:right w:val="none" w:sz="0" w:space="0" w:color="auto"/>
                  </w:divBdr>
                  <w:divsChild>
                    <w:div w:id="1233658981">
                      <w:marLeft w:val="0"/>
                      <w:marRight w:val="0"/>
                      <w:marTop w:val="0"/>
                      <w:marBottom w:val="0"/>
                      <w:divBdr>
                        <w:top w:val="none" w:sz="0" w:space="0" w:color="auto"/>
                        <w:left w:val="none" w:sz="0" w:space="0" w:color="auto"/>
                        <w:bottom w:val="none" w:sz="0" w:space="0" w:color="auto"/>
                        <w:right w:val="none" w:sz="0" w:space="0" w:color="auto"/>
                      </w:divBdr>
                      <w:divsChild>
                        <w:div w:id="1606963591">
                          <w:marLeft w:val="0"/>
                          <w:marRight w:val="0"/>
                          <w:marTop w:val="0"/>
                          <w:marBottom w:val="0"/>
                          <w:divBdr>
                            <w:top w:val="none" w:sz="0" w:space="0" w:color="auto"/>
                            <w:left w:val="none" w:sz="0" w:space="0" w:color="auto"/>
                            <w:bottom w:val="none" w:sz="0" w:space="0" w:color="auto"/>
                            <w:right w:val="none" w:sz="0" w:space="0" w:color="auto"/>
                          </w:divBdr>
                          <w:divsChild>
                            <w:div w:id="1825512155">
                              <w:marLeft w:val="0"/>
                              <w:marRight w:val="0"/>
                              <w:marTop w:val="0"/>
                              <w:marBottom w:val="0"/>
                              <w:divBdr>
                                <w:top w:val="none" w:sz="0" w:space="0" w:color="auto"/>
                                <w:left w:val="none" w:sz="0" w:space="0" w:color="auto"/>
                                <w:bottom w:val="none" w:sz="0" w:space="0" w:color="auto"/>
                                <w:right w:val="none" w:sz="0" w:space="0" w:color="auto"/>
                              </w:divBdr>
                              <w:divsChild>
                                <w:div w:id="17530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583547">
          <w:marLeft w:val="0"/>
          <w:marRight w:val="0"/>
          <w:marTop w:val="0"/>
          <w:marBottom w:val="0"/>
          <w:divBdr>
            <w:top w:val="none" w:sz="0" w:space="0" w:color="auto"/>
            <w:left w:val="none" w:sz="0" w:space="0" w:color="auto"/>
            <w:bottom w:val="none" w:sz="0" w:space="0" w:color="auto"/>
            <w:right w:val="none" w:sz="0" w:space="0" w:color="auto"/>
          </w:divBdr>
          <w:divsChild>
            <w:div w:id="244076711">
              <w:marLeft w:val="0"/>
              <w:marRight w:val="0"/>
              <w:marTop w:val="0"/>
              <w:marBottom w:val="0"/>
              <w:divBdr>
                <w:top w:val="none" w:sz="0" w:space="0" w:color="auto"/>
                <w:left w:val="none" w:sz="0" w:space="0" w:color="auto"/>
                <w:bottom w:val="none" w:sz="0" w:space="0" w:color="auto"/>
                <w:right w:val="none" w:sz="0" w:space="0" w:color="auto"/>
              </w:divBdr>
              <w:divsChild>
                <w:div w:id="1392576273">
                  <w:marLeft w:val="0"/>
                  <w:marRight w:val="0"/>
                  <w:marTop w:val="0"/>
                  <w:marBottom w:val="0"/>
                  <w:divBdr>
                    <w:top w:val="none" w:sz="0" w:space="0" w:color="auto"/>
                    <w:left w:val="none" w:sz="0" w:space="0" w:color="auto"/>
                    <w:bottom w:val="none" w:sz="0" w:space="0" w:color="auto"/>
                    <w:right w:val="none" w:sz="0" w:space="0" w:color="auto"/>
                  </w:divBdr>
                  <w:divsChild>
                    <w:div w:id="1904680400">
                      <w:marLeft w:val="0"/>
                      <w:marRight w:val="0"/>
                      <w:marTop w:val="0"/>
                      <w:marBottom w:val="0"/>
                      <w:divBdr>
                        <w:top w:val="none" w:sz="0" w:space="0" w:color="auto"/>
                        <w:left w:val="none" w:sz="0" w:space="0" w:color="auto"/>
                        <w:bottom w:val="none" w:sz="0" w:space="0" w:color="auto"/>
                        <w:right w:val="none" w:sz="0" w:space="0" w:color="auto"/>
                      </w:divBdr>
                      <w:divsChild>
                        <w:div w:id="1159685804">
                          <w:marLeft w:val="0"/>
                          <w:marRight w:val="0"/>
                          <w:marTop w:val="0"/>
                          <w:marBottom w:val="0"/>
                          <w:divBdr>
                            <w:top w:val="none" w:sz="0" w:space="0" w:color="auto"/>
                            <w:left w:val="none" w:sz="0" w:space="0" w:color="auto"/>
                            <w:bottom w:val="none" w:sz="0" w:space="0" w:color="auto"/>
                            <w:right w:val="none" w:sz="0" w:space="0" w:color="auto"/>
                          </w:divBdr>
                          <w:divsChild>
                            <w:div w:id="79182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1601">
          <w:marLeft w:val="0"/>
          <w:marRight w:val="0"/>
          <w:marTop w:val="0"/>
          <w:marBottom w:val="0"/>
          <w:divBdr>
            <w:top w:val="none" w:sz="0" w:space="0" w:color="auto"/>
            <w:left w:val="none" w:sz="0" w:space="0" w:color="auto"/>
            <w:bottom w:val="none" w:sz="0" w:space="0" w:color="auto"/>
            <w:right w:val="none" w:sz="0" w:space="0" w:color="auto"/>
          </w:divBdr>
          <w:divsChild>
            <w:div w:id="603347756">
              <w:marLeft w:val="0"/>
              <w:marRight w:val="0"/>
              <w:marTop w:val="0"/>
              <w:marBottom w:val="0"/>
              <w:divBdr>
                <w:top w:val="none" w:sz="0" w:space="0" w:color="auto"/>
                <w:left w:val="none" w:sz="0" w:space="0" w:color="auto"/>
                <w:bottom w:val="none" w:sz="0" w:space="0" w:color="auto"/>
                <w:right w:val="none" w:sz="0" w:space="0" w:color="auto"/>
              </w:divBdr>
              <w:divsChild>
                <w:div w:id="199709983">
                  <w:marLeft w:val="0"/>
                  <w:marRight w:val="0"/>
                  <w:marTop w:val="0"/>
                  <w:marBottom w:val="0"/>
                  <w:divBdr>
                    <w:top w:val="none" w:sz="0" w:space="0" w:color="auto"/>
                    <w:left w:val="none" w:sz="0" w:space="0" w:color="auto"/>
                    <w:bottom w:val="none" w:sz="0" w:space="0" w:color="auto"/>
                    <w:right w:val="none" w:sz="0" w:space="0" w:color="auto"/>
                  </w:divBdr>
                  <w:divsChild>
                    <w:div w:id="599874553">
                      <w:marLeft w:val="0"/>
                      <w:marRight w:val="0"/>
                      <w:marTop w:val="0"/>
                      <w:marBottom w:val="0"/>
                      <w:divBdr>
                        <w:top w:val="none" w:sz="0" w:space="0" w:color="auto"/>
                        <w:left w:val="none" w:sz="0" w:space="0" w:color="auto"/>
                        <w:bottom w:val="none" w:sz="0" w:space="0" w:color="auto"/>
                        <w:right w:val="none" w:sz="0" w:space="0" w:color="auto"/>
                      </w:divBdr>
                      <w:divsChild>
                        <w:div w:id="2096397739">
                          <w:marLeft w:val="0"/>
                          <w:marRight w:val="0"/>
                          <w:marTop w:val="0"/>
                          <w:marBottom w:val="0"/>
                          <w:divBdr>
                            <w:top w:val="none" w:sz="0" w:space="0" w:color="auto"/>
                            <w:left w:val="none" w:sz="0" w:space="0" w:color="auto"/>
                            <w:bottom w:val="none" w:sz="0" w:space="0" w:color="auto"/>
                            <w:right w:val="none" w:sz="0" w:space="0" w:color="auto"/>
                          </w:divBdr>
                          <w:divsChild>
                            <w:div w:id="2014381426">
                              <w:marLeft w:val="0"/>
                              <w:marRight w:val="0"/>
                              <w:marTop w:val="0"/>
                              <w:marBottom w:val="0"/>
                              <w:divBdr>
                                <w:top w:val="none" w:sz="0" w:space="0" w:color="auto"/>
                                <w:left w:val="none" w:sz="0" w:space="0" w:color="auto"/>
                                <w:bottom w:val="none" w:sz="0" w:space="0" w:color="auto"/>
                                <w:right w:val="none" w:sz="0" w:space="0" w:color="auto"/>
                              </w:divBdr>
                              <w:divsChild>
                                <w:div w:id="43420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185574">
          <w:marLeft w:val="0"/>
          <w:marRight w:val="0"/>
          <w:marTop w:val="0"/>
          <w:marBottom w:val="0"/>
          <w:divBdr>
            <w:top w:val="none" w:sz="0" w:space="0" w:color="auto"/>
            <w:left w:val="none" w:sz="0" w:space="0" w:color="auto"/>
            <w:bottom w:val="none" w:sz="0" w:space="0" w:color="auto"/>
            <w:right w:val="none" w:sz="0" w:space="0" w:color="auto"/>
          </w:divBdr>
          <w:divsChild>
            <w:div w:id="211498372">
              <w:marLeft w:val="0"/>
              <w:marRight w:val="0"/>
              <w:marTop w:val="0"/>
              <w:marBottom w:val="0"/>
              <w:divBdr>
                <w:top w:val="none" w:sz="0" w:space="0" w:color="auto"/>
                <w:left w:val="none" w:sz="0" w:space="0" w:color="auto"/>
                <w:bottom w:val="none" w:sz="0" w:space="0" w:color="auto"/>
                <w:right w:val="none" w:sz="0" w:space="0" w:color="auto"/>
              </w:divBdr>
              <w:divsChild>
                <w:div w:id="408158639">
                  <w:marLeft w:val="0"/>
                  <w:marRight w:val="0"/>
                  <w:marTop w:val="0"/>
                  <w:marBottom w:val="0"/>
                  <w:divBdr>
                    <w:top w:val="none" w:sz="0" w:space="0" w:color="auto"/>
                    <w:left w:val="none" w:sz="0" w:space="0" w:color="auto"/>
                    <w:bottom w:val="none" w:sz="0" w:space="0" w:color="auto"/>
                    <w:right w:val="none" w:sz="0" w:space="0" w:color="auto"/>
                  </w:divBdr>
                  <w:divsChild>
                    <w:div w:id="848561923">
                      <w:marLeft w:val="0"/>
                      <w:marRight w:val="0"/>
                      <w:marTop w:val="0"/>
                      <w:marBottom w:val="0"/>
                      <w:divBdr>
                        <w:top w:val="none" w:sz="0" w:space="0" w:color="auto"/>
                        <w:left w:val="none" w:sz="0" w:space="0" w:color="auto"/>
                        <w:bottom w:val="none" w:sz="0" w:space="0" w:color="auto"/>
                        <w:right w:val="none" w:sz="0" w:space="0" w:color="auto"/>
                      </w:divBdr>
                      <w:divsChild>
                        <w:div w:id="1826507532">
                          <w:marLeft w:val="0"/>
                          <w:marRight w:val="0"/>
                          <w:marTop w:val="0"/>
                          <w:marBottom w:val="0"/>
                          <w:divBdr>
                            <w:top w:val="none" w:sz="0" w:space="0" w:color="auto"/>
                            <w:left w:val="none" w:sz="0" w:space="0" w:color="auto"/>
                            <w:bottom w:val="none" w:sz="0" w:space="0" w:color="auto"/>
                            <w:right w:val="none" w:sz="0" w:space="0" w:color="auto"/>
                          </w:divBdr>
                          <w:divsChild>
                            <w:div w:id="3217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882757">
          <w:marLeft w:val="0"/>
          <w:marRight w:val="0"/>
          <w:marTop w:val="0"/>
          <w:marBottom w:val="0"/>
          <w:divBdr>
            <w:top w:val="none" w:sz="0" w:space="0" w:color="auto"/>
            <w:left w:val="none" w:sz="0" w:space="0" w:color="auto"/>
            <w:bottom w:val="none" w:sz="0" w:space="0" w:color="auto"/>
            <w:right w:val="none" w:sz="0" w:space="0" w:color="auto"/>
          </w:divBdr>
          <w:divsChild>
            <w:div w:id="77750948">
              <w:marLeft w:val="0"/>
              <w:marRight w:val="0"/>
              <w:marTop w:val="0"/>
              <w:marBottom w:val="0"/>
              <w:divBdr>
                <w:top w:val="none" w:sz="0" w:space="0" w:color="auto"/>
                <w:left w:val="none" w:sz="0" w:space="0" w:color="auto"/>
                <w:bottom w:val="none" w:sz="0" w:space="0" w:color="auto"/>
                <w:right w:val="none" w:sz="0" w:space="0" w:color="auto"/>
              </w:divBdr>
              <w:divsChild>
                <w:div w:id="739450448">
                  <w:marLeft w:val="0"/>
                  <w:marRight w:val="0"/>
                  <w:marTop w:val="0"/>
                  <w:marBottom w:val="0"/>
                  <w:divBdr>
                    <w:top w:val="none" w:sz="0" w:space="0" w:color="auto"/>
                    <w:left w:val="none" w:sz="0" w:space="0" w:color="auto"/>
                    <w:bottom w:val="none" w:sz="0" w:space="0" w:color="auto"/>
                    <w:right w:val="none" w:sz="0" w:space="0" w:color="auto"/>
                  </w:divBdr>
                  <w:divsChild>
                    <w:div w:id="1377390235">
                      <w:marLeft w:val="0"/>
                      <w:marRight w:val="0"/>
                      <w:marTop w:val="0"/>
                      <w:marBottom w:val="0"/>
                      <w:divBdr>
                        <w:top w:val="none" w:sz="0" w:space="0" w:color="auto"/>
                        <w:left w:val="none" w:sz="0" w:space="0" w:color="auto"/>
                        <w:bottom w:val="none" w:sz="0" w:space="0" w:color="auto"/>
                        <w:right w:val="none" w:sz="0" w:space="0" w:color="auto"/>
                      </w:divBdr>
                      <w:divsChild>
                        <w:div w:id="1324355053">
                          <w:marLeft w:val="0"/>
                          <w:marRight w:val="0"/>
                          <w:marTop w:val="0"/>
                          <w:marBottom w:val="0"/>
                          <w:divBdr>
                            <w:top w:val="none" w:sz="0" w:space="0" w:color="auto"/>
                            <w:left w:val="none" w:sz="0" w:space="0" w:color="auto"/>
                            <w:bottom w:val="none" w:sz="0" w:space="0" w:color="auto"/>
                            <w:right w:val="none" w:sz="0" w:space="0" w:color="auto"/>
                          </w:divBdr>
                          <w:divsChild>
                            <w:div w:id="744033169">
                              <w:marLeft w:val="0"/>
                              <w:marRight w:val="0"/>
                              <w:marTop w:val="0"/>
                              <w:marBottom w:val="0"/>
                              <w:divBdr>
                                <w:top w:val="none" w:sz="0" w:space="0" w:color="auto"/>
                                <w:left w:val="none" w:sz="0" w:space="0" w:color="auto"/>
                                <w:bottom w:val="none" w:sz="0" w:space="0" w:color="auto"/>
                                <w:right w:val="none" w:sz="0" w:space="0" w:color="auto"/>
                              </w:divBdr>
                              <w:divsChild>
                                <w:div w:id="138590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094501">
          <w:marLeft w:val="0"/>
          <w:marRight w:val="0"/>
          <w:marTop w:val="0"/>
          <w:marBottom w:val="0"/>
          <w:divBdr>
            <w:top w:val="none" w:sz="0" w:space="0" w:color="auto"/>
            <w:left w:val="none" w:sz="0" w:space="0" w:color="auto"/>
            <w:bottom w:val="none" w:sz="0" w:space="0" w:color="auto"/>
            <w:right w:val="none" w:sz="0" w:space="0" w:color="auto"/>
          </w:divBdr>
          <w:divsChild>
            <w:div w:id="324403939">
              <w:marLeft w:val="0"/>
              <w:marRight w:val="0"/>
              <w:marTop w:val="0"/>
              <w:marBottom w:val="0"/>
              <w:divBdr>
                <w:top w:val="none" w:sz="0" w:space="0" w:color="auto"/>
                <w:left w:val="none" w:sz="0" w:space="0" w:color="auto"/>
                <w:bottom w:val="none" w:sz="0" w:space="0" w:color="auto"/>
                <w:right w:val="none" w:sz="0" w:space="0" w:color="auto"/>
              </w:divBdr>
              <w:divsChild>
                <w:div w:id="878736005">
                  <w:marLeft w:val="0"/>
                  <w:marRight w:val="0"/>
                  <w:marTop w:val="0"/>
                  <w:marBottom w:val="0"/>
                  <w:divBdr>
                    <w:top w:val="none" w:sz="0" w:space="0" w:color="auto"/>
                    <w:left w:val="none" w:sz="0" w:space="0" w:color="auto"/>
                    <w:bottom w:val="none" w:sz="0" w:space="0" w:color="auto"/>
                    <w:right w:val="none" w:sz="0" w:space="0" w:color="auto"/>
                  </w:divBdr>
                  <w:divsChild>
                    <w:div w:id="206450075">
                      <w:marLeft w:val="0"/>
                      <w:marRight w:val="0"/>
                      <w:marTop w:val="0"/>
                      <w:marBottom w:val="0"/>
                      <w:divBdr>
                        <w:top w:val="none" w:sz="0" w:space="0" w:color="auto"/>
                        <w:left w:val="none" w:sz="0" w:space="0" w:color="auto"/>
                        <w:bottom w:val="none" w:sz="0" w:space="0" w:color="auto"/>
                        <w:right w:val="none" w:sz="0" w:space="0" w:color="auto"/>
                      </w:divBdr>
                      <w:divsChild>
                        <w:div w:id="833183814">
                          <w:marLeft w:val="0"/>
                          <w:marRight w:val="0"/>
                          <w:marTop w:val="0"/>
                          <w:marBottom w:val="0"/>
                          <w:divBdr>
                            <w:top w:val="none" w:sz="0" w:space="0" w:color="auto"/>
                            <w:left w:val="none" w:sz="0" w:space="0" w:color="auto"/>
                            <w:bottom w:val="none" w:sz="0" w:space="0" w:color="auto"/>
                            <w:right w:val="none" w:sz="0" w:space="0" w:color="auto"/>
                          </w:divBdr>
                          <w:divsChild>
                            <w:div w:id="89543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082927">
          <w:marLeft w:val="0"/>
          <w:marRight w:val="0"/>
          <w:marTop w:val="0"/>
          <w:marBottom w:val="0"/>
          <w:divBdr>
            <w:top w:val="none" w:sz="0" w:space="0" w:color="auto"/>
            <w:left w:val="none" w:sz="0" w:space="0" w:color="auto"/>
            <w:bottom w:val="none" w:sz="0" w:space="0" w:color="auto"/>
            <w:right w:val="none" w:sz="0" w:space="0" w:color="auto"/>
          </w:divBdr>
          <w:divsChild>
            <w:div w:id="1282607625">
              <w:marLeft w:val="0"/>
              <w:marRight w:val="0"/>
              <w:marTop w:val="0"/>
              <w:marBottom w:val="0"/>
              <w:divBdr>
                <w:top w:val="none" w:sz="0" w:space="0" w:color="auto"/>
                <w:left w:val="none" w:sz="0" w:space="0" w:color="auto"/>
                <w:bottom w:val="none" w:sz="0" w:space="0" w:color="auto"/>
                <w:right w:val="none" w:sz="0" w:space="0" w:color="auto"/>
              </w:divBdr>
              <w:divsChild>
                <w:div w:id="874583063">
                  <w:marLeft w:val="0"/>
                  <w:marRight w:val="0"/>
                  <w:marTop w:val="0"/>
                  <w:marBottom w:val="0"/>
                  <w:divBdr>
                    <w:top w:val="none" w:sz="0" w:space="0" w:color="auto"/>
                    <w:left w:val="none" w:sz="0" w:space="0" w:color="auto"/>
                    <w:bottom w:val="none" w:sz="0" w:space="0" w:color="auto"/>
                    <w:right w:val="none" w:sz="0" w:space="0" w:color="auto"/>
                  </w:divBdr>
                  <w:divsChild>
                    <w:div w:id="1937515721">
                      <w:marLeft w:val="0"/>
                      <w:marRight w:val="0"/>
                      <w:marTop w:val="0"/>
                      <w:marBottom w:val="0"/>
                      <w:divBdr>
                        <w:top w:val="none" w:sz="0" w:space="0" w:color="auto"/>
                        <w:left w:val="none" w:sz="0" w:space="0" w:color="auto"/>
                        <w:bottom w:val="none" w:sz="0" w:space="0" w:color="auto"/>
                        <w:right w:val="none" w:sz="0" w:space="0" w:color="auto"/>
                      </w:divBdr>
                      <w:divsChild>
                        <w:div w:id="483206760">
                          <w:marLeft w:val="0"/>
                          <w:marRight w:val="0"/>
                          <w:marTop w:val="0"/>
                          <w:marBottom w:val="0"/>
                          <w:divBdr>
                            <w:top w:val="none" w:sz="0" w:space="0" w:color="auto"/>
                            <w:left w:val="none" w:sz="0" w:space="0" w:color="auto"/>
                            <w:bottom w:val="none" w:sz="0" w:space="0" w:color="auto"/>
                            <w:right w:val="none" w:sz="0" w:space="0" w:color="auto"/>
                          </w:divBdr>
                          <w:divsChild>
                            <w:div w:id="2122600307">
                              <w:marLeft w:val="0"/>
                              <w:marRight w:val="0"/>
                              <w:marTop w:val="0"/>
                              <w:marBottom w:val="0"/>
                              <w:divBdr>
                                <w:top w:val="none" w:sz="0" w:space="0" w:color="auto"/>
                                <w:left w:val="none" w:sz="0" w:space="0" w:color="auto"/>
                                <w:bottom w:val="none" w:sz="0" w:space="0" w:color="auto"/>
                                <w:right w:val="none" w:sz="0" w:space="0" w:color="auto"/>
                              </w:divBdr>
                              <w:divsChild>
                                <w:div w:id="8011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587395">
          <w:marLeft w:val="0"/>
          <w:marRight w:val="0"/>
          <w:marTop w:val="0"/>
          <w:marBottom w:val="0"/>
          <w:divBdr>
            <w:top w:val="none" w:sz="0" w:space="0" w:color="auto"/>
            <w:left w:val="none" w:sz="0" w:space="0" w:color="auto"/>
            <w:bottom w:val="none" w:sz="0" w:space="0" w:color="auto"/>
            <w:right w:val="none" w:sz="0" w:space="0" w:color="auto"/>
          </w:divBdr>
          <w:divsChild>
            <w:div w:id="1723597679">
              <w:marLeft w:val="0"/>
              <w:marRight w:val="0"/>
              <w:marTop w:val="0"/>
              <w:marBottom w:val="0"/>
              <w:divBdr>
                <w:top w:val="none" w:sz="0" w:space="0" w:color="auto"/>
                <w:left w:val="none" w:sz="0" w:space="0" w:color="auto"/>
                <w:bottom w:val="none" w:sz="0" w:space="0" w:color="auto"/>
                <w:right w:val="none" w:sz="0" w:space="0" w:color="auto"/>
              </w:divBdr>
              <w:divsChild>
                <w:div w:id="879558672">
                  <w:marLeft w:val="0"/>
                  <w:marRight w:val="0"/>
                  <w:marTop w:val="0"/>
                  <w:marBottom w:val="0"/>
                  <w:divBdr>
                    <w:top w:val="none" w:sz="0" w:space="0" w:color="auto"/>
                    <w:left w:val="none" w:sz="0" w:space="0" w:color="auto"/>
                    <w:bottom w:val="none" w:sz="0" w:space="0" w:color="auto"/>
                    <w:right w:val="none" w:sz="0" w:space="0" w:color="auto"/>
                  </w:divBdr>
                  <w:divsChild>
                    <w:div w:id="281546374">
                      <w:marLeft w:val="0"/>
                      <w:marRight w:val="0"/>
                      <w:marTop w:val="0"/>
                      <w:marBottom w:val="0"/>
                      <w:divBdr>
                        <w:top w:val="none" w:sz="0" w:space="0" w:color="auto"/>
                        <w:left w:val="none" w:sz="0" w:space="0" w:color="auto"/>
                        <w:bottom w:val="none" w:sz="0" w:space="0" w:color="auto"/>
                        <w:right w:val="none" w:sz="0" w:space="0" w:color="auto"/>
                      </w:divBdr>
                      <w:divsChild>
                        <w:div w:id="196940168">
                          <w:marLeft w:val="0"/>
                          <w:marRight w:val="0"/>
                          <w:marTop w:val="0"/>
                          <w:marBottom w:val="0"/>
                          <w:divBdr>
                            <w:top w:val="none" w:sz="0" w:space="0" w:color="auto"/>
                            <w:left w:val="none" w:sz="0" w:space="0" w:color="auto"/>
                            <w:bottom w:val="none" w:sz="0" w:space="0" w:color="auto"/>
                            <w:right w:val="none" w:sz="0" w:space="0" w:color="auto"/>
                          </w:divBdr>
                          <w:divsChild>
                            <w:div w:id="181490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528473">
          <w:marLeft w:val="0"/>
          <w:marRight w:val="0"/>
          <w:marTop w:val="0"/>
          <w:marBottom w:val="0"/>
          <w:divBdr>
            <w:top w:val="none" w:sz="0" w:space="0" w:color="auto"/>
            <w:left w:val="none" w:sz="0" w:space="0" w:color="auto"/>
            <w:bottom w:val="none" w:sz="0" w:space="0" w:color="auto"/>
            <w:right w:val="none" w:sz="0" w:space="0" w:color="auto"/>
          </w:divBdr>
          <w:divsChild>
            <w:div w:id="1633973066">
              <w:marLeft w:val="0"/>
              <w:marRight w:val="0"/>
              <w:marTop w:val="0"/>
              <w:marBottom w:val="0"/>
              <w:divBdr>
                <w:top w:val="none" w:sz="0" w:space="0" w:color="auto"/>
                <w:left w:val="none" w:sz="0" w:space="0" w:color="auto"/>
                <w:bottom w:val="none" w:sz="0" w:space="0" w:color="auto"/>
                <w:right w:val="none" w:sz="0" w:space="0" w:color="auto"/>
              </w:divBdr>
              <w:divsChild>
                <w:div w:id="1334337542">
                  <w:marLeft w:val="0"/>
                  <w:marRight w:val="0"/>
                  <w:marTop w:val="0"/>
                  <w:marBottom w:val="0"/>
                  <w:divBdr>
                    <w:top w:val="none" w:sz="0" w:space="0" w:color="auto"/>
                    <w:left w:val="none" w:sz="0" w:space="0" w:color="auto"/>
                    <w:bottom w:val="none" w:sz="0" w:space="0" w:color="auto"/>
                    <w:right w:val="none" w:sz="0" w:space="0" w:color="auto"/>
                  </w:divBdr>
                  <w:divsChild>
                    <w:div w:id="1691837406">
                      <w:marLeft w:val="0"/>
                      <w:marRight w:val="0"/>
                      <w:marTop w:val="0"/>
                      <w:marBottom w:val="0"/>
                      <w:divBdr>
                        <w:top w:val="none" w:sz="0" w:space="0" w:color="auto"/>
                        <w:left w:val="none" w:sz="0" w:space="0" w:color="auto"/>
                        <w:bottom w:val="none" w:sz="0" w:space="0" w:color="auto"/>
                        <w:right w:val="none" w:sz="0" w:space="0" w:color="auto"/>
                      </w:divBdr>
                      <w:divsChild>
                        <w:div w:id="1244100559">
                          <w:marLeft w:val="0"/>
                          <w:marRight w:val="0"/>
                          <w:marTop w:val="0"/>
                          <w:marBottom w:val="0"/>
                          <w:divBdr>
                            <w:top w:val="none" w:sz="0" w:space="0" w:color="auto"/>
                            <w:left w:val="none" w:sz="0" w:space="0" w:color="auto"/>
                            <w:bottom w:val="none" w:sz="0" w:space="0" w:color="auto"/>
                            <w:right w:val="none" w:sz="0" w:space="0" w:color="auto"/>
                          </w:divBdr>
                          <w:divsChild>
                            <w:div w:id="1223492420">
                              <w:marLeft w:val="0"/>
                              <w:marRight w:val="0"/>
                              <w:marTop w:val="0"/>
                              <w:marBottom w:val="0"/>
                              <w:divBdr>
                                <w:top w:val="none" w:sz="0" w:space="0" w:color="auto"/>
                                <w:left w:val="none" w:sz="0" w:space="0" w:color="auto"/>
                                <w:bottom w:val="none" w:sz="0" w:space="0" w:color="auto"/>
                                <w:right w:val="none" w:sz="0" w:space="0" w:color="auto"/>
                              </w:divBdr>
                              <w:divsChild>
                                <w:div w:id="11977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49805">
          <w:marLeft w:val="0"/>
          <w:marRight w:val="0"/>
          <w:marTop w:val="0"/>
          <w:marBottom w:val="0"/>
          <w:divBdr>
            <w:top w:val="none" w:sz="0" w:space="0" w:color="auto"/>
            <w:left w:val="none" w:sz="0" w:space="0" w:color="auto"/>
            <w:bottom w:val="none" w:sz="0" w:space="0" w:color="auto"/>
            <w:right w:val="none" w:sz="0" w:space="0" w:color="auto"/>
          </w:divBdr>
          <w:divsChild>
            <w:div w:id="1406368293">
              <w:marLeft w:val="0"/>
              <w:marRight w:val="0"/>
              <w:marTop w:val="0"/>
              <w:marBottom w:val="0"/>
              <w:divBdr>
                <w:top w:val="none" w:sz="0" w:space="0" w:color="auto"/>
                <w:left w:val="none" w:sz="0" w:space="0" w:color="auto"/>
                <w:bottom w:val="none" w:sz="0" w:space="0" w:color="auto"/>
                <w:right w:val="none" w:sz="0" w:space="0" w:color="auto"/>
              </w:divBdr>
              <w:divsChild>
                <w:div w:id="1535074867">
                  <w:marLeft w:val="0"/>
                  <w:marRight w:val="0"/>
                  <w:marTop w:val="0"/>
                  <w:marBottom w:val="0"/>
                  <w:divBdr>
                    <w:top w:val="none" w:sz="0" w:space="0" w:color="auto"/>
                    <w:left w:val="none" w:sz="0" w:space="0" w:color="auto"/>
                    <w:bottom w:val="none" w:sz="0" w:space="0" w:color="auto"/>
                    <w:right w:val="none" w:sz="0" w:space="0" w:color="auto"/>
                  </w:divBdr>
                  <w:divsChild>
                    <w:div w:id="421340001">
                      <w:marLeft w:val="0"/>
                      <w:marRight w:val="0"/>
                      <w:marTop w:val="0"/>
                      <w:marBottom w:val="0"/>
                      <w:divBdr>
                        <w:top w:val="none" w:sz="0" w:space="0" w:color="auto"/>
                        <w:left w:val="none" w:sz="0" w:space="0" w:color="auto"/>
                        <w:bottom w:val="none" w:sz="0" w:space="0" w:color="auto"/>
                        <w:right w:val="none" w:sz="0" w:space="0" w:color="auto"/>
                      </w:divBdr>
                      <w:divsChild>
                        <w:div w:id="876160440">
                          <w:marLeft w:val="0"/>
                          <w:marRight w:val="0"/>
                          <w:marTop w:val="0"/>
                          <w:marBottom w:val="0"/>
                          <w:divBdr>
                            <w:top w:val="none" w:sz="0" w:space="0" w:color="auto"/>
                            <w:left w:val="none" w:sz="0" w:space="0" w:color="auto"/>
                            <w:bottom w:val="none" w:sz="0" w:space="0" w:color="auto"/>
                            <w:right w:val="none" w:sz="0" w:space="0" w:color="auto"/>
                          </w:divBdr>
                          <w:divsChild>
                            <w:div w:id="16749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496654">
          <w:marLeft w:val="0"/>
          <w:marRight w:val="0"/>
          <w:marTop w:val="0"/>
          <w:marBottom w:val="0"/>
          <w:divBdr>
            <w:top w:val="none" w:sz="0" w:space="0" w:color="auto"/>
            <w:left w:val="none" w:sz="0" w:space="0" w:color="auto"/>
            <w:bottom w:val="none" w:sz="0" w:space="0" w:color="auto"/>
            <w:right w:val="none" w:sz="0" w:space="0" w:color="auto"/>
          </w:divBdr>
          <w:divsChild>
            <w:div w:id="342629562">
              <w:marLeft w:val="0"/>
              <w:marRight w:val="0"/>
              <w:marTop w:val="0"/>
              <w:marBottom w:val="0"/>
              <w:divBdr>
                <w:top w:val="none" w:sz="0" w:space="0" w:color="auto"/>
                <w:left w:val="none" w:sz="0" w:space="0" w:color="auto"/>
                <w:bottom w:val="none" w:sz="0" w:space="0" w:color="auto"/>
                <w:right w:val="none" w:sz="0" w:space="0" w:color="auto"/>
              </w:divBdr>
              <w:divsChild>
                <w:div w:id="1143422294">
                  <w:marLeft w:val="0"/>
                  <w:marRight w:val="0"/>
                  <w:marTop w:val="0"/>
                  <w:marBottom w:val="0"/>
                  <w:divBdr>
                    <w:top w:val="none" w:sz="0" w:space="0" w:color="auto"/>
                    <w:left w:val="none" w:sz="0" w:space="0" w:color="auto"/>
                    <w:bottom w:val="none" w:sz="0" w:space="0" w:color="auto"/>
                    <w:right w:val="none" w:sz="0" w:space="0" w:color="auto"/>
                  </w:divBdr>
                  <w:divsChild>
                    <w:div w:id="984775507">
                      <w:marLeft w:val="0"/>
                      <w:marRight w:val="0"/>
                      <w:marTop w:val="0"/>
                      <w:marBottom w:val="0"/>
                      <w:divBdr>
                        <w:top w:val="none" w:sz="0" w:space="0" w:color="auto"/>
                        <w:left w:val="none" w:sz="0" w:space="0" w:color="auto"/>
                        <w:bottom w:val="none" w:sz="0" w:space="0" w:color="auto"/>
                        <w:right w:val="none" w:sz="0" w:space="0" w:color="auto"/>
                      </w:divBdr>
                      <w:divsChild>
                        <w:div w:id="1871990297">
                          <w:marLeft w:val="0"/>
                          <w:marRight w:val="0"/>
                          <w:marTop w:val="0"/>
                          <w:marBottom w:val="0"/>
                          <w:divBdr>
                            <w:top w:val="none" w:sz="0" w:space="0" w:color="auto"/>
                            <w:left w:val="none" w:sz="0" w:space="0" w:color="auto"/>
                            <w:bottom w:val="none" w:sz="0" w:space="0" w:color="auto"/>
                            <w:right w:val="none" w:sz="0" w:space="0" w:color="auto"/>
                          </w:divBdr>
                          <w:divsChild>
                            <w:div w:id="989745054">
                              <w:marLeft w:val="0"/>
                              <w:marRight w:val="0"/>
                              <w:marTop w:val="0"/>
                              <w:marBottom w:val="0"/>
                              <w:divBdr>
                                <w:top w:val="none" w:sz="0" w:space="0" w:color="auto"/>
                                <w:left w:val="none" w:sz="0" w:space="0" w:color="auto"/>
                                <w:bottom w:val="none" w:sz="0" w:space="0" w:color="auto"/>
                                <w:right w:val="none" w:sz="0" w:space="0" w:color="auto"/>
                              </w:divBdr>
                              <w:divsChild>
                                <w:div w:id="11474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903590">
          <w:marLeft w:val="0"/>
          <w:marRight w:val="0"/>
          <w:marTop w:val="0"/>
          <w:marBottom w:val="0"/>
          <w:divBdr>
            <w:top w:val="none" w:sz="0" w:space="0" w:color="auto"/>
            <w:left w:val="none" w:sz="0" w:space="0" w:color="auto"/>
            <w:bottom w:val="none" w:sz="0" w:space="0" w:color="auto"/>
            <w:right w:val="none" w:sz="0" w:space="0" w:color="auto"/>
          </w:divBdr>
          <w:divsChild>
            <w:div w:id="1498418194">
              <w:marLeft w:val="0"/>
              <w:marRight w:val="0"/>
              <w:marTop w:val="0"/>
              <w:marBottom w:val="0"/>
              <w:divBdr>
                <w:top w:val="none" w:sz="0" w:space="0" w:color="auto"/>
                <w:left w:val="none" w:sz="0" w:space="0" w:color="auto"/>
                <w:bottom w:val="none" w:sz="0" w:space="0" w:color="auto"/>
                <w:right w:val="none" w:sz="0" w:space="0" w:color="auto"/>
              </w:divBdr>
              <w:divsChild>
                <w:div w:id="1911891286">
                  <w:marLeft w:val="0"/>
                  <w:marRight w:val="0"/>
                  <w:marTop w:val="0"/>
                  <w:marBottom w:val="0"/>
                  <w:divBdr>
                    <w:top w:val="none" w:sz="0" w:space="0" w:color="auto"/>
                    <w:left w:val="none" w:sz="0" w:space="0" w:color="auto"/>
                    <w:bottom w:val="none" w:sz="0" w:space="0" w:color="auto"/>
                    <w:right w:val="none" w:sz="0" w:space="0" w:color="auto"/>
                  </w:divBdr>
                  <w:divsChild>
                    <w:div w:id="24454433">
                      <w:marLeft w:val="0"/>
                      <w:marRight w:val="0"/>
                      <w:marTop w:val="0"/>
                      <w:marBottom w:val="0"/>
                      <w:divBdr>
                        <w:top w:val="none" w:sz="0" w:space="0" w:color="auto"/>
                        <w:left w:val="none" w:sz="0" w:space="0" w:color="auto"/>
                        <w:bottom w:val="none" w:sz="0" w:space="0" w:color="auto"/>
                        <w:right w:val="none" w:sz="0" w:space="0" w:color="auto"/>
                      </w:divBdr>
                      <w:divsChild>
                        <w:div w:id="1868103933">
                          <w:marLeft w:val="0"/>
                          <w:marRight w:val="0"/>
                          <w:marTop w:val="0"/>
                          <w:marBottom w:val="0"/>
                          <w:divBdr>
                            <w:top w:val="none" w:sz="0" w:space="0" w:color="auto"/>
                            <w:left w:val="none" w:sz="0" w:space="0" w:color="auto"/>
                            <w:bottom w:val="none" w:sz="0" w:space="0" w:color="auto"/>
                            <w:right w:val="none" w:sz="0" w:space="0" w:color="auto"/>
                          </w:divBdr>
                          <w:divsChild>
                            <w:div w:id="19212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0604501">
          <w:marLeft w:val="0"/>
          <w:marRight w:val="0"/>
          <w:marTop w:val="0"/>
          <w:marBottom w:val="0"/>
          <w:divBdr>
            <w:top w:val="none" w:sz="0" w:space="0" w:color="auto"/>
            <w:left w:val="none" w:sz="0" w:space="0" w:color="auto"/>
            <w:bottom w:val="none" w:sz="0" w:space="0" w:color="auto"/>
            <w:right w:val="none" w:sz="0" w:space="0" w:color="auto"/>
          </w:divBdr>
          <w:divsChild>
            <w:div w:id="525556608">
              <w:marLeft w:val="0"/>
              <w:marRight w:val="0"/>
              <w:marTop w:val="0"/>
              <w:marBottom w:val="0"/>
              <w:divBdr>
                <w:top w:val="none" w:sz="0" w:space="0" w:color="auto"/>
                <w:left w:val="none" w:sz="0" w:space="0" w:color="auto"/>
                <w:bottom w:val="none" w:sz="0" w:space="0" w:color="auto"/>
                <w:right w:val="none" w:sz="0" w:space="0" w:color="auto"/>
              </w:divBdr>
              <w:divsChild>
                <w:div w:id="1566377154">
                  <w:marLeft w:val="0"/>
                  <w:marRight w:val="0"/>
                  <w:marTop w:val="0"/>
                  <w:marBottom w:val="0"/>
                  <w:divBdr>
                    <w:top w:val="none" w:sz="0" w:space="0" w:color="auto"/>
                    <w:left w:val="none" w:sz="0" w:space="0" w:color="auto"/>
                    <w:bottom w:val="none" w:sz="0" w:space="0" w:color="auto"/>
                    <w:right w:val="none" w:sz="0" w:space="0" w:color="auto"/>
                  </w:divBdr>
                  <w:divsChild>
                    <w:div w:id="1655790721">
                      <w:marLeft w:val="0"/>
                      <w:marRight w:val="0"/>
                      <w:marTop w:val="0"/>
                      <w:marBottom w:val="0"/>
                      <w:divBdr>
                        <w:top w:val="none" w:sz="0" w:space="0" w:color="auto"/>
                        <w:left w:val="none" w:sz="0" w:space="0" w:color="auto"/>
                        <w:bottom w:val="none" w:sz="0" w:space="0" w:color="auto"/>
                        <w:right w:val="none" w:sz="0" w:space="0" w:color="auto"/>
                      </w:divBdr>
                      <w:divsChild>
                        <w:div w:id="1699623001">
                          <w:marLeft w:val="0"/>
                          <w:marRight w:val="0"/>
                          <w:marTop w:val="0"/>
                          <w:marBottom w:val="0"/>
                          <w:divBdr>
                            <w:top w:val="none" w:sz="0" w:space="0" w:color="auto"/>
                            <w:left w:val="none" w:sz="0" w:space="0" w:color="auto"/>
                            <w:bottom w:val="none" w:sz="0" w:space="0" w:color="auto"/>
                            <w:right w:val="none" w:sz="0" w:space="0" w:color="auto"/>
                          </w:divBdr>
                          <w:divsChild>
                            <w:div w:id="970868820">
                              <w:marLeft w:val="0"/>
                              <w:marRight w:val="0"/>
                              <w:marTop w:val="0"/>
                              <w:marBottom w:val="0"/>
                              <w:divBdr>
                                <w:top w:val="none" w:sz="0" w:space="0" w:color="auto"/>
                                <w:left w:val="none" w:sz="0" w:space="0" w:color="auto"/>
                                <w:bottom w:val="none" w:sz="0" w:space="0" w:color="auto"/>
                                <w:right w:val="none" w:sz="0" w:space="0" w:color="auto"/>
                              </w:divBdr>
                              <w:divsChild>
                                <w:div w:id="115691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396279">
          <w:marLeft w:val="0"/>
          <w:marRight w:val="0"/>
          <w:marTop w:val="0"/>
          <w:marBottom w:val="0"/>
          <w:divBdr>
            <w:top w:val="none" w:sz="0" w:space="0" w:color="auto"/>
            <w:left w:val="none" w:sz="0" w:space="0" w:color="auto"/>
            <w:bottom w:val="none" w:sz="0" w:space="0" w:color="auto"/>
            <w:right w:val="none" w:sz="0" w:space="0" w:color="auto"/>
          </w:divBdr>
          <w:divsChild>
            <w:div w:id="1864827539">
              <w:marLeft w:val="0"/>
              <w:marRight w:val="0"/>
              <w:marTop w:val="0"/>
              <w:marBottom w:val="0"/>
              <w:divBdr>
                <w:top w:val="none" w:sz="0" w:space="0" w:color="auto"/>
                <w:left w:val="none" w:sz="0" w:space="0" w:color="auto"/>
                <w:bottom w:val="none" w:sz="0" w:space="0" w:color="auto"/>
                <w:right w:val="none" w:sz="0" w:space="0" w:color="auto"/>
              </w:divBdr>
              <w:divsChild>
                <w:div w:id="93404360">
                  <w:marLeft w:val="0"/>
                  <w:marRight w:val="0"/>
                  <w:marTop w:val="0"/>
                  <w:marBottom w:val="0"/>
                  <w:divBdr>
                    <w:top w:val="none" w:sz="0" w:space="0" w:color="auto"/>
                    <w:left w:val="none" w:sz="0" w:space="0" w:color="auto"/>
                    <w:bottom w:val="none" w:sz="0" w:space="0" w:color="auto"/>
                    <w:right w:val="none" w:sz="0" w:space="0" w:color="auto"/>
                  </w:divBdr>
                  <w:divsChild>
                    <w:div w:id="1917470899">
                      <w:marLeft w:val="0"/>
                      <w:marRight w:val="0"/>
                      <w:marTop w:val="0"/>
                      <w:marBottom w:val="0"/>
                      <w:divBdr>
                        <w:top w:val="none" w:sz="0" w:space="0" w:color="auto"/>
                        <w:left w:val="none" w:sz="0" w:space="0" w:color="auto"/>
                        <w:bottom w:val="none" w:sz="0" w:space="0" w:color="auto"/>
                        <w:right w:val="none" w:sz="0" w:space="0" w:color="auto"/>
                      </w:divBdr>
                      <w:divsChild>
                        <w:div w:id="1410427391">
                          <w:marLeft w:val="0"/>
                          <w:marRight w:val="0"/>
                          <w:marTop w:val="0"/>
                          <w:marBottom w:val="0"/>
                          <w:divBdr>
                            <w:top w:val="none" w:sz="0" w:space="0" w:color="auto"/>
                            <w:left w:val="none" w:sz="0" w:space="0" w:color="auto"/>
                            <w:bottom w:val="none" w:sz="0" w:space="0" w:color="auto"/>
                            <w:right w:val="none" w:sz="0" w:space="0" w:color="auto"/>
                          </w:divBdr>
                          <w:divsChild>
                            <w:div w:id="210318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461115">
          <w:marLeft w:val="0"/>
          <w:marRight w:val="0"/>
          <w:marTop w:val="0"/>
          <w:marBottom w:val="0"/>
          <w:divBdr>
            <w:top w:val="none" w:sz="0" w:space="0" w:color="auto"/>
            <w:left w:val="none" w:sz="0" w:space="0" w:color="auto"/>
            <w:bottom w:val="none" w:sz="0" w:space="0" w:color="auto"/>
            <w:right w:val="none" w:sz="0" w:space="0" w:color="auto"/>
          </w:divBdr>
          <w:divsChild>
            <w:div w:id="866604002">
              <w:marLeft w:val="0"/>
              <w:marRight w:val="0"/>
              <w:marTop w:val="0"/>
              <w:marBottom w:val="0"/>
              <w:divBdr>
                <w:top w:val="none" w:sz="0" w:space="0" w:color="auto"/>
                <w:left w:val="none" w:sz="0" w:space="0" w:color="auto"/>
                <w:bottom w:val="none" w:sz="0" w:space="0" w:color="auto"/>
                <w:right w:val="none" w:sz="0" w:space="0" w:color="auto"/>
              </w:divBdr>
              <w:divsChild>
                <w:div w:id="1609239754">
                  <w:marLeft w:val="0"/>
                  <w:marRight w:val="0"/>
                  <w:marTop w:val="0"/>
                  <w:marBottom w:val="0"/>
                  <w:divBdr>
                    <w:top w:val="none" w:sz="0" w:space="0" w:color="auto"/>
                    <w:left w:val="none" w:sz="0" w:space="0" w:color="auto"/>
                    <w:bottom w:val="none" w:sz="0" w:space="0" w:color="auto"/>
                    <w:right w:val="none" w:sz="0" w:space="0" w:color="auto"/>
                  </w:divBdr>
                  <w:divsChild>
                    <w:div w:id="1846818776">
                      <w:marLeft w:val="0"/>
                      <w:marRight w:val="0"/>
                      <w:marTop w:val="0"/>
                      <w:marBottom w:val="0"/>
                      <w:divBdr>
                        <w:top w:val="none" w:sz="0" w:space="0" w:color="auto"/>
                        <w:left w:val="none" w:sz="0" w:space="0" w:color="auto"/>
                        <w:bottom w:val="none" w:sz="0" w:space="0" w:color="auto"/>
                        <w:right w:val="none" w:sz="0" w:space="0" w:color="auto"/>
                      </w:divBdr>
                      <w:divsChild>
                        <w:div w:id="1628974139">
                          <w:marLeft w:val="0"/>
                          <w:marRight w:val="0"/>
                          <w:marTop w:val="0"/>
                          <w:marBottom w:val="0"/>
                          <w:divBdr>
                            <w:top w:val="none" w:sz="0" w:space="0" w:color="auto"/>
                            <w:left w:val="none" w:sz="0" w:space="0" w:color="auto"/>
                            <w:bottom w:val="none" w:sz="0" w:space="0" w:color="auto"/>
                            <w:right w:val="none" w:sz="0" w:space="0" w:color="auto"/>
                          </w:divBdr>
                          <w:divsChild>
                            <w:div w:id="1115054760">
                              <w:marLeft w:val="0"/>
                              <w:marRight w:val="0"/>
                              <w:marTop w:val="0"/>
                              <w:marBottom w:val="0"/>
                              <w:divBdr>
                                <w:top w:val="none" w:sz="0" w:space="0" w:color="auto"/>
                                <w:left w:val="none" w:sz="0" w:space="0" w:color="auto"/>
                                <w:bottom w:val="none" w:sz="0" w:space="0" w:color="auto"/>
                                <w:right w:val="none" w:sz="0" w:space="0" w:color="auto"/>
                              </w:divBdr>
                              <w:divsChild>
                                <w:div w:id="1721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99556">
          <w:marLeft w:val="0"/>
          <w:marRight w:val="0"/>
          <w:marTop w:val="0"/>
          <w:marBottom w:val="0"/>
          <w:divBdr>
            <w:top w:val="none" w:sz="0" w:space="0" w:color="auto"/>
            <w:left w:val="none" w:sz="0" w:space="0" w:color="auto"/>
            <w:bottom w:val="none" w:sz="0" w:space="0" w:color="auto"/>
            <w:right w:val="none" w:sz="0" w:space="0" w:color="auto"/>
          </w:divBdr>
          <w:divsChild>
            <w:div w:id="287325765">
              <w:marLeft w:val="0"/>
              <w:marRight w:val="0"/>
              <w:marTop w:val="0"/>
              <w:marBottom w:val="0"/>
              <w:divBdr>
                <w:top w:val="none" w:sz="0" w:space="0" w:color="auto"/>
                <w:left w:val="none" w:sz="0" w:space="0" w:color="auto"/>
                <w:bottom w:val="none" w:sz="0" w:space="0" w:color="auto"/>
                <w:right w:val="none" w:sz="0" w:space="0" w:color="auto"/>
              </w:divBdr>
              <w:divsChild>
                <w:div w:id="30884572">
                  <w:marLeft w:val="0"/>
                  <w:marRight w:val="0"/>
                  <w:marTop w:val="0"/>
                  <w:marBottom w:val="0"/>
                  <w:divBdr>
                    <w:top w:val="none" w:sz="0" w:space="0" w:color="auto"/>
                    <w:left w:val="none" w:sz="0" w:space="0" w:color="auto"/>
                    <w:bottom w:val="none" w:sz="0" w:space="0" w:color="auto"/>
                    <w:right w:val="none" w:sz="0" w:space="0" w:color="auto"/>
                  </w:divBdr>
                  <w:divsChild>
                    <w:div w:id="1524904943">
                      <w:marLeft w:val="0"/>
                      <w:marRight w:val="0"/>
                      <w:marTop w:val="0"/>
                      <w:marBottom w:val="0"/>
                      <w:divBdr>
                        <w:top w:val="none" w:sz="0" w:space="0" w:color="auto"/>
                        <w:left w:val="none" w:sz="0" w:space="0" w:color="auto"/>
                        <w:bottom w:val="none" w:sz="0" w:space="0" w:color="auto"/>
                        <w:right w:val="none" w:sz="0" w:space="0" w:color="auto"/>
                      </w:divBdr>
                      <w:divsChild>
                        <w:div w:id="959259960">
                          <w:marLeft w:val="0"/>
                          <w:marRight w:val="0"/>
                          <w:marTop w:val="0"/>
                          <w:marBottom w:val="0"/>
                          <w:divBdr>
                            <w:top w:val="none" w:sz="0" w:space="0" w:color="auto"/>
                            <w:left w:val="none" w:sz="0" w:space="0" w:color="auto"/>
                            <w:bottom w:val="none" w:sz="0" w:space="0" w:color="auto"/>
                            <w:right w:val="none" w:sz="0" w:space="0" w:color="auto"/>
                          </w:divBdr>
                          <w:divsChild>
                            <w:div w:id="44292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080855">
          <w:marLeft w:val="0"/>
          <w:marRight w:val="0"/>
          <w:marTop w:val="0"/>
          <w:marBottom w:val="0"/>
          <w:divBdr>
            <w:top w:val="none" w:sz="0" w:space="0" w:color="auto"/>
            <w:left w:val="none" w:sz="0" w:space="0" w:color="auto"/>
            <w:bottom w:val="none" w:sz="0" w:space="0" w:color="auto"/>
            <w:right w:val="none" w:sz="0" w:space="0" w:color="auto"/>
          </w:divBdr>
          <w:divsChild>
            <w:div w:id="594871622">
              <w:marLeft w:val="0"/>
              <w:marRight w:val="0"/>
              <w:marTop w:val="0"/>
              <w:marBottom w:val="0"/>
              <w:divBdr>
                <w:top w:val="none" w:sz="0" w:space="0" w:color="auto"/>
                <w:left w:val="none" w:sz="0" w:space="0" w:color="auto"/>
                <w:bottom w:val="none" w:sz="0" w:space="0" w:color="auto"/>
                <w:right w:val="none" w:sz="0" w:space="0" w:color="auto"/>
              </w:divBdr>
              <w:divsChild>
                <w:div w:id="1559128753">
                  <w:marLeft w:val="0"/>
                  <w:marRight w:val="0"/>
                  <w:marTop w:val="0"/>
                  <w:marBottom w:val="0"/>
                  <w:divBdr>
                    <w:top w:val="none" w:sz="0" w:space="0" w:color="auto"/>
                    <w:left w:val="none" w:sz="0" w:space="0" w:color="auto"/>
                    <w:bottom w:val="none" w:sz="0" w:space="0" w:color="auto"/>
                    <w:right w:val="none" w:sz="0" w:space="0" w:color="auto"/>
                  </w:divBdr>
                  <w:divsChild>
                    <w:div w:id="1953319583">
                      <w:marLeft w:val="0"/>
                      <w:marRight w:val="0"/>
                      <w:marTop w:val="0"/>
                      <w:marBottom w:val="0"/>
                      <w:divBdr>
                        <w:top w:val="none" w:sz="0" w:space="0" w:color="auto"/>
                        <w:left w:val="none" w:sz="0" w:space="0" w:color="auto"/>
                        <w:bottom w:val="none" w:sz="0" w:space="0" w:color="auto"/>
                        <w:right w:val="none" w:sz="0" w:space="0" w:color="auto"/>
                      </w:divBdr>
                      <w:divsChild>
                        <w:div w:id="299920111">
                          <w:marLeft w:val="0"/>
                          <w:marRight w:val="0"/>
                          <w:marTop w:val="0"/>
                          <w:marBottom w:val="0"/>
                          <w:divBdr>
                            <w:top w:val="none" w:sz="0" w:space="0" w:color="auto"/>
                            <w:left w:val="none" w:sz="0" w:space="0" w:color="auto"/>
                            <w:bottom w:val="none" w:sz="0" w:space="0" w:color="auto"/>
                            <w:right w:val="none" w:sz="0" w:space="0" w:color="auto"/>
                          </w:divBdr>
                          <w:divsChild>
                            <w:div w:id="988900070">
                              <w:marLeft w:val="0"/>
                              <w:marRight w:val="0"/>
                              <w:marTop w:val="0"/>
                              <w:marBottom w:val="0"/>
                              <w:divBdr>
                                <w:top w:val="none" w:sz="0" w:space="0" w:color="auto"/>
                                <w:left w:val="none" w:sz="0" w:space="0" w:color="auto"/>
                                <w:bottom w:val="none" w:sz="0" w:space="0" w:color="auto"/>
                                <w:right w:val="none" w:sz="0" w:space="0" w:color="auto"/>
                              </w:divBdr>
                              <w:divsChild>
                                <w:div w:id="14515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89">
          <w:marLeft w:val="0"/>
          <w:marRight w:val="0"/>
          <w:marTop w:val="0"/>
          <w:marBottom w:val="0"/>
          <w:divBdr>
            <w:top w:val="none" w:sz="0" w:space="0" w:color="auto"/>
            <w:left w:val="none" w:sz="0" w:space="0" w:color="auto"/>
            <w:bottom w:val="none" w:sz="0" w:space="0" w:color="auto"/>
            <w:right w:val="none" w:sz="0" w:space="0" w:color="auto"/>
          </w:divBdr>
          <w:divsChild>
            <w:div w:id="2046979275">
              <w:marLeft w:val="0"/>
              <w:marRight w:val="0"/>
              <w:marTop w:val="0"/>
              <w:marBottom w:val="0"/>
              <w:divBdr>
                <w:top w:val="none" w:sz="0" w:space="0" w:color="auto"/>
                <w:left w:val="none" w:sz="0" w:space="0" w:color="auto"/>
                <w:bottom w:val="none" w:sz="0" w:space="0" w:color="auto"/>
                <w:right w:val="none" w:sz="0" w:space="0" w:color="auto"/>
              </w:divBdr>
              <w:divsChild>
                <w:div w:id="2018656107">
                  <w:marLeft w:val="0"/>
                  <w:marRight w:val="0"/>
                  <w:marTop w:val="0"/>
                  <w:marBottom w:val="0"/>
                  <w:divBdr>
                    <w:top w:val="none" w:sz="0" w:space="0" w:color="auto"/>
                    <w:left w:val="none" w:sz="0" w:space="0" w:color="auto"/>
                    <w:bottom w:val="none" w:sz="0" w:space="0" w:color="auto"/>
                    <w:right w:val="none" w:sz="0" w:space="0" w:color="auto"/>
                  </w:divBdr>
                  <w:divsChild>
                    <w:div w:id="1319765542">
                      <w:marLeft w:val="0"/>
                      <w:marRight w:val="0"/>
                      <w:marTop w:val="0"/>
                      <w:marBottom w:val="0"/>
                      <w:divBdr>
                        <w:top w:val="none" w:sz="0" w:space="0" w:color="auto"/>
                        <w:left w:val="none" w:sz="0" w:space="0" w:color="auto"/>
                        <w:bottom w:val="none" w:sz="0" w:space="0" w:color="auto"/>
                        <w:right w:val="none" w:sz="0" w:space="0" w:color="auto"/>
                      </w:divBdr>
                      <w:divsChild>
                        <w:div w:id="978457537">
                          <w:marLeft w:val="0"/>
                          <w:marRight w:val="0"/>
                          <w:marTop w:val="0"/>
                          <w:marBottom w:val="0"/>
                          <w:divBdr>
                            <w:top w:val="none" w:sz="0" w:space="0" w:color="auto"/>
                            <w:left w:val="none" w:sz="0" w:space="0" w:color="auto"/>
                            <w:bottom w:val="none" w:sz="0" w:space="0" w:color="auto"/>
                            <w:right w:val="none" w:sz="0" w:space="0" w:color="auto"/>
                          </w:divBdr>
                          <w:divsChild>
                            <w:div w:id="44095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893361">
          <w:marLeft w:val="0"/>
          <w:marRight w:val="0"/>
          <w:marTop w:val="0"/>
          <w:marBottom w:val="0"/>
          <w:divBdr>
            <w:top w:val="none" w:sz="0" w:space="0" w:color="auto"/>
            <w:left w:val="none" w:sz="0" w:space="0" w:color="auto"/>
            <w:bottom w:val="none" w:sz="0" w:space="0" w:color="auto"/>
            <w:right w:val="none" w:sz="0" w:space="0" w:color="auto"/>
          </w:divBdr>
          <w:divsChild>
            <w:div w:id="850528021">
              <w:marLeft w:val="0"/>
              <w:marRight w:val="0"/>
              <w:marTop w:val="0"/>
              <w:marBottom w:val="0"/>
              <w:divBdr>
                <w:top w:val="none" w:sz="0" w:space="0" w:color="auto"/>
                <w:left w:val="none" w:sz="0" w:space="0" w:color="auto"/>
                <w:bottom w:val="none" w:sz="0" w:space="0" w:color="auto"/>
                <w:right w:val="none" w:sz="0" w:space="0" w:color="auto"/>
              </w:divBdr>
              <w:divsChild>
                <w:div w:id="787897422">
                  <w:marLeft w:val="0"/>
                  <w:marRight w:val="0"/>
                  <w:marTop w:val="0"/>
                  <w:marBottom w:val="0"/>
                  <w:divBdr>
                    <w:top w:val="none" w:sz="0" w:space="0" w:color="auto"/>
                    <w:left w:val="none" w:sz="0" w:space="0" w:color="auto"/>
                    <w:bottom w:val="none" w:sz="0" w:space="0" w:color="auto"/>
                    <w:right w:val="none" w:sz="0" w:space="0" w:color="auto"/>
                  </w:divBdr>
                  <w:divsChild>
                    <w:div w:id="1798601551">
                      <w:marLeft w:val="0"/>
                      <w:marRight w:val="0"/>
                      <w:marTop w:val="0"/>
                      <w:marBottom w:val="0"/>
                      <w:divBdr>
                        <w:top w:val="none" w:sz="0" w:space="0" w:color="auto"/>
                        <w:left w:val="none" w:sz="0" w:space="0" w:color="auto"/>
                        <w:bottom w:val="none" w:sz="0" w:space="0" w:color="auto"/>
                        <w:right w:val="none" w:sz="0" w:space="0" w:color="auto"/>
                      </w:divBdr>
                      <w:divsChild>
                        <w:div w:id="1968311053">
                          <w:marLeft w:val="0"/>
                          <w:marRight w:val="0"/>
                          <w:marTop w:val="0"/>
                          <w:marBottom w:val="0"/>
                          <w:divBdr>
                            <w:top w:val="none" w:sz="0" w:space="0" w:color="auto"/>
                            <w:left w:val="none" w:sz="0" w:space="0" w:color="auto"/>
                            <w:bottom w:val="none" w:sz="0" w:space="0" w:color="auto"/>
                            <w:right w:val="none" w:sz="0" w:space="0" w:color="auto"/>
                          </w:divBdr>
                          <w:divsChild>
                            <w:div w:id="2123835975">
                              <w:marLeft w:val="0"/>
                              <w:marRight w:val="0"/>
                              <w:marTop w:val="0"/>
                              <w:marBottom w:val="0"/>
                              <w:divBdr>
                                <w:top w:val="none" w:sz="0" w:space="0" w:color="auto"/>
                                <w:left w:val="none" w:sz="0" w:space="0" w:color="auto"/>
                                <w:bottom w:val="none" w:sz="0" w:space="0" w:color="auto"/>
                                <w:right w:val="none" w:sz="0" w:space="0" w:color="auto"/>
                              </w:divBdr>
                              <w:divsChild>
                                <w:div w:id="6580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87415">
          <w:marLeft w:val="0"/>
          <w:marRight w:val="0"/>
          <w:marTop w:val="0"/>
          <w:marBottom w:val="0"/>
          <w:divBdr>
            <w:top w:val="none" w:sz="0" w:space="0" w:color="auto"/>
            <w:left w:val="none" w:sz="0" w:space="0" w:color="auto"/>
            <w:bottom w:val="none" w:sz="0" w:space="0" w:color="auto"/>
            <w:right w:val="none" w:sz="0" w:space="0" w:color="auto"/>
          </w:divBdr>
          <w:divsChild>
            <w:div w:id="1677880882">
              <w:marLeft w:val="0"/>
              <w:marRight w:val="0"/>
              <w:marTop w:val="0"/>
              <w:marBottom w:val="0"/>
              <w:divBdr>
                <w:top w:val="none" w:sz="0" w:space="0" w:color="auto"/>
                <w:left w:val="none" w:sz="0" w:space="0" w:color="auto"/>
                <w:bottom w:val="none" w:sz="0" w:space="0" w:color="auto"/>
                <w:right w:val="none" w:sz="0" w:space="0" w:color="auto"/>
              </w:divBdr>
              <w:divsChild>
                <w:div w:id="266934900">
                  <w:marLeft w:val="0"/>
                  <w:marRight w:val="0"/>
                  <w:marTop w:val="0"/>
                  <w:marBottom w:val="0"/>
                  <w:divBdr>
                    <w:top w:val="none" w:sz="0" w:space="0" w:color="auto"/>
                    <w:left w:val="none" w:sz="0" w:space="0" w:color="auto"/>
                    <w:bottom w:val="none" w:sz="0" w:space="0" w:color="auto"/>
                    <w:right w:val="none" w:sz="0" w:space="0" w:color="auto"/>
                  </w:divBdr>
                  <w:divsChild>
                    <w:div w:id="573784052">
                      <w:marLeft w:val="0"/>
                      <w:marRight w:val="0"/>
                      <w:marTop w:val="0"/>
                      <w:marBottom w:val="0"/>
                      <w:divBdr>
                        <w:top w:val="none" w:sz="0" w:space="0" w:color="auto"/>
                        <w:left w:val="none" w:sz="0" w:space="0" w:color="auto"/>
                        <w:bottom w:val="none" w:sz="0" w:space="0" w:color="auto"/>
                        <w:right w:val="none" w:sz="0" w:space="0" w:color="auto"/>
                      </w:divBdr>
                      <w:divsChild>
                        <w:div w:id="508525698">
                          <w:marLeft w:val="0"/>
                          <w:marRight w:val="0"/>
                          <w:marTop w:val="0"/>
                          <w:marBottom w:val="0"/>
                          <w:divBdr>
                            <w:top w:val="none" w:sz="0" w:space="0" w:color="auto"/>
                            <w:left w:val="none" w:sz="0" w:space="0" w:color="auto"/>
                            <w:bottom w:val="none" w:sz="0" w:space="0" w:color="auto"/>
                            <w:right w:val="none" w:sz="0" w:space="0" w:color="auto"/>
                          </w:divBdr>
                          <w:divsChild>
                            <w:div w:id="13954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97804">
          <w:marLeft w:val="0"/>
          <w:marRight w:val="0"/>
          <w:marTop w:val="0"/>
          <w:marBottom w:val="0"/>
          <w:divBdr>
            <w:top w:val="none" w:sz="0" w:space="0" w:color="auto"/>
            <w:left w:val="none" w:sz="0" w:space="0" w:color="auto"/>
            <w:bottom w:val="none" w:sz="0" w:space="0" w:color="auto"/>
            <w:right w:val="none" w:sz="0" w:space="0" w:color="auto"/>
          </w:divBdr>
          <w:divsChild>
            <w:div w:id="307515992">
              <w:marLeft w:val="0"/>
              <w:marRight w:val="0"/>
              <w:marTop w:val="0"/>
              <w:marBottom w:val="0"/>
              <w:divBdr>
                <w:top w:val="none" w:sz="0" w:space="0" w:color="auto"/>
                <w:left w:val="none" w:sz="0" w:space="0" w:color="auto"/>
                <w:bottom w:val="none" w:sz="0" w:space="0" w:color="auto"/>
                <w:right w:val="none" w:sz="0" w:space="0" w:color="auto"/>
              </w:divBdr>
              <w:divsChild>
                <w:div w:id="1928612072">
                  <w:marLeft w:val="0"/>
                  <w:marRight w:val="0"/>
                  <w:marTop w:val="0"/>
                  <w:marBottom w:val="0"/>
                  <w:divBdr>
                    <w:top w:val="none" w:sz="0" w:space="0" w:color="auto"/>
                    <w:left w:val="none" w:sz="0" w:space="0" w:color="auto"/>
                    <w:bottom w:val="none" w:sz="0" w:space="0" w:color="auto"/>
                    <w:right w:val="none" w:sz="0" w:space="0" w:color="auto"/>
                  </w:divBdr>
                  <w:divsChild>
                    <w:div w:id="451174189">
                      <w:marLeft w:val="0"/>
                      <w:marRight w:val="0"/>
                      <w:marTop w:val="0"/>
                      <w:marBottom w:val="0"/>
                      <w:divBdr>
                        <w:top w:val="none" w:sz="0" w:space="0" w:color="auto"/>
                        <w:left w:val="none" w:sz="0" w:space="0" w:color="auto"/>
                        <w:bottom w:val="none" w:sz="0" w:space="0" w:color="auto"/>
                        <w:right w:val="none" w:sz="0" w:space="0" w:color="auto"/>
                      </w:divBdr>
                      <w:divsChild>
                        <w:div w:id="811555760">
                          <w:marLeft w:val="0"/>
                          <w:marRight w:val="0"/>
                          <w:marTop w:val="0"/>
                          <w:marBottom w:val="0"/>
                          <w:divBdr>
                            <w:top w:val="none" w:sz="0" w:space="0" w:color="auto"/>
                            <w:left w:val="none" w:sz="0" w:space="0" w:color="auto"/>
                            <w:bottom w:val="none" w:sz="0" w:space="0" w:color="auto"/>
                            <w:right w:val="none" w:sz="0" w:space="0" w:color="auto"/>
                          </w:divBdr>
                          <w:divsChild>
                            <w:div w:id="1514765052">
                              <w:marLeft w:val="0"/>
                              <w:marRight w:val="0"/>
                              <w:marTop w:val="0"/>
                              <w:marBottom w:val="0"/>
                              <w:divBdr>
                                <w:top w:val="none" w:sz="0" w:space="0" w:color="auto"/>
                                <w:left w:val="none" w:sz="0" w:space="0" w:color="auto"/>
                                <w:bottom w:val="none" w:sz="0" w:space="0" w:color="auto"/>
                                <w:right w:val="none" w:sz="0" w:space="0" w:color="auto"/>
                              </w:divBdr>
                              <w:divsChild>
                                <w:div w:id="15420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268680">
          <w:marLeft w:val="0"/>
          <w:marRight w:val="0"/>
          <w:marTop w:val="0"/>
          <w:marBottom w:val="0"/>
          <w:divBdr>
            <w:top w:val="none" w:sz="0" w:space="0" w:color="auto"/>
            <w:left w:val="none" w:sz="0" w:space="0" w:color="auto"/>
            <w:bottom w:val="none" w:sz="0" w:space="0" w:color="auto"/>
            <w:right w:val="none" w:sz="0" w:space="0" w:color="auto"/>
          </w:divBdr>
          <w:divsChild>
            <w:div w:id="1497191585">
              <w:marLeft w:val="0"/>
              <w:marRight w:val="0"/>
              <w:marTop w:val="0"/>
              <w:marBottom w:val="0"/>
              <w:divBdr>
                <w:top w:val="none" w:sz="0" w:space="0" w:color="auto"/>
                <w:left w:val="none" w:sz="0" w:space="0" w:color="auto"/>
                <w:bottom w:val="none" w:sz="0" w:space="0" w:color="auto"/>
                <w:right w:val="none" w:sz="0" w:space="0" w:color="auto"/>
              </w:divBdr>
              <w:divsChild>
                <w:div w:id="690955699">
                  <w:marLeft w:val="0"/>
                  <w:marRight w:val="0"/>
                  <w:marTop w:val="0"/>
                  <w:marBottom w:val="0"/>
                  <w:divBdr>
                    <w:top w:val="none" w:sz="0" w:space="0" w:color="auto"/>
                    <w:left w:val="none" w:sz="0" w:space="0" w:color="auto"/>
                    <w:bottom w:val="none" w:sz="0" w:space="0" w:color="auto"/>
                    <w:right w:val="none" w:sz="0" w:space="0" w:color="auto"/>
                  </w:divBdr>
                  <w:divsChild>
                    <w:div w:id="1335841462">
                      <w:marLeft w:val="0"/>
                      <w:marRight w:val="0"/>
                      <w:marTop w:val="0"/>
                      <w:marBottom w:val="0"/>
                      <w:divBdr>
                        <w:top w:val="none" w:sz="0" w:space="0" w:color="auto"/>
                        <w:left w:val="none" w:sz="0" w:space="0" w:color="auto"/>
                        <w:bottom w:val="none" w:sz="0" w:space="0" w:color="auto"/>
                        <w:right w:val="none" w:sz="0" w:space="0" w:color="auto"/>
                      </w:divBdr>
                      <w:divsChild>
                        <w:div w:id="122384694">
                          <w:marLeft w:val="0"/>
                          <w:marRight w:val="0"/>
                          <w:marTop w:val="0"/>
                          <w:marBottom w:val="0"/>
                          <w:divBdr>
                            <w:top w:val="none" w:sz="0" w:space="0" w:color="auto"/>
                            <w:left w:val="none" w:sz="0" w:space="0" w:color="auto"/>
                            <w:bottom w:val="none" w:sz="0" w:space="0" w:color="auto"/>
                            <w:right w:val="none" w:sz="0" w:space="0" w:color="auto"/>
                          </w:divBdr>
                          <w:divsChild>
                            <w:div w:id="2839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835657">
      <w:bodyDiv w:val="1"/>
      <w:marLeft w:val="0"/>
      <w:marRight w:val="0"/>
      <w:marTop w:val="0"/>
      <w:marBottom w:val="0"/>
      <w:divBdr>
        <w:top w:val="none" w:sz="0" w:space="0" w:color="auto"/>
        <w:left w:val="none" w:sz="0" w:space="0" w:color="auto"/>
        <w:bottom w:val="none" w:sz="0" w:space="0" w:color="auto"/>
        <w:right w:val="none" w:sz="0" w:space="0" w:color="auto"/>
      </w:divBdr>
    </w:div>
    <w:div w:id="2079404762">
      <w:bodyDiv w:val="1"/>
      <w:marLeft w:val="0"/>
      <w:marRight w:val="0"/>
      <w:marTop w:val="0"/>
      <w:marBottom w:val="0"/>
      <w:divBdr>
        <w:top w:val="none" w:sz="0" w:space="0" w:color="auto"/>
        <w:left w:val="none" w:sz="0" w:space="0" w:color="auto"/>
        <w:bottom w:val="none" w:sz="0" w:space="0" w:color="auto"/>
        <w:right w:val="none" w:sz="0" w:space="0" w:color="auto"/>
      </w:divBdr>
      <w:divsChild>
        <w:div w:id="1148862028">
          <w:marLeft w:val="0"/>
          <w:marRight w:val="0"/>
          <w:marTop w:val="0"/>
          <w:marBottom w:val="0"/>
          <w:divBdr>
            <w:top w:val="none" w:sz="0" w:space="0" w:color="auto"/>
            <w:left w:val="none" w:sz="0" w:space="0" w:color="auto"/>
            <w:bottom w:val="none" w:sz="0" w:space="0" w:color="auto"/>
            <w:right w:val="none" w:sz="0" w:space="0" w:color="auto"/>
          </w:divBdr>
          <w:divsChild>
            <w:div w:id="1829862530">
              <w:marLeft w:val="0"/>
              <w:marRight w:val="0"/>
              <w:marTop w:val="0"/>
              <w:marBottom w:val="0"/>
              <w:divBdr>
                <w:top w:val="none" w:sz="0" w:space="0" w:color="auto"/>
                <w:left w:val="none" w:sz="0" w:space="0" w:color="auto"/>
                <w:bottom w:val="none" w:sz="0" w:space="0" w:color="auto"/>
                <w:right w:val="none" w:sz="0" w:space="0" w:color="auto"/>
              </w:divBdr>
              <w:divsChild>
                <w:div w:id="1828091475">
                  <w:marLeft w:val="0"/>
                  <w:marRight w:val="0"/>
                  <w:marTop w:val="0"/>
                  <w:marBottom w:val="0"/>
                  <w:divBdr>
                    <w:top w:val="none" w:sz="0" w:space="0" w:color="auto"/>
                    <w:left w:val="none" w:sz="0" w:space="0" w:color="auto"/>
                    <w:bottom w:val="none" w:sz="0" w:space="0" w:color="auto"/>
                    <w:right w:val="none" w:sz="0" w:space="0" w:color="auto"/>
                  </w:divBdr>
                  <w:divsChild>
                    <w:div w:id="2085644241">
                      <w:marLeft w:val="0"/>
                      <w:marRight w:val="0"/>
                      <w:marTop w:val="0"/>
                      <w:marBottom w:val="0"/>
                      <w:divBdr>
                        <w:top w:val="none" w:sz="0" w:space="0" w:color="auto"/>
                        <w:left w:val="none" w:sz="0" w:space="0" w:color="auto"/>
                        <w:bottom w:val="none" w:sz="0" w:space="0" w:color="auto"/>
                        <w:right w:val="none" w:sz="0" w:space="0" w:color="auto"/>
                      </w:divBdr>
                      <w:divsChild>
                        <w:div w:id="1738091780">
                          <w:marLeft w:val="0"/>
                          <w:marRight w:val="0"/>
                          <w:marTop w:val="0"/>
                          <w:marBottom w:val="0"/>
                          <w:divBdr>
                            <w:top w:val="none" w:sz="0" w:space="0" w:color="auto"/>
                            <w:left w:val="none" w:sz="0" w:space="0" w:color="auto"/>
                            <w:bottom w:val="none" w:sz="0" w:space="0" w:color="auto"/>
                            <w:right w:val="none" w:sz="0" w:space="0" w:color="auto"/>
                          </w:divBdr>
                          <w:divsChild>
                            <w:div w:id="148728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8812">
      <w:bodyDiv w:val="1"/>
      <w:marLeft w:val="0"/>
      <w:marRight w:val="0"/>
      <w:marTop w:val="0"/>
      <w:marBottom w:val="0"/>
      <w:divBdr>
        <w:top w:val="none" w:sz="0" w:space="0" w:color="auto"/>
        <w:left w:val="none" w:sz="0" w:space="0" w:color="auto"/>
        <w:bottom w:val="none" w:sz="0" w:space="0" w:color="auto"/>
        <w:right w:val="none" w:sz="0" w:space="0" w:color="auto"/>
      </w:divBdr>
    </w:div>
    <w:div w:id="2103137071">
      <w:bodyDiv w:val="1"/>
      <w:marLeft w:val="0"/>
      <w:marRight w:val="0"/>
      <w:marTop w:val="0"/>
      <w:marBottom w:val="0"/>
      <w:divBdr>
        <w:top w:val="none" w:sz="0" w:space="0" w:color="auto"/>
        <w:left w:val="none" w:sz="0" w:space="0" w:color="auto"/>
        <w:bottom w:val="none" w:sz="0" w:space="0" w:color="auto"/>
        <w:right w:val="none" w:sz="0" w:space="0" w:color="auto"/>
      </w:divBdr>
    </w:div>
    <w:div w:id="2109765030">
      <w:bodyDiv w:val="1"/>
      <w:marLeft w:val="0"/>
      <w:marRight w:val="0"/>
      <w:marTop w:val="0"/>
      <w:marBottom w:val="0"/>
      <w:divBdr>
        <w:top w:val="none" w:sz="0" w:space="0" w:color="auto"/>
        <w:left w:val="none" w:sz="0" w:space="0" w:color="auto"/>
        <w:bottom w:val="none" w:sz="0" w:space="0" w:color="auto"/>
        <w:right w:val="none" w:sz="0" w:space="0" w:color="auto"/>
      </w:divBdr>
    </w:div>
    <w:div w:id="2113624061">
      <w:bodyDiv w:val="1"/>
      <w:marLeft w:val="0"/>
      <w:marRight w:val="0"/>
      <w:marTop w:val="0"/>
      <w:marBottom w:val="0"/>
      <w:divBdr>
        <w:top w:val="none" w:sz="0" w:space="0" w:color="auto"/>
        <w:left w:val="none" w:sz="0" w:space="0" w:color="auto"/>
        <w:bottom w:val="none" w:sz="0" w:space="0" w:color="auto"/>
        <w:right w:val="none" w:sz="0" w:space="0" w:color="auto"/>
      </w:divBdr>
    </w:div>
    <w:div w:id="2122994337">
      <w:bodyDiv w:val="1"/>
      <w:marLeft w:val="0"/>
      <w:marRight w:val="0"/>
      <w:marTop w:val="0"/>
      <w:marBottom w:val="0"/>
      <w:divBdr>
        <w:top w:val="none" w:sz="0" w:space="0" w:color="auto"/>
        <w:left w:val="none" w:sz="0" w:space="0" w:color="auto"/>
        <w:bottom w:val="none" w:sz="0" w:space="0" w:color="auto"/>
        <w:right w:val="none" w:sz="0" w:space="0" w:color="auto"/>
      </w:divBdr>
    </w:div>
    <w:div w:id="2126456581">
      <w:bodyDiv w:val="1"/>
      <w:marLeft w:val="0"/>
      <w:marRight w:val="0"/>
      <w:marTop w:val="0"/>
      <w:marBottom w:val="0"/>
      <w:divBdr>
        <w:top w:val="none" w:sz="0" w:space="0" w:color="auto"/>
        <w:left w:val="none" w:sz="0" w:space="0" w:color="auto"/>
        <w:bottom w:val="none" w:sz="0" w:space="0" w:color="auto"/>
        <w:right w:val="none" w:sz="0" w:space="0" w:color="auto"/>
      </w:divBdr>
    </w:div>
    <w:div w:id="2132044203">
      <w:bodyDiv w:val="1"/>
      <w:marLeft w:val="0"/>
      <w:marRight w:val="0"/>
      <w:marTop w:val="0"/>
      <w:marBottom w:val="0"/>
      <w:divBdr>
        <w:top w:val="none" w:sz="0" w:space="0" w:color="auto"/>
        <w:left w:val="none" w:sz="0" w:space="0" w:color="auto"/>
        <w:bottom w:val="none" w:sz="0" w:space="0" w:color="auto"/>
        <w:right w:val="none" w:sz="0" w:space="0" w:color="auto"/>
      </w:divBdr>
    </w:div>
    <w:div w:id="2135243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microsoft.com/office/2014/relationships/chartEx" Target="charts/chartEx1.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9.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image" Target="media/image6.png"/><Relationship Id="rId50" Type="http://schemas.openxmlformats.org/officeDocument/2006/relationships/chart" Target="charts/chart3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5.xml"/><Relationship Id="rId11" Type="http://schemas.openxmlformats.org/officeDocument/2006/relationships/chart" Target="charts/chart1.xml"/><Relationship Id="rId24" Type="http://schemas.microsoft.com/office/2014/relationships/chartEx" Target="charts/chartEx2.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29.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chart" Target="charts/chart17.xml"/><Relationship Id="rId44" Type="http://schemas.openxmlformats.org/officeDocument/2006/relationships/image" Target="media/image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microsoft.com/office/2014/relationships/chartEx" Target="charts/chartEx3.xml"/><Relationship Id="rId48" Type="http://schemas.microsoft.com/office/2014/relationships/chartEx" Target="charts/chartEx5.xml"/><Relationship Id="rId8" Type="http://schemas.openxmlformats.org/officeDocument/2006/relationships/image" Target="media/image1.jpeg"/><Relationship Id="rId51" Type="http://schemas.openxmlformats.org/officeDocument/2006/relationships/chart" Target="charts/chart3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4.png"/><Relationship Id="rId33" Type="http://schemas.openxmlformats.org/officeDocument/2006/relationships/chart" Target="charts/chart19.xml"/><Relationship Id="rId38" Type="http://schemas.openxmlformats.org/officeDocument/2006/relationships/chart" Target="charts/chart24.xml"/><Relationship Id="rId46" Type="http://schemas.microsoft.com/office/2014/relationships/chartEx" Target="charts/chartEx4.xml"/><Relationship Id="rId20" Type="http://schemas.openxmlformats.org/officeDocument/2006/relationships/chart" Target="charts/chart8.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nazmije.g.krasniqi\Desktop\Copy%20of%20tabela%20te%20dhenat%20nga%20komunat%202025%20majlinda%2008%20Prill%202026.xlsx" TargetMode="External"/></Relationships>
</file>

<file path=word/charts/_rels/chart1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17.xlsx"/></Relationships>
</file>

<file path=word/charts/_rels/chart2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22.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18.xlsx"/></Relationships>
</file>

<file path=word/charts/_rels/chart23.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9.xlsx"/></Relationships>
</file>

<file path=word/charts/_rels/chart2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0.xlsx"/></Relationships>
</file>

<file path=word/charts/_rels/chart2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1.xlsx"/></Relationships>
</file>

<file path=word/charts/_rels/chart2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2.xlsx"/></Relationships>
</file>

<file path=word/charts/_rels/chart2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4.xlsx"/></Relationships>
</file>

<file path=word/charts/_rels/chart2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25.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26.xlsx"/></Relationships>
</file>

<file path=word/charts/_rels/chart3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27.xlsx"/></Relationships>
</file>

<file path=word/charts/_rels/chart4.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nazmije.g.krasniqi\AppData\Local\Microsoft\Windows\INetCache\Content.Outlook\B74GVCYZ\tabela%20te%20dhenat%20nga%20komunat%202025%20majlinda%2008%20Prill%202026.xlsx" TargetMode="External"/></Relationships>
</file>

<file path=word/charts/_rels/chart5.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Ex1.xml.rels><?xml version="1.0" encoding="UTF-8" standalone="yes"?>
<Relationships xmlns="http://schemas.openxmlformats.org/package/2006/relationships"><Relationship Id="rId3" Type="http://schemas.microsoft.com/office/2011/relationships/chartStyle" Target="style8.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8.xml"/></Relationships>
</file>

<file path=word/charts/_rels/chartEx2.xml.rels><?xml version="1.0" encoding="UTF-8" standalone="yes"?>
<Relationships xmlns="http://schemas.openxmlformats.org/package/2006/relationships"><Relationship Id="rId3" Type="http://schemas.microsoft.com/office/2011/relationships/chartStyle" Target="style13.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5" Type="http://schemas.openxmlformats.org/officeDocument/2006/relationships/themeOverride" Target="../theme/themeOverride1.xml"/><Relationship Id="rId4" Type="http://schemas.microsoft.com/office/2011/relationships/chartColorStyle" Target="colors13.xml"/></Relationships>
</file>

<file path=word/charts/_rels/chartEx3.xml.rels><?xml version="1.0" encoding="UTF-8" standalone="yes"?>
<Relationships xmlns="http://schemas.openxmlformats.org/package/2006/relationships"><Relationship Id="rId3" Type="http://schemas.microsoft.com/office/2011/relationships/chartStyle" Target="style31.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1.xml"/></Relationships>
</file>

<file path=word/charts/_rels/chartEx4.xml.rels><?xml version="1.0" encoding="UTF-8" standalone="yes"?>
<Relationships xmlns="http://schemas.openxmlformats.org/package/2006/relationships"><Relationship Id="rId3" Type="http://schemas.microsoft.com/office/2011/relationships/chartStyle" Target="style33.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3.xml"/></Relationships>
</file>

<file path=word/charts/_rels/chartEx5.xml.rels><?xml version="1.0" encoding="UTF-8" standalone="yes"?>
<Relationships xmlns="http://schemas.openxmlformats.org/package/2006/relationships"><Relationship Id="rId3" Type="http://schemas.microsoft.com/office/2011/relationships/chartStyle" Target="style34.xml"/><Relationship Id="rId2" Type="http://schemas.openxmlformats.org/officeDocument/2006/relationships/image" Target="../media/image2.jpeg"/><Relationship Id="rId1" Type="http://schemas.openxmlformats.org/officeDocument/2006/relationships/oleObject" Target="file:///C:\Users\nazmije.g.krasniqi\AppData\Local\Microsoft\Windows\INetCache\Content.Outlook\B74GVCYZ\tabela%20te%20dhenat%20nga%20komunat%202025%20majlinda%2008%20Prill%202026.xlsx" TargetMode="External"/><Relationship Id="rId4" Type="http://schemas.microsoft.com/office/2011/relationships/chartColorStyle" Target="colors3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'!$J$7</c:f>
              <c:strCache>
                <c:ptCount val="1"/>
                <c:pt idx="0">
                  <c:v>Njoftimi për mbledhjet e Kuvendit të  Komunave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'!$I$8:$I$45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'!$J$8:$J$45</c:f>
              <c:numCache>
                <c:formatCode>General</c:formatCode>
                <c:ptCount val="38"/>
                <c:pt idx="0">
                  <c:v>14</c:v>
                </c:pt>
                <c:pt idx="1">
                  <c:v>11</c:v>
                </c:pt>
                <c:pt idx="2">
                  <c:v>9</c:v>
                </c:pt>
                <c:pt idx="3">
                  <c:v>10</c:v>
                </c:pt>
                <c:pt idx="4">
                  <c:v>20</c:v>
                </c:pt>
                <c:pt idx="5">
                  <c:v>14</c:v>
                </c:pt>
                <c:pt idx="6">
                  <c:v>14</c:v>
                </c:pt>
                <c:pt idx="7">
                  <c:v>9</c:v>
                </c:pt>
                <c:pt idx="8">
                  <c:v>10</c:v>
                </c:pt>
                <c:pt idx="9">
                  <c:v>12</c:v>
                </c:pt>
                <c:pt idx="10">
                  <c:v>12</c:v>
                </c:pt>
                <c:pt idx="11">
                  <c:v>14</c:v>
                </c:pt>
                <c:pt idx="12">
                  <c:v>13</c:v>
                </c:pt>
                <c:pt idx="13">
                  <c:v>1</c:v>
                </c:pt>
                <c:pt idx="14">
                  <c:v>9</c:v>
                </c:pt>
                <c:pt idx="15">
                  <c:v>11</c:v>
                </c:pt>
                <c:pt idx="16">
                  <c:v>7</c:v>
                </c:pt>
                <c:pt idx="17">
                  <c:v>4</c:v>
                </c:pt>
                <c:pt idx="18">
                  <c:v>18</c:v>
                </c:pt>
                <c:pt idx="19">
                  <c:v>3</c:v>
                </c:pt>
                <c:pt idx="20">
                  <c:v>9</c:v>
                </c:pt>
                <c:pt idx="21">
                  <c:v>12</c:v>
                </c:pt>
                <c:pt idx="22">
                  <c:v>26</c:v>
                </c:pt>
                <c:pt idx="23">
                  <c:v>13</c:v>
                </c:pt>
                <c:pt idx="24">
                  <c:v>13</c:v>
                </c:pt>
                <c:pt idx="25">
                  <c:v>0</c:v>
                </c:pt>
                <c:pt idx="26">
                  <c:v>15</c:v>
                </c:pt>
                <c:pt idx="27">
                  <c:v>0</c:v>
                </c:pt>
                <c:pt idx="28">
                  <c:v>9</c:v>
                </c:pt>
                <c:pt idx="29">
                  <c:v>10</c:v>
                </c:pt>
                <c:pt idx="30">
                  <c:v>15</c:v>
                </c:pt>
                <c:pt idx="31">
                  <c:v>14</c:v>
                </c:pt>
                <c:pt idx="32">
                  <c:v>0</c:v>
                </c:pt>
                <c:pt idx="33">
                  <c:v>0</c:v>
                </c:pt>
                <c:pt idx="34">
                  <c:v>0</c:v>
                </c:pt>
                <c:pt idx="35">
                  <c:v>3</c:v>
                </c:pt>
                <c:pt idx="36">
                  <c:v>3</c:v>
                </c:pt>
                <c:pt idx="37">
                  <c:v>16</c:v>
                </c:pt>
              </c:numCache>
            </c:numRef>
          </c:val>
          <c:extLst>
            <c:ext xmlns:c16="http://schemas.microsoft.com/office/drawing/2014/chart" uri="{C3380CC4-5D6E-409C-BE32-E72D297353CC}">
              <c16:uniqueId val="{00000000-C733-4824-82F0-7447F56BECA4}"/>
            </c:ext>
          </c:extLst>
        </c:ser>
        <c:dLbls>
          <c:showLegendKey val="0"/>
          <c:showVal val="1"/>
          <c:showCatName val="0"/>
          <c:showSerName val="0"/>
          <c:showPercent val="0"/>
          <c:showBubbleSize val="0"/>
        </c:dLbls>
        <c:gapWidth val="150"/>
        <c:overlap val="-25"/>
        <c:axId val="623392400"/>
        <c:axId val="623390048"/>
      </c:barChart>
      <c:catAx>
        <c:axId val="62339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623390048"/>
        <c:crosses val="autoZero"/>
        <c:auto val="1"/>
        <c:lblAlgn val="ctr"/>
        <c:lblOffset val="100"/>
        <c:noMultiLvlLbl val="0"/>
      </c:catAx>
      <c:valAx>
        <c:axId val="623390048"/>
        <c:scaling>
          <c:orientation val="minMax"/>
        </c:scaling>
        <c:delete val="1"/>
        <c:axPos val="l"/>
        <c:numFmt formatCode="General" sourceLinked="1"/>
        <c:majorTickMark val="none"/>
        <c:minorTickMark val="none"/>
        <c:tickLblPos val="nextTo"/>
        <c:crossAx val="6233924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228803716608595E-2"/>
          <c:y val="0.12377859709929169"/>
          <c:w val="0.95354239256678286"/>
          <c:h val="0.52763535281871154"/>
        </c:manualLayout>
      </c:layout>
      <c:bar3DChart>
        <c:barDir val="col"/>
        <c:grouping val="stacked"/>
        <c:varyColors val="0"/>
        <c:ser>
          <c:idx val="0"/>
          <c:order val="0"/>
          <c:tx>
            <c:strRef>
              <c:f>'PUBLIKIMI K.K PLANET STRATEGJIK'!$W$8</c:f>
              <c:strCache>
                <c:ptCount val="1"/>
                <c:pt idx="0">
                  <c:v>Planet dhe dokumente strategjike</c:v>
                </c:pt>
              </c:strCache>
            </c:strRef>
          </c:tx>
          <c:spPr>
            <a:solidFill>
              <a:schemeClr val="accent1"/>
            </a:solidFill>
            <a:ln>
              <a:noFill/>
            </a:ln>
            <a:effectLst/>
            <a:sp3d/>
          </c:spPr>
          <c:invertIfNegative val="0"/>
          <c:dLbls>
            <c:dLbl>
              <c:idx val="0"/>
              <c:layout>
                <c:manualLayout>
                  <c:x val="1.0558547143912998E-2"/>
                  <c:y val="-9.4534711964549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FC-4105-B9ED-4F9C5C56D70D}"/>
                </c:ext>
              </c:extLst>
            </c:dLbl>
            <c:dLbl>
              <c:idx val="1"/>
              <c:layout>
                <c:manualLayout>
                  <c:x val="6.3351282863477985E-3"/>
                  <c:y val="-0.135893648449039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FC-4105-B9ED-4F9C5C56D70D}"/>
                </c:ext>
              </c:extLst>
            </c:dLbl>
            <c:dLbl>
              <c:idx val="2"/>
              <c:layout>
                <c:manualLayout>
                  <c:x val="7.3909830007390775E-3"/>
                  <c:y val="-0.153618906942392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7FC-4105-B9ED-4F9C5C56D70D}"/>
                </c:ext>
              </c:extLst>
            </c:dLbl>
            <c:dLbl>
              <c:idx val="3"/>
              <c:layout>
                <c:manualLayout>
                  <c:x val="-1.935711281548811E-17"/>
                  <c:y val="-6.49926144756277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7FC-4105-B9ED-4F9C5C56D70D}"/>
                </c:ext>
              </c:extLst>
            </c:dLbl>
            <c:dLbl>
              <c:idx val="4"/>
              <c:layout>
                <c:manualLayout>
                  <c:x val="8.446837715130398E-3"/>
                  <c:y val="-0.1240768094534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7FC-4105-B9ED-4F9C5C56D70D}"/>
                </c:ext>
              </c:extLst>
            </c:dLbl>
            <c:dLbl>
              <c:idx val="5"/>
              <c:layout>
                <c:manualLayout>
                  <c:x val="1.2670256572695597E-2"/>
                  <c:y val="-0.21270310192023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FC-4105-B9ED-4F9C5C56D70D}"/>
                </c:ext>
              </c:extLst>
            </c:dLbl>
            <c:dLbl>
              <c:idx val="6"/>
              <c:layout>
                <c:manualLayout>
                  <c:x val="0"/>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7FC-4105-B9ED-4F9C5C56D70D}"/>
                </c:ext>
              </c:extLst>
            </c:dLbl>
            <c:dLbl>
              <c:idx val="7"/>
              <c:layout>
                <c:manualLayout>
                  <c:x val="4.22341885756516E-3"/>
                  <c:y val="-8.862629246676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7FC-4105-B9ED-4F9C5C56D70D}"/>
                </c:ext>
              </c:extLst>
            </c:dLbl>
            <c:dLbl>
              <c:idx val="8"/>
              <c:layout>
                <c:manualLayout>
                  <c:x val="6.3351282863477595E-3"/>
                  <c:y val="-0.16543574593796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7FC-4105-B9ED-4F9C5C56D70D}"/>
                </c:ext>
              </c:extLst>
            </c:dLbl>
            <c:dLbl>
              <c:idx val="9"/>
              <c:layout>
                <c:manualLayout>
                  <c:x val="2.1117094287825995E-3"/>
                  <c:y val="-0.1240768094534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7FC-4105-B9ED-4F9C5C56D70D}"/>
                </c:ext>
              </c:extLst>
            </c:dLbl>
            <c:dLbl>
              <c:idx val="10"/>
              <c:layout>
                <c:manualLayout>
                  <c:x val="2.1117094287825995E-3"/>
                  <c:y val="-0.106351550960118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7FC-4105-B9ED-4F9C5C56D70D}"/>
                </c:ext>
              </c:extLst>
            </c:dLbl>
            <c:dLbl>
              <c:idx val="11"/>
              <c:layout>
                <c:manualLayout>
                  <c:x val="4.22341885756516E-3"/>
                  <c:y val="-0.147710487444608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FC-4105-B9ED-4F9C5C56D70D}"/>
                </c:ext>
              </c:extLst>
            </c:dLbl>
            <c:dLbl>
              <c:idx val="13"/>
              <c:layout>
                <c:manualLayout>
                  <c:x val="0"/>
                  <c:y val="-0.14771048744460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FC-4105-B9ED-4F9C5C56D70D}"/>
                </c:ext>
              </c:extLst>
            </c:dLbl>
            <c:dLbl>
              <c:idx val="14"/>
              <c:layout>
                <c:manualLayout>
                  <c:x val="-4.223418857565199E-3"/>
                  <c:y val="-0.183161004431314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7FC-4105-B9ED-4F9C5C56D70D}"/>
                </c:ext>
              </c:extLst>
            </c:dLbl>
            <c:dLbl>
              <c:idx val="15"/>
              <c:layout>
                <c:manualLayout>
                  <c:x val="6.3351282863477985E-3"/>
                  <c:y val="-0.12998522895125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FC-4105-B9ED-4F9C5C56D70D}"/>
                </c:ext>
              </c:extLst>
            </c:dLbl>
            <c:dLbl>
              <c:idx val="16"/>
              <c:layout>
                <c:manualLayout>
                  <c:x val="-7.7428451261952442E-17"/>
                  <c:y val="-4.72673559822747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7FC-4105-B9ED-4F9C5C56D70D}"/>
                </c:ext>
              </c:extLst>
            </c:dLbl>
            <c:dLbl>
              <c:idx val="17"/>
              <c:layout>
                <c:manualLayout>
                  <c:x val="0"/>
                  <c:y val="-0.194977843426883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7FC-4105-B9ED-4F9C5C56D70D}"/>
                </c:ext>
              </c:extLst>
            </c:dLbl>
            <c:dLbl>
              <c:idx val="19"/>
              <c:layout>
                <c:manualLayout>
                  <c:x val="0"/>
                  <c:y val="-5.9084194977843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7FC-4105-B9ED-4F9C5C56D70D}"/>
                </c:ext>
              </c:extLst>
            </c:dLbl>
            <c:dLbl>
              <c:idx val="20"/>
              <c:layout>
                <c:manualLayout>
                  <c:x val="-4.2234188575652762E-3"/>
                  <c:y val="-0.14771048744460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7FC-4105-B9ED-4F9C5C56D70D}"/>
                </c:ext>
              </c:extLst>
            </c:dLbl>
            <c:dLbl>
              <c:idx val="21"/>
              <c:layout>
                <c:manualLayout>
                  <c:x val="0"/>
                  <c:y val="-0.2067946824224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FC-4105-B9ED-4F9C5C56D70D}"/>
                </c:ext>
              </c:extLst>
            </c:dLbl>
            <c:dLbl>
              <c:idx val="22"/>
              <c:layout>
                <c:manualLayout>
                  <c:x val="-6.3351282863478757E-3"/>
                  <c:y val="-7.680945347119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7FC-4105-B9ED-4F9C5C56D70D}"/>
                </c:ext>
              </c:extLst>
            </c:dLbl>
            <c:dLbl>
              <c:idx val="23"/>
              <c:layout>
                <c:manualLayout>
                  <c:x val="0"/>
                  <c:y val="-0.10044313146233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7FC-4105-B9ED-4F9C5C56D70D}"/>
                </c:ext>
              </c:extLst>
            </c:dLbl>
            <c:dLbl>
              <c:idx val="24"/>
              <c:layout>
                <c:manualLayout>
                  <c:x val="1.4781966001478119E-2"/>
                  <c:y val="-0.129985228951255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7FC-4105-B9ED-4F9C5C56D70D}"/>
                </c:ext>
              </c:extLst>
            </c:dLbl>
            <c:dLbl>
              <c:idx val="25"/>
              <c:layout>
                <c:manualLayout>
                  <c:x val="2.1117094287825995E-3"/>
                  <c:y val="-7.6809453471196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7FC-4105-B9ED-4F9C5C56D70D}"/>
                </c:ext>
              </c:extLst>
            </c:dLbl>
            <c:dLbl>
              <c:idx val="26"/>
              <c:layout>
                <c:manualLayout>
                  <c:x val="-2.1117094287825995E-3"/>
                  <c:y val="-0.200886262924667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FC-4105-B9ED-4F9C5C56D70D}"/>
                </c:ext>
              </c:extLst>
            </c:dLbl>
            <c:dLbl>
              <c:idx val="27"/>
              <c:layout>
                <c:manualLayout>
                  <c:x val="1.0558547143912998E-2"/>
                  <c:y val="-0.177252584933530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7FC-4105-B9ED-4F9C5C56D70D}"/>
                </c:ext>
              </c:extLst>
            </c:dLbl>
            <c:dLbl>
              <c:idx val="28"/>
              <c:layout>
                <c:manualLayout>
                  <c:x val="1.0558547143913076E-2"/>
                  <c:y val="-0.124076809453471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FC-4105-B9ED-4F9C5C56D70D}"/>
                </c:ext>
              </c:extLst>
            </c:dLbl>
            <c:dLbl>
              <c:idx val="29"/>
              <c:layout>
                <c:manualLayout>
                  <c:x val="6.3351282863477985E-3"/>
                  <c:y val="-0.100443131462333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7FC-4105-B9ED-4F9C5C56D70D}"/>
                </c:ext>
              </c:extLst>
            </c:dLbl>
            <c:dLbl>
              <c:idx val="30"/>
              <c:layout>
                <c:manualLayout>
                  <c:x val="1.0558547143912998E-2"/>
                  <c:y val="-0.16543574593796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7FC-4105-B9ED-4F9C5C56D70D}"/>
                </c:ext>
              </c:extLst>
            </c:dLbl>
            <c:dLbl>
              <c:idx val="31"/>
              <c:layout>
                <c:manualLayout>
                  <c:x val="1.2670256572695597E-2"/>
                  <c:y val="-0.177252584933530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FC-4105-B9ED-4F9C5C56D70D}"/>
                </c:ext>
              </c:extLst>
            </c:dLbl>
            <c:dLbl>
              <c:idx val="32"/>
              <c:layout>
                <c:manualLayout>
                  <c:x val="1.6893675430260796E-2"/>
                  <c:y val="-0.118168389955686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7FC-4105-B9ED-4F9C5C56D70D}"/>
                </c:ext>
              </c:extLst>
            </c:dLbl>
            <c:dLbl>
              <c:idx val="33"/>
              <c:layout>
                <c:manualLayout>
                  <c:x val="1.2670256572695597E-2"/>
                  <c:y val="-0.21861152141802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7FC-4105-B9ED-4F9C5C56D70D}"/>
                </c:ext>
              </c:extLst>
            </c:dLbl>
            <c:dLbl>
              <c:idx val="35"/>
              <c:layout>
                <c:manualLayout>
                  <c:x val="2.1117094287824447E-3"/>
                  <c:y val="-9.4534711964549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7FC-4105-B9ED-4F9C5C56D70D}"/>
                </c:ext>
              </c:extLst>
            </c:dLbl>
            <c:dLbl>
              <c:idx val="36"/>
              <c:layout>
                <c:manualLayout>
                  <c:x val="4.223418857565199E-3"/>
                  <c:y val="-0.17134416543574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7FC-4105-B9ED-4F9C5C56D70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STRATEGJIK'!$V$9:$V$48</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STRATEGJIK'!$W$9:$W$48</c:f>
              <c:numCache>
                <c:formatCode>General</c:formatCode>
                <c:ptCount val="40"/>
                <c:pt idx="0">
                  <c:v>0</c:v>
                </c:pt>
                <c:pt idx="1">
                  <c:v>0</c:v>
                </c:pt>
                <c:pt idx="2">
                  <c:v>0</c:v>
                </c:pt>
                <c:pt idx="3">
                  <c:v>1</c:v>
                </c:pt>
                <c:pt idx="4">
                  <c:v>1</c:v>
                </c:pt>
                <c:pt idx="5">
                  <c:v>1</c:v>
                </c:pt>
                <c:pt idx="6">
                  <c:v>1</c:v>
                </c:pt>
                <c:pt idx="7">
                  <c:v>2</c:v>
                </c:pt>
                <c:pt idx="8">
                  <c:v>2</c:v>
                </c:pt>
                <c:pt idx="9">
                  <c:v>0</c:v>
                </c:pt>
                <c:pt idx="10">
                  <c:v>0</c:v>
                </c:pt>
                <c:pt idx="11">
                  <c:v>1</c:v>
                </c:pt>
                <c:pt idx="12">
                  <c:v>1</c:v>
                </c:pt>
                <c:pt idx="13">
                  <c:v>0</c:v>
                </c:pt>
                <c:pt idx="14">
                  <c:v>3</c:v>
                </c:pt>
                <c:pt idx="15">
                  <c:v>1</c:v>
                </c:pt>
                <c:pt idx="16">
                  <c:v>1</c:v>
                </c:pt>
                <c:pt idx="17">
                  <c:v>1</c:v>
                </c:pt>
                <c:pt idx="18">
                  <c:v>6</c:v>
                </c:pt>
                <c:pt idx="19">
                  <c:v>0</c:v>
                </c:pt>
                <c:pt idx="20">
                  <c:v>0</c:v>
                </c:pt>
                <c:pt idx="21">
                  <c:v>3</c:v>
                </c:pt>
                <c:pt idx="22">
                  <c:v>0</c:v>
                </c:pt>
                <c:pt idx="23">
                  <c:v>5</c:v>
                </c:pt>
                <c:pt idx="24">
                  <c:v>2</c:v>
                </c:pt>
                <c:pt idx="25">
                  <c:v>0</c:v>
                </c:pt>
                <c:pt idx="26">
                  <c:v>0</c:v>
                </c:pt>
                <c:pt idx="27">
                  <c:v>0</c:v>
                </c:pt>
                <c:pt idx="28">
                  <c:v>2</c:v>
                </c:pt>
                <c:pt idx="29">
                  <c:v>0</c:v>
                </c:pt>
                <c:pt idx="30">
                  <c:v>2</c:v>
                </c:pt>
                <c:pt idx="31">
                  <c:v>2</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00-E7FC-4105-B9ED-4F9C5C56D70D}"/>
            </c:ext>
          </c:extLst>
        </c:ser>
        <c:dLbls>
          <c:showLegendKey val="0"/>
          <c:showVal val="1"/>
          <c:showCatName val="0"/>
          <c:showSerName val="0"/>
          <c:showPercent val="0"/>
          <c:showBubbleSize val="0"/>
        </c:dLbls>
        <c:gapWidth val="95"/>
        <c:gapDepth val="95"/>
        <c:shape val="box"/>
        <c:axId val="655354880"/>
        <c:axId val="655353704"/>
        <c:axId val="0"/>
      </c:bar3DChart>
      <c:catAx>
        <c:axId val="655354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55353704"/>
        <c:crosses val="autoZero"/>
        <c:auto val="1"/>
        <c:lblAlgn val="ctr"/>
        <c:lblOffset val="100"/>
        <c:noMultiLvlLbl val="0"/>
      </c:catAx>
      <c:valAx>
        <c:axId val="655353704"/>
        <c:scaling>
          <c:orientation val="minMax"/>
        </c:scaling>
        <c:delete val="1"/>
        <c:axPos val="l"/>
        <c:numFmt formatCode="General" sourceLinked="1"/>
        <c:majorTickMark val="none"/>
        <c:minorTickMark val="none"/>
        <c:tickLblPos val="nextTo"/>
        <c:crossAx val="655354880"/>
        <c:crosses val="autoZero"/>
        <c:crossBetween val="between"/>
      </c:valAx>
      <c:spPr>
        <a:blipFill>
          <a:blip xmlns:r="http://schemas.openxmlformats.org/officeDocument/2006/relationships" r:embed="rId3"/>
          <a:tile tx="0" ty="0" sx="100000" sy="100000" flip="none" algn="tl"/>
        </a:blip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1841813042600446E-2"/>
          <c:y val="0.16608859475387663"/>
          <c:w val="0.95519418424841362"/>
          <c:h val="0.54084171770195388"/>
        </c:manualLayout>
      </c:layout>
      <c:barChart>
        <c:barDir val="col"/>
        <c:grouping val="stacked"/>
        <c:varyColors val="0"/>
        <c:ser>
          <c:idx val="0"/>
          <c:order val="0"/>
          <c:tx>
            <c:strRef>
              <c:f>'PUBLIKIMI K.K PLANET STRATEGJIK'!$Z$8</c:f>
              <c:strCache>
                <c:ptCount val="1"/>
                <c:pt idx="0">
                  <c:v>Harta zonale </c:v>
                </c:pt>
              </c:strCache>
            </c:strRef>
          </c:tx>
          <c:spPr>
            <a:solidFill>
              <a:schemeClr val="accent1"/>
            </a:solidFill>
            <a:ln>
              <a:noFill/>
            </a:ln>
            <a:effectLst/>
          </c:spPr>
          <c:invertIfNegative val="0"/>
          <c:dLbls>
            <c:dLbl>
              <c:idx val="0"/>
              <c:layout>
                <c:manualLayout>
                  <c:x val="4.5146726862302479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03-4223-87C1-5AFCA48FB66B}"/>
                </c:ext>
              </c:extLst>
            </c:dLbl>
            <c:dLbl>
              <c:idx val="2"/>
              <c:layout>
                <c:manualLayout>
                  <c:x val="3.0097817908201654E-3"/>
                  <c:y val="-0.152777777777777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03-4223-87C1-5AFCA48FB66B}"/>
                </c:ext>
              </c:extLst>
            </c:dLbl>
            <c:dLbl>
              <c:idx val="3"/>
              <c:layout>
                <c:manualLayout>
                  <c:x val="9.029345372460482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03-4223-87C1-5AFCA48FB66B}"/>
                </c:ext>
              </c:extLst>
            </c:dLbl>
            <c:dLbl>
              <c:idx val="4"/>
              <c:layout>
                <c:manualLayout>
                  <c:x val="2.4078254326561323E-2"/>
                  <c:y val="-0.2824074074074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03-4223-87C1-5AFCA48FB66B}"/>
                </c:ext>
              </c:extLst>
            </c:dLbl>
            <c:dLbl>
              <c:idx val="5"/>
              <c:layout>
                <c:manualLayout>
                  <c:x val="6.0195635816403309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03-4223-87C1-5AFCA48FB66B}"/>
                </c:ext>
              </c:extLst>
            </c:dLbl>
            <c:dLbl>
              <c:idx val="6"/>
              <c:layout>
                <c:manualLayout>
                  <c:x val="4.514672686230221E-3"/>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03-4223-87C1-5AFCA48FB66B}"/>
                </c:ext>
              </c:extLst>
            </c:dLbl>
            <c:dLbl>
              <c:idx val="7"/>
              <c:layout>
                <c:manualLayout>
                  <c:x val="0"/>
                  <c:y val="-0.12962962962962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E03-4223-87C1-5AFCA48FB66B}"/>
                </c:ext>
              </c:extLst>
            </c:dLbl>
            <c:dLbl>
              <c:idx val="8"/>
              <c:layout>
                <c:manualLayout>
                  <c:x val="-1.504890895410138E-3"/>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03-4223-87C1-5AFCA48FB66B}"/>
                </c:ext>
              </c:extLst>
            </c:dLbl>
            <c:dLbl>
              <c:idx val="9"/>
              <c:layout>
                <c:manualLayout>
                  <c:x val="5.5178695402705158E-17"/>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03-4223-87C1-5AFCA48FB66B}"/>
                </c:ext>
              </c:extLst>
            </c:dLbl>
            <c:dLbl>
              <c:idx val="11"/>
              <c:layout>
                <c:manualLayout>
                  <c:x val="-5.5178695402705158E-17"/>
                  <c:y val="-0.1481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03-4223-87C1-5AFCA48FB66B}"/>
                </c:ext>
              </c:extLst>
            </c:dLbl>
            <c:dLbl>
              <c:idx val="12"/>
              <c:layout>
                <c:manualLayout>
                  <c:x val="9.0293453724604959E-3"/>
                  <c:y val="-0.291666666666666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03-4223-87C1-5AFCA48FB66B}"/>
                </c:ext>
              </c:extLst>
            </c:dLbl>
            <c:dLbl>
              <c:idx val="13"/>
              <c:layout>
                <c:manualLayout>
                  <c:x val="6.0195635816402762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E03-4223-87C1-5AFCA48FB66B}"/>
                </c:ext>
              </c:extLst>
            </c:dLbl>
            <c:dLbl>
              <c:idx val="14"/>
              <c:layout>
                <c:manualLayout>
                  <c:x val="4.5146726862302479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03-4223-87C1-5AFCA48FB66B}"/>
                </c:ext>
              </c:extLst>
            </c:dLbl>
            <c:dLbl>
              <c:idx val="15"/>
              <c:layout>
                <c:manualLayout>
                  <c:x val="9.0293453724604421E-3"/>
                  <c:y val="-0.20370370370370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E03-4223-87C1-5AFCA48FB66B}"/>
                </c:ext>
              </c:extLst>
            </c:dLbl>
            <c:dLbl>
              <c:idx val="16"/>
              <c:layout>
                <c:manualLayout>
                  <c:x val="2.2573363431151131E-2"/>
                  <c:y val="-0.245370370370370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E03-4223-87C1-5AFCA48FB66B}"/>
                </c:ext>
              </c:extLst>
            </c:dLbl>
            <c:dLbl>
              <c:idx val="17"/>
              <c:layout>
                <c:manualLayout>
                  <c:x val="4.5146726862302479E-3"/>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E03-4223-87C1-5AFCA48FB66B}"/>
                </c:ext>
              </c:extLst>
            </c:dLbl>
            <c:dLbl>
              <c:idx val="18"/>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E03-4223-87C1-5AFCA48FB66B}"/>
                </c:ext>
              </c:extLst>
            </c:dLbl>
            <c:dLbl>
              <c:idx val="19"/>
              <c:layout>
                <c:manualLayout>
                  <c:x val="0"/>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E03-4223-87C1-5AFCA48FB66B}"/>
                </c:ext>
              </c:extLst>
            </c:dLbl>
            <c:dLbl>
              <c:idx val="20"/>
              <c:layout>
                <c:manualLayout>
                  <c:x val="9.0293453724604959E-3"/>
                  <c:y val="-0.194444444444444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E03-4223-87C1-5AFCA48FB66B}"/>
                </c:ext>
              </c:extLst>
            </c:dLbl>
            <c:dLbl>
              <c:idx val="21"/>
              <c:layout>
                <c:manualLayout>
                  <c:x val="1.8058690744920992E-2"/>
                  <c:y val="-0.240740740740740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E03-4223-87C1-5AFCA48FB66B}"/>
                </c:ext>
              </c:extLst>
            </c:dLbl>
            <c:dLbl>
              <c:idx val="23"/>
              <c:layout>
                <c:manualLayout>
                  <c:x val="3.0097817908201654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E03-4223-87C1-5AFCA48FB66B}"/>
                </c:ext>
              </c:extLst>
            </c:dLbl>
            <c:dLbl>
              <c:idx val="24"/>
              <c:layout>
                <c:manualLayout>
                  <c:x val="7.5244544770504138E-3"/>
                  <c:y val="-0.1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E03-4223-87C1-5AFCA48FB66B}"/>
                </c:ext>
              </c:extLst>
            </c:dLbl>
            <c:dLbl>
              <c:idx val="26"/>
              <c:layout>
                <c:manualLayout>
                  <c:x val="-1.1035739080541032E-16"/>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E03-4223-87C1-5AFCA48FB66B}"/>
                </c:ext>
              </c:extLst>
            </c:dLbl>
            <c:dLbl>
              <c:idx val="27"/>
              <c:layout>
                <c:manualLayout>
                  <c:x val="-3.009781790820276E-3"/>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E03-4223-87C1-5AFCA48FB66B}"/>
                </c:ext>
              </c:extLst>
            </c:dLbl>
            <c:dLbl>
              <c:idx val="28"/>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E03-4223-87C1-5AFCA48FB66B}"/>
                </c:ext>
              </c:extLst>
            </c:dLbl>
            <c:dLbl>
              <c:idx val="29"/>
              <c:layout>
                <c:manualLayout>
                  <c:x val="-9.0293453724604959E-3"/>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E03-4223-87C1-5AFCA48FB66B}"/>
                </c:ext>
              </c:extLst>
            </c:dLbl>
            <c:dLbl>
              <c:idx val="3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E03-4223-87C1-5AFCA48FB66B}"/>
                </c:ext>
              </c:extLst>
            </c:dLbl>
            <c:dLbl>
              <c:idx val="31"/>
              <c:layout>
                <c:manualLayout>
                  <c:x val="-4.5146726862302479E-3"/>
                  <c:y val="-0.199074074074074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E03-4223-87C1-5AFCA48FB66B}"/>
                </c:ext>
              </c:extLst>
            </c:dLbl>
            <c:dLbl>
              <c:idx val="32"/>
              <c:layout>
                <c:manualLayout>
                  <c:x val="-1.053423626787069E-2"/>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E03-4223-87C1-5AFCA48FB66B}"/>
                </c:ext>
              </c:extLst>
            </c:dLbl>
            <c:dLbl>
              <c:idx val="33"/>
              <c:layout>
                <c:manualLayout>
                  <c:x val="-3.0097817908201654E-3"/>
                  <c:y val="-0.125000000000000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E03-4223-87C1-5AFCA48FB66B}"/>
                </c:ext>
              </c:extLst>
            </c:dLbl>
            <c:dLbl>
              <c:idx val="34"/>
              <c:layout>
                <c:manualLayout>
                  <c:x val="-1.1035739080541032E-16"/>
                  <c:y val="-0.115740740740740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E03-4223-87C1-5AFCA48FB66B}"/>
                </c:ext>
              </c:extLst>
            </c:dLbl>
            <c:dLbl>
              <c:idx val="35"/>
              <c:layout>
                <c:manualLayout>
                  <c:x val="0"/>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E03-4223-87C1-5AFCA48FB66B}"/>
                </c:ext>
              </c:extLst>
            </c:dLbl>
            <c:dLbl>
              <c:idx val="36"/>
              <c:layout>
                <c:manualLayout>
                  <c:x val="-3.0097817908203862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E03-4223-87C1-5AFCA48FB66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STRATEGJIK'!$Y$9:$Y$47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STRATEGJIK'!$Z$9:$Z$47</c:f>
              <c:numCache>
                <c:formatCode>General</c:formatCode>
                <c:ptCount val="39"/>
                <c:pt idx="0">
                  <c:v>1</c:v>
                </c:pt>
                <c:pt idx="1">
                  <c:v>0</c:v>
                </c:pt>
                <c:pt idx="2">
                  <c:v>1</c:v>
                </c:pt>
                <c:pt idx="3">
                  <c:v>1</c:v>
                </c:pt>
                <c:pt idx="4">
                  <c:v>0</c:v>
                </c:pt>
                <c:pt idx="5">
                  <c:v>1</c:v>
                </c:pt>
                <c:pt idx="6">
                  <c:v>0</c:v>
                </c:pt>
                <c:pt idx="7">
                  <c:v>0</c:v>
                </c:pt>
                <c:pt idx="8">
                  <c:v>1</c:v>
                </c:pt>
                <c:pt idx="9">
                  <c:v>0</c:v>
                </c:pt>
                <c:pt idx="10">
                  <c:v>1</c:v>
                </c:pt>
                <c:pt idx="11">
                  <c:v>1</c:v>
                </c:pt>
                <c:pt idx="12">
                  <c:v>1</c:v>
                </c:pt>
                <c:pt idx="13">
                  <c:v>0</c:v>
                </c:pt>
                <c:pt idx="14">
                  <c:v>1</c:v>
                </c:pt>
                <c:pt idx="15">
                  <c:v>0</c:v>
                </c:pt>
                <c:pt idx="16">
                  <c:v>1</c:v>
                </c:pt>
                <c:pt idx="17">
                  <c:v>0</c:v>
                </c:pt>
                <c:pt idx="18">
                  <c:v>1</c:v>
                </c:pt>
                <c:pt idx="19">
                  <c:v>0</c:v>
                </c:pt>
                <c:pt idx="20">
                  <c:v>1</c:v>
                </c:pt>
                <c:pt idx="21">
                  <c:v>1</c:v>
                </c:pt>
                <c:pt idx="22">
                  <c:v>1</c:v>
                </c:pt>
                <c:pt idx="23">
                  <c:v>1</c:v>
                </c:pt>
                <c:pt idx="24">
                  <c:v>1</c:v>
                </c:pt>
                <c:pt idx="25">
                  <c:v>0</c:v>
                </c:pt>
                <c:pt idx="26">
                  <c:v>0</c:v>
                </c:pt>
                <c:pt idx="27">
                  <c:v>0</c:v>
                </c:pt>
                <c:pt idx="28">
                  <c:v>1</c:v>
                </c:pt>
                <c:pt idx="29">
                  <c:v>1</c:v>
                </c:pt>
                <c:pt idx="30">
                  <c:v>1</c:v>
                </c:pt>
                <c:pt idx="31">
                  <c:v>0</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21-4E03-4223-87C1-5AFCA48FB66B}"/>
            </c:ext>
          </c:extLst>
        </c:ser>
        <c:dLbls>
          <c:showLegendKey val="0"/>
          <c:showVal val="1"/>
          <c:showCatName val="0"/>
          <c:showSerName val="0"/>
          <c:showPercent val="0"/>
          <c:showBubbleSize val="0"/>
        </c:dLbls>
        <c:gapWidth val="95"/>
        <c:overlap val="100"/>
        <c:axId val="655354096"/>
        <c:axId val="610279080"/>
      </c:barChart>
      <c:catAx>
        <c:axId val="65535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10279080"/>
        <c:crosses val="autoZero"/>
        <c:auto val="1"/>
        <c:lblAlgn val="ctr"/>
        <c:lblOffset val="100"/>
        <c:noMultiLvlLbl val="0"/>
      </c:catAx>
      <c:valAx>
        <c:axId val="610279080"/>
        <c:scaling>
          <c:orientation val="minMax"/>
        </c:scaling>
        <c:delete val="1"/>
        <c:axPos val="l"/>
        <c:numFmt formatCode="General" sourceLinked="1"/>
        <c:majorTickMark val="none"/>
        <c:minorTickMark val="none"/>
        <c:tickLblPos val="nextTo"/>
        <c:crossAx val="655354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'!$O$7:$O$8</c:f>
              <c:strCache>
                <c:ptCount val="2"/>
                <c:pt idx="1">
                  <c:v>Rregullore për transparencë</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'!$O$9:$O$47</c:f>
              <c:numCache>
                <c:formatCode>General</c:formatCode>
                <c:ptCount val="39"/>
                <c:pt idx="0">
                  <c:v>0</c:v>
                </c:pt>
                <c:pt idx="1">
                  <c:v>1</c:v>
                </c:pt>
                <c:pt idx="2">
                  <c:v>0</c:v>
                </c:pt>
                <c:pt idx="3">
                  <c:v>1</c:v>
                </c:pt>
                <c:pt idx="4">
                  <c:v>1</c:v>
                </c:pt>
                <c:pt idx="5">
                  <c:v>1</c:v>
                </c:pt>
                <c:pt idx="6">
                  <c:v>0</c:v>
                </c:pt>
                <c:pt idx="7">
                  <c:v>1</c:v>
                </c:pt>
                <c:pt idx="8">
                  <c:v>1</c:v>
                </c:pt>
                <c:pt idx="9">
                  <c:v>1</c:v>
                </c:pt>
                <c:pt idx="10">
                  <c:v>1</c:v>
                </c:pt>
                <c:pt idx="11">
                  <c:v>1</c:v>
                </c:pt>
                <c:pt idx="12">
                  <c:v>1</c:v>
                </c:pt>
                <c:pt idx="13">
                  <c:v>0</c:v>
                </c:pt>
                <c:pt idx="14">
                  <c:v>1</c:v>
                </c:pt>
                <c:pt idx="15">
                  <c:v>1</c:v>
                </c:pt>
                <c:pt idx="16">
                  <c:v>1</c:v>
                </c:pt>
                <c:pt idx="17">
                  <c:v>0</c:v>
                </c:pt>
                <c:pt idx="18">
                  <c:v>0</c:v>
                </c:pt>
                <c:pt idx="19">
                  <c:v>0</c:v>
                </c:pt>
                <c:pt idx="20">
                  <c:v>1</c:v>
                </c:pt>
                <c:pt idx="21">
                  <c:v>1</c:v>
                </c:pt>
                <c:pt idx="22">
                  <c:v>0</c:v>
                </c:pt>
                <c:pt idx="23">
                  <c:v>1</c:v>
                </c:pt>
                <c:pt idx="24">
                  <c:v>1</c:v>
                </c:pt>
                <c:pt idx="25">
                  <c:v>0</c:v>
                </c:pt>
                <c:pt idx="26">
                  <c:v>1</c:v>
                </c:pt>
                <c:pt idx="27">
                  <c:v>0</c:v>
                </c:pt>
                <c:pt idx="28">
                  <c:v>1</c:v>
                </c:pt>
                <c:pt idx="29">
                  <c:v>1</c:v>
                </c:pt>
                <c:pt idx="30">
                  <c:v>0</c:v>
                </c:pt>
                <c:pt idx="31">
                  <c:v>1</c:v>
                </c:pt>
                <c:pt idx="32">
                  <c:v>0</c:v>
                </c:pt>
                <c:pt idx="33">
                  <c:v>0</c:v>
                </c:pt>
                <c:pt idx="34">
                  <c:v>0</c:v>
                </c:pt>
                <c:pt idx="35">
                  <c:v>1</c:v>
                </c:pt>
                <c:pt idx="36">
                  <c:v>0</c:v>
                </c:pt>
                <c:pt idx="37">
                  <c:v>0</c:v>
                </c:pt>
                <c:pt idx="38">
                  <c:v>22</c:v>
                </c:pt>
              </c:numCache>
            </c:numRef>
          </c:val>
          <c:extLst>
            <c:ext xmlns:c16="http://schemas.microsoft.com/office/drawing/2014/chart" uri="{C3380CC4-5D6E-409C-BE32-E72D297353CC}">
              <c16:uniqueId val="{00000000-FEC1-4583-A22A-7E7295737EE8}"/>
            </c:ext>
          </c:extLst>
        </c:ser>
        <c:ser>
          <c:idx val="1"/>
          <c:order val="1"/>
          <c:tx>
            <c:strRef>
              <c:f>'AKTET E  KUVENDIT '!$P$7:$P$8</c:f>
              <c:strCache>
                <c:ptCount val="2"/>
                <c:pt idx="1">
                  <c:v>Rregullore për transparencë</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'!$N$9:$N$47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'!$P$9:$P$47</c:f>
              <c:numCache>
                <c:formatCode>General</c:formatCode>
                <c:ptCount val="39"/>
                <c:pt idx="36">
                  <c:v>0</c:v>
                </c:pt>
              </c:numCache>
            </c:numRef>
          </c:val>
          <c:extLst>
            <c:ext xmlns:c16="http://schemas.microsoft.com/office/drawing/2014/chart" uri="{C3380CC4-5D6E-409C-BE32-E72D297353CC}">
              <c16:uniqueId val="{00000001-FEC1-4583-A22A-7E7295737EE8}"/>
            </c:ext>
          </c:extLst>
        </c:ser>
        <c:dLbls>
          <c:showLegendKey val="0"/>
          <c:showVal val="1"/>
          <c:showCatName val="0"/>
          <c:showSerName val="0"/>
          <c:showPercent val="0"/>
          <c:showBubbleSize val="0"/>
        </c:dLbls>
        <c:gapWidth val="150"/>
        <c:overlap val="-25"/>
        <c:axId val="634592824"/>
        <c:axId val="634583024"/>
      </c:barChart>
      <c:catAx>
        <c:axId val="634592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mn-ea"/>
                <a:cs typeface="+mn-cs"/>
              </a:defRPr>
            </a:pPr>
            <a:endParaRPr lang="en-US"/>
          </a:p>
        </c:txPr>
        <c:crossAx val="634583024"/>
        <c:crosses val="autoZero"/>
        <c:auto val="1"/>
        <c:lblAlgn val="ctr"/>
        <c:lblOffset val="100"/>
        <c:noMultiLvlLbl val="0"/>
      </c:catAx>
      <c:valAx>
        <c:axId val="634583024"/>
        <c:scaling>
          <c:orientation val="minMax"/>
        </c:scaling>
        <c:delete val="1"/>
        <c:axPos val="l"/>
        <c:numFmt formatCode="General" sourceLinked="1"/>
        <c:majorTickMark val="none"/>
        <c:minorTickMark val="none"/>
        <c:tickLblPos val="nextTo"/>
        <c:crossAx val="634592824"/>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STRATEGJIK'!$M$6:$M$7</c:f>
              <c:strCache>
                <c:ptCount val="2"/>
                <c:pt idx="1">
                  <c:v>Plani integritetit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STRATEGJIK'!$L$8:$L$46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STRATEGJIK'!$M$8:$M$46</c:f>
              <c:numCache>
                <c:formatCode>General</c:formatCode>
                <c:ptCount val="39"/>
                <c:pt idx="0">
                  <c:v>1</c:v>
                </c:pt>
                <c:pt idx="1">
                  <c:v>1</c:v>
                </c:pt>
                <c:pt idx="2">
                  <c:v>0</c:v>
                </c:pt>
                <c:pt idx="3">
                  <c:v>0</c:v>
                </c:pt>
                <c:pt idx="4">
                  <c:v>1</c:v>
                </c:pt>
                <c:pt idx="5">
                  <c:v>1</c:v>
                </c:pt>
                <c:pt idx="6">
                  <c:v>0</c:v>
                </c:pt>
                <c:pt idx="7">
                  <c:v>1</c:v>
                </c:pt>
                <c:pt idx="8">
                  <c:v>1</c:v>
                </c:pt>
                <c:pt idx="9">
                  <c:v>0</c:v>
                </c:pt>
                <c:pt idx="10">
                  <c:v>1</c:v>
                </c:pt>
                <c:pt idx="11">
                  <c:v>1</c:v>
                </c:pt>
                <c:pt idx="12">
                  <c:v>1</c:v>
                </c:pt>
                <c:pt idx="13">
                  <c:v>1</c:v>
                </c:pt>
                <c:pt idx="14">
                  <c:v>1</c:v>
                </c:pt>
                <c:pt idx="15">
                  <c:v>1</c:v>
                </c:pt>
                <c:pt idx="16">
                  <c:v>1</c:v>
                </c:pt>
                <c:pt idx="17">
                  <c:v>0</c:v>
                </c:pt>
                <c:pt idx="18">
                  <c:v>1</c:v>
                </c:pt>
                <c:pt idx="19">
                  <c:v>1</c:v>
                </c:pt>
                <c:pt idx="20">
                  <c:v>0</c:v>
                </c:pt>
                <c:pt idx="21">
                  <c:v>1</c:v>
                </c:pt>
                <c:pt idx="22">
                  <c:v>0</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20</c:v>
                </c:pt>
              </c:numCache>
            </c:numRef>
          </c:val>
          <c:extLst>
            <c:ext xmlns:c16="http://schemas.microsoft.com/office/drawing/2014/chart" uri="{C3380CC4-5D6E-409C-BE32-E72D297353CC}">
              <c16:uniqueId val="{00000000-9E4E-4C68-B6BC-CDE5C00861FE}"/>
            </c:ext>
          </c:extLst>
        </c:ser>
        <c:dLbls>
          <c:showLegendKey val="0"/>
          <c:showVal val="1"/>
          <c:showCatName val="0"/>
          <c:showSerName val="0"/>
          <c:showPercent val="0"/>
          <c:showBubbleSize val="0"/>
        </c:dLbls>
        <c:gapWidth val="150"/>
        <c:overlap val="-25"/>
        <c:axId val="634585376"/>
        <c:axId val="634591648"/>
      </c:barChart>
      <c:catAx>
        <c:axId val="63458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91648"/>
        <c:crosses val="autoZero"/>
        <c:auto val="1"/>
        <c:lblAlgn val="ctr"/>
        <c:lblOffset val="100"/>
        <c:noMultiLvlLbl val="0"/>
      </c:catAx>
      <c:valAx>
        <c:axId val="634591648"/>
        <c:scaling>
          <c:orientation val="minMax"/>
        </c:scaling>
        <c:delete val="1"/>
        <c:axPos val="l"/>
        <c:numFmt formatCode="General" sourceLinked="1"/>
        <c:majorTickMark val="none"/>
        <c:minorTickMark val="none"/>
        <c:tickLblPos val="nextTo"/>
        <c:crossAx val="634585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a:latin typeface="Century Schoolbook" panose="0204060405050502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'!$W$2</c:f>
              <c:strCache>
                <c:ptCount val="1"/>
                <c:pt idx="0">
                  <c:v>Publikimi i vendimeve të kryetarit të komunës</c:v>
                </c:pt>
              </c:strCache>
            </c:strRef>
          </c:tx>
          <c:spPr>
            <a:solidFill>
              <a:schemeClr val="accent1"/>
            </a:solidFill>
            <a:ln>
              <a:noFill/>
            </a:ln>
            <a:effectLst/>
          </c:spPr>
          <c:invertIfNegative val="0"/>
          <c:dLbls>
            <c:dLbl>
              <c:idx val="0"/>
              <c:layout>
                <c:manualLayout>
                  <c:x val="1.265689273283409E-2"/>
                  <c:y val="-0.12550988390335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5B8-4826-9717-2FDC1BC4BA6B}"/>
                </c:ext>
              </c:extLst>
            </c:dLbl>
            <c:dLbl>
              <c:idx val="1"/>
              <c:layout>
                <c:manualLayout>
                  <c:x val="2.7423267587807193E-2"/>
                  <c:y val="-0.320050203953561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B8-4826-9717-2FDC1BC4BA6B}"/>
                </c:ext>
              </c:extLst>
            </c:dLbl>
            <c:dLbl>
              <c:idx val="3"/>
              <c:layout>
                <c:manualLayout>
                  <c:x val="0"/>
                  <c:y val="-6.9030436146846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5B8-4826-9717-2FDC1BC4BA6B}"/>
                </c:ext>
              </c:extLst>
            </c:dLbl>
            <c:dLbl>
              <c:idx val="4"/>
              <c:layout>
                <c:manualLayout>
                  <c:x val="-1.933669607377786E-17"/>
                  <c:y val="-0.30122372136805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B8-4826-9717-2FDC1BC4BA6B}"/>
                </c:ext>
              </c:extLst>
            </c:dLbl>
            <c:dLbl>
              <c:idx val="7"/>
              <c:layout>
                <c:manualLayout>
                  <c:x val="1.4766374854973065E-2"/>
                  <c:y val="-0.194540320050204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B8-4826-9717-2FDC1BC4BA6B}"/>
                </c:ext>
              </c:extLst>
            </c:dLbl>
            <c:dLbl>
              <c:idx val="9"/>
              <c:layout>
                <c:manualLayout>
                  <c:x val="6.3284463664170449E-3"/>
                  <c:y val="-0.200815814245371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B8-4826-9717-2FDC1BC4BA6B}"/>
                </c:ext>
              </c:extLst>
            </c:dLbl>
            <c:dLbl>
              <c:idx val="10"/>
              <c:layout>
                <c:manualLayout>
                  <c:x val="2.1094821221390148E-3"/>
                  <c:y val="-0.301223721368057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5B8-4826-9717-2FDC1BC4BA6B}"/>
                </c:ext>
              </c:extLst>
            </c:dLbl>
            <c:dLbl>
              <c:idx val="11"/>
              <c:layout>
                <c:manualLayout>
                  <c:x val="4.2189642442780296E-3"/>
                  <c:y val="-7.5305930342014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5B8-4826-9717-2FDC1BC4BA6B}"/>
                </c:ext>
              </c:extLst>
            </c:dLbl>
            <c:dLbl>
              <c:idx val="13"/>
              <c:layout>
                <c:manualLayout>
                  <c:x val="-2.3204303343529242E-2"/>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B8-4826-9717-2FDC1BC4BA6B}"/>
                </c:ext>
              </c:extLst>
            </c:dLbl>
            <c:dLbl>
              <c:idx val="14"/>
              <c:layout>
                <c:manualLayout>
                  <c:x val="4.2189642442780296E-3"/>
                  <c:y val="-0.213366802635707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B8-4826-9717-2FDC1BC4BA6B}"/>
                </c:ext>
              </c:extLst>
            </c:dLbl>
            <c:dLbl>
              <c:idx val="15"/>
              <c:layout>
                <c:manualLayout>
                  <c:x val="2.3204303343529162E-2"/>
                  <c:y val="-0.1255098839033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5B8-4826-9717-2FDC1BC4BA6B}"/>
                </c:ext>
              </c:extLst>
            </c:dLbl>
            <c:dLbl>
              <c:idx val="18"/>
              <c:layout>
                <c:manualLayout>
                  <c:x val="8.4379284885559829E-3"/>
                  <c:y val="-0.163162849074364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5B8-4826-9717-2FDC1BC4BA6B}"/>
                </c:ext>
              </c:extLst>
            </c:dLbl>
            <c:dLbl>
              <c:idx val="21"/>
              <c:layout>
                <c:manualLayout>
                  <c:x val="-6.3284463664170449E-3"/>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5B8-4826-9717-2FDC1BC4BA6B}"/>
                </c:ext>
              </c:extLst>
            </c:dLbl>
            <c:dLbl>
              <c:idx val="23"/>
              <c:layout>
                <c:manualLayout>
                  <c:x val="2.953274970994613E-2"/>
                  <c:y val="-0.2196422968308754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B8-4826-9717-2FDC1BC4BA6B}"/>
                </c:ext>
              </c:extLst>
            </c:dLbl>
            <c:dLbl>
              <c:idx val="24"/>
              <c:layout>
                <c:manualLayout>
                  <c:x val="3.164223183208522E-2"/>
                  <c:y val="-0.100407907122685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5B8-4826-9717-2FDC1BC4BA6B}"/>
                </c:ext>
              </c:extLst>
            </c:dLbl>
            <c:dLbl>
              <c:idx val="26"/>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8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13-35B8-4826-9717-2FDC1BC4BA6B}"/>
                </c:ext>
              </c:extLst>
            </c:dLbl>
            <c:dLbl>
              <c:idx val="28"/>
              <c:layout>
                <c:manualLayout>
                  <c:x val="1.265689273283409E-2"/>
                  <c:y val="-0.232193285221211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B8-4826-9717-2FDC1BC4BA6B}"/>
                </c:ext>
              </c:extLst>
            </c:dLbl>
            <c:dLbl>
              <c:idx val="30"/>
              <c:layout>
                <c:manualLayout>
                  <c:x val="2.1094821221390149E-2"/>
                  <c:y val="-0.251019767806714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5B8-4826-9717-2FDC1BC4BA6B}"/>
                </c:ext>
              </c:extLst>
            </c:dLbl>
            <c:dLbl>
              <c:idx val="35"/>
              <c:layout>
                <c:manualLayout>
                  <c:x val="-1.0547410610695074E-2"/>
                  <c:y val="-0.219642296830875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B8-4826-9717-2FDC1BC4BA6B}"/>
                </c:ext>
              </c:extLst>
            </c:dLbl>
            <c:dLbl>
              <c:idx val="37"/>
              <c:layout>
                <c:manualLayout>
                  <c:x val="0"/>
                  <c:y val="-0.12550988390335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5B8-4826-9717-2FDC1BC4BA6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'!$V$3:$V$41</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'!$W$3:$W$41</c:f>
              <c:numCache>
                <c:formatCode>General</c:formatCode>
                <c:ptCount val="39"/>
                <c:pt idx="0">
                  <c:v>301</c:v>
                </c:pt>
                <c:pt idx="1">
                  <c:v>169</c:v>
                </c:pt>
                <c:pt idx="2">
                  <c:v>0</c:v>
                </c:pt>
                <c:pt idx="3">
                  <c:v>189</c:v>
                </c:pt>
                <c:pt idx="4">
                  <c:v>88</c:v>
                </c:pt>
                <c:pt idx="5">
                  <c:v>5</c:v>
                </c:pt>
                <c:pt idx="6">
                  <c:v>22</c:v>
                </c:pt>
                <c:pt idx="7">
                  <c:v>1</c:v>
                </c:pt>
                <c:pt idx="8">
                  <c:v>0</c:v>
                </c:pt>
                <c:pt idx="9">
                  <c:v>0</c:v>
                </c:pt>
                <c:pt idx="10">
                  <c:v>257</c:v>
                </c:pt>
                <c:pt idx="11">
                  <c:v>5</c:v>
                </c:pt>
                <c:pt idx="12">
                  <c:v>49</c:v>
                </c:pt>
                <c:pt idx="13">
                  <c:v>115</c:v>
                </c:pt>
                <c:pt idx="14">
                  <c:v>111</c:v>
                </c:pt>
                <c:pt idx="15">
                  <c:v>47</c:v>
                </c:pt>
                <c:pt idx="16">
                  <c:v>43</c:v>
                </c:pt>
                <c:pt idx="17">
                  <c:v>0</c:v>
                </c:pt>
                <c:pt idx="18">
                  <c:v>134</c:v>
                </c:pt>
                <c:pt idx="19">
                  <c:v>0</c:v>
                </c:pt>
                <c:pt idx="20">
                  <c:v>0</c:v>
                </c:pt>
                <c:pt idx="21">
                  <c:v>234</c:v>
                </c:pt>
                <c:pt idx="22">
                  <c:v>152</c:v>
                </c:pt>
                <c:pt idx="23">
                  <c:v>415</c:v>
                </c:pt>
                <c:pt idx="24">
                  <c:v>517</c:v>
                </c:pt>
                <c:pt idx="25">
                  <c:v>0</c:v>
                </c:pt>
                <c:pt idx="26">
                  <c:v>66</c:v>
                </c:pt>
                <c:pt idx="27">
                  <c:v>0</c:v>
                </c:pt>
                <c:pt idx="28">
                  <c:v>167</c:v>
                </c:pt>
                <c:pt idx="29">
                  <c:v>15</c:v>
                </c:pt>
                <c:pt idx="30">
                  <c:v>48</c:v>
                </c:pt>
                <c:pt idx="31">
                  <c:v>42</c:v>
                </c:pt>
                <c:pt idx="32">
                  <c:v>0</c:v>
                </c:pt>
                <c:pt idx="33">
                  <c:v>0</c:v>
                </c:pt>
                <c:pt idx="34">
                  <c:v>0</c:v>
                </c:pt>
                <c:pt idx="35">
                  <c:v>247</c:v>
                </c:pt>
                <c:pt idx="36">
                  <c:v>10</c:v>
                </c:pt>
                <c:pt idx="37">
                  <c:v>475</c:v>
                </c:pt>
                <c:pt idx="38">
                  <c:v>3934</c:v>
                </c:pt>
              </c:numCache>
            </c:numRef>
          </c:val>
          <c:extLst>
            <c:ext xmlns:c16="http://schemas.microsoft.com/office/drawing/2014/chart" uri="{C3380CC4-5D6E-409C-BE32-E72D297353CC}">
              <c16:uniqueId val="{00000000-35B8-4826-9717-2FDC1BC4BA6B}"/>
            </c:ext>
          </c:extLst>
        </c:ser>
        <c:dLbls>
          <c:showLegendKey val="0"/>
          <c:showVal val="1"/>
          <c:showCatName val="0"/>
          <c:showSerName val="0"/>
          <c:showPercent val="0"/>
          <c:showBubbleSize val="0"/>
        </c:dLbls>
        <c:gapWidth val="150"/>
        <c:overlap val="-25"/>
        <c:axId val="634591256"/>
        <c:axId val="634592432"/>
      </c:barChart>
      <c:catAx>
        <c:axId val="634591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92432"/>
        <c:crosses val="autoZero"/>
        <c:auto val="1"/>
        <c:lblAlgn val="ctr"/>
        <c:lblOffset val="100"/>
        <c:noMultiLvlLbl val="0"/>
      </c:catAx>
      <c:valAx>
        <c:axId val="634592432"/>
        <c:scaling>
          <c:orientation val="minMax"/>
        </c:scaling>
        <c:delete val="1"/>
        <c:axPos val="l"/>
        <c:numFmt formatCode="General" sourceLinked="1"/>
        <c:majorTickMark val="none"/>
        <c:minorTickMark val="none"/>
        <c:tickLblPos val="nextTo"/>
        <c:crossAx val="634591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'!$AP$3</c:f>
              <c:strCache>
                <c:ptCount val="1"/>
                <c:pt idx="0">
                  <c:v>Plani i punës së Kryetarit të komunës</c:v>
                </c:pt>
              </c:strCache>
            </c:strRef>
          </c:tx>
          <c:spPr>
            <a:solidFill>
              <a:schemeClr val="accent1"/>
            </a:solidFill>
            <a:ln>
              <a:noFill/>
            </a:ln>
            <a:effectLst/>
          </c:spPr>
          <c:invertIfNegative val="0"/>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D06-4455-B69A-9C19671284B3}"/>
                </c:ext>
              </c:extLst>
            </c:dLbl>
            <c:dLbl>
              <c:idx val="15"/>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28D-446E-9A6C-E12812C37452}"/>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'!$AO$4:$AO$43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'!$AP$4:$AP$43</c:f>
              <c:numCache>
                <c:formatCode>General</c:formatCode>
                <c:ptCount val="40"/>
                <c:pt idx="0">
                  <c:v>0</c:v>
                </c:pt>
                <c:pt idx="1">
                  <c:v>1</c:v>
                </c:pt>
                <c:pt idx="2">
                  <c:v>0</c:v>
                </c:pt>
                <c:pt idx="3">
                  <c:v>1</c:v>
                </c:pt>
                <c:pt idx="4">
                  <c:v>2</c:v>
                </c:pt>
                <c:pt idx="5">
                  <c:v>1</c:v>
                </c:pt>
                <c:pt idx="6">
                  <c:v>0</c:v>
                </c:pt>
                <c:pt idx="7">
                  <c:v>0</c:v>
                </c:pt>
                <c:pt idx="8">
                  <c:v>0</c:v>
                </c:pt>
                <c:pt idx="9">
                  <c:v>0</c:v>
                </c:pt>
                <c:pt idx="10">
                  <c:v>1</c:v>
                </c:pt>
                <c:pt idx="11">
                  <c:v>1</c:v>
                </c:pt>
                <c:pt idx="12">
                  <c:v>1</c:v>
                </c:pt>
                <c:pt idx="13">
                  <c:v>1</c:v>
                </c:pt>
                <c:pt idx="14">
                  <c:v>1</c:v>
                </c:pt>
                <c:pt idx="15">
                  <c:v>0</c:v>
                </c:pt>
                <c:pt idx="16">
                  <c:v>1</c:v>
                </c:pt>
                <c:pt idx="17">
                  <c:v>0</c:v>
                </c:pt>
                <c:pt idx="18">
                  <c:v>1</c:v>
                </c:pt>
                <c:pt idx="19">
                  <c:v>0</c:v>
                </c:pt>
                <c:pt idx="20">
                  <c:v>1</c:v>
                </c:pt>
                <c:pt idx="21">
                  <c:v>0</c:v>
                </c:pt>
                <c:pt idx="22">
                  <c:v>0</c:v>
                </c:pt>
                <c:pt idx="23">
                  <c:v>1</c:v>
                </c:pt>
                <c:pt idx="24">
                  <c:v>1</c:v>
                </c:pt>
                <c:pt idx="25">
                  <c:v>0</c:v>
                </c:pt>
                <c:pt idx="26">
                  <c:v>1</c:v>
                </c:pt>
                <c:pt idx="27">
                  <c:v>0</c:v>
                </c:pt>
                <c:pt idx="28">
                  <c:v>1</c:v>
                </c:pt>
                <c:pt idx="29">
                  <c:v>0</c:v>
                </c:pt>
                <c:pt idx="30">
                  <c:v>1</c:v>
                </c:pt>
                <c:pt idx="31">
                  <c:v>1</c:v>
                </c:pt>
                <c:pt idx="32">
                  <c:v>0</c:v>
                </c:pt>
                <c:pt idx="33">
                  <c:v>0</c:v>
                </c:pt>
                <c:pt idx="34">
                  <c:v>0</c:v>
                </c:pt>
                <c:pt idx="35">
                  <c:v>1</c:v>
                </c:pt>
                <c:pt idx="36">
                  <c:v>0</c:v>
                </c:pt>
                <c:pt idx="37">
                  <c:v>0</c:v>
                </c:pt>
                <c:pt idx="38">
                  <c:v>20</c:v>
                </c:pt>
              </c:numCache>
            </c:numRef>
          </c:val>
          <c:extLst>
            <c:ext xmlns:c16="http://schemas.microsoft.com/office/drawing/2014/chart" uri="{C3380CC4-5D6E-409C-BE32-E72D297353CC}">
              <c16:uniqueId val="{00000001-7D06-4455-B69A-9C19671284B3}"/>
            </c:ext>
          </c:extLst>
        </c:ser>
        <c:dLbls>
          <c:showLegendKey val="0"/>
          <c:showVal val="1"/>
          <c:showCatName val="0"/>
          <c:showSerName val="0"/>
          <c:showPercent val="0"/>
          <c:showBubbleSize val="0"/>
        </c:dLbls>
        <c:gapWidth val="150"/>
        <c:overlap val="-25"/>
        <c:axId val="634587336"/>
        <c:axId val="634598704"/>
      </c:barChart>
      <c:catAx>
        <c:axId val="63458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98704"/>
        <c:crosses val="autoZero"/>
        <c:auto val="1"/>
        <c:lblAlgn val="ctr"/>
        <c:lblOffset val="100"/>
        <c:noMultiLvlLbl val="0"/>
      </c:catAx>
      <c:valAx>
        <c:axId val="634598704"/>
        <c:scaling>
          <c:orientation val="minMax"/>
        </c:scaling>
        <c:delete val="1"/>
        <c:axPos val="l"/>
        <c:numFmt formatCode="General" sourceLinked="1"/>
        <c:majorTickMark val="none"/>
        <c:minorTickMark val="none"/>
        <c:tickLblPos val="nextTo"/>
        <c:crossAx val="6345873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'!$AM$2:$AM$3</c:f>
              <c:strCache>
                <c:ptCount val="2"/>
                <c:pt idx="1">
                  <c:v>Publikimi i Raportit të kryetarit të komunës</c:v>
                </c:pt>
              </c:strCache>
            </c:strRef>
          </c:tx>
          <c:spPr>
            <a:solidFill>
              <a:schemeClr val="accent1"/>
            </a:solidFill>
            <a:ln>
              <a:noFill/>
            </a:ln>
            <a:effectLst/>
          </c:spPr>
          <c:invertIfNegative val="0"/>
          <c:dLbls>
            <c:dLbl>
              <c:idx val="0"/>
              <c:layout>
                <c:manualLayout>
                  <c:x val="-2.2158209616662972E-3"/>
                  <c:y val="-0.304798962386511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D3-4C03-8497-52AAE7375595}"/>
                </c:ext>
              </c:extLst>
            </c:dLbl>
            <c:dLbl>
              <c:idx val="1"/>
              <c:layout>
                <c:manualLayout>
                  <c:x val="-2.2158209616663024E-3"/>
                  <c:y val="-0.214007782101167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D3-4C03-8497-52AAE7375595}"/>
                </c:ext>
              </c:extLst>
            </c:dLbl>
            <c:dLbl>
              <c:idx val="4"/>
              <c:layout>
                <c:manualLayout>
                  <c:x val="-4.4316419233326153E-3"/>
                  <c:y val="-0.27237328553775142"/>
                </c:manualLayout>
              </c:layout>
              <c:showLegendKey val="0"/>
              <c:showVal val="1"/>
              <c:showCatName val="0"/>
              <c:showSerName val="0"/>
              <c:showPercent val="0"/>
              <c:showBubbleSize val="0"/>
              <c:extLst>
                <c:ext xmlns:c15="http://schemas.microsoft.com/office/drawing/2012/chart" uri="{CE6537A1-D6FC-4f65-9D91-7224C49458BB}">
                  <c15:layout>
                    <c:manualLayout>
                      <c:w val="2.6600843407758167E-2"/>
                      <c:h val="8.6543705383130595E-2"/>
                    </c:manualLayout>
                  </c15:layout>
                </c:ext>
                <c:ext xmlns:c16="http://schemas.microsoft.com/office/drawing/2014/chart" uri="{C3380CC4-5D6E-409C-BE32-E72D297353CC}">
                  <c16:uniqueId val="{00000004-5DD3-4C03-8497-52AAE7375595}"/>
                </c:ext>
              </c:extLst>
            </c:dLbl>
            <c:dLbl>
              <c:idx val="5"/>
              <c:layout>
                <c:manualLayout>
                  <c:x val="-2.2158209616663176E-3"/>
                  <c:y val="-0.233463035019455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D3-4C03-8497-52AAE7375595}"/>
                </c:ext>
              </c:extLst>
            </c:dLbl>
            <c:dLbl>
              <c:idx val="8"/>
              <c:layout>
                <c:manualLayout>
                  <c:x val="-2.2158209616662972E-3"/>
                  <c:y val="-0.18806744487678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D3-4C03-8497-52AAE7375595}"/>
                </c:ext>
              </c:extLst>
            </c:dLbl>
            <c:dLbl>
              <c:idx val="9"/>
              <c:layout>
                <c:manualLayout>
                  <c:x val="-2.2158209616662972E-3"/>
                  <c:y val="-0.23994811932555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D3-4C03-8497-52AAE7375595}"/>
                </c:ext>
              </c:extLst>
            </c:dLbl>
            <c:dLbl>
              <c:idx val="12"/>
              <c:layout>
                <c:manualLayout>
                  <c:x val="-8.8632838466652306E-3"/>
                  <c:y val="-0.24643320363164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D3-4C03-8497-52AAE7375595}"/>
                </c:ext>
              </c:extLst>
            </c:dLbl>
            <c:dLbl>
              <c:idx val="13"/>
              <c:layout>
                <c:manualLayout>
                  <c:x val="-6.6474628849988917E-3"/>
                  <c:y val="-0.239948119325551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D3-4C03-8497-52AAE7375595}"/>
                </c:ext>
              </c:extLst>
            </c:dLbl>
            <c:dLbl>
              <c:idx val="16"/>
              <c:layout>
                <c:manualLayout>
                  <c:x val="-1.3294925769997783E-2"/>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D3-4C03-8497-52AAE7375595}"/>
                </c:ext>
              </c:extLst>
            </c:dLbl>
            <c:dLbl>
              <c:idx val="17"/>
              <c:layout>
                <c:manualLayout>
                  <c:x val="-1.3294925769997783E-2"/>
                  <c:y val="-0.220492866407263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D3-4C03-8497-52AAE7375595}"/>
                </c:ext>
              </c:extLst>
            </c:dLbl>
            <c:dLbl>
              <c:idx val="21"/>
              <c:layout>
                <c:manualLayout>
                  <c:x val="2.2158209616662972E-3"/>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D3-4C03-8497-52AAE7375595}"/>
                </c:ext>
              </c:extLst>
            </c:dLbl>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1A-444E-B8CA-95D12F75AB9B}"/>
                </c:ext>
              </c:extLst>
            </c:dLbl>
            <c:dLbl>
              <c:idx val="24"/>
              <c:layout>
                <c:manualLayout>
                  <c:x val="-1.9942388654996677E-2"/>
                  <c:y val="-0.259403372243839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DD3-4C03-8497-52AAE7375595}"/>
                </c:ext>
              </c:extLst>
            </c:dLbl>
            <c:dLbl>
              <c:idx val="25"/>
              <c:layout>
                <c:manualLayout>
                  <c:x val="-6.6474628849989732E-3"/>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DD3-4C03-8497-52AAE7375595}"/>
                </c:ext>
              </c:extLst>
            </c:dLbl>
            <c:dLbl>
              <c:idx val="27"/>
              <c:layout>
                <c:manualLayout>
                  <c:x val="-1.1079104808331486E-2"/>
                  <c:y val="-0.2010376134889753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DD3-4C03-8497-52AAE7375595}"/>
                </c:ext>
              </c:extLst>
            </c:dLbl>
            <c:dLbl>
              <c:idx val="30"/>
              <c:layout>
                <c:manualLayout>
                  <c:x val="-1.7726567693330461E-2"/>
                  <c:y val="-0.194552529182879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DD3-4C03-8497-52AAE7375595}"/>
                </c:ext>
              </c:extLst>
            </c:dLbl>
            <c:dLbl>
              <c:idx val="33"/>
              <c:layout>
                <c:manualLayout>
                  <c:x val="0"/>
                  <c:y val="-0.20752269779507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DD3-4C03-8497-52AAE7375595}"/>
                </c:ext>
              </c:extLst>
            </c:dLbl>
            <c:dLbl>
              <c:idx val="36"/>
              <c:layout>
                <c:manualLayout>
                  <c:x val="-1.9942388654996677E-2"/>
                  <c:y val="-0.278858625162127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DD3-4C03-8497-52AAE7375595}"/>
                </c:ext>
              </c:extLst>
            </c:dLbl>
            <c:dLbl>
              <c:idx val="38"/>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1A-444E-B8CA-95D12F75AB9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1</c:v>
                </c:pt>
                <c:pt idx="1">
                  <c:v>1</c:v>
                </c:pt>
                <c:pt idx="2">
                  <c:v>0</c:v>
                </c:pt>
                <c:pt idx="3">
                  <c:v>1</c:v>
                </c:pt>
                <c:pt idx="4">
                  <c:v>1</c:v>
                </c:pt>
                <c:pt idx="5">
                  <c:v>1</c:v>
                </c:pt>
                <c:pt idx="6">
                  <c:v>1</c:v>
                </c:pt>
                <c:pt idx="7">
                  <c:v>1</c:v>
                </c:pt>
                <c:pt idx="8">
                  <c:v>0</c:v>
                </c:pt>
                <c:pt idx="9">
                  <c:v>0</c:v>
                </c:pt>
                <c:pt idx="10">
                  <c:v>1</c:v>
                </c:pt>
                <c:pt idx="11">
                  <c:v>0</c:v>
                </c:pt>
                <c:pt idx="12">
                  <c:v>0</c:v>
                </c:pt>
                <c:pt idx="13">
                  <c:v>0</c:v>
                </c:pt>
                <c:pt idx="14">
                  <c:v>1</c:v>
                </c:pt>
                <c:pt idx="15">
                  <c:v>1</c:v>
                </c:pt>
                <c:pt idx="16">
                  <c:v>1</c:v>
                </c:pt>
                <c:pt idx="17">
                  <c:v>0</c:v>
                </c:pt>
                <c:pt idx="18">
                  <c:v>1</c:v>
                </c:pt>
                <c:pt idx="19">
                  <c:v>0</c:v>
                </c:pt>
                <c:pt idx="20">
                  <c:v>1</c:v>
                </c:pt>
                <c:pt idx="21">
                  <c:v>0</c:v>
                </c:pt>
                <c:pt idx="22">
                  <c:v>0</c:v>
                </c:pt>
                <c:pt idx="23">
                  <c:v>2</c:v>
                </c:pt>
                <c:pt idx="24">
                  <c:v>1</c:v>
                </c:pt>
                <c:pt idx="25">
                  <c:v>0</c:v>
                </c:pt>
                <c:pt idx="26">
                  <c:v>1</c:v>
                </c:pt>
                <c:pt idx="27">
                  <c:v>0</c:v>
                </c:pt>
                <c:pt idx="28">
                  <c:v>1</c:v>
                </c:pt>
                <c:pt idx="29">
                  <c:v>1</c:v>
                </c:pt>
                <c:pt idx="30">
                  <c:v>1</c:v>
                </c:pt>
                <c:pt idx="31">
                  <c:v>1</c:v>
                </c:pt>
                <c:pt idx="32">
                  <c:v>0</c:v>
                </c:pt>
                <c:pt idx="33">
                  <c:v>0</c:v>
                </c:pt>
                <c:pt idx="34">
                  <c:v>0</c:v>
                </c:pt>
                <c:pt idx="35">
                  <c:v>1</c:v>
                </c:pt>
                <c:pt idx="36">
                  <c:v>0</c:v>
                </c:pt>
                <c:pt idx="37">
                  <c:v>1</c:v>
                </c:pt>
                <c:pt idx="38">
                  <c:v>23</c:v>
                </c:pt>
              </c:numCache>
            </c:numRef>
          </c:val>
          <c:extLst>
            <c:ext xmlns:c16="http://schemas.microsoft.com/office/drawing/2014/chart" uri="{C3380CC4-5D6E-409C-BE32-E72D297353CC}">
              <c16:uniqueId val="{00000000-5DD3-4C03-8497-52AAE7375595}"/>
            </c:ext>
          </c:extLst>
        </c:ser>
        <c:dLbls>
          <c:showLegendKey val="0"/>
          <c:showVal val="1"/>
          <c:showCatName val="0"/>
          <c:showSerName val="0"/>
          <c:showPercent val="0"/>
          <c:showBubbleSize val="0"/>
        </c:dLbls>
        <c:gapWidth val="150"/>
        <c:overlap val="-25"/>
        <c:axId val="634594000"/>
        <c:axId val="634602232"/>
      </c:barChart>
      <c:catAx>
        <c:axId val="634594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602232"/>
        <c:crosses val="autoZero"/>
        <c:auto val="1"/>
        <c:lblAlgn val="ctr"/>
        <c:lblOffset val="100"/>
        <c:noMultiLvlLbl val="0"/>
      </c:catAx>
      <c:valAx>
        <c:axId val="634602232"/>
        <c:scaling>
          <c:orientation val="minMax"/>
        </c:scaling>
        <c:delete val="1"/>
        <c:axPos val="l"/>
        <c:numFmt formatCode="General" sourceLinked="1"/>
        <c:majorTickMark val="none"/>
        <c:minorTickMark val="none"/>
        <c:tickLblPos val="nextTo"/>
        <c:crossAx val="634594000"/>
        <c:crosses val="autoZero"/>
        <c:crossBetween val="between"/>
      </c:valAx>
      <c:spPr>
        <a:blipFill>
          <a:blip xmlns:r="http://schemas.openxmlformats.org/officeDocument/2006/relationships" r:embed="rId3"/>
          <a:tile tx="0" ty="0" sx="100000" sy="100000" flip="none" algn="tl"/>
        </a:blip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KRYETARIT '!$AJ$3</c:f>
              <c:strCache>
                <c:ptCount val="1"/>
                <c:pt idx="0">
                  <c:v>Takimet publike të Kryetarit të Komunës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KRYETARIT '!$AI$4:$AI$43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'!$AJ$4:$AJ$43</c:f>
              <c:numCache>
                <c:formatCode>General</c:formatCode>
                <c:ptCount val="40"/>
                <c:pt idx="0">
                  <c:v>0</c:v>
                </c:pt>
                <c:pt idx="1">
                  <c:v>2</c:v>
                </c:pt>
                <c:pt idx="2">
                  <c:v>0</c:v>
                </c:pt>
                <c:pt idx="3">
                  <c:v>2</c:v>
                </c:pt>
                <c:pt idx="4">
                  <c:v>2</c:v>
                </c:pt>
                <c:pt idx="5">
                  <c:v>2</c:v>
                </c:pt>
                <c:pt idx="6">
                  <c:v>0</c:v>
                </c:pt>
                <c:pt idx="7">
                  <c:v>0</c:v>
                </c:pt>
                <c:pt idx="8">
                  <c:v>2</c:v>
                </c:pt>
                <c:pt idx="9">
                  <c:v>0</c:v>
                </c:pt>
                <c:pt idx="10">
                  <c:v>2</c:v>
                </c:pt>
                <c:pt idx="11">
                  <c:v>2</c:v>
                </c:pt>
                <c:pt idx="12">
                  <c:v>0</c:v>
                </c:pt>
                <c:pt idx="13">
                  <c:v>2</c:v>
                </c:pt>
                <c:pt idx="14">
                  <c:v>2</c:v>
                </c:pt>
                <c:pt idx="15">
                  <c:v>2</c:v>
                </c:pt>
                <c:pt idx="16">
                  <c:v>2</c:v>
                </c:pt>
                <c:pt idx="17">
                  <c:v>0</c:v>
                </c:pt>
                <c:pt idx="18">
                  <c:v>1</c:v>
                </c:pt>
                <c:pt idx="19">
                  <c:v>0</c:v>
                </c:pt>
                <c:pt idx="20">
                  <c:v>2</c:v>
                </c:pt>
                <c:pt idx="21">
                  <c:v>2</c:v>
                </c:pt>
                <c:pt idx="22">
                  <c:v>1</c:v>
                </c:pt>
                <c:pt idx="23">
                  <c:v>2</c:v>
                </c:pt>
                <c:pt idx="24">
                  <c:v>2</c:v>
                </c:pt>
                <c:pt idx="25">
                  <c:v>0</c:v>
                </c:pt>
                <c:pt idx="26">
                  <c:v>2</c:v>
                </c:pt>
                <c:pt idx="27">
                  <c:v>0</c:v>
                </c:pt>
                <c:pt idx="28">
                  <c:v>2</c:v>
                </c:pt>
                <c:pt idx="29">
                  <c:v>1</c:v>
                </c:pt>
                <c:pt idx="30">
                  <c:v>2</c:v>
                </c:pt>
                <c:pt idx="31">
                  <c:v>2</c:v>
                </c:pt>
                <c:pt idx="32">
                  <c:v>0</c:v>
                </c:pt>
                <c:pt idx="33">
                  <c:v>0</c:v>
                </c:pt>
                <c:pt idx="34">
                  <c:v>0</c:v>
                </c:pt>
                <c:pt idx="35">
                  <c:v>0</c:v>
                </c:pt>
                <c:pt idx="36">
                  <c:v>0</c:v>
                </c:pt>
                <c:pt idx="37">
                  <c:v>2</c:v>
                </c:pt>
                <c:pt idx="38">
                  <c:v>24</c:v>
                </c:pt>
              </c:numCache>
            </c:numRef>
          </c:val>
          <c:extLst>
            <c:ext xmlns:c16="http://schemas.microsoft.com/office/drawing/2014/chart" uri="{C3380CC4-5D6E-409C-BE32-E72D297353CC}">
              <c16:uniqueId val="{00000000-375A-48B4-B822-2C8C89242FDD}"/>
            </c:ext>
          </c:extLst>
        </c:ser>
        <c:dLbls>
          <c:showLegendKey val="0"/>
          <c:showVal val="1"/>
          <c:showCatName val="0"/>
          <c:showSerName val="0"/>
          <c:showPercent val="0"/>
          <c:showBubbleSize val="0"/>
        </c:dLbls>
        <c:gapWidth val="150"/>
        <c:overlap val="-25"/>
        <c:axId val="634602624"/>
        <c:axId val="634604192"/>
      </c:barChart>
      <c:catAx>
        <c:axId val="6346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604192"/>
        <c:crosses val="autoZero"/>
        <c:auto val="1"/>
        <c:lblAlgn val="ctr"/>
        <c:lblOffset val="100"/>
        <c:noMultiLvlLbl val="0"/>
      </c:catAx>
      <c:valAx>
        <c:axId val="634604192"/>
        <c:scaling>
          <c:orientation val="minMax"/>
        </c:scaling>
        <c:delete val="1"/>
        <c:axPos val="l"/>
        <c:numFmt formatCode="General" sourceLinked="1"/>
        <c:majorTickMark val="none"/>
        <c:minorTickMark val="none"/>
        <c:tickLblPos val="nextTo"/>
        <c:crossAx val="634602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017367650136011E-2"/>
          <c:y val="0.21120211893074609"/>
          <c:w val="0.96652019250889309"/>
          <c:h val="0.4374112913673725"/>
        </c:manualLayout>
      </c:layout>
      <c:barChart>
        <c:barDir val="col"/>
        <c:grouping val="clustered"/>
        <c:varyColors val="0"/>
        <c:ser>
          <c:idx val="0"/>
          <c:order val="0"/>
          <c:tx>
            <c:strRef>
              <c:f>'AKTET E KRYETARIT '!$AM$3</c:f>
              <c:strCache>
                <c:ptCount val="1"/>
                <c:pt idx="0">
                  <c:v>Lista e pronave komunale, pronave të cilat planifikohen të jepen në shfrytëzim,</c:v>
                </c:pt>
              </c:strCache>
            </c:strRef>
          </c:tx>
          <c:spPr>
            <a:solidFill>
              <a:schemeClr val="accent1"/>
            </a:solidFill>
            <a:ln>
              <a:noFill/>
            </a:ln>
            <a:effectLst/>
          </c:spPr>
          <c:invertIfNegative val="0"/>
          <c:dLbls>
            <c:dLbl>
              <c:idx val="38"/>
              <c:layout>
                <c:manualLayout>
                  <c:x val="-3.270824247710423E-2"/>
                  <c:y val="-5.3511705685618728E-2"/>
                </c:manualLayout>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5C-4524-95C4-B84D66241E4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'!$AM$4:$AM$43</c:f>
              <c:numCache>
                <c:formatCode>General</c:formatCode>
                <c:ptCount val="40"/>
                <c:pt idx="0">
                  <c:v>0</c:v>
                </c:pt>
                <c:pt idx="1">
                  <c:v>1</c:v>
                </c:pt>
                <c:pt idx="2">
                  <c:v>0</c:v>
                </c:pt>
                <c:pt idx="3">
                  <c:v>1</c:v>
                </c:pt>
                <c:pt idx="4">
                  <c:v>0</c:v>
                </c:pt>
                <c:pt idx="5">
                  <c:v>1</c:v>
                </c:pt>
                <c:pt idx="6">
                  <c:v>1</c:v>
                </c:pt>
                <c:pt idx="7">
                  <c:v>1</c:v>
                </c:pt>
                <c:pt idx="8">
                  <c:v>0</c:v>
                </c:pt>
                <c:pt idx="9">
                  <c:v>0</c:v>
                </c:pt>
                <c:pt idx="10">
                  <c:v>1</c:v>
                </c:pt>
                <c:pt idx="11">
                  <c:v>1</c:v>
                </c:pt>
                <c:pt idx="12">
                  <c:v>1</c:v>
                </c:pt>
                <c:pt idx="13">
                  <c:v>0</c:v>
                </c:pt>
                <c:pt idx="14">
                  <c:v>1</c:v>
                </c:pt>
                <c:pt idx="15">
                  <c:v>1</c:v>
                </c:pt>
                <c:pt idx="16">
                  <c:v>1</c:v>
                </c:pt>
                <c:pt idx="17">
                  <c:v>0</c:v>
                </c:pt>
                <c:pt idx="18">
                  <c:v>1</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20</c:v>
                </c:pt>
              </c:numCache>
            </c:numRef>
          </c:val>
          <c:extLst>
            <c:ext xmlns:c16="http://schemas.microsoft.com/office/drawing/2014/chart" uri="{C3380CC4-5D6E-409C-BE32-E72D297353CC}">
              <c16:uniqueId val="{00000000-188A-43DB-8C56-AAF2C5580DC5}"/>
            </c:ext>
          </c:extLst>
        </c:ser>
        <c:ser>
          <c:idx val="1"/>
          <c:order val="1"/>
          <c:tx>
            <c:strRef>
              <c:f>'AKTET E KRYETARIT '!$AN$3</c:f>
              <c:strCache>
                <c:ptCount val="1"/>
                <c:pt idx="0">
                  <c:v>Lista e pronave komunale të dhëna në shfrytëzim </c:v>
                </c:pt>
              </c:strCache>
            </c:strRef>
          </c:tx>
          <c:spPr>
            <a:solidFill>
              <a:schemeClr val="accent2"/>
            </a:solidFill>
            <a:ln>
              <a:noFill/>
            </a:ln>
            <a:effectLst/>
          </c:spPr>
          <c:invertIfNegative val="0"/>
          <c:dLbls>
            <c:dLbl>
              <c:idx val="0"/>
              <c:layout>
                <c:manualLayout>
                  <c:x val="0"/>
                  <c:y val="-0.13711151736745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8A-43DB-8C56-AAF2C5580DC5}"/>
                </c:ext>
              </c:extLst>
            </c:dLbl>
            <c:dLbl>
              <c:idx val="1"/>
              <c:layout>
                <c:manualLayout>
                  <c:x val="1.0462439840970915E-2"/>
                  <c:y val="-0.159963436928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88A-43DB-8C56-AAF2C5580DC5}"/>
                </c:ext>
              </c:extLst>
            </c:dLbl>
            <c:dLbl>
              <c:idx val="2"/>
              <c:layout>
                <c:manualLayout>
                  <c:x val="6.2774639045825482E-3"/>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8A-43DB-8C56-AAF2C5580DC5}"/>
                </c:ext>
              </c:extLst>
            </c:dLbl>
            <c:dLbl>
              <c:idx val="3"/>
              <c:layout>
                <c:manualLayout>
                  <c:x val="4.1849759363883658E-3"/>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88A-43DB-8C56-AAF2C5580DC5}"/>
                </c:ext>
              </c:extLst>
            </c:dLbl>
            <c:dLbl>
              <c:idx val="4"/>
              <c:layout>
                <c:manualLayout>
                  <c:x val="1.0462439840970896E-2"/>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88A-43DB-8C56-AAF2C5580DC5}"/>
                </c:ext>
              </c:extLst>
            </c:dLbl>
            <c:dLbl>
              <c:idx val="5"/>
              <c:layout>
                <c:manualLayout>
                  <c:x val="8.3699518727767125E-3"/>
                  <c:y val="-0.123400365630713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8A-43DB-8C56-AAF2C5580DC5}"/>
                </c:ext>
              </c:extLst>
            </c:dLbl>
            <c:dLbl>
              <c:idx val="6"/>
              <c:layout>
                <c:manualLayout>
                  <c:x val="4.1849759363883658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8A-43DB-8C56-AAF2C5580DC5}"/>
                </c:ext>
              </c:extLst>
            </c:dLbl>
            <c:dLbl>
              <c:idx val="7"/>
              <c:layout>
                <c:manualLayout>
                  <c:x val="6.2774639045825482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88A-43DB-8C56-AAF2C5580DC5}"/>
                </c:ext>
              </c:extLst>
            </c:dLbl>
            <c:dLbl>
              <c:idx val="8"/>
              <c:layout>
                <c:manualLayout>
                  <c:x val="6.2774639045825482E-3"/>
                  <c:y val="-0.164533820840950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88A-43DB-8C56-AAF2C5580DC5}"/>
                </c:ext>
              </c:extLst>
            </c:dLbl>
            <c:dLbl>
              <c:idx val="9"/>
              <c:layout>
                <c:manualLayout>
                  <c:x val="0"/>
                  <c:y val="-0.18738574040219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88A-43DB-8C56-AAF2C5580DC5}"/>
                </c:ext>
              </c:extLst>
            </c:dLbl>
            <c:dLbl>
              <c:idx val="10"/>
              <c:layout>
                <c:manualLayout>
                  <c:x val="6.2774639045825101E-3"/>
                  <c:y val="-0.187385740402193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8A-43DB-8C56-AAF2C5580DC5}"/>
                </c:ext>
              </c:extLst>
            </c:dLbl>
            <c:dLbl>
              <c:idx val="11"/>
              <c:layout>
                <c:manualLayout>
                  <c:x val="6.2774639045825101E-3"/>
                  <c:y val="-0.214808043875685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8A-43DB-8C56-AAF2C5580DC5}"/>
                </c:ext>
              </c:extLst>
            </c:dLbl>
            <c:dLbl>
              <c:idx val="12"/>
              <c:layout>
                <c:manualLayout>
                  <c:x val="1.2554927809165058E-2"/>
                  <c:y val="-0.18281535648994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88A-43DB-8C56-AAF2C5580DC5}"/>
                </c:ext>
              </c:extLst>
            </c:dLbl>
            <c:dLbl>
              <c:idx val="13"/>
              <c:layout>
                <c:manualLayout>
                  <c:x val="4.1849759363883276E-3"/>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88A-43DB-8C56-AAF2C5580DC5}"/>
                </c:ext>
              </c:extLst>
            </c:dLbl>
            <c:dLbl>
              <c:idx val="14"/>
              <c:layout>
                <c:manualLayout>
                  <c:x val="-7.6723672515374723E-17"/>
                  <c:y val="-0.1691042047531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88A-43DB-8C56-AAF2C5580DC5}"/>
                </c:ext>
              </c:extLst>
            </c:dLbl>
            <c:dLbl>
              <c:idx val="15"/>
              <c:layout>
                <c:manualLayout>
                  <c:x val="0"/>
                  <c:y val="-0.182815356489945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88A-43DB-8C56-AAF2C5580DC5}"/>
                </c:ext>
              </c:extLst>
            </c:dLbl>
            <c:dLbl>
              <c:idx val="16"/>
              <c:layout>
                <c:manualLayout>
                  <c:x val="2.0924879681941829E-3"/>
                  <c:y val="-0.17367458866544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88A-43DB-8C56-AAF2C5580DC5}"/>
                </c:ext>
              </c:extLst>
            </c:dLbl>
            <c:dLbl>
              <c:idx val="17"/>
              <c:layout>
                <c:manualLayout>
                  <c:x val="6.2774639045825482E-3"/>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88A-43DB-8C56-AAF2C5580DC5}"/>
                </c:ext>
              </c:extLst>
            </c:dLbl>
            <c:dLbl>
              <c:idx val="18"/>
              <c:layout>
                <c:manualLayout>
                  <c:x val="1.0462439840970915E-2"/>
                  <c:y val="-0.19195612431444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88A-43DB-8C56-AAF2C5580DC5}"/>
                </c:ext>
              </c:extLst>
            </c:dLbl>
            <c:dLbl>
              <c:idx val="19"/>
              <c:layout>
                <c:manualLayout>
                  <c:x val="1.255492780916502E-2"/>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88A-43DB-8C56-AAF2C5580DC5}"/>
                </c:ext>
              </c:extLst>
            </c:dLbl>
            <c:dLbl>
              <c:idx val="20"/>
              <c:layout>
                <c:manualLayout>
                  <c:x val="1.0462439840970915E-2"/>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88A-43DB-8C56-AAF2C5580DC5}"/>
                </c:ext>
              </c:extLst>
            </c:dLbl>
            <c:dLbl>
              <c:idx val="21"/>
              <c:layout>
                <c:manualLayout>
                  <c:x val="1.255492780916502E-2"/>
                  <c:y val="-0.196526508226691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188A-43DB-8C56-AAF2C5580DC5}"/>
                </c:ext>
              </c:extLst>
            </c:dLbl>
            <c:dLbl>
              <c:idx val="22"/>
              <c:layout>
                <c:manualLayout>
                  <c:x val="1.255492780916502E-2"/>
                  <c:y val="-0.17824497257769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188A-43DB-8C56-AAF2C5580DC5}"/>
                </c:ext>
              </c:extLst>
            </c:dLbl>
            <c:dLbl>
              <c:idx val="23"/>
              <c:layout>
                <c:manualLayout>
                  <c:x val="8.3699518727766552E-3"/>
                  <c:y val="-0.15996343692870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188A-43DB-8C56-AAF2C5580DC5}"/>
                </c:ext>
              </c:extLst>
            </c:dLbl>
            <c:dLbl>
              <c:idx val="24"/>
              <c:layout>
                <c:manualLayout>
                  <c:x val="2.0924879681941061E-3"/>
                  <c:y val="-0.19652650822669107"/>
                </c:manualLayout>
              </c:layout>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88A-43DB-8C56-AAF2C5580DC5}"/>
                </c:ext>
              </c:extLst>
            </c:dLbl>
            <c:dLbl>
              <c:idx val="25"/>
              <c:layout>
                <c:manualLayout>
                  <c:x val="0"/>
                  <c:y val="-0.155393053016453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188A-43DB-8C56-AAF2C5580DC5}"/>
                </c:ext>
              </c:extLst>
            </c:dLbl>
            <c:dLbl>
              <c:idx val="26"/>
              <c:layout>
                <c:manualLayout>
                  <c:x val="0"/>
                  <c:y val="-0.191956124314442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188A-43DB-8C56-AAF2C5580DC5}"/>
                </c:ext>
              </c:extLst>
            </c:dLbl>
            <c:dLbl>
              <c:idx val="27"/>
              <c:layout>
                <c:manualLayout>
                  <c:x val="0"/>
                  <c:y val="-0.169104204753199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188A-43DB-8C56-AAF2C5580DC5}"/>
                </c:ext>
              </c:extLst>
            </c:dLbl>
            <c:dLbl>
              <c:idx val="28"/>
              <c:layout>
                <c:manualLayout>
                  <c:x val="0"/>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188A-43DB-8C56-AAF2C5580DC5}"/>
                </c:ext>
              </c:extLst>
            </c:dLbl>
            <c:dLbl>
              <c:idx val="29"/>
              <c:layout>
                <c:manualLayout>
                  <c:x val="-2.0924879681943364E-3"/>
                  <c:y val="-0.178244972577696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188A-43DB-8C56-AAF2C5580DC5}"/>
                </c:ext>
              </c:extLst>
            </c:dLbl>
            <c:dLbl>
              <c:idx val="30"/>
              <c:layout>
                <c:manualLayout>
                  <c:x val="0"/>
                  <c:y val="-0.132541133455210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188A-43DB-8C56-AAF2C5580DC5}"/>
                </c:ext>
              </c:extLst>
            </c:dLbl>
            <c:dLbl>
              <c:idx val="31"/>
              <c:layout>
                <c:manualLayout>
                  <c:x val="4.1849759363883658E-3"/>
                  <c:y val="-0.14625228519195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88A-43DB-8C56-AAF2C5580DC5}"/>
                </c:ext>
              </c:extLst>
            </c:dLbl>
            <c:dLbl>
              <c:idx val="32"/>
              <c:layout>
                <c:manualLayout>
                  <c:x val="0"/>
                  <c:y val="-0.182815356489945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88A-43DB-8C56-AAF2C5580DC5}"/>
                </c:ext>
              </c:extLst>
            </c:dLbl>
            <c:dLbl>
              <c:idx val="33"/>
              <c:layout>
                <c:manualLayout>
                  <c:x val="-2.0924879681941829E-3"/>
                  <c:y val="-0.141681901279707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188A-43DB-8C56-AAF2C5580DC5}"/>
                </c:ext>
              </c:extLst>
            </c:dLbl>
            <c:dLbl>
              <c:idx val="34"/>
              <c:layout>
                <c:manualLayout>
                  <c:x val="-4.1849759363883658E-3"/>
                  <c:y val="-0.14625228519195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188A-43DB-8C56-AAF2C5580DC5}"/>
                </c:ext>
              </c:extLst>
            </c:dLbl>
            <c:dLbl>
              <c:idx val="35"/>
              <c:layout>
                <c:manualLayout>
                  <c:x val="-6.2774639045825482E-3"/>
                  <c:y val="-0.14625228519195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188A-43DB-8C56-AAF2C5580DC5}"/>
                </c:ext>
              </c:extLst>
            </c:dLbl>
            <c:dLbl>
              <c:idx val="36"/>
              <c:layout>
                <c:manualLayout>
                  <c:x val="-1.0462439840970915E-2"/>
                  <c:y val="-0.137111517367458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188A-43DB-8C56-AAF2C5580DC5}"/>
                </c:ext>
              </c:extLst>
            </c:dLbl>
            <c:dLbl>
              <c:idx val="37"/>
              <c:layout>
                <c:manualLayout>
                  <c:x val="-6.2774639045827018E-3"/>
                  <c:y val="-0.10968921389396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188A-43DB-8C56-AAF2C5580DC5}"/>
                </c:ext>
              </c:extLst>
            </c:dLbl>
            <c:dLbl>
              <c:idx val="38"/>
              <c:layout>
                <c:manualLayout>
                  <c:x val="2.0924879681940294E-3"/>
                  <c:y val="-0.11882998171846434"/>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188A-43DB-8C56-AAF2C5580DC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'AKTET E KRYETARIT '!$AL$4:$AL$43</c:f>
              <c:strCache>
                <c:ptCount val="39"/>
                <c:pt idx="0">
                  <c:v>Deçan</c:v>
                </c:pt>
                <c:pt idx="1">
                  <c:v>Ferizaj</c:v>
                </c:pt>
                <c:pt idx="2">
                  <c:v>Fushe Kosovë</c:v>
                </c:pt>
                <c:pt idx="3">
                  <c:v>Gjakovë</c:v>
                </c:pt>
                <c:pt idx="4">
                  <c:v>Gjilan </c:v>
                </c:pt>
                <c:pt idx="5">
                  <c:v>Gllogoc </c:v>
                </c:pt>
                <c:pt idx="6">
                  <c:v>Graçanicë</c:v>
                </c:pt>
                <c:pt idx="7">
                  <c:v>Hani i Elezit</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KRYETARIT '!$AN$4:$AN$43</c:f>
              <c:numCache>
                <c:formatCode>General</c:formatCode>
                <c:ptCount val="40"/>
                <c:pt idx="0">
                  <c:v>0</c:v>
                </c:pt>
                <c:pt idx="1">
                  <c:v>1</c:v>
                </c:pt>
                <c:pt idx="2">
                  <c:v>0</c:v>
                </c:pt>
                <c:pt idx="3">
                  <c:v>1</c:v>
                </c:pt>
                <c:pt idx="4">
                  <c:v>1</c:v>
                </c:pt>
                <c:pt idx="5">
                  <c:v>1</c:v>
                </c:pt>
                <c:pt idx="6">
                  <c:v>1</c:v>
                </c:pt>
                <c:pt idx="7">
                  <c:v>1</c:v>
                </c:pt>
                <c:pt idx="8">
                  <c:v>1</c:v>
                </c:pt>
                <c:pt idx="9">
                  <c:v>0</c:v>
                </c:pt>
                <c:pt idx="10">
                  <c:v>0</c:v>
                </c:pt>
                <c:pt idx="11">
                  <c:v>0</c:v>
                </c:pt>
                <c:pt idx="12">
                  <c:v>1</c:v>
                </c:pt>
                <c:pt idx="13">
                  <c:v>0</c:v>
                </c:pt>
                <c:pt idx="14">
                  <c:v>1</c:v>
                </c:pt>
                <c:pt idx="15">
                  <c:v>1</c:v>
                </c:pt>
                <c:pt idx="16">
                  <c:v>1</c:v>
                </c:pt>
                <c:pt idx="17">
                  <c:v>0</c:v>
                </c:pt>
                <c:pt idx="18">
                  <c:v>1</c:v>
                </c:pt>
                <c:pt idx="19">
                  <c:v>0</c:v>
                </c:pt>
                <c:pt idx="20">
                  <c:v>0</c:v>
                </c:pt>
                <c:pt idx="21">
                  <c:v>0</c:v>
                </c:pt>
                <c:pt idx="22">
                  <c:v>1</c:v>
                </c:pt>
                <c:pt idx="23">
                  <c:v>1</c:v>
                </c:pt>
                <c:pt idx="24">
                  <c:v>0</c:v>
                </c:pt>
                <c:pt idx="25">
                  <c:v>0</c:v>
                </c:pt>
                <c:pt idx="26">
                  <c:v>1</c:v>
                </c:pt>
                <c:pt idx="27">
                  <c:v>0</c:v>
                </c:pt>
                <c:pt idx="28">
                  <c:v>0</c:v>
                </c:pt>
                <c:pt idx="29">
                  <c:v>0</c:v>
                </c:pt>
                <c:pt idx="30">
                  <c:v>1</c:v>
                </c:pt>
                <c:pt idx="31">
                  <c:v>1</c:v>
                </c:pt>
                <c:pt idx="32">
                  <c:v>0</c:v>
                </c:pt>
                <c:pt idx="33">
                  <c:v>0</c:v>
                </c:pt>
                <c:pt idx="34">
                  <c:v>0</c:v>
                </c:pt>
                <c:pt idx="35">
                  <c:v>0</c:v>
                </c:pt>
                <c:pt idx="36">
                  <c:v>0</c:v>
                </c:pt>
                <c:pt idx="37">
                  <c:v>1</c:v>
                </c:pt>
                <c:pt idx="38">
                  <c:v>18</c:v>
                </c:pt>
              </c:numCache>
            </c:numRef>
          </c:val>
          <c:extLst>
            <c:ext xmlns:c16="http://schemas.microsoft.com/office/drawing/2014/chart" uri="{C3380CC4-5D6E-409C-BE32-E72D297353CC}">
              <c16:uniqueId val="{00000001-188A-43DB-8C56-AAF2C5580DC5}"/>
            </c:ext>
          </c:extLst>
        </c:ser>
        <c:dLbls>
          <c:showLegendKey val="0"/>
          <c:showVal val="1"/>
          <c:showCatName val="0"/>
          <c:showSerName val="0"/>
          <c:showPercent val="0"/>
          <c:showBubbleSize val="0"/>
        </c:dLbls>
        <c:gapWidth val="150"/>
        <c:overlap val="-25"/>
        <c:axId val="610280256"/>
        <c:axId val="610280648"/>
      </c:barChart>
      <c:catAx>
        <c:axId val="61028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en-US"/>
          </a:p>
        </c:txPr>
        <c:crossAx val="610280648"/>
        <c:crosses val="autoZero"/>
        <c:auto val="1"/>
        <c:lblAlgn val="ctr"/>
        <c:lblOffset val="100"/>
        <c:noMultiLvlLbl val="0"/>
      </c:catAx>
      <c:valAx>
        <c:axId val="610280648"/>
        <c:scaling>
          <c:orientation val="minMax"/>
        </c:scaling>
        <c:delete val="1"/>
        <c:axPos val="l"/>
        <c:numFmt formatCode="General" sourceLinked="1"/>
        <c:majorTickMark val="none"/>
        <c:minorTickMark val="none"/>
        <c:tickLblPos val="nextTo"/>
        <c:crossAx val="6102802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63952724885097E-2"/>
          <c:y val="0.24746089339215008"/>
          <c:w val="0.95184942000437733"/>
          <c:h val="0.3284172174462896"/>
        </c:manualLayout>
      </c:layout>
      <c:barChart>
        <c:barDir val="col"/>
        <c:grouping val="clustered"/>
        <c:varyColors val="0"/>
        <c:ser>
          <c:idx val="0"/>
          <c:order val="0"/>
          <c:tx>
            <c:strRef>
              <c:f>'PUBLIKIMI K.K PLANET STRATEGJIK'!$N$7</c:f>
              <c:strCache>
                <c:ptCount val="1"/>
                <c:pt idx="0">
                  <c:v>Raporti për qasje në dokumente publike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STRATEGJIK'!$N$8:$N$47</c:f>
              <c:numCache>
                <c:formatCode>General</c:formatCode>
                <c:ptCount val="40"/>
                <c:pt idx="0">
                  <c:v>0</c:v>
                </c:pt>
                <c:pt idx="1">
                  <c:v>1</c:v>
                </c:pt>
                <c:pt idx="2">
                  <c:v>0</c:v>
                </c:pt>
                <c:pt idx="3">
                  <c:v>0</c:v>
                </c:pt>
                <c:pt idx="4">
                  <c:v>1</c:v>
                </c:pt>
                <c:pt idx="5">
                  <c:v>1</c:v>
                </c:pt>
                <c:pt idx="6">
                  <c:v>1</c:v>
                </c:pt>
                <c:pt idx="7">
                  <c:v>1</c:v>
                </c:pt>
                <c:pt idx="8">
                  <c:v>1</c:v>
                </c:pt>
                <c:pt idx="9">
                  <c:v>0</c:v>
                </c:pt>
                <c:pt idx="10">
                  <c:v>1</c:v>
                </c:pt>
                <c:pt idx="11">
                  <c:v>0</c:v>
                </c:pt>
                <c:pt idx="12">
                  <c:v>0</c:v>
                </c:pt>
                <c:pt idx="13">
                  <c:v>0</c:v>
                </c:pt>
                <c:pt idx="14">
                  <c:v>1</c:v>
                </c:pt>
                <c:pt idx="15">
                  <c:v>1</c:v>
                </c:pt>
                <c:pt idx="16">
                  <c:v>1</c:v>
                </c:pt>
                <c:pt idx="17">
                  <c:v>0</c:v>
                </c:pt>
                <c:pt idx="18">
                  <c:v>0</c:v>
                </c:pt>
                <c:pt idx="19">
                  <c:v>0</c:v>
                </c:pt>
                <c:pt idx="20">
                  <c:v>0</c:v>
                </c:pt>
                <c:pt idx="21">
                  <c:v>0</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18</c:v>
                </c:pt>
              </c:numCache>
            </c:numRef>
          </c:val>
          <c:extLst>
            <c:ext xmlns:c16="http://schemas.microsoft.com/office/drawing/2014/chart" uri="{C3380CC4-5D6E-409C-BE32-E72D297353CC}">
              <c16:uniqueId val="{00000000-8EDD-4D76-A497-2A0EDC2D5B4D}"/>
            </c:ext>
          </c:extLst>
        </c:ser>
        <c:dLbls>
          <c:showLegendKey val="0"/>
          <c:showVal val="1"/>
          <c:showCatName val="0"/>
          <c:showSerName val="0"/>
          <c:showPercent val="0"/>
          <c:showBubbleSize val="0"/>
        </c:dLbls>
        <c:gapWidth val="150"/>
        <c:overlap val="-25"/>
        <c:axId val="634595568"/>
        <c:axId val="634593608"/>
      </c:barChart>
      <c:catAx>
        <c:axId val="6345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93608"/>
        <c:crosses val="autoZero"/>
        <c:auto val="1"/>
        <c:lblAlgn val="ctr"/>
        <c:lblOffset val="100"/>
        <c:noMultiLvlLbl val="0"/>
      </c:catAx>
      <c:valAx>
        <c:axId val="634593608"/>
        <c:scaling>
          <c:orientation val="minMax"/>
        </c:scaling>
        <c:delete val="1"/>
        <c:axPos val="l"/>
        <c:numFmt formatCode="General" sourceLinked="1"/>
        <c:majorTickMark val="none"/>
        <c:minorTickMark val="none"/>
        <c:tickLblPos val="nextTo"/>
        <c:crossAx val="6345955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'!$M$7</c:f>
              <c:strCache>
                <c:ptCount val="1"/>
                <c:pt idx="0">
                  <c:v>Njoftime për mbledhjet e Komitetit për Politik dhe Financa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'!$M$8:$M$46</c:f>
              <c:numCache>
                <c:formatCode>General</c:formatCode>
                <c:ptCount val="39"/>
                <c:pt idx="0">
                  <c:v>9</c:v>
                </c:pt>
                <c:pt idx="1">
                  <c:v>8</c:v>
                </c:pt>
                <c:pt idx="2">
                  <c:v>0</c:v>
                </c:pt>
                <c:pt idx="3">
                  <c:v>4</c:v>
                </c:pt>
                <c:pt idx="4">
                  <c:v>4</c:v>
                </c:pt>
                <c:pt idx="5">
                  <c:v>8</c:v>
                </c:pt>
                <c:pt idx="6">
                  <c:v>11</c:v>
                </c:pt>
                <c:pt idx="7">
                  <c:v>8</c:v>
                </c:pt>
                <c:pt idx="8">
                  <c:v>9</c:v>
                </c:pt>
                <c:pt idx="9">
                  <c:v>0</c:v>
                </c:pt>
                <c:pt idx="10">
                  <c:v>10</c:v>
                </c:pt>
                <c:pt idx="11">
                  <c:v>8</c:v>
                </c:pt>
                <c:pt idx="12">
                  <c:v>10</c:v>
                </c:pt>
                <c:pt idx="13">
                  <c:v>0</c:v>
                </c:pt>
                <c:pt idx="14">
                  <c:v>7</c:v>
                </c:pt>
                <c:pt idx="15">
                  <c:v>6</c:v>
                </c:pt>
                <c:pt idx="16">
                  <c:v>10</c:v>
                </c:pt>
                <c:pt idx="17">
                  <c:v>1</c:v>
                </c:pt>
                <c:pt idx="18">
                  <c:v>8</c:v>
                </c:pt>
                <c:pt idx="19">
                  <c:v>0</c:v>
                </c:pt>
                <c:pt idx="20">
                  <c:v>6</c:v>
                </c:pt>
                <c:pt idx="21">
                  <c:v>7</c:v>
                </c:pt>
                <c:pt idx="22">
                  <c:v>8</c:v>
                </c:pt>
                <c:pt idx="23">
                  <c:v>10</c:v>
                </c:pt>
                <c:pt idx="24">
                  <c:v>10</c:v>
                </c:pt>
                <c:pt idx="25">
                  <c:v>0</c:v>
                </c:pt>
                <c:pt idx="26">
                  <c:v>9</c:v>
                </c:pt>
                <c:pt idx="27">
                  <c:v>0</c:v>
                </c:pt>
                <c:pt idx="28">
                  <c:v>7</c:v>
                </c:pt>
                <c:pt idx="29">
                  <c:v>12</c:v>
                </c:pt>
                <c:pt idx="30">
                  <c:v>10</c:v>
                </c:pt>
                <c:pt idx="31">
                  <c:v>8</c:v>
                </c:pt>
                <c:pt idx="32">
                  <c:v>0</c:v>
                </c:pt>
                <c:pt idx="33">
                  <c:v>0</c:v>
                </c:pt>
                <c:pt idx="34">
                  <c:v>0</c:v>
                </c:pt>
                <c:pt idx="35">
                  <c:v>0</c:v>
                </c:pt>
                <c:pt idx="36">
                  <c:v>2</c:v>
                </c:pt>
                <c:pt idx="37">
                  <c:v>8</c:v>
                </c:pt>
              </c:numCache>
            </c:numRef>
          </c:val>
          <c:extLst>
            <c:ext xmlns:c16="http://schemas.microsoft.com/office/drawing/2014/chart" uri="{C3380CC4-5D6E-409C-BE32-E72D297353CC}">
              <c16:uniqueId val="{00000000-2799-4DDA-A509-925DABCC8BDA}"/>
            </c:ext>
          </c:extLst>
        </c:ser>
        <c:ser>
          <c:idx val="1"/>
          <c:order val="1"/>
          <c:tx>
            <c:strRef>
              <c:f>'PUBLIKIMI I FTESAVE '!$N$7</c:f>
              <c:strCache>
                <c:ptCount val="1"/>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'!$L$8:$L$46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'!$N$8:$N$46</c:f>
              <c:numCache>
                <c:formatCode>General</c:formatCode>
                <c:ptCount val="39"/>
              </c:numCache>
            </c:numRef>
          </c:val>
          <c:extLst>
            <c:ext xmlns:c16="http://schemas.microsoft.com/office/drawing/2014/chart" uri="{C3380CC4-5D6E-409C-BE32-E72D297353CC}">
              <c16:uniqueId val="{00000001-2799-4DDA-A509-925DABCC8BDA}"/>
            </c:ext>
          </c:extLst>
        </c:ser>
        <c:dLbls>
          <c:showLegendKey val="0"/>
          <c:showVal val="1"/>
          <c:showCatName val="0"/>
          <c:showSerName val="0"/>
          <c:showPercent val="0"/>
          <c:showBubbleSize val="0"/>
        </c:dLbls>
        <c:gapWidth val="150"/>
        <c:overlap val="-25"/>
        <c:axId val="623391224"/>
        <c:axId val="623391616"/>
      </c:barChart>
      <c:catAx>
        <c:axId val="623391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623391616"/>
        <c:crosses val="autoZero"/>
        <c:auto val="1"/>
        <c:lblAlgn val="ctr"/>
        <c:lblOffset val="100"/>
        <c:noMultiLvlLbl val="0"/>
      </c:catAx>
      <c:valAx>
        <c:axId val="623391616"/>
        <c:scaling>
          <c:orientation val="minMax"/>
        </c:scaling>
        <c:delete val="1"/>
        <c:axPos val="l"/>
        <c:numFmt formatCode="General" sourceLinked="1"/>
        <c:majorTickMark val="none"/>
        <c:minorTickMark val="none"/>
        <c:tickLblPos val="nextTo"/>
        <c:crossAx val="623391224"/>
        <c:crosses val="autoZero"/>
        <c:crossBetween val="between"/>
      </c:valAx>
      <c:spPr>
        <a:noFill/>
        <a:ln>
          <a:noFill/>
        </a:ln>
        <a:effectLst/>
      </c:spPr>
    </c:plotArea>
    <c:legend>
      <c:legendPos val="t"/>
      <c:overlay val="0"/>
      <c:spPr>
        <a:solidFill>
          <a:schemeClr val="bg1"/>
        </a:solid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531928548507861E-2"/>
          <c:y val="0.21903706009306825"/>
          <c:w val="0.96577174029307944"/>
          <c:h val="0.38268179561514298"/>
        </c:manualLayout>
      </c:layout>
      <c:barChart>
        <c:barDir val="col"/>
        <c:grouping val="clustered"/>
        <c:varyColors val="0"/>
        <c:ser>
          <c:idx val="0"/>
          <c:order val="0"/>
          <c:tx>
            <c:strRef>
              <c:f>'TRANSPARENCA FINANCIARE '!$D$7</c:f>
              <c:strCache>
                <c:ptCount val="1"/>
                <c:pt idx="0">
                  <c:v>Publikimi i planit të buxhetit për vitin 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'!$C$8:$C$46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'!$D$8:$D$46</c:f>
              <c:numCache>
                <c:formatCode>General</c:formatCode>
                <c:ptCount val="39"/>
                <c:pt idx="0">
                  <c:v>1</c:v>
                </c:pt>
                <c:pt idx="1">
                  <c:v>1</c:v>
                </c:pt>
                <c:pt idx="2">
                  <c:v>0</c:v>
                </c:pt>
                <c:pt idx="3">
                  <c:v>1</c:v>
                </c:pt>
                <c:pt idx="4">
                  <c:v>1</c:v>
                </c:pt>
                <c:pt idx="5">
                  <c:v>1</c:v>
                </c:pt>
                <c:pt idx="6">
                  <c:v>1</c:v>
                </c:pt>
                <c:pt idx="7">
                  <c:v>1</c:v>
                </c:pt>
                <c:pt idx="8">
                  <c:v>1</c:v>
                </c:pt>
                <c:pt idx="9">
                  <c:v>1</c:v>
                </c:pt>
                <c:pt idx="10">
                  <c:v>1</c:v>
                </c:pt>
                <c:pt idx="11">
                  <c:v>1</c:v>
                </c:pt>
                <c:pt idx="12">
                  <c:v>1</c:v>
                </c:pt>
                <c:pt idx="13">
                  <c:v>0</c:v>
                </c:pt>
                <c:pt idx="14">
                  <c:v>1</c:v>
                </c:pt>
                <c:pt idx="15">
                  <c:v>1</c:v>
                </c:pt>
                <c:pt idx="16">
                  <c:v>1</c:v>
                </c:pt>
                <c:pt idx="17">
                  <c:v>0</c:v>
                </c:pt>
                <c:pt idx="18">
                  <c:v>1</c:v>
                </c:pt>
                <c:pt idx="19">
                  <c:v>0</c:v>
                </c:pt>
                <c:pt idx="20">
                  <c:v>1</c:v>
                </c:pt>
                <c:pt idx="21">
                  <c:v>1</c:v>
                </c:pt>
                <c:pt idx="22">
                  <c:v>1</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1</c:v>
                </c:pt>
                <c:pt idx="38">
                  <c:v>27</c:v>
                </c:pt>
              </c:numCache>
            </c:numRef>
          </c:val>
          <c:extLst>
            <c:ext xmlns:c16="http://schemas.microsoft.com/office/drawing/2014/chart" uri="{C3380CC4-5D6E-409C-BE32-E72D297353CC}">
              <c16:uniqueId val="{00000000-B7B2-4332-8B76-F51B824E84E7}"/>
            </c:ext>
          </c:extLst>
        </c:ser>
        <c:dLbls>
          <c:showLegendKey val="0"/>
          <c:showVal val="1"/>
          <c:showCatName val="0"/>
          <c:showSerName val="0"/>
          <c:showPercent val="0"/>
          <c:showBubbleSize val="0"/>
        </c:dLbls>
        <c:gapWidth val="150"/>
        <c:overlap val="-25"/>
        <c:axId val="482916000"/>
        <c:axId val="482920704"/>
      </c:barChart>
      <c:catAx>
        <c:axId val="48291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482920704"/>
        <c:crosses val="autoZero"/>
        <c:auto val="1"/>
        <c:lblAlgn val="ctr"/>
        <c:lblOffset val="100"/>
        <c:noMultiLvlLbl val="0"/>
      </c:catAx>
      <c:valAx>
        <c:axId val="482920704"/>
        <c:scaling>
          <c:orientation val="minMax"/>
        </c:scaling>
        <c:delete val="1"/>
        <c:axPos val="l"/>
        <c:numFmt formatCode="General" sourceLinked="1"/>
        <c:majorTickMark val="none"/>
        <c:minorTickMark val="none"/>
        <c:tickLblPos val="nextTo"/>
        <c:crossAx val="4829160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'!$R$6:$R$7</c:f>
              <c:strCache>
                <c:ptCount val="2"/>
                <c:pt idx="1">
                  <c:v>Publikimi i KAB-it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Book Antiqua" panose="020406020503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'!$Q$8:$Q$46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'!$R$8:$R$46</c:f>
              <c:numCache>
                <c:formatCode>General</c:formatCode>
                <c:ptCount val="39"/>
                <c:pt idx="0">
                  <c:v>1</c:v>
                </c:pt>
                <c:pt idx="1">
                  <c:v>1</c:v>
                </c:pt>
                <c:pt idx="2">
                  <c:v>1</c:v>
                </c:pt>
                <c:pt idx="3">
                  <c:v>1</c:v>
                </c:pt>
                <c:pt idx="4">
                  <c:v>1</c:v>
                </c:pt>
                <c:pt idx="5">
                  <c:v>1</c:v>
                </c:pt>
                <c:pt idx="6">
                  <c:v>1</c:v>
                </c:pt>
                <c:pt idx="7">
                  <c:v>1</c:v>
                </c:pt>
                <c:pt idx="8">
                  <c:v>1</c:v>
                </c:pt>
                <c:pt idx="9">
                  <c:v>0</c:v>
                </c:pt>
                <c:pt idx="10">
                  <c:v>1</c:v>
                </c:pt>
                <c:pt idx="11">
                  <c:v>1</c:v>
                </c:pt>
                <c:pt idx="12">
                  <c:v>1</c:v>
                </c:pt>
                <c:pt idx="13">
                  <c:v>0</c:v>
                </c:pt>
                <c:pt idx="14">
                  <c:v>1</c:v>
                </c:pt>
                <c:pt idx="15">
                  <c:v>1</c:v>
                </c:pt>
                <c:pt idx="16">
                  <c:v>1</c:v>
                </c:pt>
                <c:pt idx="17">
                  <c:v>1</c:v>
                </c:pt>
                <c:pt idx="18">
                  <c:v>1</c:v>
                </c:pt>
                <c:pt idx="19">
                  <c:v>1</c:v>
                </c:pt>
                <c:pt idx="20">
                  <c:v>1</c:v>
                </c:pt>
                <c:pt idx="21">
                  <c:v>1</c:v>
                </c:pt>
                <c:pt idx="22">
                  <c:v>1</c:v>
                </c:pt>
                <c:pt idx="23">
                  <c:v>1</c:v>
                </c:pt>
                <c:pt idx="24">
                  <c:v>1</c:v>
                </c:pt>
                <c:pt idx="25">
                  <c:v>0</c:v>
                </c:pt>
                <c:pt idx="26">
                  <c:v>1</c:v>
                </c:pt>
                <c:pt idx="27">
                  <c:v>0</c:v>
                </c:pt>
                <c:pt idx="28">
                  <c:v>1</c:v>
                </c:pt>
                <c:pt idx="29">
                  <c:v>0</c:v>
                </c:pt>
                <c:pt idx="30">
                  <c:v>1</c:v>
                </c:pt>
                <c:pt idx="31">
                  <c:v>1</c:v>
                </c:pt>
                <c:pt idx="32">
                  <c:v>0</c:v>
                </c:pt>
                <c:pt idx="33">
                  <c:v>0</c:v>
                </c:pt>
                <c:pt idx="34">
                  <c:v>0</c:v>
                </c:pt>
                <c:pt idx="35">
                  <c:v>0</c:v>
                </c:pt>
                <c:pt idx="36">
                  <c:v>0</c:v>
                </c:pt>
                <c:pt idx="37">
                  <c:v>1</c:v>
                </c:pt>
                <c:pt idx="38">
                  <c:v>28</c:v>
                </c:pt>
              </c:numCache>
            </c:numRef>
          </c:val>
          <c:extLst>
            <c:ext xmlns:c16="http://schemas.microsoft.com/office/drawing/2014/chart" uri="{C3380CC4-5D6E-409C-BE32-E72D297353CC}">
              <c16:uniqueId val="{00000000-A24D-4ABA-A896-A00E7A9CDB79}"/>
            </c:ext>
          </c:extLst>
        </c:ser>
        <c:dLbls>
          <c:showLegendKey val="0"/>
          <c:showVal val="1"/>
          <c:showCatName val="0"/>
          <c:showSerName val="0"/>
          <c:showPercent val="0"/>
          <c:showBubbleSize val="0"/>
        </c:dLbls>
        <c:gapWidth val="150"/>
        <c:overlap val="-25"/>
        <c:axId val="209180040"/>
        <c:axId val="661392144"/>
      </c:barChart>
      <c:catAx>
        <c:axId val="209180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61392144"/>
        <c:crosses val="autoZero"/>
        <c:auto val="1"/>
        <c:lblAlgn val="ctr"/>
        <c:lblOffset val="100"/>
        <c:noMultiLvlLbl val="0"/>
      </c:catAx>
      <c:valAx>
        <c:axId val="661392144"/>
        <c:scaling>
          <c:orientation val="minMax"/>
        </c:scaling>
        <c:delete val="1"/>
        <c:axPos val="l"/>
        <c:numFmt formatCode="General" sourceLinked="1"/>
        <c:majorTickMark val="none"/>
        <c:minorTickMark val="none"/>
        <c:tickLblPos val="nextTo"/>
        <c:crossAx val="209180040"/>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'TRANSPARENCA FINANCIARE '!$U$7</c:f>
              <c:strCache>
                <c:ptCount val="1"/>
                <c:pt idx="0">
                  <c:v>Publikimi i raporteve periodike financiare</c:v>
                </c:pt>
              </c:strCache>
            </c:strRef>
          </c:tx>
          <c:spPr>
            <a:solidFill>
              <a:schemeClr val="accent1"/>
            </a:solidFill>
            <a:ln>
              <a:noFill/>
            </a:ln>
            <a:effectLst/>
          </c:spPr>
          <c:invertIfNegative val="0"/>
          <c:dLbls>
            <c:dLbl>
              <c:idx val="0"/>
              <c:layout>
                <c:manualLayout>
                  <c:x val="-4.4316419233325945E-3"/>
                  <c:y val="-0.14854827819041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45F-4CAC-A549-EBD248812C22}"/>
                </c:ext>
              </c:extLst>
            </c:dLbl>
            <c:dLbl>
              <c:idx val="1"/>
              <c:layout>
                <c:manualLayout>
                  <c:x val="0"/>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45F-4CAC-A549-EBD248812C22}"/>
                </c:ext>
              </c:extLst>
            </c:dLbl>
            <c:dLbl>
              <c:idx val="2"/>
              <c:layout>
                <c:manualLayout>
                  <c:x val="8.8632838466651785E-3"/>
                  <c:y val="-0.22957461174881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45F-4CAC-A549-EBD248812C22}"/>
                </c:ext>
              </c:extLst>
            </c:dLbl>
            <c:dLbl>
              <c:idx val="3"/>
              <c:layout>
                <c:manualLayout>
                  <c:x val="2.2158209616662955E-2"/>
                  <c:y val="-0.276839972991222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45F-4CAC-A549-EBD248812C22}"/>
                </c:ext>
              </c:extLst>
            </c:dLbl>
            <c:dLbl>
              <c:idx val="4"/>
              <c:layout>
                <c:manualLayout>
                  <c:x val="6.6474628849988917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45F-4CAC-A549-EBD248812C22}"/>
                </c:ext>
              </c:extLst>
            </c:dLbl>
            <c:dLbl>
              <c:idx val="5"/>
              <c:layout>
                <c:manualLayout>
                  <c:x val="-2.0311457508917339E-17"/>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45F-4CAC-A549-EBD248812C22}"/>
                </c:ext>
              </c:extLst>
            </c:dLbl>
            <c:dLbl>
              <c:idx val="6"/>
              <c:layout>
                <c:manualLayout>
                  <c:x val="-6.6474628849988717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45F-4CAC-A549-EBD248812C22}"/>
                </c:ext>
              </c:extLst>
            </c:dLbl>
            <c:dLbl>
              <c:idx val="7"/>
              <c:layout>
                <c:manualLayout>
                  <c:x val="-1.1079104808331486E-2"/>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5F-4CAC-A549-EBD248812C22}"/>
                </c:ext>
              </c:extLst>
            </c:dLbl>
            <c:dLbl>
              <c:idx val="8"/>
              <c:layout>
                <c:manualLayout>
                  <c:x val="-2.2158209616662972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45F-4CAC-A549-EBD248812C22}"/>
                </c:ext>
              </c:extLst>
            </c:dLbl>
            <c:dLbl>
              <c:idx val="9"/>
              <c:layout>
                <c:manualLayout>
                  <c:x val="0"/>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45F-4CAC-A549-EBD248812C22}"/>
                </c:ext>
              </c:extLst>
            </c:dLbl>
            <c:dLbl>
              <c:idx val="10"/>
              <c:layout>
                <c:manualLayout>
                  <c:x val="-2.2158209616662972E-3"/>
                  <c:y val="-0.155300472653612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45F-4CAC-A549-EBD248812C22}"/>
                </c:ext>
              </c:extLst>
            </c:dLbl>
            <c:dLbl>
              <c:idx val="11"/>
              <c:layout>
                <c:manualLayout>
                  <c:x val="2.2158209616662569E-3"/>
                  <c:y val="-0.121539500337609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45F-4CAC-A549-EBD248812C22}"/>
                </c:ext>
              </c:extLst>
            </c:dLbl>
            <c:dLbl>
              <c:idx val="12"/>
              <c:layout>
                <c:manualLayout>
                  <c:x val="-4.0622915017834678E-17"/>
                  <c:y val="-0.182309250506414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5F-4CAC-A549-EBD248812C22}"/>
                </c:ext>
              </c:extLst>
            </c:dLbl>
            <c:dLbl>
              <c:idx val="13"/>
              <c:layout>
                <c:manualLayout>
                  <c:x val="-4.4316419233325945E-3"/>
                  <c:y val="-9.45307224848076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5F-4CAC-A549-EBD248812C22}"/>
                </c:ext>
              </c:extLst>
            </c:dLbl>
            <c:dLbl>
              <c:idx val="14"/>
              <c:layout>
                <c:manualLayout>
                  <c:x val="-4.4316419233325945E-3"/>
                  <c:y val="-0.18906144496961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5F-4CAC-A549-EBD248812C22}"/>
                </c:ext>
              </c:extLst>
            </c:dLbl>
            <c:dLbl>
              <c:idx val="15"/>
              <c:layout>
                <c:manualLayout>
                  <c:x val="0"/>
                  <c:y val="-0.276839972991222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5F-4CAC-A549-EBD248812C22}"/>
                </c:ext>
              </c:extLst>
            </c:dLbl>
            <c:dLbl>
              <c:idx val="16"/>
              <c:layout>
                <c:manualLayout>
                  <c:x val="0"/>
                  <c:y val="-0.141796083727211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5F-4CAC-A549-EBD248812C22}"/>
                </c:ext>
              </c:extLst>
            </c:dLbl>
            <c:dLbl>
              <c:idx val="17"/>
              <c:layout>
                <c:manualLayout>
                  <c:x val="6.6474628849988917E-3"/>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5F-4CAC-A549-EBD248812C22}"/>
                </c:ext>
              </c:extLst>
            </c:dLbl>
            <c:dLbl>
              <c:idx val="18"/>
              <c:layout>
                <c:manualLayout>
                  <c:x val="6.647462884998811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45F-4CAC-A549-EBD248812C22}"/>
                </c:ext>
              </c:extLst>
            </c:dLbl>
            <c:dLbl>
              <c:idx val="19"/>
              <c:layout>
                <c:manualLayout>
                  <c:x val="4.4316419233325945E-3"/>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45F-4CAC-A549-EBD248812C22}"/>
                </c:ext>
              </c:extLst>
            </c:dLbl>
            <c:dLbl>
              <c:idx val="20"/>
              <c:layout>
                <c:manualLayout>
                  <c:x val="0"/>
                  <c:y val="-0.155300472653612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45F-4CAC-A549-EBD248812C22}"/>
                </c:ext>
              </c:extLst>
            </c:dLbl>
            <c:dLbl>
              <c:idx val="21"/>
              <c:layout>
                <c:manualLayout>
                  <c:x val="2.2158209616662972E-3"/>
                  <c:y val="-0.256583389601620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45F-4CAC-A549-EBD248812C22}"/>
                </c:ext>
              </c:extLst>
            </c:dLbl>
            <c:dLbl>
              <c:idx val="22"/>
              <c:layout>
                <c:manualLayout>
                  <c:x val="4.4316419233325138E-3"/>
                  <c:y val="-0.209318028359216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45F-4CAC-A549-EBD248812C22}"/>
                </c:ext>
              </c:extLst>
            </c:dLbl>
            <c:dLbl>
              <c:idx val="23"/>
              <c:layout>
                <c:manualLayout>
                  <c:x val="4.4316419233325945E-3"/>
                  <c:y val="-0.222822417285617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45F-4CAC-A549-EBD248812C22}"/>
                </c:ext>
              </c:extLst>
            </c:dLbl>
            <c:dLbl>
              <c:idx val="24"/>
              <c:layout>
                <c:manualLayout>
                  <c:x val="6.6474628849988917E-3"/>
                  <c:y val="-0.20256583389601621"/>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45F-4CAC-A549-EBD248812C22}"/>
                </c:ext>
              </c:extLst>
            </c:dLbl>
            <c:dLbl>
              <c:idx val="25"/>
              <c:layout>
                <c:manualLayout>
                  <c:x val="-1.1079104808331568E-2"/>
                  <c:y val="-0.28359216745442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45F-4CAC-A549-EBD248812C22}"/>
                </c:ext>
              </c:extLst>
            </c:dLbl>
            <c:dLbl>
              <c:idx val="26"/>
              <c:layout>
                <c:manualLayout>
                  <c:x val="2.215820961666135E-3"/>
                  <c:y val="-0.27008777852802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45F-4CAC-A549-EBD248812C22}"/>
                </c:ext>
              </c:extLst>
            </c:dLbl>
            <c:dLbl>
              <c:idx val="27"/>
              <c:layout>
                <c:manualLayout>
                  <c:x val="4.4316419233325945E-3"/>
                  <c:y val="-0.202565833896016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645F-4CAC-A549-EBD248812C22}"/>
                </c:ext>
              </c:extLst>
            </c:dLbl>
            <c:dLbl>
              <c:idx val="28"/>
              <c:layout>
                <c:manualLayout>
                  <c:x val="6.6474628849989732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645F-4CAC-A549-EBD248812C22}"/>
                </c:ext>
              </c:extLst>
            </c:dLbl>
            <c:dLbl>
              <c:idx val="29"/>
              <c:layout>
                <c:manualLayout>
                  <c:x val="4.4316419233325138E-3"/>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645F-4CAC-A549-EBD248812C22}"/>
                </c:ext>
              </c:extLst>
            </c:dLbl>
            <c:dLbl>
              <c:idx val="30"/>
              <c:layout>
                <c:manualLayout>
                  <c:x val="1.1079104808331325E-2"/>
                  <c:y val="-0.216070222822417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645F-4CAC-A549-EBD248812C22}"/>
                </c:ext>
              </c:extLst>
            </c:dLbl>
            <c:dLbl>
              <c:idx val="31"/>
              <c:layout>
                <c:manualLayout>
                  <c:x val="8.8632838466651889E-3"/>
                  <c:y val="-0.310600945307224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645F-4CAC-A549-EBD248812C22}"/>
                </c:ext>
              </c:extLst>
            </c:dLbl>
            <c:dLbl>
              <c:idx val="32"/>
              <c:layout>
                <c:manualLayout>
                  <c:x val="6.6474628849988917E-3"/>
                  <c:y val="-0.162052667116812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645F-4CAC-A549-EBD248812C22}"/>
                </c:ext>
              </c:extLst>
            </c:dLbl>
            <c:dLbl>
              <c:idx val="33"/>
              <c:layout>
                <c:manualLayout>
                  <c:x val="2.2158209616662972E-3"/>
                  <c:y val="-0.148548278190411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645F-4CAC-A549-EBD248812C22}"/>
                </c:ext>
              </c:extLst>
            </c:dLbl>
            <c:dLbl>
              <c:idx val="34"/>
              <c:layout>
                <c:manualLayout>
                  <c:x val="2.2158209616662972E-3"/>
                  <c:y val="-0.17555705604321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645F-4CAC-A549-EBD248812C22}"/>
                </c:ext>
              </c:extLst>
            </c:dLbl>
            <c:dLbl>
              <c:idx val="35"/>
              <c:layout>
                <c:manualLayout>
                  <c:x val="0"/>
                  <c:y val="-0.195813639432815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645F-4CAC-A549-EBD248812C22}"/>
                </c:ext>
              </c:extLst>
            </c:dLbl>
            <c:dLbl>
              <c:idx val="36"/>
              <c:layout>
                <c:manualLayout>
                  <c:x val="0"/>
                  <c:y val="-0.16880486158001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645F-4CAC-A549-EBD248812C22}"/>
                </c:ext>
              </c:extLst>
            </c:dLbl>
            <c:dLbl>
              <c:idx val="37"/>
              <c:layout>
                <c:manualLayout>
                  <c:x val="-4.4316419233325945E-3"/>
                  <c:y val="-0.229574611748818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645F-4CAC-A549-EBD248812C2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'!$T$8:$T$47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'!$U$8:$U$47</c:f>
              <c:numCache>
                <c:formatCode>General</c:formatCode>
                <c:ptCount val="40"/>
                <c:pt idx="0">
                  <c:v>3</c:v>
                </c:pt>
                <c:pt idx="1">
                  <c:v>3</c:v>
                </c:pt>
                <c:pt idx="2">
                  <c:v>0</c:v>
                </c:pt>
                <c:pt idx="3">
                  <c:v>0</c:v>
                </c:pt>
                <c:pt idx="4">
                  <c:v>3</c:v>
                </c:pt>
                <c:pt idx="5">
                  <c:v>3</c:v>
                </c:pt>
                <c:pt idx="6">
                  <c:v>3</c:v>
                </c:pt>
                <c:pt idx="7">
                  <c:v>3</c:v>
                </c:pt>
                <c:pt idx="8">
                  <c:v>3</c:v>
                </c:pt>
                <c:pt idx="9">
                  <c:v>0</c:v>
                </c:pt>
                <c:pt idx="10">
                  <c:v>3</c:v>
                </c:pt>
                <c:pt idx="11">
                  <c:v>1</c:v>
                </c:pt>
                <c:pt idx="12">
                  <c:v>2</c:v>
                </c:pt>
                <c:pt idx="13">
                  <c:v>0</c:v>
                </c:pt>
                <c:pt idx="14">
                  <c:v>3</c:v>
                </c:pt>
                <c:pt idx="15">
                  <c:v>3</c:v>
                </c:pt>
                <c:pt idx="16">
                  <c:v>3</c:v>
                </c:pt>
                <c:pt idx="17">
                  <c:v>1</c:v>
                </c:pt>
                <c:pt idx="18">
                  <c:v>3</c:v>
                </c:pt>
                <c:pt idx="19">
                  <c:v>1</c:v>
                </c:pt>
                <c:pt idx="20">
                  <c:v>2</c:v>
                </c:pt>
                <c:pt idx="21">
                  <c:v>3</c:v>
                </c:pt>
                <c:pt idx="22">
                  <c:v>3</c:v>
                </c:pt>
                <c:pt idx="23">
                  <c:v>3</c:v>
                </c:pt>
                <c:pt idx="24">
                  <c:v>1</c:v>
                </c:pt>
                <c:pt idx="25">
                  <c:v>0</c:v>
                </c:pt>
                <c:pt idx="26">
                  <c:v>3</c:v>
                </c:pt>
                <c:pt idx="27">
                  <c:v>0</c:v>
                </c:pt>
                <c:pt idx="28">
                  <c:v>3</c:v>
                </c:pt>
                <c:pt idx="29">
                  <c:v>3</c:v>
                </c:pt>
                <c:pt idx="30">
                  <c:v>2</c:v>
                </c:pt>
                <c:pt idx="31">
                  <c:v>3</c:v>
                </c:pt>
                <c:pt idx="32">
                  <c:v>0</c:v>
                </c:pt>
                <c:pt idx="33">
                  <c:v>0</c:v>
                </c:pt>
                <c:pt idx="34">
                  <c:v>0</c:v>
                </c:pt>
                <c:pt idx="35">
                  <c:v>1</c:v>
                </c:pt>
                <c:pt idx="36">
                  <c:v>0</c:v>
                </c:pt>
                <c:pt idx="37">
                  <c:v>3</c:v>
                </c:pt>
                <c:pt idx="38">
                  <c:v>28</c:v>
                </c:pt>
              </c:numCache>
            </c:numRef>
          </c:val>
          <c:extLst>
            <c:ext xmlns:c16="http://schemas.microsoft.com/office/drawing/2014/chart" uri="{C3380CC4-5D6E-409C-BE32-E72D297353CC}">
              <c16:uniqueId val="{00000000-645F-4CAC-A549-EBD248812C22}"/>
            </c:ext>
          </c:extLst>
        </c:ser>
        <c:dLbls>
          <c:showLegendKey val="0"/>
          <c:showVal val="1"/>
          <c:showCatName val="0"/>
          <c:showSerName val="0"/>
          <c:showPercent val="0"/>
          <c:showBubbleSize val="0"/>
        </c:dLbls>
        <c:gapWidth val="95"/>
        <c:overlap val="100"/>
        <c:axId val="661391360"/>
        <c:axId val="473534672"/>
      </c:barChart>
      <c:catAx>
        <c:axId val="6613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473534672"/>
        <c:crosses val="autoZero"/>
        <c:auto val="1"/>
        <c:lblAlgn val="ctr"/>
        <c:lblOffset val="100"/>
        <c:noMultiLvlLbl val="0"/>
      </c:catAx>
      <c:valAx>
        <c:axId val="473534672"/>
        <c:scaling>
          <c:orientation val="minMax"/>
        </c:scaling>
        <c:delete val="1"/>
        <c:axPos val="l"/>
        <c:numFmt formatCode="General" sourceLinked="1"/>
        <c:majorTickMark val="none"/>
        <c:minorTickMark val="none"/>
        <c:tickLblPos val="nextTo"/>
        <c:crossAx val="661391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Book Antiqua" panose="02040602050305030304" pitchFamily="18"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3897458179448185E-2"/>
          <c:y val="0.17990895295902884"/>
          <c:w val="0.97547012304539493"/>
          <c:h val="0.48602774425579198"/>
        </c:manualLayout>
      </c:layout>
      <c:bar3DChart>
        <c:barDir val="col"/>
        <c:grouping val="clustered"/>
        <c:varyColors val="0"/>
        <c:ser>
          <c:idx val="0"/>
          <c:order val="0"/>
          <c:tx>
            <c:strRef>
              <c:f>'TRANSPARENCA FINANCIARE '!$O$7</c:f>
              <c:strCache>
                <c:ptCount val="1"/>
                <c:pt idx="0">
                  <c:v>Publikimi i raportit  vjetor financiar </c:v>
                </c:pt>
              </c:strCache>
            </c:strRef>
          </c:tx>
          <c:spPr>
            <a:solidFill>
              <a:schemeClr val="accent1"/>
            </a:solidFill>
            <a:ln>
              <a:noFill/>
            </a:ln>
            <a:effectLst/>
            <a:sp3d/>
          </c:spPr>
          <c:invertIfNegative val="0"/>
          <c:dLbls>
            <c:dLbl>
              <c:idx val="2"/>
              <c:layout>
                <c:manualLayout>
                  <c:x val="1.2093360744951022E-2"/>
                  <c:y val="-0.188163884673748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EF-4C57-B832-AA0B1D891253}"/>
                </c:ext>
              </c:extLst>
            </c:dLbl>
            <c:dLbl>
              <c:idx val="5"/>
              <c:layout>
                <c:manualLayout>
                  <c:x val="3.386141008586286E-2"/>
                  <c:y val="-0.24886191198786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EF-4C57-B832-AA0B1D891253}"/>
                </c:ext>
              </c:extLst>
            </c:dLbl>
            <c:dLbl>
              <c:idx val="7"/>
              <c:layout>
                <c:manualLayout>
                  <c:x val="3.6280082234853024E-2"/>
                  <c:y val="-0.27314112291350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EEF-4C57-B832-AA0B1D891253}"/>
                </c:ext>
              </c:extLst>
            </c:dLbl>
            <c:dLbl>
              <c:idx val="9"/>
              <c:layout>
                <c:manualLayout>
                  <c:x val="1.693070504293143E-2"/>
                  <c:y val="-0.339908952959028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EF-4C57-B832-AA0B1D891253}"/>
                </c:ext>
              </c:extLst>
            </c:dLbl>
            <c:dLbl>
              <c:idx val="11"/>
              <c:layout>
                <c:manualLayout>
                  <c:x val="1.2093360744950977E-2"/>
                  <c:y val="-0.273141122913505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EEF-4C57-B832-AA0B1D891253}"/>
                </c:ext>
              </c:extLst>
            </c:dLbl>
            <c:dLbl>
              <c:idx val="13"/>
              <c:layout>
                <c:manualLayout>
                  <c:x val="2.4186721489901602E-3"/>
                  <c:y val="-0.267071320182094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EEF-4C57-B832-AA0B1D891253}"/>
                </c:ext>
              </c:extLst>
            </c:dLbl>
            <c:dLbl>
              <c:idx val="15"/>
              <c:layout>
                <c:manualLayout>
                  <c:x val="-2.4186721489902487E-3"/>
                  <c:y val="-0.254931714719271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EEF-4C57-B832-AA0B1D891253}"/>
                </c:ext>
              </c:extLst>
            </c:dLbl>
            <c:dLbl>
              <c:idx val="17"/>
              <c:layout>
                <c:manualLayout>
                  <c:x val="-2.4186721489902045E-3"/>
                  <c:y val="-0.29742033383915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EEF-4C57-B832-AA0B1D891253}"/>
                </c:ext>
              </c:extLst>
            </c:dLbl>
            <c:dLbl>
              <c:idx val="19"/>
              <c:layout>
                <c:manualLayout>
                  <c:x val="-4.8373442979804089E-3"/>
                  <c:y val="-0.2306525037936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EEF-4C57-B832-AA0B1D891253}"/>
                </c:ext>
              </c:extLst>
            </c:dLbl>
            <c:dLbl>
              <c:idx val="21"/>
              <c:layout>
                <c:manualLayout>
                  <c:x val="-2.4186721489902929E-3"/>
                  <c:y val="-0.30349013657056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EEF-4C57-B832-AA0B1D891253}"/>
                </c:ext>
              </c:extLst>
            </c:dLbl>
            <c:dLbl>
              <c:idx val="23"/>
              <c:layout>
                <c:manualLayout>
                  <c:x val="-4.8373442979804974E-3"/>
                  <c:y val="-0.23065250379362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EF-4C57-B832-AA0B1D891253}"/>
                </c:ext>
              </c:extLst>
            </c:dLbl>
            <c:dLbl>
              <c:idx val="25"/>
              <c:layout>
                <c:manualLayout>
                  <c:x val="2.4186721489901156E-3"/>
                  <c:y val="-0.261001517450682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EF-4C57-B832-AA0B1D891253}"/>
                </c:ext>
              </c:extLst>
            </c:dLbl>
            <c:dLbl>
              <c:idx val="27"/>
              <c:layout>
                <c:manualLayout>
                  <c:x val="4.8373442979803205E-3"/>
                  <c:y val="-0.224582701062215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EF-4C57-B832-AA0B1D891253}"/>
                </c:ext>
              </c:extLst>
            </c:dLbl>
            <c:dLbl>
              <c:idx val="29"/>
              <c:layout>
                <c:manualLayout>
                  <c:x val="-7.2560164469705245E-3"/>
                  <c:y val="-0.20637329286798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EF-4C57-B832-AA0B1D891253}"/>
                </c:ext>
              </c:extLst>
            </c:dLbl>
            <c:dLbl>
              <c:idx val="31"/>
              <c:layout>
                <c:manualLayout>
                  <c:x val="-1.209336074495111E-2"/>
                  <c:y val="-0.27921092564491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EF-4C57-B832-AA0B1D891253}"/>
                </c:ext>
              </c:extLst>
            </c:dLbl>
            <c:dLbl>
              <c:idx val="33"/>
              <c:layout>
                <c:manualLayout>
                  <c:x val="0"/>
                  <c:y val="-0.333839150227617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EF-4C57-B832-AA0B1D891253}"/>
                </c:ext>
              </c:extLst>
            </c:dLbl>
            <c:dLbl>
              <c:idx val="35"/>
              <c:layout>
                <c:manualLayout>
                  <c:x val="2.4186721489902045E-3"/>
                  <c:y val="-0.28528072837632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EF-4C57-B832-AA0B1D891253}"/>
                </c:ext>
              </c:extLst>
            </c:dLbl>
            <c:dLbl>
              <c:idx val="37"/>
              <c:layout>
                <c:manualLayout>
                  <c:x val="-4.8373442979804089E-3"/>
                  <c:y val="-0.206373292867981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EF-4C57-B832-AA0B1D89125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1</c:v>
                </c:pt>
                <c:pt idx="7">
                  <c:v>1</c:v>
                </c:pt>
                <c:pt idx="8">
                  <c:v>1</c:v>
                </c:pt>
                <c:pt idx="9">
                  <c:v>0</c:v>
                </c:pt>
                <c:pt idx="10">
                  <c:v>1</c:v>
                </c:pt>
                <c:pt idx="11">
                  <c:v>1</c:v>
                </c:pt>
                <c:pt idx="12">
                  <c:v>1</c:v>
                </c:pt>
                <c:pt idx="13">
                  <c:v>0</c:v>
                </c:pt>
                <c:pt idx="14">
                  <c:v>1</c:v>
                </c:pt>
                <c:pt idx="15">
                  <c:v>1</c:v>
                </c:pt>
                <c:pt idx="16">
                  <c:v>1</c:v>
                </c:pt>
                <c:pt idx="17">
                  <c:v>0</c:v>
                </c:pt>
                <c:pt idx="18">
                  <c:v>1</c:v>
                </c:pt>
                <c:pt idx="19">
                  <c:v>0</c:v>
                </c:pt>
                <c:pt idx="20">
                  <c:v>0</c:v>
                </c:pt>
                <c:pt idx="21">
                  <c:v>1</c:v>
                </c:pt>
                <c:pt idx="22">
                  <c:v>1</c:v>
                </c:pt>
                <c:pt idx="23">
                  <c:v>1</c:v>
                </c:pt>
                <c:pt idx="24">
                  <c:v>1</c:v>
                </c:pt>
                <c:pt idx="25">
                  <c:v>0</c:v>
                </c:pt>
                <c:pt idx="26">
                  <c:v>3</c:v>
                </c:pt>
                <c:pt idx="27">
                  <c:v>0</c:v>
                </c:pt>
                <c:pt idx="28">
                  <c:v>1</c:v>
                </c:pt>
                <c:pt idx="29">
                  <c:v>0</c:v>
                </c:pt>
                <c:pt idx="30">
                  <c:v>1</c:v>
                </c:pt>
                <c:pt idx="31">
                  <c:v>1</c:v>
                </c:pt>
                <c:pt idx="32">
                  <c:v>0</c:v>
                </c:pt>
                <c:pt idx="33">
                  <c:v>0</c:v>
                </c:pt>
                <c:pt idx="34">
                  <c:v>0</c:v>
                </c:pt>
                <c:pt idx="35">
                  <c:v>1</c:v>
                </c:pt>
                <c:pt idx="36">
                  <c:v>0</c:v>
                </c:pt>
                <c:pt idx="37">
                  <c:v>1</c:v>
                </c:pt>
                <c:pt idx="38">
                  <c:v>25</c:v>
                </c:pt>
              </c:numCache>
            </c:numRef>
          </c:val>
          <c:extLst>
            <c:ext xmlns:c16="http://schemas.microsoft.com/office/drawing/2014/chart" uri="{C3380CC4-5D6E-409C-BE32-E72D297353CC}">
              <c16:uniqueId val="{00000000-5EEF-4C57-B832-AA0B1D891253}"/>
            </c:ext>
          </c:extLst>
        </c:ser>
        <c:dLbls>
          <c:showLegendKey val="0"/>
          <c:showVal val="1"/>
          <c:showCatName val="0"/>
          <c:showSerName val="0"/>
          <c:showPercent val="0"/>
          <c:showBubbleSize val="0"/>
        </c:dLbls>
        <c:gapWidth val="150"/>
        <c:shape val="box"/>
        <c:axId val="275124416"/>
        <c:axId val="275113440"/>
        <c:axId val="0"/>
      </c:bar3DChart>
      <c:catAx>
        <c:axId val="2751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275113440"/>
        <c:crosses val="autoZero"/>
        <c:auto val="1"/>
        <c:lblAlgn val="ctr"/>
        <c:lblOffset val="100"/>
        <c:noMultiLvlLbl val="0"/>
      </c:catAx>
      <c:valAx>
        <c:axId val="275113440"/>
        <c:scaling>
          <c:orientation val="minMax"/>
        </c:scaling>
        <c:delete val="1"/>
        <c:axPos val="l"/>
        <c:numFmt formatCode="General" sourceLinked="1"/>
        <c:majorTickMark val="none"/>
        <c:minorTickMark val="none"/>
        <c:tickLblPos val="nextTo"/>
        <c:crossAx val="2751244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610216784717749E-2"/>
          <c:y val="0.14608706237791955"/>
          <c:w val="0.957072333118695"/>
          <c:h val="0.45964257981455764"/>
        </c:manualLayout>
      </c:layout>
      <c:barChart>
        <c:barDir val="col"/>
        <c:grouping val="clustered"/>
        <c:varyColors val="0"/>
        <c:ser>
          <c:idx val="0"/>
          <c:order val="0"/>
          <c:tx>
            <c:strRef>
              <c:f>'TRANSPARENCA FINANCIARE '!$X$7</c:f>
              <c:strCache>
                <c:ptCount val="1"/>
                <c:pt idx="0">
                  <c:v>Publikimi i njoftimeve për  diskutime buxhetore</c:v>
                </c:pt>
              </c:strCache>
            </c:strRef>
          </c:tx>
          <c:spPr>
            <a:solidFill>
              <a:schemeClr val="accent1"/>
            </a:solidFill>
            <a:ln>
              <a:noFill/>
            </a:ln>
            <a:effectLst/>
          </c:spPr>
          <c:invertIfNegative val="0"/>
          <c:dLbls>
            <c:dLbl>
              <c:idx val="0"/>
              <c:layout>
                <c:manualLayout>
                  <c:x val="2.2158209616662972E-3"/>
                  <c:y val="-0.228159711798258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DE-46D0-AF05-EFDE30945224}"/>
                </c:ext>
              </c:extLst>
            </c:dLbl>
            <c:dLbl>
              <c:idx val="1"/>
              <c:layout>
                <c:manualLayout>
                  <c:x val="4.4316419233325849E-3"/>
                  <c:y val="-0.234163914740318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DE-46D0-AF05-EFDE30945224}"/>
                </c:ext>
              </c:extLst>
            </c:dLbl>
            <c:dLbl>
              <c:idx val="2"/>
              <c:layout>
                <c:manualLayout>
                  <c:x val="1.7726567693330378E-2"/>
                  <c:y val="-0.2461723206244371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8DE-46D0-AF05-EFDE30945224}"/>
                </c:ext>
              </c:extLst>
            </c:dLbl>
            <c:dLbl>
              <c:idx val="3"/>
              <c:layout>
                <c:manualLayout>
                  <c:x val="2.2158209616662972E-3"/>
                  <c:y val="-8.4058841188832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8DE-46D0-AF05-EFDE30945224}"/>
                </c:ext>
              </c:extLst>
            </c:dLbl>
            <c:dLbl>
              <c:idx val="5"/>
              <c:layout>
                <c:manualLayout>
                  <c:x val="8.9212224604854912E-3"/>
                  <c:y val="-0.1142667426585730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8DE-46D0-AF05-EFDE30945224}"/>
                </c:ext>
              </c:extLst>
            </c:dLbl>
            <c:dLbl>
              <c:idx val="8"/>
              <c:layout>
                <c:manualLayout>
                  <c:x val="4.4316419233325537E-3"/>
                  <c:y val="-0.228159711798258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8DE-46D0-AF05-EFDE30945224}"/>
                </c:ext>
              </c:extLst>
            </c:dLbl>
            <c:dLbl>
              <c:idx val="11"/>
              <c:layout>
                <c:manualLayout>
                  <c:x val="-2.042248495373163E-3"/>
                  <c:y val="-0.3653421572479125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8DE-46D0-AF05-EFDE30945224}"/>
                </c:ext>
              </c:extLst>
            </c:dLbl>
            <c:dLbl>
              <c:idx val="12"/>
              <c:layout>
                <c:manualLayout>
                  <c:x val="0"/>
                  <c:y val="-0.3045209650972124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48DE-46D0-AF05-EFDE30945224}"/>
                </c:ext>
              </c:extLst>
            </c:dLbl>
            <c:dLbl>
              <c:idx val="14"/>
              <c:layout>
                <c:manualLayout>
                  <c:x val="6.6474628849988518E-3"/>
                  <c:y val="-0.1441008706094266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8DE-46D0-AF05-EFDE30945224}"/>
                </c:ext>
              </c:extLst>
            </c:dLbl>
            <c:dLbl>
              <c:idx val="17"/>
              <c:layout>
                <c:manualLayout>
                  <c:x val="1.3294925769997783E-2"/>
                  <c:y val="-0.2161513059141398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8DE-46D0-AF05-EFDE30945224}"/>
                </c:ext>
              </c:extLst>
            </c:dLbl>
            <c:dLbl>
              <c:idx val="20"/>
              <c:layout>
                <c:manualLayout>
                  <c:x val="0"/>
                  <c:y val="-0.114079855899129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8DE-46D0-AF05-EFDE30945224}"/>
                </c:ext>
              </c:extLst>
            </c:dLbl>
            <c:dLbl>
              <c:idx val="22"/>
              <c:layout>
                <c:manualLayout>
                  <c:x val="2.2158209616662972E-3"/>
                  <c:y val="-0.168117682377664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8DE-46D0-AF05-EFDE30945224}"/>
                </c:ext>
              </c:extLst>
            </c:dLbl>
            <c:dLbl>
              <c:idx val="23"/>
              <c:layout>
                <c:manualLayout>
                  <c:x val="-8.8632838466651889E-3"/>
                  <c:y val="-0.17412188531972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8DE-46D0-AF05-EFDE30945224}"/>
                </c:ext>
              </c:extLst>
            </c:dLbl>
            <c:dLbl>
              <c:idx val="24"/>
              <c:layout>
                <c:manualLayout>
                  <c:x val="-8.1245830035669357E-17"/>
                  <c:y val="-3.60252176523566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8DE-46D0-AF05-EFDE30945224}"/>
                </c:ext>
              </c:extLst>
            </c:dLbl>
            <c:dLbl>
              <c:idx val="27"/>
              <c:layout>
                <c:manualLayout>
                  <c:x val="-6.4391500321958287E-3"/>
                  <c:y val="-0.1003469436313434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8DE-46D0-AF05-EFDE30945224}"/>
                </c:ext>
              </c:extLst>
            </c:dLbl>
            <c:dLbl>
              <c:idx val="28"/>
              <c:layout>
                <c:manualLayout>
                  <c:x val="6.647462884998811E-3"/>
                  <c:y val="-0.198138697087961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8DE-46D0-AF05-EFDE30945224}"/>
                </c:ext>
              </c:extLst>
            </c:dLbl>
            <c:dLbl>
              <c:idx val="29"/>
              <c:layout>
                <c:manualLayout>
                  <c:x val="4.4316419233325945E-3"/>
                  <c:y val="-0.180126088261783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8DE-46D0-AF05-EFDE30945224}"/>
                </c:ext>
              </c:extLst>
            </c:dLbl>
            <c:dLbl>
              <c:idx val="30"/>
              <c:layout>
                <c:manualLayout>
                  <c:x val="4.4316419233324323E-3"/>
                  <c:y val="-0.2401681176823776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48DE-46D0-AF05-EFDE30945224}"/>
                </c:ext>
              </c:extLst>
            </c:dLbl>
            <c:dLbl>
              <c:idx val="31"/>
              <c:layout>
                <c:manualLayout>
                  <c:x val="4.4316419233325945E-3"/>
                  <c:y val="-0.222155508856199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48DE-46D0-AF05-EFDE30945224}"/>
                </c:ext>
              </c:extLst>
            </c:dLbl>
            <c:dLbl>
              <c:idx val="32"/>
              <c:layout>
                <c:manualLayout>
                  <c:x val="8.8632838466651889E-3"/>
                  <c:y val="-0.198138697087961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48DE-46D0-AF05-EFDE30945224}"/>
                </c:ext>
              </c:extLst>
            </c:dLbl>
            <c:dLbl>
              <c:idx val="33"/>
              <c:layout>
                <c:manualLayout>
                  <c:x val="1.1079104808331486E-2"/>
                  <c:y val="-0.2041429000300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48DE-46D0-AF05-EFDE30945224}"/>
                </c:ext>
              </c:extLst>
            </c:dLbl>
            <c:dLbl>
              <c:idx val="38"/>
              <c:layout>
                <c:manualLayout>
                  <c:x val="-2.1579628830384119E-2"/>
                  <c:y val="-1.4054813773717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48DE-46D0-AF05-EFDE309452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'!$X$8:$X$47</c:f>
              <c:numCache>
                <c:formatCode>General</c:formatCode>
                <c:ptCount val="40"/>
                <c:pt idx="0">
                  <c:v>7</c:v>
                </c:pt>
                <c:pt idx="1">
                  <c:v>2</c:v>
                </c:pt>
                <c:pt idx="2">
                  <c:v>2</c:v>
                </c:pt>
                <c:pt idx="3">
                  <c:v>2</c:v>
                </c:pt>
                <c:pt idx="4">
                  <c:v>13</c:v>
                </c:pt>
                <c:pt idx="5">
                  <c:v>1</c:v>
                </c:pt>
                <c:pt idx="6">
                  <c:v>1</c:v>
                </c:pt>
                <c:pt idx="7">
                  <c:v>1</c:v>
                </c:pt>
                <c:pt idx="8">
                  <c:v>0</c:v>
                </c:pt>
                <c:pt idx="9">
                  <c:v>0</c:v>
                </c:pt>
                <c:pt idx="10">
                  <c:v>0</c:v>
                </c:pt>
                <c:pt idx="11">
                  <c:v>2</c:v>
                </c:pt>
                <c:pt idx="12">
                  <c:v>2</c:v>
                </c:pt>
                <c:pt idx="13">
                  <c:v>0</c:v>
                </c:pt>
                <c:pt idx="14">
                  <c:v>3</c:v>
                </c:pt>
                <c:pt idx="15">
                  <c:v>0</c:v>
                </c:pt>
                <c:pt idx="16">
                  <c:v>4</c:v>
                </c:pt>
                <c:pt idx="17">
                  <c:v>2</c:v>
                </c:pt>
                <c:pt idx="18">
                  <c:v>2</c:v>
                </c:pt>
                <c:pt idx="19">
                  <c:v>0</c:v>
                </c:pt>
                <c:pt idx="20">
                  <c:v>1</c:v>
                </c:pt>
                <c:pt idx="21">
                  <c:v>0</c:v>
                </c:pt>
                <c:pt idx="22">
                  <c:v>0</c:v>
                </c:pt>
                <c:pt idx="23">
                  <c:v>9</c:v>
                </c:pt>
                <c:pt idx="24">
                  <c:v>16</c:v>
                </c:pt>
                <c:pt idx="25">
                  <c:v>0</c:v>
                </c:pt>
                <c:pt idx="26">
                  <c:v>18</c:v>
                </c:pt>
                <c:pt idx="27">
                  <c:v>0</c:v>
                </c:pt>
                <c:pt idx="28">
                  <c:v>0</c:v>
                </c:pt>
                <c:pt idx="29">
                  <c:v>0</c:v>
                </c:pt>
                <c:pt idx="30">
                  <c:v>0</c:v>
                </c:pt>
                <c:pt idx="31">
                  <c:v>0</c:v>
                </c:pt>
                <c:pt idx="32">
                  <c:v>0</c:v>
                </c:pt>
                <c:pt idx="33">
                  <c:v>0</c:v>
                </c:pt>
                <c:pt idx="34">
                  <c:v>0</c:v>
                </c:pt>
                <c:pt idx="35">
                  <c:v>0</c:v>
                </c:pt>
                <c:pt idx="36">
                  <c:v>0</c:v>
                </c:pt>
                <c:pt idx="37">
                  <c:v>6</c:v>
                </c:pt>
                <c:pt idx="38">
                  <c:v>19</c:v>
                </c:pt>
              </c:numCache>
            </c:numRef>
          </c:val>
          <c:extLst>
            <c:ext xmlns:c16="http://schemas.microsoft.com/office/drawing/2014/chart" uri="{C3380CC4-5D6E-409C-BE32-E72D297353CC}">
              <c16:uniqueId val="{00000000-48DE-46D0-AF05-EFDE30945224}"/>
            </c:ext>
          </c:extLst>
        </c:ser>
        <c:ser>
          <c:idx val="1"/>
          <c:order val="1"/>
          <c:tx>
            <c:strRef>
              <c:f>'TRANSPARENCA FINANCIARE '!$Y$7</c:f>
              <c:strCache>
                <c:ptCount val="1"/>
                <c:pt idx="0">
                  <c:v>Raporti nga  dëgjimet buxhetore </c:v>
                </c:pt>
              </c:strCache>
            </c:strRef>
          </c:tx>
          <c:spPr>
            <a:solidFill>
              <a:schemeClr val="accent2"/>
            </a:solidFill>
            <a:ln>
              <a:noFill/>
            </a:ln>
            <a:effectLst/>
          </c:spPr>
          <c:invertIfNegative val="0"/>
          <c:dLbls>
            <c:dLbl>
              <c:idx val="3"/>
              <c:layout>
                <c:manualLayout>
                  <c:x val="2.2158209616662972E-3"/>
                  <c:y val="4.20294205944160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8DE-46D0-AF05-EFDE30945224}"/>
                </c:ext>
              </c:extLst>
            </c:dLbl>
            <c:dLbl>
              <c:idx val="5"/>
              <c:layout>
                <c:manualLayout>
                  <c:x val="2.6589851539995567E-2"/>
                  <c:y val="-0.30621435004503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8DE-46D0-AF05-EFDE30945224}"/>
                </c:ext>
              </c:extLst>
            </c:dLbl>
            <c:dLbl>
              <c:idx val="6"/>
              <c:layout>
                <c:manualLayout>
                  <c:x val="8.8632838466651698E-3"/>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8DE-46D0-AF05-EFDE30945224}"/>
                </c:ext>
              </c:extLst>
            </c:dLbl>
            <c:dLbl>
              <c:idx val="7"/>
              <c:layout>
                <c:manualLayout>
                  <c:x val="8.6318515321536469E-3"/>
                  <c:y val="-9.11283838113106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48DE-46D0-AF05-EFDE30945224}"/>
                </c:ext>
              </c:extLst>
            </c:dLbl>
            <c:dLbl>
              <c:idx val="9"/>
              <c:layout>
                <c:manualLayout>
                  <c:x val="0"/>
                  <c:y val="-0.1801260882617833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8DE-46D0-AF05-EFDE30945224}"/>
                </c:ext>
              </c:extLst>
            </c:dLbl>
            <c:dLbl>
              <c:idx val="10"/>
              <c:layout>
                <c:manualLayout>
                  <c:x val="-4.0622915017834678E-17"/>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8DE-46D0-AF05-EFDE30945224}"/>
                </c:ext>
              </c:extLst>
            </c:dLbl>
            <c:dLbl>
              <c:idx val="11"/>
              <c:layout>
                <c:manualLayout>
                  <c:x val="4.4316419233326352E-3"/>
                  <c:y val="1.20084058841188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8DE-46D0-AF05-EFDE30945224}"/>
                </c:ext>
              </c:extLst>
            </c:dLbl>
            <c:dLbl>
              <c:idx val="12"/>
              <c:layout>
                <c:manualLayout>
                  <c:x val="2.2158209616662972E-3"/>
                  <c:y val="-0.15610927649354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8DE-46D0-AF05-EFDE30945224}"/>
                </c:ext>
              </c:extLst>
            </c:dLbl>
            <c:dLbl>
              <c:idx val="13"/>
              <c:layout>
                <c:manualLayout>
                  <c:x val="0"/>
                  <c:y val="-0.18613029120384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8DE-46D0-AF05-EFDE30945224}"/>
                </c:ext>
              </c:extLst>
            </c:dLbl>
            <c:dLbl>
              <c:idx val="15"/>
              <c:layout>
                <c:manualLayout>
                  <c:x val="6.6474628849988917E-3"/>
                  <c:y val="-0.2341639147403182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8DE-46D0-AF05-EFDE30945224}"/>
                </c:ext>
              </c:extLst>
            </c:dLbl>
            <c:dLbl>
              <c:idx val="16"/>
              <c:layout>
                <c:manualLayout>
                  <c:x val="4.4316419233325945E-3"/>
                  <c:y val="-0.204142900030021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8DE-46D0-AF05-EFDE30945224}"/>
                </c:ext>
              </c:extLst>
            </c:dLbl>
            <c:dLbl>
              <c:idx val="18"/>
              <c:layout>
                <c:manualLayout>
                  <c:x val="1.1079104808331486E-2"/>
                  <c:y val="-7.8054638246772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8DE-46D0-AF05-EFDE30945224}"/>
                </c:ext>
              </c:extLst>
            </c:dLbl>
            <c:dLbl>
              <c:idx val="19"/>
              <c:layout>
                <c:manualLayout>
                  <c:x val="-2.2158209616662972E-3"/>
                  <c:y val="-0.1140798558991294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8DE-46D0-AF05-EFDE30945224}"/>
                </c:ext>
              </c:extLst>
            </c:dLbl>
            <c:dLbl>
              <c:idx val="20"/>
              <c:layout>
                <c:manualLayout>
                  <c:x val="1.7726567693330378E-2"/>
                  <c:y val="-0.19213449414590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8DE-46D0-AF05-EFDE30945224}"/>
                </c:ext>
              </c:extLst>
            </c:dLbl>
            <c:dLbl>
              <c:idx val="21"/>
              <c:layout>
                <c:manualLayout>
                  <c:x val="-8.1245830035669357E-17"/>
                  <c:y val="-7.20504353047133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8DE-46D0-AF05-EFDE30945224}"/>
                </c:ext>
              </c:extLst>
            </c:dLbl>
            <c:dLbl>
              <c:idx val="22"/>
              <c:layout>
                <c:manualLayout>
                  <c:x val="4.4316419233325138E-3"/>
                  <c:y val="-1.80126088261783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8DE-46D0-AF05-EFDE30945224}"/>
                </c:ext>
              </c:extLst>
            </c:dLbl>
            <c:dLbl>
              <c:idx val="25"/>
              <c:layout>
                <c:manualLayout>
                  <c:x val="-8.1245830035669357E-17"/>
                  <c:y val="-3.00210147102972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8DE-46D0-AF05-EFDE30945224}"/>
                </c:ext>
              </c:extLst>
            </c:dLbl>
            <c:dLbl>
              <c:idx val="27"/>
              <c:layout>
                <c:manualLayout>
                  <c:x val="-6.946169719778089E-5"/>
                  <c:y val="-0.192996571141889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8DE-46D0-AF05-EFDE30945224}"/>
                </c:ext>
              </c:extLst>
            </c:dLbl>
            <c:dLbl>
              <c:idx val="28"/>
              <c:layout>
                <c:manualLayout>
                  <c:x val="1.3155977846619706E-2"/>
                  <c:y val="-0.240708052744285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8DE-46D0-AF05-EFDE30945224}"/>
                </c:ext>
              </c:extLst>
            </c:dLbl>
            <c:dLbl>
              <c:idx val="29"/>
              <c:layout>
                <c:manualLayout>
                  <c:x val="8.8632111584892835E-3"/>
                  <c:y val="-0.2761413080568021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8DE-46D0-AF05-EFDE30945224}"/>
                </c:ext>
              </c:extLst>
            </c:dLbl>
            <c:dLbl>
              <c:idx val="30"/>
              <c:layout>
                <c:manualLayout>
                  <c:x val="4.4316419233325945E-3"/>
                  <c:y val="-9.00630441308916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8DE-46D0-AF05-EFDE30945224}"/>
                </c:ext>
              </c:extLst>
            </c:dLbl>
            <c:dLbl>
              <c:idx val="31"/>
              <c:layout>
                <c:manualLayout>
                  <c:x val="6.6474628849988917E-3"/>
                  <c:y val="-5.40378264785350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48DE-46D0-AF05-EFDE30945224}"/>
                </c:ext>
              </c:extLst>
            </c:dLbl>
            <c:dLbl>
              <c:idx val="32"/>
              <c:layout>
                <c:manualLayout>
                  <c:x val="1.3294925769997783E-2"/>
                  <c:y val="-9.00630441308916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48DE-46D0-AF05-EFDE30945224}"/>
                </c:ext>
              </c:extLst>
            </c:dLbl>
            <c:dLbl>
              <c:idx val="33"/>
              <c:layout>
                <c:manualLayout>
                  <c:x val="1.5510746731664082E-2"/>
                  <c:y val="-7.8054638246772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48DE-46D0-AF05-EFDE30945224}"/>
                </c:ext>
              </c:extLst>
            </c:dLbl>
            <c:dLbl>
              <c:idx val="34"/>
              <c:layout>
                <c:manualLayout>
                  <c:x val="1.9942388654996677E-2"/>
                  <c:y val="-0.1741218853197238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48DE-46D0-AF05-EFDE30945224}"/>
                </c:ext>
              </c:extLst>
            </c:dLbl>
            <c:dLbl>
              <c:idx val="35"/>
              <c:layout>
                <c:manualLayout>
                  <c:x val="1.7726567693330378E-2"/>
                  <c:y val="-0.2281597117982587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48DE-46D0-AF05-EFDE30945224}"/>
                </c:ext>
              </c:extLst>
            </c:dLbl>
            <c:dLbl>
              <c:idx val="36"/>
              <c:layout>
                <c:manualLayout>
                  <c:x val="4.4316419233325945E-3"/>
                  <c:y val="-0.1681176823776644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48DE-46D0-AF05-EFDE30945224}"/>
                </c:ext>
              </c:extLst>
            </c:dLbl>
            <c:dLbl>
              <c:idx val="37"/>
              <c:layout>
                <c:manualLayout>
                  <c:x val="1.1079104808331486E-2"/>
                  <c:y val="-0.162113479435604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8DE-46D0-AF05-EFDE3094522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'TRANSPARENCA FINANCIARE '!$W$8:$W$47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'!$Y$8:$Y$47</c:f>
              <c:numCache>
                <c:formatCode>General</c:formatCode>
                <c:ptCount val="40"/>
                <c:pt idx="0">
                  <c:v>0</c:v>
                </c:pt>
                <c:pt idx="1">
                  <c:v>7</c:v>
                </c:pt>
                <c:pt idx="2">
                  <c:v>0</c:v>
                </c:pt>
                <c:pt idx="3">
                  <c:v>1</c:v>
                </c:pt>
                <c:pt idx="4">
                  <c:v>1</c:v>
                </c:pt>
                <c:pt idx="5">
                  <c:v>1</c:v>
                </c:pt>
                <c:pt idx="6">
                  <c:v>1</c:v>
                </c:pt>
                <c:pt idx="7">
                  <c:v>1</c:v>
                </c:pt>
                <c:pt idx="8">
                  <c:v>3</c:v>
                </c:pt>
                <c:pt idx="9">
                  <c:v>0</c:v>
                </c:pt>
                <c:pt idx="10">
                  <c:v>1</c:v>
                </c:pt>
                <c:pt idx="11">
                  <c:v>1</c:v>
                </c:pt>
                <c:pt idx="12">
                  <c:v>1</c:v>
                </c:pt>
                <c:pt idx="13">
                  <c:v>0</c:v>
                </c:pt>
                <c:pt idx="14">
                  <c:v>1</c:v>
                </c:pt>
                <c:pt idx="15">
                  <c:v>1</c:v>
                </c:pt>
                <c:pt idx="16">
                  <c:v>3</c:v>
                </c:pt>
                <c:pt idx="17">
                  <c:v>0</c:v>
                </c:pt>
                <c:pt idx="18">
                  <c:v>3</c:v>
                </c:pt>
                <c:pt idx="19">
                  <c:v>0</c:v>
                </c:pt>
                <c:pt idx="20">
                  <c:v>1</c:v>
                </c:pt>
                <c:pt idx="21">
                  <c:v>1</c:v>
                </c:pt>
                <c:pt idx="22">
                  <c:v>0</c:v>
                </c:pt>
                <c:pt idx="23">
                  <c:v>1</c:v>
                </c:pt>
                <c:pt idx="24">
                  <c:v>2</c:v>
                </c:pt>
                <c:pt idx="25">
                  <c:v>0</c:v>
                </c:pt>
                <c:pt idx="26">
                  <c:v>1</c:v>
                </c:pt>
                <c:pt idx="27">
                  <c:v>0</c:v>
                </c:pt>
                <c:pt idx="28">
                  <c:v>1</c:v>
                </c:pt>
                <c:pt idx="29">
                  <c:v>0</c:v>
                </c:pt>
                <c:pt idx="30">
                  <c:v>0</c:v>
                </c:pt>
                <c:pt idx="31">
                  <c:v>1</c:v>
                </c:pt>
                <c:pt idx="32">
                  <c:v>0</c:v>
                </c:pt>
                <c:pt idx="33">
                  <c:v>0</c:v>
                </c:pt>
                <c:pt idx="34">
                  <c:v>0</c:v>
                </c:pt>
                <c:pt idx="35">
                  <c:v>0</c:v>
                </c:pt>
                <c:pt idx="36">
                  <c:v>0</c:v>
                </c:pt>
                <c:pt idx="37">
                  <c:v>1</c:v>
                </c:pt>
                <c:pt idx="38">
                  <c:v>23</c:v>
                </c:pt>
              </c:numCache>
            </c:numRef>
          </c:val>
          <c:extLst>
            <c:ext xmlns:c16="http://schemas.microsoft.com/office/drawing/2014/chart" uri="{C3380CC4-5D6E-409C-BE32-E72D297353CC}">
              <c16:uniqueId val="{00000001-48DE-46D0-AF05-EFDE30945224}"/>
            </c:ext>
          </c:extLst>
        </c:ser>
        <c:dLbls>
          <c:dLblPos val="outEnd"/>
          <c:showLegendKey val="0"/>
          <c:showVal val="1"/>
          <c:showCatName val="0"/>
          <c:showSerName val="0"/>
          <c:showPercent val="0"/>
          <c:showBubbleSize val="0"/>
        </c:dLbls>
        <c:gapWidth val="199"/>
        <c:axId val="275122848"/>
        <c:axId val="275114616"/>
      </c:barChart>
      <c:catAx>
        <c:axId val="2751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cap="none" spc="0" normalizeH="0" baseline="0">
                <a:solidFill>
                  <a:schemeClr val="tx1">
                    <a:lumMod val="65000"/>
                    <a:lumOff val="35000"/>
                  </a:schemeClr>
                </a:solidFill>
                <a:latin typeface="Century Schoolbook" panose="02040604050505020304" pitchFamily="18" charset="0"/>
                <a:ea typeface="+mn-ea"/>
                <a:cs typeface="+mn-cs"/>
              </a:defRPr>
            </a:pPr>
            <a:endParaRPr lang="en-US"/>
          </a:p>
        </c:txPr>
        <c:crossAx val="275114616"/>
        <c:crosses val="autoZero"/>
        <c:auto val="1"/>
        <c:lblAlgn val="ctr"/>
        <c:lblOffset val="100"/>
        <c:noMultiLvlLbl val="0"/>
      </c:catAx>
      <c:valAx>
        <c:axId val="275114616"/>
        <c:scaling>
          <c:orientation val="minMax"/>
        </c:scaling>
        <c:delete val="1"/>
        <c:axPos val="l"/>
        <c:numFmt formatCode="General" sourceLinked="1"/>
        <c:majorTickMark val="none"/>
        <c:minorTickMark val="none"/>
        <c:tickLblPos val="nextTo"/>
        <c:crossAx val="275122848"/>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74030578329271E-2"/>
          <c:y val="0.20458749169158155"/>
          <c:w val="0.96897850653667184"/>
          <c:h val="0.36738867963983163"/>
        </c:manualLayout>
      </c:layout>
      <c:barChart>
        <c:barDir val="col"/>
        <c:grouping val="clustered"/>
        <c:varyColors val="0"/>
        <c:ser>
          <c:idx val="0"/>
          <c:order val="0"/>
          <c:tx>
            <c:strRef>
              <c:f>'TRANSPARENCA FINANCIARE '!$AH$7</c:f>
              <c:strCache>
                <c:ptCount val="1"/>
                <c:pt idx="0">
                  <c:v>Publikimi i raportit të auditorit të jashtëm</c:v>
                </c:pt>
              </c:strCache>
            </c:strRef>
          </c:tx>
          <c:spPr>
            <a:solidFill>
              <a:schemeClr val="accent1"/>
            </a:solidFill>
            <a:ln>
              <a:noFill/>
            </a:ln>
            <a:effectLst/>
          </c:spPr>
          <c:invertIfNegative val="0"/>
          <c:dLbls>
            <c:dLbl>
              <c:idx val="2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71D-4E56-9095-6428DA8DD98C}"/>
                </c:ext>
              </c:extLst>
            </c:dLbl>
            <c:dLbl>
              <c:idx val="38"/>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71D-4E56-9095-6428DA8DD98C}"/>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'!$AG$8:$AG$47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'!$AH$8:$AH$47</c:f>
              <c:numCache>
                <c:formatCode>General</c:formatCode>
                <c:ptCount val="40"/>
                <c:pt idx="0">
                  <c:v>0</c:v>
                </c:pt>
                <c:pt idx="1">
                  <c:v>1</c:v>
                </c:pt>
                <c:pt idx="2">
                  <c:v>0</c:v>
                </c:pt>
                <c:pt idx="3">
                  <c:v>0</c:v>
                </c:pt>
                <c:pt idx="4">
                  <c:v>1</c:v>
                </c:pt>
                <c:pt idx="5">
                  <c:v>1</c:v>
                </c:pt>
                <c:pt idx="6">
                  <c:v>0</c:v>
                </c:pt>
                <c:pt idx="7">
                  <c:v>1</c:v>
                </c:pt>
                <c:pt idx="8">
                  <c:v>1</c:v>
                </c:pt>
                <c:pt idx="9">
                  <c:v>0</c:v>
                </c:pt>
                <c:pt idx="10">
                  <c:v>1</c:v>
                </c:pt>
                <c:pt idx="11">
                  <c:v>0</c:v>
                </c:pt>
                <c:pt idx="12">
                  <c:v>1</c:v>
                </c:pt>
                <c:pt idx="13">
                  <c:v>0</c:v>
                </c:pt>
                <c:pt idx="14">
                  <c:v>0</c:v>
                </c:pt>
                <c:pt idx="15">
                  <c:v>1</c:v>
                </c:pt>
                <c:pt idx="16">
                  <c:v>1</c:v>
                </c:pt>
                <c:pt idx="17">
                  <c:v>0</c:v>
                </c:pt>
                <c:pt idx="18">
                  <c:v>1</c:v>
                </c:pt>
                <c:pt idx="19">
                  <c:v>0</c:v>
                </c:pt>
                <c:pt idx="20">
                  <c:v>0</c:v>
                </c:pt>
                <c:pt idx="21">
                  <c:v>0</c:v>
                </c:pt>
                <c:pt idx="22">
                  <c:v>1</c:v>
                </c:pt>
                <c:pt idx="23">
                  <c:v>0</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16</c:v>
                </c:pt>
              </c:numCache>
            </c:numRef>
          </c:val>
          <c:extLst>
            <c:ext xmlns:c16="http://schemas.microsoft.com/office/drawing/2014/chart" uri="{C3380CC4-5D6E-409C-BE32-E72D297353CC}">
              <c16:uniqueId val="{00000000-5A95-4316-9194-A5D3FCF27B4A}"/>
            </c:ext>
          </c:extLst>
        </c:ser>
        <c:dLbls>
          <c:showLegendKey val="0"/>
          <c:showVal val="1"/>
          <c:showCatName val="0"/>
          <c:showSerName val="0"/>
          <c:showPercent val="0"/>
          <c:showBubbleSize val="0"/>
        </c:dLbls>
        <c:gapWidth val="150"/>
        <c:overlap val="-25"/>
        <c:axId val="306343432"/>
        <c:axId val="306337160"/>
      </c:barChart>
      <c:catAx>
        <c:axId val="306343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Garamond" panose="02020404030301010803" pitchFamily="18" charset="0"/>
                <a:ea typeface="Calibri" panose="020F0502020204030204" pitchFamily="34" charset="0"/>
                <a:cs typeface="Calibri" panose="020F0502020204030204" pitchFamily="34" charset="0"/>
              </a:defRPr>
            </a:pPr>
            <a:endParaRPr lang="en-US"/>
          </a:p>
        </c:txPr>
        <c:crossAx val="306337160"/>
        <c:crosses val="autoZero"/>
        <c:auto val="1"/>
        <c:lblAlgn val="ctr"/>
        <c:lblOffset val="100"/>
        <c:noMultiLvlLbl val="0"/>
      </c:catAx>
      <c:valAx>
        <c:axId val="306337160"/>
        <c:scaling>
          <c:orientation val="minMax"/>
        </c:scaling>
        <c:delete val="1"/>
        <c:axPos val="l"/>
        <c:numFmt formatCode="General" sourceLinked="1"/>
        <c:majorTickMark val="none"/>
        <c:minorTickMark val="none"/>
        <c:tickLblPos val="nextTo"/>
        <c:crossAx val="306343432"/>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n-US"/>
          </a:p>
        </c:txPr>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Calibri" panose="020F0502020204030204" pitchFamily="34" charset="0"/>
              <a:cs typeface="Calibri" panose="020F050202020403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'!$AL$7</c:f>
              <c:strCache>
                <c:ptCount val="1"/>
                <c:pt idx="0">
                  <c:v>Investimet kapitale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'!$AK$8:$AK$47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'!$AL$8:$AL$47</c:f>
              <c:numCache>
                <c:formatCode>General</c:formatCode>
                <c:ptCount val="40"/>
                <c:pt idx="0">
                  <c:v>0</c:v>
                </c:pt>
                <c:pt idx="1">
                  <c:v>1</c:v>
                </c:pt>
                <c:pt idx="2">
                  <c:v>0</c:v>
                </c:pt>
                <c:pt idx="3">
                  <c:v>0</c:v>
                </c:pt>
                <c:pt idx="4">
                  <c:v>0</c:v>
                </c:pt>
                <c:pt idx="5">
                  <c:v>1</c:v>
                </c:pt>
                <c:pt idx="6">
                  <c:v>1</c:v>
                </c:pt>
                <c:pt idx="7">
                  <c:v>1</c:v>
                </c:pt>
                <c:pt idx="8">
                  <c:v>0</c:v>
                </c:pt>
                <c:pt idx="9">
                  <c:v>0</c:v>
                </c:pt>
                <c:pt idx="10">
                  <c:v>0</c:v>
                </c:pt>
                <c:pt idx="11">
                  <c:v>1</c:v>
                </c:pt>
                <c:pt idx="12">
                  <c:v>1</c:v>
                </c:pt>
                <c:pt idx="13">
                  <c:v>0</c:v>
                </c:pt>
                <c:pt idx="14">
                  <c:v>1</c:v>
                </c:pt>
                <c:pt idx="15">
                  <c:v>0</c:v>
                </c:pt>
                <c:pt idx="16">
                  <c:v>0</c:v>
                </c:pt>
                <c:pt idx="17">
                  <c:v>0</c:v>
                </c:pt>
                <c:pt idx="18">
                  <c:v>0</c:v>
                </c:pt>
                <c:pt idx="19">
                  <c:v>0</c:v>
                </c:pt>
                <c:pt idx="20">
                  <c:v>0</c:v>
                </c:pt>
                <c:pt idx="21">
                  <c:v>1</c:v>
                </c:pt>
                <c:pt idx="22">
                  <c:v>1</c:v>
                </c:pt>
                <c:pt idx="23">
                  <c:v>1</c:v>
                </c:pt>
                <c:pt idx="24">
                  <c:v>1</c:v>
                </c:pt>
                <c:pt idx="25">
                  <c:v>0</c:v>
                </c:pt>
                <c:pt idx="26">
                  <c:v>1</c:v>
                </c:pt>
                <c:pt idx="27">
                  <c:v>0</c:v>
                </c:pt>
                <c:pt idx="28">
                  <c:v>1</c:v>
                </c:pt>
                <c:pt idx="29">
                  <c:v>0</c:v>
                </c:pt>
                <c:pt idx="30">
                  <c:v>0</c:v>
                </c:pt>
                <c:pt idx="31">
                  <c:v>1</c:v>
                </c:pt>
                <c:pt idx="32">
                  <c:v>0</c:v>
                </c:pt>
                <c:pt idx="33">
                  <c:v>0</c:v>
                </c:pt>
                <c:pt idx="34">
                  <c:v>0</c:v>
                </c:pt>
                <c:pt idx="35">
                  <c:v>0</c:v>
                </c:pt>
                <c:pt idx="36">
                  <c:v>0</c:v>
                </c:pt>
                <c:pt idx="37">
                  <c:v>1</c:v>
                </c:pt>
                <c:pt idx="38">
                  <c:v>15</c:v>
                </c:pt>
              </c:numCache>
            </c:numRef>
          </c:val>
          <c:extLst>
            <c:ext xmlns:c16="http://schemas.microsoft.com/office/drawing/2014/chart" uri="{C3380CC4-5D6E-409C-BE32-E72D297353CC}">
              <c16:uniqueId val="{00000000-2D6A-4293-A023-47ED9482619B}"/>
            </c:ext>
          </c:extLst>
        </c:ser>
        <c:dLbls>
          <c:showLegendKey val="0"/>
          <c:showVal val="1"/>
          <c:showCatName val="0"/>
          <c:showSerName val="0"/>
          <c:showPercent val="0"/>
          <c:showBubbleSize val="0"/>
        </c:dLbls>
        <c:gapWidth val="150"/>
        <c:overlap val="-25"/>
        <c:axId val="306347744"/>
        <c:axId val="306348528"/>
      </c:barChart>
      <c:catAx>
        <c:axId val="30634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306348528"/>
        <c:crosses val="autoZero"/>
        <c:auto val="1"/>
        <c:lblAlgn val="ctr"/>
        <c:lblOffset val="100"/>
        <c:noMultiLvlLbl val="0"/>
      </c:catAx>
      <c:valAx>
        <c:axId val="306348528"/>
        <c:scaling>
          <c:orientation val="minMax"/>
        </c:scaling>
        <c:delete val="1"/>
        <c:axPos val="l"/>
        <c:numFmt formatCode="General" sourceLinked="1"/>
        <c:majorTickMark val="none"/>
        <c:minorTickMark val="none"/>
        <c:tickLblPos val="nextTo"/>
        <c:crossAx val="306347744"/>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'TRANSPARENCA FINANCIARE '!$O$7</c:f>
              <c:strCache>
                <c:ptCount val="1"/>
                <c:pt idx="0">
                  <c:v>Buxhetimin me pjesëmarrje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'!$N$8:$N$46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'TRANSPARENCA FINANCIARE '!$O$8:$O$46</c:f>
              <c:numCache>
                <c:formatCode>General</c:formatCode>
                <c:ptCount val="39"/>
                <c:pt idx="0">
                  <c:v>0</c:v>
                </c:pt>
                <c:pt idx="1">
                  <c:v>1</c:v>
                </c:pt>
                <c:pt idx="2">
                  <c:v>0</c:v>
                </c:pt>
                <c:pt idx="3">
                  <c:v>0</c:v>
                </c:pt>
                <c:pt idx="4">
                  <c:v>1</c:v>
                </c:pt>
                <c:pt idx="5">
                  <c:v>1</c:v>
                </c:pt>
                <c:pt idx="6">
                  <c:v>0</c:v>
                </c:pt>
                <c:pt idx="7">
                  <c:v>0</c:v>
                </c:pt>
                <c:pt idx="8">
                  <c:v>1</c:v>
                </c:pt>
                <c:pt idx="9">
                  <c:v>0</c:v>
                </c:pt>
                <c:pt idx="10">
                  <c:v>0</c:v>
                </c:pt>
                <c:pt idx="11">
                  <c:v>0</c:v>
                </c:pt>
                <c:pt idx="12">
                  <c:v>0</c:v>
                </c:pt>
                <c:pt idx="13">
                  <c:v>0</c:v>
                </c:pt>
                <c:pt idx="14">
                  <c:v>0</c:v>
                </c:pt>
                <c:pt idx="15">
                  <c:v>0</c:v>
                </c:pt>
                <c:pt idx="16">
                  <c:v>0</c:v>
                </c:pt>
                <c:pt idx="17">
                  <c:v>0</c:v>
                </c:pt>
                <c:pt idx="18">
                  <c:v>1</c:v>
                </c:pt>
                <c:pt idx="19">
                  <c:v>0</c:v>
                </c:pt>
                <c:pt idx="20">
                  <c:v>0</c:v>
                </c:pt>
                <c:pt idx="21">
                  <c:v>1</c:v>
                </c:pt>
                <c:pt idx="22">
                  <c:v>1</c:v>
                </c:pt>
                <c:pt idx="23">
                  <c:v>1</c:v>
                </c:pt>
                <c:pt idx="24">
                  <c:v>1</c:v>
                </c:pt>
                <c:pt idx="25">
                  <c:v>0</c:v>
                </c:pt>
                <c:pt idx="26">
                  <c:v>0</c:v>
                </c:pt>
                <c:pt idx="27">
                  <c:v>0</c:v>
                </c:pt>
                <c:pt idx="28">
                  <c:v>1</c:v>
                </c:pt>
                <c:pt idx="29">
                  <c:v>0</c:v>
                </c:pt>
                <c:pt idx="30">
                  <c:v>0</c:v>
                </c:pt>
                <c:pt idx="31">
                  <c:v>1</c:v>
                </c:pt>
                <c:pt idx="32">
                  <c:v>0</c:v>
                </c:pt>
                <c:pt idx="33">
                  <c:v>0</c:v>
                </c:pt>
                <c:pt idx="34">
                  <c:v>0</c:v>
                </c:pt>
                <c:pt idx="35">
                  <c:v>0</c:v>
                </c:pt>
                <c:pt idx="36">
                  <c:v>0</c:v>
                </c:pt>
                <c:pt idx="37">
                  <c:v>0</c:v>
                </c:pt>
                <c:pt idx="38">
                  <c:v>11</c:v>
                </c:pt>
              </c:numCache>
            </c:numRef>
          </c:val>
          <c:extLst>
            <c:ext xmlns:c16="http://schemas.microsoft.com/office/drawing/2014/chart" uri="{C3380CC4-5D6E-409C-BE32-E72D297353CC}">
              <c16:uniqueId val="{00000000-3ECA-43DE-BE47-B959B1F77119}"/>
            </c:ext>
          </c:extLst>
        </c:ser>
        <c:dLbls>
          <c:showLegendKey val="0"/>
          <c:showVal val="1"/>
          <c:showCatName val="0"/>
          <c:showSerName val="0"/>
          <c:showPercent val="0"/>
          <c:showBubbleSize val="0"/>
        </c:dLbls>
        <c:gapWidth val="150"/>
        <c:overlap val="-25"/>
        <c:axId val="306344608"/>
        <c:axId val="306340688"/>
      </c:barChart>
      <c:catAx>
        <c:axId val="30634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306340688"/>
        <c:crosses val="autoZero"/>
        <c:auto val="1"/>
        <c:lblAlgn val="ctr"/>
        <c:lblOffset val="100"/>
        <c:noMultiLvlLbl val="0"/>
      </c:catAx>
      <c:valAx>
        <c:axId val="306340688"/>
        <c:scaling>
          <c:orientation val="minMax"/>
        </c:scaling>
        <c:delete val="1"/>
        <c:axPos val="l"/>
        <c:numFmt formatCode="General" sourceLinked="1"/>
        <c:majorTickMark val="none"/>
        <c:minorTickMark val="none"/>
        <c:tickLblPos val="nextTo"/>
        <c:crossAx val="306344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r>
              <a:rPr lang="en-US" noProof="0"/>
              <a:t>Transparenca buxhetore në komuna  </a:t>
            </a:r>
          </a:p>
        </c:rich>
      </c:tx>
      <c:overlay val="0"/>
      <c:spPr>
        <a:noFill/>
        <a:ln>
          <a:noFill/>
        </a:ln>
        <a:effectLst/>
      </c:spPr>
      <c:txPr>
        <a:bodyPr rot="0" spcFirstLastPara="1" vertOverflow="ellipsis" vert="horz" wrap="square" anchor="ctr" anchorCtr="1"/>
        <a:lstStyle/>
        <a:p>
          <a:pPr>
            <a:defRPr sz="800" b="0" i="0" u="none" strike="noStrike"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'TRANSPARENCA FINANCIARE '!$C$8</c:f>
              <c:strCache>
                <c:ptCount val="1"/>
                <c:pt idx="0">
                  <c:v>Deçan</c:v>
                </c:pt>
              </c:strCache>
            </c:strRef>
          </c:tx>
          <c:spPr>
            <a:ln w="28575" cap="rnd">
              <a:solidFill>
                <a:schemeClr val="accent1"/>
              </a:solidFill>
              <a:round/>
            </a:ln>
            <a:effectLst/>
          </c:spPr>
          <c:marker>
            <c:symbol val="circle"/>
            <c:size val="5"/>
            <c:spPr>
              <a:solidFill>
                <a:schemeClr val="accent1"/>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'!$D$8:$L$8</c:f>
              <c:numCache>
                <c:formatCode>General</c:formatCode>
                <c:ptCount val="9"/>
                <c:pt idx="0">
                  <c:v>1</c:v>
                </c:pt>
                <c:pt idx="1">
                  <c:v>1</c:v>
                </c:pt>
                <c:pt idx="2">
                  <c:v>3</c:v>
                </c:pt>
                <c:pt idx="3">
                  <c:v>0</c:v>
                </c:pt>
                <c:pt idx="4">
                  <c:v>7</c:v>
                </c:pt>
                <c:pt idx="5">
                  <c:v>0</c:v>
                </c:pt>
                <c:pt idx="6">
                  <c:v>0</c:v>
                </c:pt>
                <c:pt idx="7">
                  <c:v>0</c:v>
                </c:pt>
                <c:pt idx="8">
                  <c:v>0</c:v>
                </c:pt>
              </c:numCache>
            </c:numRef>
          </c:val>
          <c:smooth val="0"/>
          <c:extLst>
            <c:ext xmlns:c16="http://schemas.microsoft.com/office/drawing/2014/chart" uri="{C3380CC4-5D6E-409C-BE32-E72D297353CC}">
              <c16:uniqueId val="{00000000-006F-4833-81CA-3952FB0DB0AB}"/>
            </c:ext>
          </c:extLst>
        </c:ser>
        <c:ser>
          <c:idx val="1"/>
          <c:order val="1"/>
          <c:tx>
            <c:strRef>
              <c:f>'TRANSPARENCA FINANCIARE '!$C$9</c:f>
              <c:strCache>
                <c:ptCount val="1"/>
                <c:pt idx="0">
                  <c:v>Ferizaj</c:v>
                </c:pt>
              </c:strCache>
            </c:strRef>
          </c:tx>
          <c:spPr>
            <a:ln w="28575" cap="rnd">
              <a:solidFill>
                <a:schemeClr val="accent2"/>
              </a:solidFill>
              <a:round/>
            </a:ln>
            <a:effectLst/>
          </c:spPr>
          <c:marker>
            <c:symbol val="circle"/>
            <c:size val="5"/>
            <c:spPr>
              <a:solidFill>
                <a:schemeClr val="accent2"/>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'!$D$9:$L$9</c:f>
              <c:numCache>
                <c:formatCode>General</c:formatCode>
                <c:ptCount val="9"/>
                <c:pt idx="0">
                  <c:v>1</c:v>
                </c:pt>
                <c:pt idx="1">
                  <c:v>1</c:v>
                </c:pt>
                <c:pt idx="2">
                  <c:v>3</c:v>
                </c:pt>
                <c:pt idx="3">
                  <c:v>1</c:v>
                </c:pt>
                <c:pt idx="4">
                  <c:v>2</c:v>
                </c:pt>
                <c:pt idx="5">
                  <c:v>1</c:v>
                </c:pt>
                <c:pt idx="6">
                  <c:v>1</c:v>
                </c:pt>
                <c:pt idx="7">
                  <c:v>7</c:v>
                </c:pt>
                <c:pt idx="8">
                  <c:v>1</c:v>
                </c:pt>
              </c:numCache>
            </c:numRef>
          </c:val>
          <c:smooth val="0"/>
          <c:extLst>
            <c:ext xmlns:c16="http://schemas.microsoft.com/office/drawing/2014/chart" uri="{C3380CC4-5D6E-409C-BE32-E72D297353CC}">
              <c16:uniqueId val="{00000001-006F-4833-81CA-3952FB0DB0AB}"/>
            </c:ext>
          </c:extLst>
        </c:ser>
        <c:ser>
          <c:idx val="2"/>
          <c:order val="2"/>
          <c:tx>
            <c:strRef>
              <c:f>'TRANSPARENCA FINANCIARE '!$C$10</c:f>
              <c:strCache>
                <c:ptCount val="1"/>
                <c:pt idx="0">
                  <c:v>Fushe Kosovë</c:v>
                </c:pt>
              </c:strCache>
            </c:strRef>
          </c:tx>
          <c:spPr>
            <a:ln w="28575" cap="rnd">
              <a:solidFill>
                <a:schemeClr val="accent3"/>
              </a:solidFill>
              <a:round/>
            </a:ln>
            <a:effectLst/>
          </c:spPr>
          <c:marker>
            <c:symbol val="circle"/>
            <c:size val="5"/>
            <c:spPr>
              <a:solidFill>
                <a:schemeClr val="accent3"/>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'!$D$10:$L$10</c:f>
              <c:numCache>
                <c:formatCode>General</c:formatCode>
                <c:ptCount val="9"/>
                <c:pt idx="0">
                  <c:v>0</c:v>
                </c:pt>
                <c:pt idx="1">
                  <c:v>1</c:v>
                </c:pt>
                <c:pt idx="2">
                  <c:v>0</c:v>
                </c:pt>
                <c:pt idx="3">
                  <c:v>0</c:v>
                </c:pt>
                <c:pt idx="4">
                  <c:v>2</c:v>
                </c:pt>
                <c:pt idx="5">
                  <c:v>0</c:v>
                </c:pt>
                <c:pt idx="6">
                  <c:v>0</c:v>
                </c:pt>
                <c:pt idx="7">
                  <c:v>0</c:v>
                </c:pt>
                <c:pt idx="8">
                  <c:v>0</c:v>
                </c:pt>
              </c:numCache>
            </c:numRef>
          </c:val>
          <c:smooth val="0"/>
          <c:extLst>
            <c:ext xmlns:c16="http://schemas.microsoft.com/office/drawing/2014/chart" uri="{C3380CC4-5D6E-409C-BE32-E72D297353CC}">
              <c16:uniqueId val="{00000002-006F-4833-81CA-3952FB0DB0AB}"/>
            </c:ext>
          </c:extLst>
        </c:ser>
        <c:ser>
          <c:idx val="3"/>
          <c:order val="3"/>
          <c:tx>
            <c:strRef>
              <c:f>'TRANSPARENCA FINANCIARE '!$C$11</c:f>
              <c:strCache>
                <c:ptCount val="1"/>
                <c:pt idx="0">
                  <c:v>Gjakovë</c:v>
                </c:pt>
              </c:strCache>
            </c:strRef>
          </c:tx>
          <c:spPr>
            <a:ln w="28575" cap="rnd">
              <a:solidFill>
                <a:schemeClr val="accent4"/>
              </a:solidFill>
              <a:round/>
            </a:ln>
            <a:effectLst/>
          </c:spPr>
          <c:marker>
            <c:symbol val="circle"/>
            <c:size val="5"/>
            <c:spPr>
              <a:solidFill>
                <a:schemeClr val="accent4"/>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'!$D$11:$L$11</c:f>
              <c:numCache>
                <c:formatCode>General</c:formatCode>
                <c:ptCount val="9"/>
                <c:pt idx="0">
                  <c:v>1</c:v>
                </c:pt>
                <c:pt idx="1">
                  <c:v>1</c:v>
                </c:pt>
                <c:pt idx="2">
                  <c:v>0</c:v>
                </c:pt>
                <c:pt idx="3">
                  <c:v>0</c:v>
                </c:pt>
                <c:pt idx="4">
                  <c:v>2</c:v>
                </c:pt>
                <c:pt idx="5">
                  <c:v>0</c:v>
                </c:pt>
                <c:pt idx="6">
                  <c:v>0</c:v>
                </c:pt>
                <c:pt idx="7">
                  <c:v>1</c:v>
                </c:pt>
                <c:pt idx="8">
                  <c:v>0</c:v>
                </c:pt>
              </c:numCache>
            </c:numRef>
          </c:val>
          <c:smooth val="0"/>
          <c:extLst>
            <c:ext xmlns:c16="http://schemas.microsoft.com/office/drawing/2014/chart" uri="{C3380CC4-5D6E-409C-BE32-E72D297353CC}">
              <c16:uniqueId val="{00000003-006F-4833-81CA-3952FB0DB0AB}"/>
            </c:ext>
          </c:extLst>
        </c:ser>
        <c:ser>
          <c:idx val="4"/>
          <c:order val="4"/>
          <c:tx>
            <c:strRef>
              <c:f>'TRANSPARENCA FINANCIARE '!$C$12</c:f>
              <c:strCache>
                <c:ptCount val="1"/>
                <c:pt idx="0">
                  <c:v>Gjilan </c:v>
                </c:pt>
              </c:strCache>
            </c:strRef>
          </c:tx>
          <c:spPr>
            <a:ln w="28575" cap="rnd">
              <a:solidFill>
                <a:schemeClr val="accent5"/>
              </a:solidFill>
              <a:round/>
            </a:ln>
            <a:effectLst/>
          </c:spPr>
          <c:marker>
            <c:symbol val="circle"/>
            <c:size val="5"/>
            <c:spPr>
              <a:solidFill>
                <a:schemeClr val="accent5"/>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'!$D$12:$L$12</c:f>
              <c:numCache>
                <c:formatCode>General</c:formatCode>
                <c:ptCount val="9"/>
                <c:pt idx="0">
                  <c:v>1</c:v>
                </c:pt>
                <c:pt idx="1">
                  <c:v>1</c:v>
                </c:pt>
                <c:pt idx="2">
                  <c:v>3</c:v>
                </c:pt>
                <c:pt idx="3">
                  <c:v>1</c:v>
                </c:pt>
                <c:pt idx="4">
                  <c:v>13</c:v>
                </c:pt>
                <c:pt idx="5">
                  <c:v>1</c:v>
                </c:pt>
                <c:pt idx="6">
                  <c:v>0</c:v>
                </c:pt>
                <c:pt idx="7">
                  <c:v>1</c:v>
                </c:pt>
                <c:pt idx="8">
                  <c:v>1</c:v>
                </c:pt>
              </c:numCache>
            </c:numRef>
          </c:val>
          <c:smooth val="0"/>
          <c:extLst>
            <c:ext xmlns:c16="http://schemas.microsoft.com/office/drawing/2014/chart" uri="{C3380CC4-5D6E-409C-BE32-E72D297353CC}">
              <c16:uniqueId val="{00000004-006F-4833-81CA-3952FB0DB0AB}"/>
            </c:ext>
          </c:extLst>
        </c:ser>
        <c:ser>
          <c:idx val="5"/>
          <c:order val="5"/>
          <c:tx>
            <c:strRef>
              <c:f>'TRANSPARENCA FINANCIARE '!$C$13</c:f>
              <c:strCache>
                <c:ptCount val="1"/>
                <c:pt idx="0">
                  <c:v>Gllogoc </c:v>
                </c:pt>
              </c:strCache>
            </c:strRef>
          </c:tx>
          <c:spPr>
            <a:ln w="28575" cap="rnd">
              <a:solidFill>
                <a:schemeClr val="accent6"/>
              </a:solidFill>
              <a:round/>
            </a:ln>
            <a:effectLst/>
          </c:spPr>
          <c:marker>
            <c:symbol val="circle"/>
            <c:size val="5"/>
            <c:spPr>
              <a:solidFill>
                <a:schemeClr val="accent6"/>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'!$D$13:$L$13</c:f>
              <c:numCache>
                <c:formatCode>General</c:formatCode>
                <c:ptCount val="9"/>
                <c:pt idx="0">
                  <c:v>1</c:v>
                </c:pt>
                <c:pt idx="1">
                  <c:v>1</c:v>
                </c:pt>
                <c:pt idx="2">
                  <c:v>3</c:v>
                </c:pt>
                <c:pt idx="3">
                  <c:v>1</c:v>
                </c:pt>
                <c:pt idx="4">
                  <c:v>1</c:v>
                </c:pt>
                <c:pt idx="5">
                  <c:v>1</c:v>
                </c:pt>
                <c:pt idx="6">
                  <c:v>1</c:v>
                </c:pt>
                <c:pt idx="7">
                  <c:v>1</c:v>
                </c:pt>
                <c:pt idx="8">
                  <c:v>1</c:v>
                </c:pt>
              </c:numCache>
            </c:numRef>
          </c:val>
          <c:smooth val="0"/>
          <c:extLst>
            <c:ext xmlns:c16="http://schemas.microsoft.com/office/drawing/2014/chart" uri="{C3380CC4-5D6E-409C-BE32-E72D297353CC}">
              <c16:uniqueId val="{00000005-006F-4833-81CA-3952FB0DB0AB}"/>
            </c:ext>
          </c:extLst>
        </c:ser>
        <c:ser>
          <c:idx val="6"/>
          <c:order val="6"/>
          <c:tx>
            <c:strRef>
              <c:f>'TRANSPARENCA FINANCIARE '!$C$14</c:f>
              <c:strCache>
                <c:ptCount val="1"/>
                <c:pt idx="0">
                  <c:v>Graçanicë</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'!$D$14:$L$14</c:f>
              <c:numCache>
                <c:formatCode>General</c:formatCode>
                <c:ptCount val="9"/>
                <c:pt idx="0">
                  <c:v>1</c:v>
                </c:pt>
                <c:pt idx="1">
                  <c:v>1</c:v>
                </c:pt>
                <c:pt idx="2">
                  <c:v>3</c:v>
                </c:pt>
                <c:pt idx="3">
                  <c:v>1</c:v>
                </c:pt>
                <c:pt idx="4">
                  <c:v>1</c:v>
                </c:pt>
                <c:pt idx="5">
                  <c:v>0</c:v>
                </c:pt>
                <c:pt idx="6">
                  <c:v>1</c:v>
                </c:pt>
                <c:pt idx="7">
                  <c:v>1</c:v>
                </c:pt>
                <c:pt idx="8">
                  <c:v>0</c:v>
                </c:pt>
              </c:numCache>
            </c:numRef>
          </c:val>
          <c:smooth val="0"/>
          <c:extLst>
            <c:ext xmlns:c16="http://schemas.microsoft.com/office/drawing/2014/chart" uri="{C3380CC4-5D6E-409C-BE32-E72D297353CC}">
              <c16:uniqueId val="{00000006-006F-4833-81CA-3952FB0DB0AB}"/>
            </c:ext>
          </c:extLst>
        </c:ser>
        <c:ser>
          <c:idx val="7"/>
          <c:order val="7"/>
          <c:tx>
            <c:strRef>
              <c:f>'TRANSPARENCA FINANCIARE '!$C$15</c:f>
              <c:strCache>
                <c:ptCount val="1"/>
                <c:pt idx="0">
                  <c:v>Hani Elezit </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'!$D$15:$L$15</c:f>
              <c:numCache>
                <c:formatCode>General</c:formatCode>
                <c:ptCount val="9"/>
                <c:pt idx="0">
                  <c:v>1</c:v>
                </c:pt>
                <c:pt idx="1">
                  <c:v>1</c:v>
                </c:pt>
                <c:pt idx="2">
                  <c:v>3</c:v>
                </c:pt>
                <c:pt idx="3">
                  <c:v>1</c:v>
                </c:pt>
                <c:pt idx="4">
                  <c:v>1</c:v>
                </c:pt>
                <c:pt idx="5">
                  <c:v>1</c:v>
                </c:pt>
                <c:pt idx="6">
                  <c:v>1</c:v>
                </c:pt>
                <c:pt idx="7">
                  <c:v>1</c:v>
                </c:pt>
                <c:pt idx="8">
                  <c:v>0</c:v>
                </c:pt>
              </c:numCache>
            </c:numRef>
          </c:val>
          <c:smooth val="0"/>
          <c:extLst>
            <c:ext xmlns:c16="http://schemas.microsoft.com/office/drawing/2014/chart" uri="{C3380CC4-5D6E-409C-BE32-E72D297353CC}">
              <c16:uniqueId val="{00000007-006F-4833-81CA-3952FB0DB0AB}"/>
            </c:ext>
          </c:extLst>
        </c:ser>
        <c:ser>
          <c:idx val="8"/>
          <c:order val="8"/>
          <c:tx>
            <c:strRef>
              <c:f>'TRANSPARENCA FINANCIARE '!$C$16</c:f>
              <c:strCache>
                <c:ptCount val="1"/>
                <c:pt idx="0">
                  <c:v>Istog </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'!$D$16:$L$16</c:f>
              <c:numCache>
                <c:formatCode>General</c:formatCode>
                <c:ptCount val="9"/>
                <c:pt idx="0">
                  <c:v>1</c:v>
                </c:pt>
                <c:pt idx="1">
                  <c:v>1</c:v>
                </c:pt>
                <c:pt idx="2">
                  <c:v>3</c:v>
                </c:pt>
                <c:pt idx="3">
                  <c:v>1</c:v>
                </c:pt>
                <c:pt idx="4">
                  <c:v>0</c:v>
                </c:pt>
                <c:pt idx="5">
                  <c:v>1</c:v>
                </c:pt>
                <c:pt idx="6">
                  <c:v>0</c:v>
                </c:pt>
                <c:pt idx="7">
                  <c:v>3</c:v>
                </c:pt>
                <c:pt idx="8">
                  <c:v>1</c:v>
                </c:pt>
              </c:numCache>
            </c:numRef>
          </c:val>
          <c:smooth val="0"/>
          <c:extLst>
            <c:ext xmlns:c16="http://schemas.microsoft.com/office/drawing/2014/chart" uri="{C3380CC4-5D6E-409C-BE32-E72D297353CC}">
              <c16:uniqueId val="{00000008-006F-4833-81CA-3952FB0DB0AB}"/>
            </c:ext>
          </c:extLst>
        </c:ser>
        <c:ser>
          <c:idx val="9"/>
          <c:order val="9"/>
          <c:tx>
            <c:strRef>
              <c:f>'TRANSPARENCA FINANCIARE '!$C$17</c:f>
              <c:strCache>
                <c:ptCount val="1"/>
                <c:pt idx="0">
                  <c:v>Junik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'!$D$17:$L$17</c:f>
              <c:numCache>
                <c:formatCode>General</c:formatCode>
                <c:ptCount val="9"/>
                <c:pt idx="0">
                  <c:v>1</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9-006F-4833-81CA-3952FB0DB0AB}"/>
            </c:ext>
          </c:extLst>
        </c:ser>
        <c:ser>
          <c:idx val="10"/>
          <c:order val="10"/>
          <c:tx>
            <c:strRef>
              <c:f>'TRANSPARENCA FINANCIARE '!$C$18</c:f>
              <c:strCache>
                <c:ptCount val="1"/>
                <c:pt idx="0">
                  <c:v>Kamenicë</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'!$D$18:$L$18</c:f>
              <c:numCache>
                <c:formatCode>General</c:formatCode>
                <c:ptCount val="9"/>
                <c:pt idx="0">
                  <c:v>1</c:v>
                </c:pt>
                <c:pt idx="1">
                  <c:v>1</c:v>
                </c:pt>
                <c:pt idx="2">
                  <c:v>3</c:v>
                </c:pt>
                <c:pt idx="3">
                  <c:v>1</c:v>
                </c:pt>
                <c:pt idx="4">
                  <c:v>0</c:v>
                </c:pt>
                <c:pt idx="5">
                  <c:v>1</c:v>
                </c:pt>
                <c:pt idx="6">
                  <c:v>0</c:v>
                </c:pt>
                <c:pt idx="7">
                  <c:v>1</c:v>
                </c:pt>
                <c:pt idx="8">
                  <c:v>0</c:v>
                </c:pt>
              </c:numCache>
            </c:numRef>
          </c:val>
          <c:smooth val="0"/>
          <c:extLst>
            <c:ext xmlns:c16="http://schemas.microsoft.com/office/drawing/2014/chart" uri="{C3380CC4-5D6E-409C-BE32-E72D297353CC}">
              <c16:uniqueId val="{0000000A-006F-4833-81CA-3952FB0DB0AB}"/>
            </c:ext>
          </c:extLst>
        </c:ser>
        <c:ser>
          <c:idx val="11"/>
          <c:order val="11"/>
          <c:tx>
            <c:strRef>
              <c:f>'TRANSPARENCA FINANCIARE '!$C$19</c:f>
              <c:strCache>
                <c:ptCount val="1"/>
                <c:pt idx="0">
                  <c:v>Kaçanik </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'!$D$19:$L$19</c:f>
              <c:numCache>
                <c:formatCode>General</c:formatCode>
                <c:ptCount val="9"/>
                <c:pt idx="0">
                  <c:v>1</c:v>
                </c:pt>
                <c:pt idx="1">
                  <c:v>1</c:v>
                </c:pt>
                <c:pt idx="2">
                  <c:v>1</c:v>
                </c:pt>
                <c:pt idx="3">
                  <c:v>1</c:v>
                </c:pt>
                <c:pt idx="4">
                  <c:v>2</c:v>
                </c:pt>
                <c:pt idx="5">
                  <c:v>0</c:v>
                </c:pt>
                <c:pt idx="6">
                  <c:v>1</c:v>
                </c:pt>
                <c:pt idx="7">
                  <c:v>1</c:v>
                </c:pt>
                <c:pt idx="8">
                  <c:v>0</c:v>
                </c:pt>
              </c:numCache>
            </c:numRef>
          </c:val>
          <c:smooth val="0"/>
          <c:extLst>
            <c:ext xmlns:c16="http://schemas.microsoft.com/office/drawing/2014/chart" uri="{C3380CC4-5D6E-409C-BE32-E72D297353CC}">
              <c16:uniqueId val="{0000000B-006F-4833-81CA-3952FB0DB0AB}"/>
            </c:ext>
          </c:extLst>
        </c:ser>
        <c:ser>
          <c:idx val="12"/>
          <c:order val="12"/>
          <c:tx>
            <c:strRef>
              <c:f>'TRANSPARENCA FINANCIARE '!$C$20</c:f>
              <c:strCache>
                <c:ptCount val="1"/>
                <c:pt idx="0">
                  <c:v>Klinë</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'!$D$20:$L$20</c:f>
              <c:numCache>
                <c:formatCode>General</c:formatCode>
                <c:ptCount val="9"/>
                <c:pt idx="0">
                  <c:v>1</c:v>
                </c:pt>
                <c:pt idx="1">
                  <c:v>1</c:v>
                </c:pt>
                <c:pt idx="2">
                  <c:v>2</c:v>
                </c:pt>
                <c:pt idx="3">
                  <c:v>1</c:v>
                </c:pt>
                <c:pt idx="4">
                  <c:v>2</c:v>
                </c:pt>
                <c:pt idx="5">
                  <c:v>1</c:v>
                </c:pt>
                <c:pt idx="6">
                  <c:v>1</c:v>
                </c:pt>
                <c:pt idx="7">
                  <c:v>1</c:v>
                </c:pt>
                <c:pt idx="8">
                  <c:v>0</c:v>
                </c:pt>
              </c:numCache>
            </c:numRef>
          </c:val>
          <c:smooth val="0"/>
          <c:extLst>
            <c:ext xmlns:c16="http://schemas.microsoft.com/office/drawing/2014/chart" uri="{C3380CC4-5D6E-409C-BE32-E72D297353CC}">
              <c16:uniqueId val="{0000000C-006F-4833-81CA-3952FB0DB0AB}"/>
            </c:ext>
          </c:extLst>
        </c:ser>
        <c:ser>
          <c:idx val="13"/>
          <c:order val="13"/>
          <c:tx>
            <c:strRef>
              <c:f>'TRANSPARENCA FINANCIARE '!$C$21</c:f>
              <c:strCache>
                <c:ptCount val="1"/>
                <c:pt idx="0">
                  <c:v>Kllokot </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'!$D$21:$L$21</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0D-006F-4833-81CA-3952FB0DB0AB}"/>
            </c:ext>
          </c:extLst>
        </c:ser>
        <c:ser>
          <c:idx val="14"/>
          <c:order val="14"/>
          <c:tx>
            <c:strRef>
              <c:f>'TRANSPARENCA FINANCIARE '!$C$22</c:f>
              <c:strCache>
                <c:ptCount val="1"/>
                <c:pt idx="0">
                  <c:v>Lipjan </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'!$D$22:$L$22</c:f>
              <c:numCache>
                <c:formatCode>General</c:formatCode>
                <c:ptCount val="9"/>
                <c:pt idx="0">
                  <c:v>1</c:v>
                </c:pt>
                <c:pt idx="1">
                  <c:v>1</c:v>
                </c:pt>
                <c:pt idx="2">
                  <c:v>3</c:v>
                </c:pt>
                <c:pt idx="3">
                  <c:v>1</c:v>
                </c:pt>
                <c:pt idx="4">
                  <c:v>3</c:v>
                </c:pt>
                <c:pt idx="5">
                  <c:v>0</c:v>
                </c:pt>
                <c:pt idx="6">
                  <c:v>1</c:v>
                </c:pt>
                <c:pt idx="7">
                  <c:v>1</c:v>
                </c:pt>
                <c:pt idx="8">
                  <c:v>0</c:v>
                </c:pt>
              </c:numCache>
            </c:numRef>
          </c:val>
          <c:smooth val="0"/>
          <c:extLst>
            <c:ext xmlns:c16="http://schemas.microsoft.com/office/drawing/2014/chart" uri="{C3380CC4-5D6E-409C-BE32-E72D297353CC}">
              <c16:uniqueId val="{0000000E-006F-4833-81CA-3952FB0DB0AB}"/>
            </c:ext>
          </c:extLst>
        </c:ser>
        <c:ser>
          <c:idx val="15"/>
          <c:order val="15"/>
          <c:tx>
            <c:strRef>
              <c:f>'TRANSPARENCA FINANCIARE '!$C$23</c:f>
              <c:strCache>
                <c:ptCount val="1"/>
                <c:pt idx="0">
                  <c:v>Malishevë</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'!$D$23:$L$23</c:f>
              <c:numCache>
                <c:formatCode>General</c:formatCode>
                <c:ptCount val="9"/>
                <c:pt idx="0">
                  <c:v>1</c:v>
                </c:pt>
                <c:pt idx="1">
                  <c:v>1</c:v>
                </c:pt>
                <c:pt idx="2">
                  <c:v>3</c:v>
                </c:pt>
                <c:pt idx="3">
                  <c:v>1</c:v>
                </c:pt>
                <c:pt idx="4">
                  <c:v>0</c:v>
                </c:pt>
                <c:pt idx="5">
                  <c:v>1</c:v>
                </c:pt>
                <c:pt idx="6">
                  <c:v>0</c:v>
                </c:pt>
                <c:pt idx="7">
                  <c:v>1</c:v>
                </c:pt>
                <c:pt idx="8">
                  <c:v>0</c:v>
                </c:pt>
              </c:numCache>
            </c:numRef>
          </c:val>
          <c:smooth val="0"/>
          <c:extLst>
            <c:ext xmlns:c16="http://schemas.microsoft.com/office/drawing/2014/chart" uri="{C3380CC4-5D6E-409C-BE32-E72D297353CC}">
              <c16:uniqueId val="{0000000F-006F-4833-81CA-3952FB0DB0AB}"/>
            </c:ext>
          </c:extLst>
        </c:ser>
        <c:ser>
          <c:idx val="16"/>
          <c:order val="16"/>
          <c:tx>
            <c:strRef>
              <c:f>'TRANSPARENCA FINANCIARE '!$C$24</c:f>
              <c:strCache>
                <c:ptCount val="1"/>
                <c:pt idx="0">
                  <c:v>Mitrovicë</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'!$D$24:$L$24</c:f>
              <c:numCache>
                <c:formatCode>General</c:formatCode>
                <c:ptCount val="9"/>
                <c:pt idx="0">
                  <c:v>1</c:v>
                </c:pt>
                <c:pt idx="1">
                  <c:v>1</c:v>
                </c:pt>
                <c:pt idx="2">
                  <c:v>3</c:v>
                </c:pt>
                <c:pt idx="3">
                  <c:v>1</c:v>
                </c:pt>
                <c:pt idx="4">
                  <c:v>4</c:v>
                </c:pt>
                <c:pt idx="5">
                  <c:v>1</c:v>
                </c:pt>
                <c:pt idx="6">
                  <c:v>0</c:v>
                </c:pt>
                <c:pt idx="7">
                  <c:v>3</c:v>
                </c:pt>
                <c:pt idx="8">
                  <c:v>0</c:v>
                </c:pt>
              </c:numCache>
            </c:numRef>
          </c:val>
          <c:smooth val="0"/>
          <c:extLst>
            <c:ext xmlns:c16="http://schemas.microsoft.com/office/drawing/2014/chart" uri="{C3380CC4-5D6E-409C-BE32-E72D297353CC}">
              <c16:uniqueId val="{00000010-006F-4833-81CA-3952FB0DB0AB}"/>
            </c:ext>
          </c:extLst>
        </c:ser>
        <c:ser>
          <c:idx val="17"/>
          <c:order val="17"/>
          <c:tx>
            <c:strRef>
              <c:f>'TRANSPARENCA FINANCIARE '!$C$25</c:f>
              <c:strCache>
                <c:ptCount val="1"/>
                <c:pt idx="0">
                  <c:v>Novobërdë</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'!$D$25:$L$25</c:f>
              <c:numCache>
                <c:formatCode>General</c:formatCode>
                <c:ptCount val="9"/>
                <c:pt idx="0">
                  <c:v>0</c:v>
                </c:pt>
                <c:pt idx="1">
                  <c:v>1</c:v>
                </c:pt>
                <c:pt idx="2">
                  <c:v>1</c:v>
                </c:pt>
                <c:pt idx="3">
                  <c:v>0</c:v>
                </c:pt>
                <c:pt idx="4">
                  <c:v>2</c:v>
                </c:pt>
                <c:pt idx="5">
                  <c:v>0</c:v>
                </c:pt>
                <c:pt idx="6">
                  <c:v>0</c:v>
                </c:pt>
                <c:pt idx="7">
                  <c:v>0</c:v>
                </c:pt>
                <c:pt idx="8">
                  <c:v>0</c:v>
                </c:pt>
              </c:numCache>
            </c:numRef>
          </c:val>
          <c:smooth val="0"/>
          <c:extLst>
            <c:ext xmlns:c16="http://schemas.microsoft.com/office/drawing/2014/chart" uri="{C3380CC4-5D6E-409C-BE32-E72D297353CC}">
              <c16:uniqueId val="{00000011-006F-4833-81CA-3952FB0DB0AB}"/>
            </c:ext>
          </c:extLst>
        </c:ser>
        <c:ser>
          <c:idx val="18"/>
          <c:order val="18"/>
          <c:tx>
            <c:strRef>
              <c:f>'TRANSPARENCA FINANCIARE '!$C$26</c:f>
              <c:strCache>
                <c:ptCount val="1"/>
                <c:pt idx="0">
                  <c:v>Obiliq</c:v>
                </c:pt>
              </c:strCache>
            </c:strRef>
          </c:tx>
          <c:spPr>
            <a:ln w="28575" cap="rnd">
              <a:solidFill>
                <a:schemeClr val="accent1">
                  <a:lumMod val="80000"/>
                </a:schemeClr>
              </a:solidFill>
              <a:round/>
            </a:ln>
            <a:effectLst/>
          </c:spPr>
          <c:marker>
            <c:symbol val="circle"/>
            <c:size val="5"/>
            <c:spPr>
              <a:solidFill>
                <a:schemeClr val="accent1">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'!$D$26:$L$26</c:f>
              <c:numCache>
                <c:formatCode>General</c:formatCode>
                <c:ptCount val="9"/>
                <c:pt idx="0">
                  <c:v>1</c:v>
                </c:pt>
                <c:pt idx="1">
                  <c:v>1</c:v>
                </c:pt>
                <c:pt idx="2">
                  <c:v>3</c:v>
                </c:pt>
                <c:pt idx="3">
                  <c:v>1</c:v>
                </c:pt>
                <c:pt idx="4">
                  <c:v>2</c:v>
                </c:pt>
                <c:pt idx="5">
                  <c:v>1</c:v>
                </c:pt>
                <c:pt idx="6">
                  <c:v>0</c:v>
                </c:pt>
                <c:pt idx="7">
                  <c:v>3</c:v>
                </c:pt>
                <c:pt idx="8">
                  <c:v>1</c:v>
                </c:pt>
              </c:numCache>
            </c:numRef>
          </c:val>
          <c:smooth val="0"/>
          <c:extLst>
            <c:ext xmlns:c16="http://schemas.microsoft.com/office/drawing/2014/chart" uri="{C3380CC4-5D6E-409C-BE32-E72D297353CC}">
              <c16:uniqueId val="{00000012-006F-4833-81CA-3952FB0DB0AB}"/>
            </c:ext>
          </c:extLst>
        </c:ser>
        <c:ser>
          <c:idx val="19"/>
          <c:order val="19"/>
          <c:tx>
            <c:strRef>
              <c:f>'TRANSPARENCA FINANCIARE '!$C$27</c:f>
              <c:strCache>
                <c:ptCount val="1"/>
                <c:pt idx="0">
                  <c:v>Partesh </c:v>
                </c:pt>
              </c:strCache>
            </c:strRef>
          </c:tx>
          <c:spPr>
            <a:ln w="28575" cap="rnd">
              <a:solidFill>
                <a:schemeClr val="accent2">
                  <a:lumMod val="80000"/>
                </a:schemeClr>
              </a:solidFill>
              <a:round/>
            </a:ln>
            <a:effectLst/>
          </c:spPr>
          <c:marker>
            <c:symbol val="circle"/>
            <c:size val="5"/>
            <c:spPr>
              <a:solidFill>
                <a:schemeClr val="accent2">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'!$D$27:$L$27</c:f>
              <c:numCache>
                <c:formatCode>General</c:formatCode>
                <c:ptCount val="9"/>
                <c:pt idx="0">
                  <c:v>0</c:v>
                </c:pt>
                <c:pt idx="1">
                  <c:v>1</c:v>
                </c:pt>
                <c:pt idx="2">
                  <c:v>1</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3-006F-4833-81CA-3952FB0DB0AB}"/>
            </c:ext>
          </c:extLst>
        </c:ser>
        <c:ser>
          <c:idx val="20"/>
          <c:order val="20"/>
          <c:tx>
            <c:strRef>
              <c:f>'TRANSPARENCA FINANCIARE '!$C$28</c:f>
              <c:strCache>
                <c:ptCount val="1"/>
                <c:pt idx="0">
                  <c:v>Pejë </c:v>
                </c:pt>
              </c:strCache>
            </c:strRef>
          </c:tx>
          <c:spPr>
            <a:ln w="28575" cap="rnd">
              <a:solidFill>
                <a:schemeClr val="accent3">
                  <a:lumMod val="80000"/>
                </a:schemeClr>
              </a:solidFill>
              <a:round/>
            </a:ln>
            <a:effectLst/>
          </c:spPr>
          <c:marker>
            <c:symbol val="circle"/>
            <c:size val="5"/>
            <c:spPr>
              <a:solidFill>
                <a:schemeClr val="accent3">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'!$D$28:$L$28</c:f>
              <c:numCache>
                <c:formatCode>General</c:formatCode>
                <c:ptCount val="9"/>
                <c:pt idx="0">
                  <c:v>1</c:v>
                </c:pt>
                <c:pt idx="1">
                  <c:v>1</c:v>
                </c:pt>
                <c:pt idx="2">
                  <c:v>2</c:v>
                </c:pt>
                <c:pt idx="3">
                  <c:v>0</c:v>
                </c:pt>
                <c:pt idx="4">
                  <c:v>1</c:v>
                </c:pt>
                <c:pt idx="5">
                  <c:v>0</c:v>
                </c:pt>
                <c:pt idx="6">
                  <c:v>0</c:v>
                </c:pt>
                <c:pt idx="7">
                  <c:v>1</c:v>
                </c:pt>
                <c:pt idx="8">
                  <c:v>0</c:v>
                </c:pt>
              </c:numCache>
            </c:numRef>
          </c:val>
          <c:smooth val="0"/>
          <c:extLst>
            <c:ext xmlns:c16="http://schemas.microsoft.com/office/drawing/2014/chart" uri="{C3380CC4-5D6E-409C-BE32-E72D297353CC}">
              <c16:uniqueId val="{00000014-006F-4833-81CA-3952FB0DB0AB}"/>
            </c:ext>
          </c:extLst>
        </c:ser>
        <c:ser>
          <c:idx val="21"/>
          <c:order val="21"/>
          <c:tx>
            <c:strRef>
              <c:f>'TRANSPARENCA FINANCIARE '!$C$29</c:f>
              <c:strCache>
                <c:ptCount val="1"/>
                <c:pt idx="0">
                  <c:v>Podujevë</c:v>
                </c:pt>
              </c:strCache>
            </c:strRef>
          </c:tx>
          <c:spPr>
            <a:ln w="28575" cap="rnd">
              <a:solidFill>
                <a:schemeClr val="accent4">
                  <a:lumMod val="80000"/>
                </a:schemeClr>
              </a:solidFill>
              <a:round/>
            </a:ln>
            <a:effectLst/>
          </c:spPr>
          <c:marker>
            <c:symbol val="circle"/>
            <c:size val="5"/>
            <c:spPr>
              <a:solidFill>
                <a:schemeClr val="accent4">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'!$D$29:$L$29</c:f>
              <c:numCache>
                <c:formatCode>General</c:formatCode>
                <c:ptCount val="9"/>
                <c:pt idx="0">
                  <c:v>1</c:v>
                </c:pt>
                <c:pt idx="1">
                  <c:v>1</c:v>
                </c:pt>
                <c:pt idx="2">
                  <c:v>3</c:v>
                </c:pt>
                <c:pt idx="3">
                  <c:v>1</c:v>
                </c:pt>
                <c:pt idx="4">
                  <c:v>0</c:v>
                </c:pt>
                <c:pt idx="5">
                  <c:v>0</c:v>
                </c:pt>
                <c:pt idx="6">
                  <c:v>1</c:v>
                </c:pt>
                <c:pt idx="7">
                  <c:v>1</c:v>
                </c:pt>
                <c:pt idx="8">
                  <c:v>1</c:v>
                </c:pt>
              </c:numCache>
            </c:numRef>
          </c:val>
          <c:smooth val="0"/>
          <c:extLst>
            <c:ext xmlns:c16="http://schemas.microsoft.com/office/drawing/2014/chart" uri="{C3380CC4-5D6E-409C-BE32-E72D297353CC}">
              <c16:uniqueId val="{00000015-006F-4833-81CA-3952FB0DB0AB}"/>
            </c:ext>
          </c:extLst>
        </c:ser>
        <c:ser>
          <c:idx val="22"/>
          <c:order val="22"/>
          <c:tx>
            <c:strRef>
              <c:f>'TRANSPARENCA FINANCIARE '!$C$30</c:f>
              <c:strCache>
                <c:ptCount val="1"/>
                <c:pt idx="0">
                  <c:v>Prishtinë</c:v>
                </c:pt>
              </c:strCache>
            </c:strRef>
          </c:tx>
          <c:spPr>
            <a:ln w="28575" cap="rnd">
              <a:solidFill>
                <a:schemeClr val="accent5">
                  <a:lumMod val="80000"/>
                </a:schemeClr>
              </a:solidFill>
              <a:round/>
            </a:ln>
            <a:effectLst/>
          </c:spPr>
          <c:marker>
            <c:symbol val="circle"/>
            <c:size val="5"/>
            <c:spPr>
              <a:solidFill>
                <a:schemeClr val="accent5">
                  <a:lumMod val="8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'!$D$30:$L$30</c:f>
              <c:numCache>
                <c:formatCode>General</c:formatCode>
                <c:ptCount val="9"/>
                <c:pt idx="0">
                  <c:v>1</c:v>
                </c:pt>
                <c:pt idx="1">
                  <c:v>1</c:v>
                </c:pt>
                <c:pt idx="2">
                  <c:v>3</c:v>
                </c:pt>
                <c:pt idx="3">
                  <c:v>1</c:v>
                </c:pt>
                <c:pt idx="4">
                  <c:v>0</c:v>
                </c:pt>
                <c:pt idx="5">
                  <c:v>1</c:v>
                </c:pt>
                <c:pt idx="6">
                  <c:v>1</c:v>
                </c:pt>
                <c:pt idx="7">
                  <c:v>0</c:v>
                </c:pt>
                <c:pt idx="8">
                  <c:v>1</c:v>
                </c:pt>
              </c:numCache>
            </c:numRef>
          </c:val>
          <c:smooth val="0"/>
          <c:extLst>
            <c:ext xmlns:c16="http://schemas.microsoft.com/office/drawing/2014/chart" uri="{C3380CC4-5D6E-409C-BE32-E72D297353CC}">
              <c16:uniqueId val="{00000016-006F-4833-81CA-3952FB0DB0AB}"/>
            </c:ext>
          </c:extLst>
        </c:ser>
        <c:ser>
          <c:idx val="24"/>
          <c:order val="23"/>
          <c:tx>
            <c:strRef>
              <c:f>'TRANSPARENCA FINANCIARE '!$C$32</c:f>
              <c:strCache>
                <c:ptCount val="1"/>
                <c:pt idx="0">
                  <c:v>Rahovec</c:v>
                </c:pt>
              </c:strCache>
            </c:strRef>
          </c:tx>
          <c:spPr>
            <a:ln w="28575" cap="rnd">
              <a:solidFill>
                <a:schemeClr val="accent1">
                  <a:lumMod val="60000"/>
                  <a:lumOff val="40000"/>
                </a:schemeClr>
              </a:solidFill>
              <a:round/>
            </a:ln>
            <a:effectLst/>
          </c:spPr>
          <c:marker>
            <c:symbol val="circle"/>
            <c:size val="5"/>
            <c:spPr>
              <a:solidFill>
                <a:schemeClr val="accent1">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'!$D$32:$L$32</c:f>
              <c:numCache>
                <c:formatCode>General</c:formatCode>
                <c:ptCount val="9"/>
                <c:pt idx="0">
                  <c:v>1</c:v>
                </c:pt>
                <c:pt idx="1">
                  <c:v>1</c:v>
                </c:pt>
                <c:pt idx="2">
                  <c:v>1</c:v>
                </c:pt>
                <c:pt idx="3">
                  <c:v>1</c:v>
                </c:pt>
                <c:pt idx="4">
                  <c:v>16</c:v>
                </c:pt>
                <c:pt idx="5">
                  <c:v>1</c:v>
                </c:pt>
                <c:pt idx="6">
                  <c:v>1</c:v>
                </c:pt>
                <c:pt idx="7">
                  <c:v>2</c:v>
                </c:pt>
                <c:pt idx="8">
                  <c:v>1</c:v>
                </c:pt>
              </c:numCache>
            </c:numRef>
          </c:val>
          <c:smooth val="0"/>
          <c:extLst>
            <c:ext xmlns:c16="http://schemas.microsoft.com/office/drawing/2014/chart" uri="{C3380CC4-5D6E-409C-BE32-E72D297353CC}">
              <c16:uniqueId val="{00000017-006F-4833-81CA-3952FB0DB0AB}"/>
            </c:ext>
          </c:extLst>
        </c:ser>
        <c:ser>
          <c:idx val="25"/>
          <c:order val="24"/>
          <c:tx>
            <c:strRef>
              <c:f>'TRANSPARENCA FINANCIARE '!$C$33</c:f>
              <c:strCache>
                <c:ptCount val="1"/>
                <c:pt idx="0">
                  <c:v>Ranillug </c:v>
                </c:pt>
              </c:strCache>
            </c:strRef>
          </c:tx>
          <c:spPr>
            <a:ln w="28575" cap="rnd">
              <a:solidFill>
                <a:schemeClr val="accent2">
                  <a:lumMod val="60000"/>
                  <a:lumOff val="40000"/>
                </a:schemeClr>
              </a:solidFill>
              <a:round/>
            </a:ln>
            <a:effectLst/>
          </c:spPr>
          <c:marker>
            <c:symbol val="circle"/>
            <c:size val="5"/>
            <c:spPr>
              <a:solidFill>
                <a:schemeClr val="accent2">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'!$D$33:$L$33</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8-006F-4833-81CA-3952FB0DB0AB}"/>
            </c:ext>
          </c:extLst>
        </c:ser>
        <c:ser>
          <c:idx val="26"/>
          <c:order val="25"/>
          <c:tx>
            <c:strRef>
              <c:f>'TRANSPARENCA FINANCIARE '!$C$34</c:f>
              <c:strCache>
                <c:ptCount val="1"/>
                <c:pt idx="0">
                  <c:v>Shtime </c:v>
                </c:pt>
              </c:strCache>
            </c:strRef>
          </c:tx>
          <c:spPr>
            <a:ln w="28575" cap="rnd">
              <a:solidFill>
                <a:schemeClr val="accent3">
                  <a:lumMod val="60000"/>
                  <a:lumOff val="40000"/>
                </a:schemeClr>
              </a:solidFill>
              <a:round/>
            </a:ln>
            <a:effectLst/>
          </c:spPr>
          <c:marker>
            <c:symbol val="circle"/>
            <c:size val="5"/>
            <c:spPr>
              <a:solidFill>
                <a:schemeClr val="accent3">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'!$D$34:$L$34</c:f>
              <c:numCache>
                <c:formatCode>General</c:formatCode>
                <c:ptCount val="9"/>
                <c:pt idx="0">
                  <c:v>1</c:v>
                </c:pt>
                <c:pt idx="1">
                  <c:v>1</c:v>
                </c:pt>
                <c:pt idx="2">
                  <c:v>3</c:v>
                </c:pt>
                <c:pt idx="3">
                  <c:v>3</c:v>
                </c:pt>
                <c:pt idx="4">
                  <c:v>18</c:v>
                </c:pt>
                <c:pt idx="5">
                  <c:v>1</c:v>
                </c:pt>
                <c:pt idx="6">
                  <c:v>1</c:v>
                </c:pt>
                <c:pt idx="7">
                  <c:v>1</c:v>
                </c:pt>
                <c:pt idx="8">
                  <c:v>0</c:v>
                </c:pt>
              </c:numCache>
            </c:numRef>
          </c:val>
          <c:smooth val="0"/>
          <c:extLst>
            <c:ext xmlns:c16="http://schemas.microsoft.com/office/drawing/2014/chart" uri="{C3380CC4-5D6E-409C-BE32-E72D297353CC}">
              <c16:uniqueId val="{00000019-006F-4833-81CA-3952FB0DB0AB}"/>
            </c:ext>
          </c:extLst>
        </c:ser>
        <c:ser>
          <c:idx val="27"/>
          <c:order val="26"/>
          <c:tx>
            <c:strRef>
              <c:f>'TRANSPARENCA FINANCIARE '!$C$35</c:f>
              <c:strCache>
                <c:ptCount val="1"/>
                <c:pt idx="0">
                  <c:v>Shtërpcë</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'!$D$35:$L$35</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A-006F-4833-81CA-3952FB0DB0AB}"/>
            </c:ext>
          </c:extLst>
        </c:ser>
        <c:ser>
          <c:idx val="28"/>
          <c:order val="27"/>
          <c:tx>
            <c:strRef>
              <c:f>'TRANSPARENCA FINANCIARE '!$C$36</c:f>
              <c:strCache>
                <c:ptCount val="1"/>
                <c:pt idx="0">
                  <c:v>Skenderaj </c:v>
                </c:pt>
              </c:strCache>
            </c:strRef>
          </c:tx>
          <c:spPr>
            <a:ln w="28575" cap="rnd">
              <a:solidFill>
                <a:schemeClr val="accent5">
                  <a:lumMod val="60000"/>
                  <a:lumOff val="40000"/>
                </a:schemeClr>
              </a:solidFill>
              <a:round/>
            </a:ln>
            <a:effectLst/>
          </c:spPr>
          <c:marker>
            <c:symbol val="circle"/>
            <c:size val="5"/>
            <c:spPr>
              <a:solidFill>
                <a:schemeClr val="accent5">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'!$D$36:$L$36</c:f>
              <c:numCache>
                <c:formatCode>General</c:formatCode>
                <c:ptCount val="9"/>
                <c:pt idx="0">
                  <c:v>1</c:v>
                </c:pt>
                <c:pt idx="1">
                  <c:v>1</c:v>
                </c:pt>
                <c:pt idx="2">
                  <c:v>3</c:v>
                </c:pt>
                <c:pt idx="3">
                  <c:v>1</c:v>
                </c:pt>
                <c:pt idx="4">
                  <c:v>0</c:v>
                </c:pt>
                <c:pt idx="5">
                  <c:v>1</c:v>
                </c:pt>
                <c:pt idx="6">
                  <c:v>1</c:v>
                </c:pt>
                <c:pt idx="7">
                  <c:v>1</c:v>
                </c:pt>
                <c:pt idx="8">
                  <c:v>1</c:v>
                </c:pt>
              </c:numCache>
            </c:numRef>
          </c:val>
          <c:smooth val="0"/>
          <c:extLst>
            <c:ext xmlns:c16="http://schemas.microsoft.com/office/drawing/2014/chart" uri="{C3380CC4-5D6E-409C-BE32-E72D297353CC}">
              <c16:uniqueId val="{0000001B-006F-4833-81CA-3952FB0DB0AB}"/>
            </c:ext>
          </c:extLst>
        </c:ser>
        <c:ser>
          <c:idx val="29"/>
          <c:order val="28"/>
          <c:tx>
            <c:strRef>
              <c:f>'TRANSPARENCA FINANCIARE '!$C$37</c:f>
              <c:strCache>
                <c:ptCount val="1"/>
                <c:pt idx="0">
                  <c:v>Suharekë</c:v>
                </c:pt>
              </c:strCache>
            </c:strRef>
          </c:tx>
          <c:spPr>
            <a:ln w="28575" cap="rnd">
              <a:solidFill>
                <a:schemeClr val="accent6">
                  <a:lumMod val="60000"/>
                  <a:lumOff val="40000"/>
                </a:schemeClr>
              </a:solidFill>
              <a:round/>
            </a:ln>
            <a:effectLst/>
          </c:spPr>
          <c:marker>
            <c:symbol val="circle"/>
            <c:size val="5"/>
            <c:spPr>
              <a:solidFill>
                <a:schemeClr val="accent6">
                  <a:lumMod val="60000"/>
                  <a:lumOff val="4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'!$D$37:$L$37</c:f>
              <c:numCache>
                <c:formatCode>General</c:formatCode>
                <c:ptCount val="9"/>
                <c:pt idx="0">
                  <c:v>1</c:v>
                </c:pt>
                <c:pt idx="1">
                  <c:v>0</c:v>
                </c:pt>
                <c:pt idx="2">
                  <c:v>3</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C-006F-4833-81CA-3952FB0DB0AB}"/>
            </c:ext>
          </c:extLst>
        </c:ser>
        <c:ser>
          <c:idx val="30"/>
          <c:order val="29"/>
          <c:tx>
            <c:strRef>
              <c:f>'TRANSPARENCA FINANCIARE '!$C$38</c:f>
              <c:strCache>
                <c:ptCount val="1"/>
                <c:pt idx="0">
                  <c:v>Viti </c:v>
                </c:pt>
              </c:strCache>
            </c:strRef>
          </c:tx>
          <c:spPr>
            <a:ln w="28575" cap="rnd">
              <a:solidFill>
                <a:schemeClr val="accent1">
                  <a:lumMod val="50000"/>
                </a:schemeClr>
              </a:solidFill>
              <a:round/>
            </a:ln>
            <a:effectLst/>
          </c:spPr>
          <c:marker>
            <c:symbol val="circle"/>
            <c:size val="5"/>
            <c:spPr>
              <a:solidFill>
                <a:schemeClr val="accent1">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'!$D$38:$L$38</c:f>
              <c:numCache>
                <c:formatCode>General</c:formatCode>
                <c:ptCount val="9"/>
                <c:pt idx="0">
                  <c:v>1</c:v>
                </c:pt>
                <c:pt idx="1">
                  <c:v>1</c:v>
                </c:pt>
                <c:pt idx="2">
                  <c:v>2</c:v>
                </c:pt>
                <c:pt idx="3">
                  <c:v>1</c:v>
                </c:pt>
                <c:pt idx="4">
                  <c:v>0</c:v>
                </c:pt>
                <c:pt idx="5">
                  <c:v>0</c:v>
                </c:pt>
                <c:pt idx="6">
                  <c:v>0</c:v>
                </c:pt>
                <c:pt idx="7">
                  <c:v>0</c:v>
                </c:pt>
                <c:pt idx="8">
                  <c:v>0</c:v>
                </c:pt>
              </c:numCache>
            </c:numRef>
          </c:val>
          <c:smooth val="0"/>
          <c:extLst>
            <c:ext xmlns:c16="http://schemas.microsoft.com/office/drawing/2014/chart" uri="{C3380CC4-5D6E-409C-BE32-E72D297353CC}">
              <c16:uniqueId val="{0000001D-006F-4833-81CA-3952FB0DB0AB}"/>
            </c:ext>
          </c:extLst>
        </c:ser>
        <c:ser>
          <c:idx val="31"/>
          <c:order val="30"/>
          <c:tx>
            <c:strRef>
              <c:f>'TRANSPARENCA FINANCIARE '!$C$39</c:f>
              <c:strCache>
                <c:ptCount val="1"/>
                <c:pt idx="0">
                  <c:v>Vushtrri </c:v>
                </c:pt>
              </c:strCache>
            </c:strRef>
          </c:tx>
          <c:spPr>
            <a:ln w="28575" cap="rnd">
              <a:solidFill>
                <a:schemeClr val="accent2">
                  <a:lumMod val="50000"/>
                </a:schemeClr>
              </a:solidFill>
              <a:round/>
            </a:ln>
            <a:effectLst/>
          </c:spPr>
          <c:marker>
            <c:symbol val="circle"/>
            <c:size val="5"/>
            <c:spPr>
              <a:solidFill>
                <a:schemeClr val="accent2">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'!$D$39:$L$39</c:f>
              <c:numCache>
                <c:formatCode>General</c:formatCode>
                <c:ptCount val="9"/>
                <c:pt idx="0">
                  <c:v>1</c:v>
                </c:pt>
                <c:pt idx="1">
                  <c:v>1</c:v>
                </c:pt>
                <c:pt idx="2">
                  <c:v>3</c:v>
                </c:pt>
                <c:pt idx="3">
                  <c:v>1</c:v>
                </c:pt>
                <c:pt idx="4">
                  <c:v>0</c:v>
                </c:pt>
                <c:pt idx="5">
                  <c:v>1</c:v>
                </c:pt>
                <c:pt idx="6">
                  <c:v>1</c:v>
                </c:pt>
                <c:pt idx="7">
                  <c:v>1</c:v>
                </c:pt>
                <c:pt idx="8">
                  <c:v>1</c:v>
                </c:pt>
              </c:numCache>
            </c:numRef>
          </c:val>
          <c:smooth val="0"/>
          <c:extLst>
            <c:ext xmlns:c16="http://schemas.microsoft.com/office/drawing/2014/chart" uri="{C3380CC4-5D6E-409C-BE32-E72D297353CC}">
              <c16:uniqueId val="{0000001E-006F-4833-81CA-3952FB0DB0AB}"/>
            </c:ext>
          </c:extLst>
        </c:ser>
        <c:ser>
          <c:idx val="32"/>
          <c:order val="31"/>
          <c:tx>
            <c:strRef>
              <c:f>'TRANSPARENCA FINANCIARE '!$C$40</c:f>
              <c:strCache>
                <c:ptCount val="1"/>
                <c:pt idx="0">
                  <c:v>Zubin Potoku</c:v>
                </c:pt>
              </c:strCache>
            </c:strRef>
          </c:tx>
          <c:spPr>
            <a:ln w="28575" cap="rnd">
              <a:solidFill>
                <a:schemeClr val="accent3">
                  <a:lumMod val="50000"/>
                </a:schemeClr>
              </a:solidFill>
              <a:round/>
            </a:ln>
            <a:effectLst/>
          </c:spPr>
          <c:marker>
            <c:symbol val="circle"/>
            <c:size val="5"/>
            <c:spPr>
              <a:solidFill>
                <a:schemeClr val="accent3">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'!$D$40:$L$40</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1F-006F-4833-81CA-3952FB0DB0AB}"/>
            </c:ext>
          </c:extLst>
        </c:ser>
        <c:ser>
          <c:idx val="33"/>
          <c:order val="32"/>
          <c:tx>
            <c:strRef>
              <c:f>'TRANSPARENCA FINANCIARE '!$C$41</c:f>
              <c:strCache>
                <c:ptCount val="1"/>
                <c:pt idx="0">
                  <c:v>Zveçan</c:v>
                </c:pt>
              </c:strCache>
            </c:strRef>
          </c:tx>
          <c:spPr>
            <a:ln w="28575" cap="rnd">
              <a:solidFill>
                <a:schemeClr val="accent4">
                  <a:lumMod val="50000"/>
                </a:schemeClr>
              </a:solidFill>
              <a:round/>
            </a:ln>
            <a:effectLst/>
          </c:spPr>
          <c:marker>
            <c:symbol val="circle"/>
            <c:size val="5"/>
            <c:spPr>
              <a:solidFill>
                <a:schemeClr val="accent4">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'!$D$41:$L$41</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0-006F-4833-81CA-3952FB0DB0AB}"/>
            </c:ext>
          </c:extLst>
        </c:ser>
        <c:ser>
          <c:idx val="34"/>
          <c:order val="33"/>
          <c:tx>
            <c:strRef>
              <c:f>'TRANSPARENCA FINANCIARE '!$C$42</c:f>
              <c:strCache>
                <c:ptCount val="1"/>
                <c:pt idx="0">
                  <c:v>Leposaviq</c:v>
                </c:pt>
              </c:strCache>
            </c:strRef>
          </c:tx>
          <c:spPr>
            <a:ln w="28575" cap="rnd">
              <a:solidFill>
                <a:schemeClr val="accent5">
                  <a:lumMod val="50000"/>
                </a:schemeClr>
              </a:solidFill>
              <a:round/>
            </a:ln>
            <a:effectLst/>
          </c:spPr>
          <c:marker>
            <c:symbol val="circle"/>
            <c:size val="5"/>
            <c:spPr>
              <a:solidFill>
                <a:schemeClr val="accent5">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'!$D$42:$L$42</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1-006F-4833-81CA-3952FB0DB0AB}"/>
            </c:ext>
          </c:extLst>
        </c:ser>
        <c:ser>
          <c:idx val="35"/>
          <c:order val="34"/>
          <c:tx>
            <c:strRef>
              <c:f>'TRANSPARENCA FINANCIARE '!$C$43</c:f>
              <c:strCache>
                <c:ptCount val="1"/>
                <c:pt idx="0">
                  <c:v>Mitrovica Veriore</c:v>
                </c:pt>
              </c:strCache>
            </c:strRef>
          </c:tx>
          <c:spPr>
            <a:ln w="28575" cap="rnd">
              <a:solidFill>
                <a:schemeClr val="accent6">
                  <a:lumMod val="50000"/>
                </a:schemeClr>
              </a:solidFill>
              <a:round/>
            </a:ln>
            <a:effectLst/>
          </c:spPr>
          <c:marker>
            <c:symbol val="circle"/>
            <c:size val="5"/>
            <c:spPr>
              <a:solidFill>
                <a:schemeClr val="accent6">
                  <a:lumMod val="5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'!$D$43:$L$43</c:f>
              <c:numCache>
                <c:formatCode>General</c:formatCode>
                <c:ptCount val="9"/>
                <c:pt idx="0">
                  <c:v>0</c:v>
                </c:pt>
                <c:pt idx="1">
                  <c:v>0</c:v>
                </c:pt>
                <c:pt idx="2">
                  <c:v>1</c:v>
                </c:pt>
                <c:pt idx="3">
                  <c:v>1</c:v>
                </c:pt>
                <c:pt idx="4">
                  <c:v>0</c:v>
                </c:pt>
                <c:pt idx="5">
                  <c:v>0</c:v>
                </c:pt>
                <c:pt idx="6">
                  <c:v>0</c:v>
                </c:pt>
                <c:pt idx="7">
                  <c:v>0</c:v>
                </c:pt>
                <c:pt idx="8">
                  <c:v>0</c:v>
                </c:pt>
              </c:numCache>
            </c:numRef>
          </c:val>
          <c:smooth val="0"/>
          <c:extLst>
            <c:ext xmlns:c16="http://schemas.microsoft.com/office/drawing/2014/chart" uri="{C3380CC4-5D6E-409C-BE32-E72D297353CC}">
              <c16:uniqueId val="{00000022-006F-4833-81CA-3952FB0DB0AB}"/>
            </c:ext>
          </c:extLst>
        </c:ser>
        <c:ser>
          <c:idx val="36"/>
          <c:order val="35"/>
          <c:tx>
            <c:strRef>
              <c:f>'TRANSPARENCA FINANCIARE '!$C$44</c:f>
              <c:strCache>
                <c:ptCount val="1"/>
                <c:pt idx="0">
                  <c:v>Mamushë</c:v>
                </c:pt>
              </c:strCache>
            </c:strRef>
          </c:tx>
          <c:spPr>
            <a:ln w="28575" cap="rnd">
              <a:solidFill>
                <a:schemeClr val="accent1">
                  <a:lumMod val="70000"/>
                  <a:lumOff val="30000"/>
                </a:schemeClr>
              </a:solidFill>
              <a:round/>
            </a:ln>
            <a:effectLst/>
          </c:spPr>
          <c:marker>
            <c:symbol val="circle"/>
            <c:size val="5"/>
            <c:spPr>
              <a:solidFill>
                <a:schemeClr val="accent1">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'!$D$44:$L$44</c:f>
              <c:numCache>
                <c:formatCode>General</c:formatCode>
                <c:ptCount val="9"/>
                <c:pt idx="0">
                  <c:v>0</c:v>
                </c:pt>
                <c:pt idx="1">
                  <c:v>0</c:v>
                </c:pt>
                <c:pt idx="2">
                  <c:v>0</c:v>
                </c:pt>
                <c:pt idx="3">
                  <c:v>0</c:v>
                </c:pt>
                <c:pt idx="4">
                  <c:v>0</c:v>
                </c:pt>
                <c:pt idx="5">
                  <c:v>0</c:v>
                </c:pt>
                <c:pt idx="6">
                  <c:v>0</c:v>
                </c:pt>
                <c:pt idx="7">
                  <c:v>0</c:v>
                </c:pt>
                <c:pt idx="8">
                  <c:v>0</c:v>
                </c:pt>
              </c:numCache>
            </c:numRef>
          </c:val>
          <c:smooth val="0"/>
          <c:extLst>
            <c:ext xmlns:c16="http://schemas.microsoft.com/office/drawing/2014/chart" uri="{C3380CC4-5D6E-409C-BE32-E72D297353CC}">
              <c16:uniqueId val="{00000023-006F-4833-81CA-3952FB0DB0AB}"/>
            </c:ext>
          </c:extLst>
        </c:ser>
        <c:ser>
          <c:idx val="37"/>
          <c:order val="36"/>
          <c:tx>
            <c:strRef>
              <c:f>'TRANSPARENCA FINANCIARE '!$C$45</c:f>
              <c:strCache>
                <c:ptCount val="1"/>
                <c:pt idx="0">
                  <c:v>Dragash</c:v>
                </c:pt>
              </c:strCache>
            </c:strRef>
          </c:tx>
          <c:spPr>
            <a:ln w="28575" cap="rnd">
              <a:solidFill>
                <a:schemeClr val="accent2">
                  <a:lumMod val="70000"/>
                  <a:lumOff val="30000"/>
                </a:schemeClr>
              </a:solidFill>
              <a:round/>
            </a:ln>
            <a:effectLst/>
          </c:spPr>
          <c:marker>
            <c:symbol val="circle"/>
            <c:size val="5"/>
            <c:spPr>
              <a:solidFill>
                <a:schemeClr val="accent2">
                  <a:lumMod val="70000"/>
                  <a:lumOff val="30000"/>
                </a:schemeClr>
              </a:solidFill>
              <a:ln w="9525">
                <a:solidFill>
                  <a:schemeClr val="lt1"/>
                </a:solidFill>
              </a:ln>
              <a:effectLst/>
            </c:spPr>
          </c:marker>
          <c:dLbls>
            <c:delete val="1"/>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'!$D$45:$L$45</c:f>
              <c:numCache>
                <c:formatCode>General</c:formatCode>
                <c:ptCount val="9"/>
                <c:pt idx="0">
                  <c:v>1</c:v>
                </c:pt>
                <c:pt idx="1">
                  <c:v>1</c:v>
                </c:pt>
                <c:pt idx="2">
                  <c:v>3</c:v>
                </c:pt>
                <c:pt idx="3">
                  <c:v>1</c:v>
                </c:pt>
                <c:pt idx="4">
                  <c:v>6</c:v>
                </c:pt>
                <c:pt idx="5">
                  <c:v>1</c:v>
                </c:pt>
                <c:pt idx="6">
                  <c:v>1</c:v>
                </c:pt>
                <c:pt idx="7">
                  <c:v>1</c:v>
                </c:pt>
                <c:pt idx="8">
                  <c:v>0</c:v>
                </c:pt>
              </c:numCache>
            </c:numRef>
          </c:val>
          <c:smooth val="0"/>
          <c:extLst>
            <c:ext xmlns:c16="http://schemas.microsoft.com/office/drawing/2014/chart" uri="{C3380CC4-5D6E-409C-BE32-E72D297353CC}">
              <c16:uniqueId val="{00000024-006F-4833-81CA-3952FB0DB0AB}"/>
            </c:ext>
          </c:extLst>
        </c:ser>
        <c:ser>
          <c:idx val="38"/>
          <c:order val="37"/>
          <c:tx>
            <c:strRef>
              <c:f>'TRANSPARENCA FINANCIARE '!$C$46</c:f>
              <c:strCache>
                <c:ptCount val="1"/>
                <c:pt idx="0">
                  <c:v>TOTALI</c:v>
                </c:pt>
              </c:strCache>
            </c:strRef>
          </c:tx>
          <c:spPr>
            <a:ln w="28575" cap="rnd">
              <a:solidFill>
                <a:schemeClr val="accent3">
                  <a:lumMod val="70000"/>
                  <a:lumOff val="30000"/>
                </a:schemeClr>
              </a:solidFill>
              <a:round/>
            </a:ln>
            <a:effectLst/>
          </c:spPr>
          <c:marker>
            <c:symbol val="circle"/>
            <c:size val="5"/>
            <c:spPr>
              <a:solidFill>
                <a:schemeClr val="accent3">
                  <a:lumMod val="70000"/>
                  <a:lumOff val="30000"/>
                </a:schemeClr>
              </a:solidFill>
              <a:ln w="9525">
                <a:solidFill>
                  <a:schemeClr val="l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'TRANSPARENCA FINANCIARE '!$D$6:$L$7</c:f>
              <c:strCache>
                <c:ptCount val="9"/>
                <c:pt idx="0">
                  <c:v>Publikimi i planit të buxhetit për vitin 2024</c:v>
                </c:pt>
                <c:pt idx="1">
                  <c:v>Publikimi i KAB-it</c:v>
                </c:pt>
                <c:pt idx="2">
                  <c:v>Publikimi i raporteve periodike financiare</c:v>
                </c:pt>
                <c:pt idx="3">
                  <c:v>Publikimi i raportit  vjetor financiar </c:v>
                </c:pt>
                <c:pt idx="4">
                  <c:v>Publikimi i njoftimeve për  diskutime buxhetore</c:v>
                </c:pt>
                <c:pt idx="5">
                  <c:v>Publikimi i raportit të auditorit të jashtëm</c:v>
                </c:pt>
                <c:pt idx="6">
                  <c:v>Investimet kapitale</c:v>
                </c:pt>
                <c:pt idx="7">
                  <c:v>Raporti nga  dëgjimet buxhetore </c:v>
                </c:pt>
                <c:pt idx="8">
                  <c:v>Buxhetimin me pjesëmarrje </c:v>
                </c:pt>
              </c:strCache>
            </c:strRef>
          </c:cat>
          <c:val>
            <c:numRef>
              <c:f>'TRANSPARENCA FINANCIARE '!$D$46:$L$46</c:f>
              <c:numCache>
                <c:formatCode>General</c:formatCode>
                <c:ptCount val="9"/>
                <c:pt idx="0">
                  <c:v>27</c:v>
                </c:pt>
                <c:pt idx="1">
                  <c:v>28</c:v>
                </c:pt>
                <c:pt idx="2">
                  <c:v>28</c:v>
                </c:pt>
                <c:pt idx="3">
                  <c:v>25</c:v>
                </c:pt>
                <c:pt idx="4">
                  <c:v>19</c:v>
                </c:pt>
                <c:pt idx="5">
                  <c:v>16</c:v>
                </c:pt>
                <c:pt idx="6">
                  <c:v>15</c:v>
                </c:pt>
                <c:pt idx="7">
                  <c:v>23</c:v>
                </c:pt>
                <c:pt idx="8">
                  <c:v>11</c:v>
                </c:pt>
              </c:numCache>
            </c:numRef>
          </c:val>
          <c:smooth val="0"/>
          <c:extLst>
            <c:ext xmlns:c16="http://schemas.microsoft.com/office/drawing/2014/chart" uri="{C3380CC4-5D6E-409C-BE32-E72D297353CC}">
              <c16:uniqueId val="{00000025-006F-4833-81CA-3952FB0DB0AB}"/>
            </c:ext>
          </c:extLst>
        </c:ser>
        <c:dLbls>
          <c:showLegendKey val="0"/>
          <c:showVal val="1"/>
          <c:showCatName val="0"/>
          <c:showSerName val="0"/>
          <c:showPercent val="0"/>
          <c:showBubbleSize val="0"/>
        </c:dLbls>
        <c:marker val="1"/>
        <c:smooth val="0"/>
        <c:axId val="306339120"/>
        <c:axId val="306341864"/>
      </c:lineChart>
      <c:catAx>
        <c:axId val="30633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baseline="0">
                <a:solidFill>
                  <a:schemeClr val="tx1">
                    <a:lumMod val="65000"/>
                    <a:lumOff val="35000"/>
                  </a:schemeClr>
                </a:solidFill>
                <a:latin typeface="Garamond" panose="02020404030301010803" pitchFamily="18" charset="0"/>
                <a:ea typeface="+mn-ea"/>
                <a:cs typeface="+mn-cs"/>
              </a:defRPr>
            </a:pPr>
            <a:endParaRPr lang="en-US"/>
          </a:p>
        </c:txPr>
        <c:crossAx val="306341864"/>
        <c:crosses val="autoZero"/>
        <c:auto val="1"/>
        <c:lblAlgn val="ctr"/>
        <c:lblOffset val="100"/>
        <c:noMultiLvlLbl val="0"/>
      </c:catAx>
      <c:valAx>
        <c:axId val="306341864"/>
        <c:scaling>
          <c:orientation val="minMax"/>
        </c:scaling>
        <c:delete val="1"/>
        <c:axPos val="l"/>
        <c:numFmt formatCode="General" sourceLinked="1"/>
        <c:majorTickMark val="none"/>
        <c:minorTickMark val="none"/>
        <c:tickLblPos val="nextTo"/>
        <c:crossAx val="30633912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814678501840224E-2"/>
          <c:y val="0.23355768647730915"/>
          <c:w val="0.97185537995237048"/>
          <c:h val="0.35370413681788127"/>
        </c:manualLayout>
      </c:layout>
      <c:barChart>
        <c:barDir val="col"/>
        <c:grouping val="clustered"/>
        <c:varyColors val="0"/>
        <c:ser>
          <c:idx val="0"/>
          <c:order val="0"/>
          <c:tx>
            <c:strRef>
              <c:f>'PROKURIMI '!$M$3:$M$7</c:f>
              <c:strCache>
                <c:ptCount val="5"/>
                <c:pt idx="4">
                  <c:v>Raporti i Prokurimit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'PROKURIMI '!$L$8:$L$45</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'PROKURIMI '!$M$8:$M$45</c:f>
              <c:numCache>
                <c:formatCode>General</c:formatCode>
                <c:ptCount val="38"/>
                <c:pt idx="0">
                  <c:v>0</c:v>
                </c:pt>
                <c:pt idx="1">
                  <c:v>1</c:v>
                </c:pt>
                <c:pt idx="2">
                  <c:v>0</c:v>
                </c:pt>
                <c:pt idx="3">
                  <c:v>0</c:v>
                </c:pt>
                <c:pt idx="4">
                  <c:v>1</c:v>
                </c:pt>
                <c:pt idx="5">
                  <c:v>1</c:v>
                </c:pt>
                <c:pt idx="6">
                  <c:v>1</c:v>
                </c:pt>
                <c:pt idx="7">
                  <c:v>0</c:v>
                </c:pt>
                <c:pt idx="8">
                  <c:v>1</c:v>
                </c:pt>
                <c:pt idx="9">
                  <c:v>0</c:v>
                </c:pt>
                <c:pt idx="10">
                  <c:v>1</c:v>
                </c:pt>
                <c:pt idx="11">
                  <c:v>1</c:v>
                </c:pt>
                <c:pt idx="12">
                  <c:v>0</c:v>
                </c:pt>
                <c:pt idx="13">
                  <c:v>0</c:v>
                </c:pt>
                <c:pt idx="14">
                  <c:v>1</c:v>
                </c:pt>
                <c:pt idx="15">
                  <c:v>1</c:v>
                </c:pt>
                <c:pt idx="16">
                  <c:v>1</c:v>
                </c:pt>
                <c:pt idx="17">
                  <c:v>0</c:v>
                </c:pt>
                <c:pt idx="18">
                  <c:v>1</c:v>
                </c:pt>
                <c:pt idx="19">
                  <c:v>0</c:v>
                </c:pt>
                <c:pt idx="20">
                  <c:v>0</c:v>
                </c:pt>
                <c:pt idx="21">
                  <c:v>1</c:v>
                </c:pt>
                <c:pt idx="22">
                  <c:v>0</c:v>
                </c:pt>
                <c:pt idx="23">
                  <c:v>1</c:v>
                </c:pt>
                <c:pt idx="24">
                  <c:v>1</c:v>
                </c:pt>
                <c:pt idx="25">
                  <c:v>0</c:v>
                </c:pt>
                <c:pt idx="26">
                  <c:v>1</c:v>
                </c:pt>
                <c:pt idx="27">
                  <c:v>0</c:v>
                </c:pt>
                <c:pt idx="28">
                  <c:v>1</c:v>
                </c:pt>
                <c:pt idx="29">
                  <c:v>1</c:v>
                </c:pt>
                <c:pt idx="30">
                  <c:v>1</c:v>
                </c:pt>
                <c:pt idx="31">
                  <c:v>1</c:v>
                </c:pt>
                <c:pt idx="32">
                  <c:v>0</c:v>
                </c:pt>
                <c:pt idx="33">
                  <c:v>0</c:v>
                </c:pt>
                <c:pt idx="34">
                  <c:v>0</c:v>
                </c:pt>
                <c:pt idx="35">
                  <c:v>0</c:v>
                </c:pt>
                <c:pt idx="36">
                  <c:v>0</c:v>
                </c:pt>
                <c:pt idx="37">
                  <c:v>0</c:v>
                </c:pt>
              </c:numCache>
            </c:numRef>
          </c:val>
          <c:extLst>
            <c:ext xmlns:c16="http://schemas.microsoft.com/office/drawing/2014/chart" uri="{C3380CC4-5D6E-409C-BE32-E72D297353CC}">
              <c16:uniqueId val="{00000000-31C0-4A9C-B38C-0F81090F78B4}"/>
            </c:ext>
          </c:extLst>
        </c:ser>
        <c:dLbls>
          <c:showLegendKey val="0"/>
          <c:showVal val="1"/>
          <c:showCatName val="0"/>
          <c:showSerName val="0"/>
          <c:showPercent val="0"/>
          <c:showBubbleSize val="0"/>
        </c:dLbls>
        <c:gapWidth val="95"/>
        <c:axId val="634597136"/>
        <c:axId val="634595176"/>
      </c:barChart>
      <c:catAx>
        <c:axId val="63459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mj-lt"/>
                <a:ea typeface="+mn-ea"/>
                <a:cs typeface="+mn-cs"/>
              </a:defRPr>
            </a:pPr>
            <a:endParaRPr lang="en-US"/>
          </a:p>
        </c:txPr>
        <c:crossAx val="634595176"/>
        <c:crosses val="autoZero"/>
        <c:auto val="1"/>
        <c:lblAlgn val="ctr"/>
        <c:lblOffset val="100"/>
        <c:noMultiLvlLbl val="0"/>
      </c:catAx>
      <c:valAx>
        <c:axId val="634595176"/>
        <c:scaling>
          <c:orientation val="minMax"/>
        </c:scaling>
        <c:delete val="1"/>
        <c:axPos val="l"/>
        <c:numFmt formatCode="General" sourceLinked="1"/>
        <c:majorTickMark val="none"/>
        <c:minorTickMark val="none"/>
        <c:tickLblPos val="nextTo"/>
        <c:crossAx val="634597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I FTESAVE '!$P$7</c:f>
              <c:strCache>
                <c:ptCount val="1"/>
                <c:pt idx="0">
                  <c:v>Njoftimeve për komitetet për komunitete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1"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I FTESAVE '!$O$8:$O$46</c:f>
              <c:strCache>
                <c:ptCount val="38"/>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strCache>
            </c:strRef>
          </c:cat>
          <c:val>
            <c:numRef>
              <c:f>'PUBLIKIMI I FTESAVE '!$P$8:$P$46</c:f>
              <c:numCache>
                <c:formatCode>General</c:formatCode>
                <c:ptCount val="39"/>
                <c:pt idx="0">
                  <c:v>0</c:v>
                </c:pt>
                <c:pt idx="1">
                  <c:v>4</c:v>
                </c:pt>
                <c:pt idx="2">
                  <c:v>0</c:v>
                </c:pt>
                <c:pt idx="3">
                  <c:v>0</c:v>
                </c:pt>
                <c:pt idx="4">
                  <c:v>1</c:v>
                </c:pt>
                <c:pt idx="5">
                  <c:v>0</c:v>
                </c:pt>
                <c:pt idx="6">
                  <c:v>7</c:v>
                </c:pt>
                <c:pt idx="7">
                  <c:v>9</c:v>
                </c:pt>
                <c:pt idx="8">
                  <c:v>0</c:v>
                </c:pt>
                <c:pt idx="9">
                  <c:v>0</c:v>
                </c:pt>
                <c:pt idx="10">
                  <c:v>10</c:v>
                </c:pt>
                <c:pt idx="11">
                  <c:v>9</c:v>
                </c:pt>
                <c:pt idx="12">
                  <c:v>6</c:v>
                </c:pt>
                <c:pt idx="13">
                  <c:v>0</c:v>
                </c:pt>
                <c:pt idx="14">
                  <c:v>6</c:v>
                </c:pt>
                <c:pt idx="15">
                  <c:v>7</c:v>
                </c:pt>
                <c:pt idx="16">
                  <c:v>9</c:v>
                </c:pt>
                <c:pt idx="17">
                  <c:v>1</c:v>
                </c:pt>
                <c:pt idx="18">
                  <c:v>0</c:v>
                </c:pt>
                <c:pt idx="19">
                  <c:v>0</c:v>
                </c:pt>
                <c:pt idx="20">
                  <c:v>3</c:v>
                </c:pt>
                <c:pt idx="21">
                  <c:v>5</c:v>
                </c:pt>
                <c:pt idx="22">
                  <c:v>9</c:v>
                </c:pt>
                <c:pt idx="23">
                  <c:v>5</c:v>
                </c:pt>
                <c:pt idx="24">
                  <c:v>5</c:v>
                </c:pt>
                <c:pt idx="25">
                  <c:v>0</c:v>
                </c:pt>
                <c:pt idx="26">
                  <c:v>9</c:v>
                </c:pt>
                <c:pt idx="27">
                  <c:v>0</c:v>
                </c:pt>
                <c:pt idx="28">
                  <c:v>0</c:v>
                </c:pt>
                <c:pt idx="29">
                  <c:v>0</c:v>
                </c:pt>
                <c:pt idx="30">
                  <c:v>0</c:v>
                </c:pt>
                <c:pt idx="31">
                  <c:v>11</c:v>
                </c:pt>
                <c:pt idx="32">
                  <c:v>0</c:v>
                </c:pt>
                <c:pt idx="33">
                  <c:v>0</c:v>
                </c:pt>
                <c:pt idx="34">
                  <c:v>0</c:v>
                </c:pt>
                <c:pt idx="35">
                  <c:v>0</c:v>
                </c:pt>
                <c:pt idx="36">
                  <c:v>2</c:v>
                </c:pt>
                <c:pt idx="37">
                  <c:v>8</c:v>
                </c:pt>
              </c:numCache>
            </c:numRef>
          </c:val>
          <c:extLst>
            <c:ext xmlns:c16="http://schemas.microsoft.com/office/drawing/2014/chart" uri="{C3380CC4-5D6E-409C-BE32-E72D297353CC}">
              <c16:uniqueId val="{00000000-A5FA-4784-94BD-379D6C3B9BFA}"/>
            </c:ext>
          </c:extLst>
        </c:ser>
        <c:dLbls>
          <c:showLegendKey val="0"/>
          <c:showVal val="1"/>
          <c:showCatName val="0"/>
          <c:showSerName val="0"/>
          <c:showPercent val="0"/>
          <c:showBubbleSize val="0"/>
        </c:dLbls>
        <c:gapWidth val="150"/>
        <c:overlap val="-25"/>
        <c:axId val="275122456"/>
        <c:axId val="275121672"/>
      </c:barChart>
      <c:catAx>
        <c:axId val="275122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crossAx val="275121672"/>
        <c:crosses val="autoZero"/>
        <c:auto val="1"/>
        <c:lblAlgn val="ctr"/>
        <c:lblOffset val="100"/>
        <c:noMultiLvlLbl val="0"/>
      </c:catAx>
      <c:valAx>
        <c:axId val="275121672"/>
        <c:scaling>
          <c:orientation val="minMax"/>
        </c:scaling>
        <c:delete val="1"/>
        <c:axPos val="l"/>
        <c:numFmt formatCode="General" sourceLinked="1"/>
        <c:majorTickMark val="none"/>
        <c:minorTickMark val="none"/>
        <c:tickLblPos val="nextTo"/>
        <c:crossAx val="2751224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1"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i="1">
          <a:latin typeface="+mj-lt"/>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'KONSULLTIMET PUBLIKE '!$R$4</c:f>
              <c:strCache>
                <c:ptCount val="1"/>
                <c:pt idx="0">
                  <c:v>Publikimi i projekt-propozimeve te publikuar për konsultime publike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28"/>
              <c:layout>
                <c:manualLayout>
                  <c:x val="-1.0580890911014707E-2"/>
                  <c:y val="-0.2308499475341028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C89-4652-B9CB-798E6DA81382}"/>
                </c:ext>
              </c:extLst>
            </c:dLbl>
            <c:dLbl>
              <c:idx val="30"/>
              <c:layout>
                <c:manualLayout>
                  <c:x val="2.1161781822029413E-3"/>
                  <c:y val="-0.115424973767051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C89-4652-B9CB-798E6DA81382}"/>
                </c:ext>
              </c:extLst>
            </c:dLbl>
            <c:dLbl>
              <c:idx val="31"/>
              <c:layout>
                <c:manualLayout>
                  <c:x val="6.3485345466088245E-3"/>
                  <c:y val="-0.2046169989506820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C89-4652-B9CB-798E6DA8138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'!$R$5:$R$43</c:f>
              <c:numCache>
                <c:formatCode>General</c:formatCode>
                <c:ptCount val="39"/>
                <c:pt idx="0">
                  <c:v>0</c:v>
                </c:pt>
                <c:pt idx="1">
                  <c:v>0</c:v>
                </c:pt>
                <c:pt idx="2">
                  <c:v>0</c:v>
                </c:pt>
                <c:pt idx="3">
                  <c:v>0</c:v>
                </c:pt>
                <c:pt idx="4">
                  <c:v>2</c:v>
                </c:pt>
                <c:pt idx="5">
                  <c:v>4</c:v>
                </c:pt>
                <c:pt idx="6">
                  <c:v>1</c:v>
                </c:pt>
                <c:pt idx="7">
                  <c:v>3</c:v>
                </c:pt>
                <c:pt idx="8">
                  <c:v>3</c:v>
                </c:pt>
                <c:pt idx="9">
                  <c:v>3</c:v>
                </c:pt>
                <c:pt idx="10">
                  <c:v>11</c:v>
                </c:pt>
                <c:pt idx="11">
                  <c:v>3</c:v>
                </c:pt>
                <c:pt idx="12">
                  <c:v>3</c:v>
                </c:pt>
                <c:pt idx="13">
                  <c:v>0</c:v>
                </c:pt>
                <c:pt idx="14">
                  <c:v>4</c:v>
                </c:pt>
                <c:pt idx="15">
                  <c:v>1</c:v>
                </c:pt>
                <c:pt idx="16">
                  <c:v>3</c:v>
                </c:pt>
                <c:pt idx="17">
                  <c:v>0</c:v>
                </c:pt>
                <c:pt idx="18">
                  <c:v>0</c:v>
                </c:pt>
                <c:pt idx="19">
                  <c:v>0</c:v>
                </c:pt>
                <c:pt idx="20">
                  <c:v>10</c:v>
                </c:pt>
                <c:pt idx="21">
                  <c:v>3</c:v>
                </c:pt>
                <c:pt idx="22">
                  <c:v>0</c:v>
                </c:pt>
                <c:pt idx="23">
                  <c:v>8</c:v>
                </c:pt>
                <c:pt idx="24">
                  <c:v>0</c:v>
                </c:pt>
                <c:pt idx="25">
                  <c:v>0</c:v>
                </c:pt>
                <c:pt idx="26">
                  <c:v>7</c:v>
                </c:pt>
                <c:pt idx="27">
                  <c:v>0</c:v>
                </c:pt>
                <c:pt idx="28">
                  <c:v>0</c:v>
                </c:pt>
                <c:pt idx="29">
                  <c:v>0</c:v>
                </c:pt>
                <c:pt idx="30">
                  <c:v>2</c:v>
                </c:pt>
                <c:pt idx="31">
                  <c:v>3</c:v>
                </c:pt>
                <c:pt idx="32">
                  <c:v>0</c:v>
                </c:pt>
                <c:pt idx="33">
                  <c:v>0</c:v>
                </c:pt>
                <c:pt idx="34">
                  <c:v>0</c:v>
                </c:pt>
                <c:pt idx="35">
                  <c:v>0</c:v>
                </c:pt>
                <c:pt idx="36">
                  <c:v>0</c:v>
                </c:pt>
                <c:pt idx="37">
                  <c:v>0</c:v>
                </c:pt>
                <c:pt idx="38">
                  <c:v>19</c:v>
                </c:pt>
              </c:numCache>
            </c:numRef>
          </c:val>
          <c:extLst>
            <c:ext xmlns:c16="http://schemas.microsoft.com/office/drawing/2014/chart" uri="{C3380CC4-5D6E-409C-BE32-E72D297353CC}">
              <c16:uniqueId val="{00000000-3C89-4652-B9CB-798E6DA81382}"/>
            </c:ext>
          </c:extLst>
        </c:ser>
        <c:ser>
          <c:idx val="1"/>
          <c:order val="1"/>
          <c:tx>
            <c:strRef>
              <c:f>'KONSULLTIMET PUBLIKE '!$S$4</c:f>
              <c:strCache>
                <c:ptCount val="1"/>
                <c:pt idx="0">
                  <c:v>Memorandumet shpjeguese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8.4647127288117567E-3"/>
                  <c:y val="-0.2203567681007345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3C89-4652-B9CB-798E6DA81382}"/>
                </c:ext>
              </c:extLst>
            </c:dLbl>
            <c:dLbl>
              <c:idx val="1"/>
              <c:layout>
                <c:manualLayout>
                  <c:x val="1.481324727542058E-2"/>
                  <c:y val="-0.262329485834207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3C89-4652-B9CB-798E6DA81382}"/>
                </c:ext>
              </c:extLst>
            </c:dLbl>
            <c:dLbl>
              <c:idx val="2"/>
              <c:layout>
                <c:manualLayout>
                  <c:x val="1.269706909321763E-2"/>
                  <c:y val="-0.19412381951731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3C89-4652-B9CB-798E6DA81382}"/>
                </c:ext>
              </c:extLst>
            </c:dLbl>
            <c:dLbl>
              <c:idx val="3"/>
              <c:layout>
                <c:manualLayout>
                  <c:x val="1.0580890911014688E-2"/>
                  <c:y val="-0.15215110178384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3C89-4652-B9CB-798E6DA81382}"/>
                </c:ext>
              </c:extLst>
            </c:dLbl>
            <c:dLbl>
              <c:idx val="4"/>
              <c:layout>
                <c:manualLayout>
                  <c:x val="1.6929425457623531E-2"/>
                  <c:y val="-0.225603357817418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89-4652-B9CB-798E6DA81382}"/>
                </c:ext>
              </c:extLst>
            </c:dLbl>
            <c:dLbl>
              <c:idx val="7"/>
              <c:layout>
                <c:manualLayout>
                  <c:x val="0"/>
                  <c:y val="-0.2990556138509968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89-4652-B9CB-798E6DA81382}"/>
                </c:ext>
              </c:extLst>
            </c:dLbl>
            <c:dLbl>
              <c:idx val="8"/>
              <c:layout>
                <c:manualLayout>
                  <c:x val="4.2323563644058827E-3"/>
                  <c:y val="-0.21511017838405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C89-4652-B9CB-798E6DA81382}"/>
                </c:ext>
              </c:extLst>
            </c:dLbl>
            <c:dLbl>
              <c:idx val="9"/>
              <c:layout>
                <c:manualLayout>
                  <c:x val="2.1161781822029413E-3"/>
                  <c:y val="-0.188877229800629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89-4652-B9CB-798E6DA81382}"/>
                </c:ext>
              </c:extLst>
            </c:dLbl>
            <c:dLbl>
              <c:idx val="11"/>
              <c:layout>
                <c:manualLayout>
                  <c:x val="2.1161781822028637E-3"/>
                  <c:y val="-0.152151101783840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89-4652-B9CB-798E6DA81382}"/>
                </c:ext>
              </c:extLst>
            </c:dLbl>
            <c:dLbl>
              <c:idx val="12"/>
              <c:layout>
                <c:manualLayout>
                  <c:x val="0"/>
                  <c:y val="-0.14690451206715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89-4652-B9CB-798E6DA81382}"/>
                </c:ext>
              </c:extLst>
            </c:dLbl>
            <c:dLbl>
              <c:idx val="13"/>
              <c:layout>
                <c:manualLayout>
                  <c:x val="0"/>
                  <c:y val="-8.9192025183630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89-4652-B9CB-798E6DA81382}"/>
                </c:ext>
              </c:extLst>
            </c:dLbl>
            <c:dLbl>
              <c:idx val="14"/>
              <c:layout>
                <c:manualLayout>
                  <c:x val="1.0580890911014707E-2"/>
                  <c:y val="-0.225603357817418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89-4652-B9CB-798E6DA81382}"/>
                </c:ext>
              </c:extLst>
            </c:dLbl>
            <c:dLbl>
              <c:idx val="15"/>
              <c:layout>
                <c:manualLayout>
                  <c:x val="-2.1161781822029413E-3"/>
                  <c:y val="-0.2151101783840503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C89-4652-B9CB-798E6DA81382}"/>
                </c:ext>
              </c:extLst>
            </c:dLbl>
            <c:dLbl>
              <c:idx val="16"/>
              <c:layout>
                <c:manualLayout>
                  <c:x val="-4.2323563644058827E-3"/>
                  <c:y val="-0.2675760755508919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89-4652-B9CB-798E6DA81382}"/>
                </c:ext>
              </c:extLst>
            </c:dLbl>
            <c:dLbl>
              <c:idx val="17"/>
              <c:layout>
                <c:manualLayout>
                  <c:x val="-2.1161781822029413E-3"/>
                  <c:y val="-0.2046169989506821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89-4652-B9CB-798E6DA81382}"/>
                </c:ext>
              </c:extLst>
            </c:dLbl>
            <c:dLbl>
              <c:idx val="18"/>
              <c:layout>
                <c:manualLayout>
                  <c:x val="-4.2323563644059608E-3"/>
                  <c:y val="-0.178384050367261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89-4652-B9CB-798E6DA81382}"/>
                </c:ext>
              </c:extLst>
            </c:dLbl>
            <c:dLbl>
              <c:idx val="19"/>
              <c:layout>
                <c:manualLayout>
                  <c:x val="-7.7592303661194747E-17"/>
                  <c:y val="-0.2518363064008394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89-4652-B9CB-798E6DA81382}"/>
                </c:ext>
              </c:extLst>
            </c:dLbl>
            <c:dLbl>
              <c:idx val="21"/>
              <c:layout>
                <c:manualLayout>
                  <c:x val="0"/>
                  <c:y val="-0.19937040923399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89-4652-B9CB-798E6DA81382}"/>
                </c:ext>
              </c:extLst>
            </c:dLbl>
            <c:dLbl>
              <c:idx val="22"/>
              <c:layout>
                <c:manualLayout>
                  <c:x val="-2.1161781822029413E-3"/>
                  <c:y val="-0.1469045120671564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C89-4652-B9CB-798E6DA81382}"/>
                </c:ext>
              </c:extLst>
            </c:dLbl>
            <c:dLbl>
              <c:idx val="24"/>
              <c:layout>
                <c:manualLayout>
                  <c:x val="-2.1161781822029413E-3"/>
                  <c:y val="-0.1783840503672613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C89-4652-B9CB-798E6DA81382}"/>
                </c:ext>
              </c:extLst>
            </c:dLbl>
            <c:dLbl>
              <c:idx val="25"/>
              <c:layout>
                <c:manualLayout>
                  <c:x val="0"/>
                  <c:y val="-0.1941238195173138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C89-4652-B9CB-798E6DA81382}"/>
                </c:ext>
              </c:extLst>
            </c:dLbl>
            <c:dLbl>
              <c:idx val="27"/>
              <c:layout>
                <c:manualLayout>
                  <c:x val="-4.2323563644059608E-3"/>
                  <c:y val="-0.2833158447009444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C89-4652-B9CB-798E6DA81382}"/>
                </c:ext>
              </c:extLst>
            </c:dLbl>
            <c:dLbl>
              <c:idx val="29"/>
              <c:layout>
                <c:manualLayout>
                  <c:x val="-1.5518460732238949E-16"/>
                  <c:y val="-0.215110178384050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C89-4652-B9CB-798E6DA81382}"/>
                </c:ext>
              </c:extLst>
            </c:dLbl>
            <c:dLbl>
              <c:idx val="32"/>
              <c:layout>
                <c:manualLayout>
                  <c:x val="2.1161781822027861E-3"/>
                  <c:y val="-0.1311647429171039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C89-4652-B9CB-798E6DA81382}"/>
                </c:ext>
              </c:extLst>
            </c:dLbl>
            <c:dLbl>
              <c:idx val="33"/>
              <c:layout>
                <c:manualLayout>
                  <c:x val="2.1161781822029413E-3"/>
                  <c:y val="-0.215110178384050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C89-4652-B9CB-798E6DA81382}"/>
                </c:ext>
              </c:extLst>
            </c:dLbl>
            <c:dLbl>
              <c:idx val="34"/>
              <c:layout>
                <c:manualLayout>
                  <c:x val="-6.3485345466089797E-3"/>
                  <c:y val="-0.173137460650577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3C89-4652-B9CB-798E6DA81382}"/>
                </c:ext>
              </c:extLst>
            </c:dLbl>
            <c:dLbl>
              <c:idx val="35"/>
              <c:layout>
                <c:manualLayout>
                  <c:x val="-8.4647127288119215E-3"/>
                  <c:y val="-0.209863588667366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3C89-4652-B9CB-798E6DA81382}"/>
                </c:ext>
              </c:extLst>
            </c:dLbl>
            <c:dLbl>
              <c:idx val="36"/>
              <c:layout>
                <c:manualLayout>
                  <c:x val="-1.0580890911014863E-2"/>
                  <c:y val="-0.24134312696747121"/>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3C89-4652-B9CB-798E6DA81382}"/>
                </c:ext>
              </c:extLst>
            </c:dLbl>
            <c:dLbl>
              <c:idx val="37"/>
              <c:layout>
                <c:manualLayout>
                  <c:x val="-6.3485345466088245E-3"/>
                  <c:y val="-0.225603357817418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3C89-4652-B9CB-798E6DA8138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'KONSULLTIMET PUBLIKE '!$Q$5:$Q$43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'!$S$5:$S$43</c:f>
              <c:numCache>
                <c:formatCode>General</c:formatCode>
                <c:ptCount val="39"/>
                <c:pt idx="0">
                  <c:v>0</c:v>
                </c:pt>
                <c:pt idx="1">
                  <c:v>0</c:v>
                </c:pt>
                <c:pt idx="2">
                  <c:v>0</c:v>
                </c:pt>
                <c:pt idx="3">
                  <c:v>0</c:v>
                </c:pt>
                <c:pt idx="4">
                  <c:v>0</c:v>
                </c:pt>
                <c:pt idx="5">
                  <c:v>0</c:v>
                </c:pt>
                <c:pt idx="6">
                  <c:v>0</c:v>
                </c:pt>
                <c:pt idx="7">
                  <c:v>0</c:v>
                </c:pt>
                <c:pt idx="8">
                  <c:v>0</c:v>
                </c:pt>
                <c:pt idx="9">
                  <c:v>0</c:v>
                </c:pt>
                <c:pt idx="10">
                  <c:v>11</c:v>
                </c:pt>
                <c:pt idx="11">
                  <c:v>0</c:v>
                </c:pt>
                <c:pt idx="12">
                  <c:v>0</c:v>
                </c:pt>
                <c:pt idx="13">
                  <c:v>0</c:v>
                </c:pt>
                <c:pt idx="14">
                  <c:v>0</c:v>
                </c:pt>
                <c:pt idx="15">
                  <c:v>0</c:v>
                </c:pt>
                <c:pt idx="16">
                  <c:v>0</c:v>
                </c:pt>
                <c:pt idx="17">
                  <c:v>0</c:v>
                </c:pt>
                <c:pt idx="18">
                  <c:v>0</c:v>
                </c:pt>
                <c:pt idx="19">
                  <c:v>0</c:v>
                </c:pt>
                <c:pt idx="20">
                  <c:v>0</c:v>
                </c:pt>
                <c:pt idx="21">
                  <c:v>0</c:v>
                </c:pt>
                <c:pt idx="22">
                  <c:v>0</c:v>
                </c:pt>
                <c:pt idx="23">
                  <c:v>8</c:v>
                </c:pt>
                <c:pt idx="24">
                  <c:v>0</c:v>
                </c:pt>
                <c:pt idx="25">
                  <c:v>0</c:v>
                </c:pt>
                <c:pt idx="26">
                  <c:v>0</c:v>
                </c:pt>
                <c:pt idx="27">
                  <c:v>0</c:v>
                </c:pt>
                <c:pt idx="29">
                  <c:v>0</c:v>
                </c:pt>
                <c:pt idx="32">
                  <c:v>0</c:v>
                </c:pt>
                <c:pt idx="33">
                  <c:v>0</c:v>
                </c:pt>
                <c:pt idx="34">
                  <c:v>0</c:v>
                </c:pt>
                <c:pt idx="35">
                  <c:v>0</c:v>
                </c:pt>
                <c:pt idx="36">
                  <c:v>0</c:v>
                </c:pt>
                <c:pt idx="37">
                  <c:v>0</c:v>
                </c:pt>
                <c:pt idx="38">
                  <c:v>2</c:v>
                </c:pt>
              </c:numCache>
            </c:numRef>
          </c:val>
          <c:extLst>
            <c:ext xmlns:c16="http://schemas.microsoft.com/office/drawing/2014/chart" uri="{C3380CC4-5D6E-409C-BE32-E72D297353CC}">
              <c16:uniqueId val="{00000001-3C89-4652-B9CB-798E6DA81382}"/>
            </c:ext>
          </c:extLst>
        </c:ser>
        <c:dLbls>
          <c:dLblPos val="ctr"/>
          <c:showLegendKey val="0"/>
          <c:showVal val="1"/>
          <c:showCatName val="0"/>
          <c:showSerName val="0"/>
          <c:showPercent val="0"/>
          <c:showBubbleSize val="0"/>
        </c:dLbls>
        <c:gapWidth val="150"/>
        <c:overlap val="100"/>
        <c:axId val="634595960"/>
        <c:axId val="634603016"/>
      </c:barChart>
      <c:catAx>
        <c:axId val="634595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2"/>
                </a:solidFill>
                <a:latin typeface="+mj-lt"/>
                <a:ea typeface="+mn-ea"/>
                <a:cs typeface="+mn-cs"/>
              </a:defRPr>
            </a:pPr>
            <a:endParaRPr lang="en-US"/>
          </a:p>
        </c:txPr>
        <c:crossAx val="634603016"/>
        <c:crosses val="autoZero"/>
        <c:auto val="1"/>
        <c:lblAlgn val="ctr"/>
        <c:lblOffset val="100"/>
        <c:noMultiLvlLbl val="0"/>
      </c:catAx>
      <c:valAx>
        <c:axId val="634603016"/>
        <c:scaling>
          <c:orientation val="minMax"/>
        </c:scaling>
        <c:delete val="1"/>
        <c:axPos val="l"/>
        <c:numFmt formatCode="General" sourceLinked="1"/>
        <c:majorTickMark val="none"/>
        <c:minorTickMark val="none"/>
        <c:tickLblPos val="nextTo"/>
        <c:crossAx val="634595960"/>
        <c:crosses val="autoZero"/>
        <c:crossBetween val="between"/>
      </c:valAx>
      <c:spPr>
        <a:blipFill>
          <a:blip xmlns:r="http://schemas.openxmlformats.org/officeDocument/2006/relationships" r:embed="rId3"/>
          <a:tile tx="0" ty="0" sx="100000" sy="100000" flip="none" algn="tl"/>
        </a:blipFill>
        <a:ln>
          <a:noFill/>
        </a:ln>
        <a:effectLst/>
      </c:spPr>
    </c:plotArea>
    <c:legend>
      <c:legendPos val="b"/>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'KONSULLTIMET PUBLIKE '!$W$4</c:f>
              <c:strCache>
                <c:ptCount val="1"/>
                <c:pt idx="0">
                  <c:v>Raporti  për  konsultime publik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'!$W$5:$W$43</c:f>
              <c:numCache>
                <c:formatCode>General</c:formatCode>
                <c:ptCount val="39"/>
                <c:pt idx="0">
                  <c:v>0</c:v>
                </c:pt>
                <c:pt idx="1">
                  <c:v>4</c:v>
                </c:pt>
                <c:pt idx="2">
                  <c:v>0</c:v>
                </c:pt>
                <c:pt idx="3">
                  <c:v>2</c:v>
                </c:pt>
                <c:pt idx="4">
                  <c:v>3</c:v>
                </c:pt>
                <c:pt idx="5">
                  <c:v>5</c:v>
                </c:pt>
                <c:pt idx="6">
                  <c:v>0</c:v>
                </c:pt>
                <c:pt idx="7">
                  <c:v>1</c:v>
                </c:pt>
                <c:pt idx="8">
                  <c:v>0</c:v>
                </c:pt>
                <c:pt idx="9">
                  <c:v>1</c:v>
                </c:pt>
                <c:pt idx="10">
                  <c:v>13</c:v>
                </c:pt>
                <c:pt idx="11">
                  <c:v>3</c:v>
                </c:pt>
                <c:pt idx="12">
                  <c:v>3</c:v>
                </c:pt>
                <c:pt idx="13">
                  <c:v>0</c:v>
                </c:pt>
                <c:pt idx="14">
                  <c:v>4</c:v>
                </c:pt>
                <c:pt idx="15">
                  <c:v>1</c:v>
                </c:pt>
                <c:pt idx="16">
                  <c:v>3</c:v>
                </c:pt>
                <c:pt idx="17">
                  <c:v>0</c:v>
                </c:pt>
                <c:pt idx="18">
                  <c:v>1</c:v>
                </c:pt>
                <c:pt idx="19">
                  <c:v>0</c:v>
                </c:pt>
                <c:pt idx="20">
                  <c:v>1</c:v>
                </c:pt>
                <c:pt idx="21">
                  <c:v>0</c:v>
                </c:pt>
                <c:pt idx="22">
                  <c:v>0</c:v>
                </c:pt>
                <c:pt idx="23">
                  <c:v>7</c:v>
                </c:pt>
                <c:pt idx="24">
                  <c:v>1</c:v>
                </c:pt>
                <c:pt idx="25">
                  <c:v>0</c:v>
                </c:pt>
                <c:pt idx="26">
                  <c:v>9</c:v>
                </c:pt>
                <c:pt idx="27">
                  <c:v>0</c:v>
                </c:pt>
                <c:pt idx="28">
                  <c:v>2</c:v>
                </c:pt>
                <c:pt idx="29">
                  <c:v>0</c:v>
                </c:pt>
                <c:pt idx="30">
                  <c:v>0</c:v>
                </c:pt>
                <c:pt idx="31">
                  <c:v>3</c:v>
                </c:pt>
                <c:pt idx="32">
                  <c:v>0</c:v>
                </c:pt>
                <c:pt idx="33">
                  <c:v>0</c:v>
                </c:pt>
                <c:pt idx="34">
                  <c:v>0</c:v>
                </c:pt>
                <c:pt idx="35">
                  <c:v>0</c:v>
                </c:pt>
                <c:pt idx="36">
                  <c:v>0</c:v>
                </c:pt>
                <c:pt idx="37">
                  <c:v>0</c:v>
                </c:pt>
                <c:pt idx="38">
                  <c:v>18</c:v>
                </c:pt>
              </c:numCache>
            </c:numRef>
          </c:val>
          <c:extLst>
            <c:ext xmlns:c16="http://schemas.microsoft.com/office/drawing/2014/chart" uri="{C3380CC4-5D6E-409C-BE32-E72D297353CC}">
              <c16:uniqueId val="{00000000-E277-4C16-AAF0-A2A0C4FCB72D}"/>
            </c:ext>
          </c:extLst>
        </c:ser>
        <c:ser>
          <c:idx val="1"/>
          <c:order val="1"/>
          <c:tx>
            <c:strRef>
              <c:f>'KONSULLTIMET PUBLIKE '!$X$4</c:f>
              <c:strCache>
                <c:ptCount val="1"/>
                <c:pt idx="0">
                  <c:v>Raporti vjetor I konsultimeve publike </c:v>
                </c:pt>
              </c:strCache>
            </c:strRef>
          </c:tx>
          <c:spPr>
            <a:solidFill>
              <a:schemeClr val="accent2"/>
            </a:solidFill>
            <a:ln>
              <a:noFill/>
            </a:ln>
            <a:effectLst/>
          </c:spPr>
          <c:invertIfNegative val="0"/>
          <c:dLbls>
            <c:dLbl>
              <c:idx val="0"/>
              <c:layout>
                <c:manualLayout>
                  <c:x val="0"/>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277-4C16-AAF0-A2A0C4FCB72D}"/>
                </c:ext>
              </c:extLst>
            </c:dLbl>
            <c:dLbl>
              <c:idx val="1"/>
              <c:layout>
                <c:manualLayout>
                  <c:x val="6.6474628849988917E-3"/>
                  <c:y val="-0.180327868852459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277-4C16-AAF0-A2A0C4FCB72D}"/>
                </c:ext>
              </c:extLst>
            </c:dLbl>
            <c:dLbl>
              <c:idx val="2"/>
              <c:layout>
                <c:manualLayout>
                  <c:x val="2.2158209616662972E-3"/>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77-4C16-AAF0-A2A0C4FCB72D}"/>
                </c:ext>
              </c:extLst>
            </c:dLbl>
            <c:dLbl>
              <c:idx val="3"/>
              <c:layout>
                <c:manualLayout>
                  <c:x val="2.2158209616662972E-3"/>
                  <c:y val="-0.267759562841530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277-4C16-AAF0-A2A0C4FCB72D}"/>
                </c:ext>
              </c:extLst>
            </c:dLbl>
            <c:dLbl>
              <c:idx val="4"/>
              <c:layout>
                <c:manualLayout>
                  <c:x val="-2.0311457508917339E-17"/>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277-4C16-AAF0-A2A0C4FCB72D}"/>
                </c:ext>
              </c:extLst>
            </c:dLbl>
            <c:dLbl>
              <c:idx val="5"/>
              <c:layout>
                <c:manualLayout>
                  <c:x val="-2.2158209616662972E-3"/>
                  <c:y val="-0.13661202185792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277-4C16-AAF0-A2A0C4FCB72D}"/>
                </c:ext>
              </c:extLst>
            </c:dLbl>
            <c:dLbl>
              <c:idx val="6"/>
              <c:layout>
                <c:manualLayout>
                  <c:x val="2.2158209616662972E-3"/>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77-4C16-AAF0-A2A0C4FCB72D}"/>
                </c:ext>
              </c:extLst>
            </c:dLbl>
            <c:dLbl>
              <c:idx val="7"/>
              <c:layout>
                <c:manualLayout>
                  <c:x val="4.4316419233325537E-3"/>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277-4C16-AAF0-A2A0C4FCB72D}"/>
                </c:ext>
              </c:extLst>
            </c:dLbl>
            <c:dLbl>
              <c:idx val="8"/>
              <c:layout>
                <c:manualLayout>
                  <c:x val="6.6474628849988917E-3"/>
                  <c:y val="-0.16939890710382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277-4C16-AAF0-A2A0C4FCB72D}"/>
                </c:ext>
              </c:extLst>
            </c:dLbl>
            <c:dLbl>
              <c:idx val="9"/>
              <c:layout>
                <c:manualLayout>
                  <c:x val="2.2158209616662972E-3"/>
                  <c:y val="-0.10382513661202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277-4C16-AAF0-A2A0C4FCB72D}"/>
                </c:ext>
              </c:extLst>
            </c:dLbl>
            <c:dLbl>
              <c:idx val="11"/>
              <c:layout>
                <c:manualLayout>
                  <c:x val="-4.0622915017834678E-17"/>
                  <c:y val="-0.12568306010928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277-4C16-AAF0-A2A0C4FCB72D}"/>
                </c:ext>
              </c:extLst>
            </c:dLbl>
            <c:dLbl>
              <c:idx val="12"/>
              <c:layout>
                <c:manualLayout>
                  <c:x val="0"/>
                  <c:y val="-0.13661202185792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277-4C16-AAF0-A2A0C4FCB72D}"/>
                </c:ext>
              </c:extLst>
            </c:dLbl>
            <c:dLbl>
              <c:idx val="13"/>
              <c:layout>
                <c:manualLayout>
                  <c:x val="0"/>
                  <c:y val="-0.15300546448087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277-4C16-AAF0-A2A0C4FCB72D}"/>
                </c:ext>
              </c:extLst>
            </c:dLbl>
            <c:dLbl>
              <c:idx val="14"/>
              <c:layout>
                <c:manualLayout>
                  <c:x val="0"/>
                  <c:y val="-0.14754098360655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277-4C16-AAF0-A2A0C4FCB72D}"/>
                </c:ext>
              </c:extLst>
            </c:dLbl>
            <c:dLbl>
              <c:idx val="15"/>
              <c:layout>
                <c:manualLayout>
                  <c:x val="4.4316419233325138E-3"/>
                  <c:y val="-0.185792349726775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277-4C16-AAF0-A2A0C4FCB72D}"/>
                </c:ext>
              </c:extLst>
            </c:dLbl>
            <c:dLbl>
              <c:idx val="16"/>
              <c:layout>
                <c:manualLayout>
                  <c:x val="6.6474628849988917E-3"/>
                  <c:y val="-0.169398907103825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277-4C16-AAF0-A2A0C4FCB72D}"/>
                </c:ext>
              </c:extLst>
            </c:dLbl>
            <c:dLbl>
              <c:idx val="17"/>
              <c:layout>
                <c:manualLayout>
                  <c:x val="8.8632838466651889E-3"/>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277-4C16-AAF0-A2A0C4FCB72D}"/>
                </c:ext>
              </c:extLst>
            </c:dLbl>
            <c:dLbl>
              <c:idx val="18"/>
              <c:layout>
                <c:manualLayout>
                  <c:x val="6.647462884998811E-3"/>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277-4C16-AAF0-A2A0C4FCB72D}"/>
                </c:ext>
              </c:extLst>
            </c:dLbl>
            <c:dLbl>
              <c:idx val="19"/>
              <c:layout>
                <c:manualLayout>
                  <c:x val="6.647462884998811E-3"/>
                  <c:y val="-0.2131147540983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277-4C16-AAF0-A2A0C4FCB72D}"/>
                </c:ext>
              </c:extLst>
            </c:dLbl>
            <c:dLbl>
              <c:idx val="20"/>
              <c:layout>
                <c:manualLayout>
                  <c:x val="0"/>
                  <c:y val="-0.15300546448087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277-4C16-AAF0-A2A0C4FCB72D}"/>
                </c:ext>
              </c:extLst>
            </c:dLbl>
            <c:dLbl>
              <c:idx val="21"/>
              <c:layout>
                <c:manualLayout>
                  <c:x val="0"/>
                  <c:y val="-0.1311475409836065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277-4C16-AAF0-A2A0C4FCB72D}"/>
                </c:ext>
              </c:extLst>
            </c:dLbl>
            <c:dLbl>
              <c:idx val="22"/>
              <c:layout>
                <c:manualLayout>
                  <c:x val="0"/>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277-4C16-AAF0-A2A0C4FCB72D}"/>
                </c:ext>
              </c:extLst>
            </c:dLbl>
            <c:dLbl>
              <c:idx val="24"/>
              <c:layout>
                <c:manualLayout>
                  <c:x val="-1.1079104808331486E-2"/>
                  <c:y val="-0.14754098360655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277-4C16-AAF0-A2A0C4FCB72D}"/>
                </c:ext>
              </c:extLst>
            </c:dLbl>
            <c:dLbl>
              <c:idx val="25"/>
              <c:layout>
                <c:manualLayout>
                  <c:x val="-8.1245830035669357E-17"/>
                  <c:y val="-0.1475409836065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277-4C16-AAF0-A2A0C4FCB72D}"/>
                </c:ext>
              </c:extLst>
            </c:dLbl>
            <c:dLbl>
              <c:idx val="27"/>
              <c:layout>
                <c:manualLayout>
                  <c:x val="-6.6474628849989732E-3"/>
                  <c:y val="-0.20765027322404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277-4C16-AAF0-A2A0C4FCB72D}"/>
                </c:ext>
              </c:extLst>
            </c:dLbl>
            <c:dLbl>
              <c:idx val="28"/>
              <c:layout>
                <c:manualLayout>
                  <c:x val="0"/>
                  <c:y val="-0.191256830601092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277-4C16-AAF0-A2A0C4FCB72D}"/>
                </c:ext>
              </c:extLst>
            </c:dLbl>
            <c:dLbl>
              <c:idx val="29"/>
              <c:layout>
                <c:manualLayout>
                  <c:x val="-2.2158209616662972E-3"/>
                  <c:y val="-0.1857923497267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E277-4C16-AAF0-A2A0C4FCB72D}"/>
                </c:ext>
              </c:extLst>
            </c:dLbl>
            <c:dLbl>
              <c:idx val="30"/>
              <c:layout>
                <c:manualLayout>
                  <c:x val="4.4316419233325945E-3"/>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E277-4C16-AAF0-A2A0C4FCB72D}"/>
                </c:ext>
              </c:extLst>
            </c:dLbl>
            <c:dLbl>
              <c:idx val="31"/>
              <c:layout>
                <c:manualLayout>
                  <c:x val="8.8632838466651889E-3"/>
                  <c:y val="-0.158469945355191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E277-4C16-AAF0-A2A0C4FCB72D}"/>
                </c:ext>
              </c:extLst>
            </c:dLbl>
            <c:dLbl>
              <c:idx val="32"/>
              <c:layout>
                <c:manualLayout>
                  <c:x val="8.8632838466651889E-3"/>
                  <c:y val="-0.147540983606557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E277-4C16-AAF0-A2A0C4FCB72D}"/>
                </c:ext>
              </c:extLst>
            </c:dLbl>
            <c:dLbl>
              <c:idx val="33"/>
              <c:layout>
                <c:manualLayout>
                  <c:x val="1.3294925769997783E-2"/>
                  <c:y val="-0.180327868852459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E277-4C16-AAF0-A2A0C4FCB72D}"/>
                </c:ext>
              </c:extLst>
            </c:dLbl>
            <c:dLbl>
              <c:idx val="34"/>
              <c:layout>
                <c:manualLayout>
                  <c:x val="1.1079104808331486E-2"/>
                  <c:y val="-0.16939890710382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E277-4C16-AAF0-A2A0C4FCB72D}"/>
                </c:ext>
              </c:extLst>
            </c:dLbl>
            <c:dLbl>
              <c:idx val="35"/>
              <c:layout>
                <c:manualLayout>
                  <c:x val="8.8632838466650276E-3"/>
                  <c:y val="-0.15300546448087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E277-4C16-AAF0-A2A0C4FCB72D}"/>
                </c:ext>
              </c:extLst>
            </c:dLbl>
            <c:dLbl>
              <c:idx val="36"/>
              <c:layout>
                <c:manualLayout>
                  <c:x val="0"/>
                  <c:y val="-0.14207650273224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E277-4C16-AAF0-A2A0C4FCB72D}"/>
                </c:ext>
              </c:extLst>
            </c:dLbl>
            <c:dLbl>
              <c:idx val="37"/>
              <c:layout>
                <c:manualLayout>
                  <c:x val="-1.6249166007133871E-16"/>
                  <c:y val="-0.142076502732240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E277-4C16-AAF0-A2A0C4FCB72D}"/>
                </c:ext>
              </c:extLst>
            </c:dLbl>
            <c:dLbl>
              <c:idx val="38"/>
              <c:layout>
                <c:manualLayout>
                  <c:x val="-8.34313830356187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95-4B1A-8391-67A8C103F97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'KONSULLTIMET PUBLIKE '!$V$5:$V$43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c:v>
                </c:pt>
              </c:strCache>
            </c:strRef>
          </c:cat>
          <c:val>
            <c:numRef>
              <c:f>'KONSULLTIMET PUBLIKE '!$X$5:$X$43</c:f>
              <c:numCache>
                <c:formatCode>General</c:formatCode>
                <c:ptCount val="39"/>
                <c:pt idx="0">
                  <c:v>0</c:v>
                </c:pt>
                <c:pt idx="1">
                  <c:v>1</c:v>
                </c:pt>
                <c:pt idx="2">
                  <c:v>0</c:v>
                </c:pt>
                <c:pt idx="3">
                  <c:v>0</c:v>
                </c:pt>
                <c:pt idx="4">
                  <c:v>1</c:v>
                </c:pt>
                <c:pt idx="5">
                  <c:v>1</c:v>
                </c:pt>
                <c:pt idx="6">
                  <c:v>0</c:v>
                </c:pt>
                <c:pt idx="7">
                  <c:v>1</c:v>
                </c:pt>
                <c:pt idx="8">
                  <c:v>1</c:v>
                </c:pt>
                <c:pt idx="9">
                  <c:v>0</c:v>
                </c:pt>
                <c:pt idx="10">
                  <c:v>1</c:v>
                </c:pt>
                <c:pt idx="11">
                  <c:v>1</c:v>
                </c:pt>
                <c:pt idx="12">
                  <c:v>1</c:v>
                </c:pt>
                <c:pt idx="13">
                  <c:v>0</c:v>
                </c:pt>
                <c:pt idx="14">
                  <c:v>1</c:v>
                </c:pt>
                <c:pt idx="15">
                  <c:v>1</c:v>
                </c:pt>
                <c:pt idx="16">
                  <c:v>1</c:v>
                </c:pt>
                <c:pt idx="17">
                  <c:v>0</c:v>
                </c:pt>
                <c:pt idx="18">
                  <c:v>1</c:v>
                </c:pt>
                <c:pt idx="19">
                  <c:v>0</c:v>
                </c:pt>
                <c:pt idx="20">
                  <c:v>1</c:v>
                </c:pt>
                <c:pt idx="21">
                  <c:v>1</c:v>
                </c:pt>
                <c:pt idx="22">
                  <c:v>0</c:v>
                </c:pt>
                <c:pt idx="23">
                  <c:v>1</c:v>
                </c:pt>
                <c:pt idx="24">
                  <c:v>1</c:v>
                </c:pt>
                <c:pt idx="25">
                  <c:v>0</c:v>
                </c:pt>
                <c:pt idx="26">
                  <c:v>1</c:v>
                </c:pt>
                <c:pt idx="27">
                  <c:v>0</c:v>
                </c:pt>
                <c:pt idx="28">
                  <c:v>0</c:v>
                </c:pt>
                <c:pt idx="29">
                  <c:v>0</c:v>
                </c:pt>
                <c:pt idx="30">
                  <c:v>0</c:v>
                </c:pt>
                <c:pt idx="31">
                  <c:v>1</c:v>
                </c:pt>
                <c:pt idx="32">
                  <c:v>0</c:v>
                </c:pt>
                <c:pt idx="33">
                  <c:v>0</c:v>
                </c:pt>
                <c:pt idx="34">
                  <c:v>0</c:v>
                </c:pt>
                <c:pt idx="35">
                  <c:v>0</c:v>
                </c:pt>
                <c:pt idx="36">
                  <c:v>0</c:v>
                </c:pt>
                <c:pt idx="37">
                  <c:v>0</c:v>
                </c:pt>
                <c:pt idx="38">
                  <c:v>18</c:v>
                </c:pt>
              </c:numCache>
            </c:numRef>
          </c:val>
          <c:extLst>
            <c:ext xmlns:c16="http://schemas.microsoft.com/office/drawing/2014/chart" uri="{C3380CC4-5D6E-409C-BE32-E72D297353CC}">
              <c16:uniqueId val="{00000001-E277-4C16-AAF0-A2A0C4FCB72D}"/>
            </c:ext>
          </c:extLst>
        </c:ser>
        <c:dLbls>
          <c:showLegendKey val="0"/>
          <c:showVal val="1"/>
          <c:showCatName val="0"/>
          <c:showSerName val="0"/>
          <c:showPercent val="0"/>
          <c:showBubbleSize val="0"/>
        </c:dLbls>
        <c:gapWidth val="150"/>
        <c:overlap val="-25"/>
        <c:axId val="634596352"/>
        <c:axId val="634596744"/>
      </c:barChart>
      <c:catAx>
        <c:axId val="63459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1" u="none" strike="noStrike" kern="1200" baseline="0">
                <a:solidFill>
                  <a:schemeClr val="tx1">
                    <a:lumMod val="65000"/>
                    <a:lumOff val="35000"/>
                  </a:schemeClr>
                </a:solidFill>
                <a:latin typeface="+mj-lt"/>
                <a:ea typeface="+mn-ea"/>
                <a:cs typeface="+mn-cs"/>
              </a:defRPr>
            </a:pPr>
            <a:endParaRPr lang="en-US"/>
          </a:p>
        </c:txPr>
        <c:crossAx val="634596744"/>
        <c:crosses val="autoZero"/>
        <c:auto val="1"/>
        <c:lblAlgn val="ctr"/>
        <c:lblOffset val="100"/>
        <c:noMultiLvlLbl val="0"/>
      </c:catAx>
      <c:valAx>
        <c:axId val="634596744"/>
        <c:scaling>
          <c:orientation val="minMax"/>
        </c:scaling>
        <c:delete val="1"/>
        <c:axPos val="l"/>
        <c:numFmt formatCode="General" sourceLinked="1"/>
        <c:majorTickMark val="none"/>
        <c:minorTickMark val="none"/>
        <c:tickLblPos val="nextTo"/>
        <c:crossAx val="6345963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'!$C$7</c:f>
              <c:strCache>
                <c:ptCount val="1"/>
                <c:pt idx="0">
                  <c:v>Numri i akteve të publikuar </c:v>
                </c:pt>
              </c:strCache>
            </c:strRef>
          </c:tx>
          <c:spPr>
            <a:solidFill>
              <a:schemeClr val="accent1"/>
            </a:solidFill>
            <a:ln>
              <a:noFill/>
            </a:ln>
            <a:effectLst/>
          </c:spPr>
          <c:invertIfNegative val="0"/>
          <c:dLbls>
            <c:dLbl>
              <c:idx val="0"/>
              <c:layout>
                <c:manualLayout>
                  <c:x val="4.4316419233325945E-3"/>
                  <c:y val="-0.14449127031908485"/>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3BC-48B6-8B02-DB086E4A5925}"/>
                </c:ext>
              </c:extLst>
            </c:dLbl>
            <c:dLbl>
              <c:idx val="2"/>
              <c:layout>
                <c:manualLayout>
                  <c:x val="-1.015572875445867E-17"/>
                  <c:y val="-0.156532209512342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BC-48B6-8B02-DB086E4A5925}"/>
                </c:ext>
              </c:extLst>
            </c:dLbl>
            <c:dLbl>
              <c:idx val="4"/>
              <c:layout>
                <c:manualLayout>
                  <c:x val="0"/>
                  <c:y val="-0.15051173991571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BC-48B6-8B02-DB086E4A5925}"/>
                </c:ext>
              </c:extLst>
            </c:dLbl>
            <c:dLbl>
              <c:idx val="6"/>
              <c:layout>
                <c:manualLayout>
                  <c:x val="-6.6474628849988917E-3"/>
                  <c:y val="-0.186634557495484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BC-48B6-8B02-DB086E4A5925}"/>
                </c:ext>
              </c:extLst>
            </c:dLbl>
            <c:dLbl>
              <c:idx val="8"/>
              <c:layout>
                <c:manualLayout>
                  <c:x val="0"/>
                  <c:y val="-0.144491270319084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BC-48B6-8B02-DB086E4A5925}"/>
                </c:ext>
              </c:extLst>
            </c:dLbl>
            <c:dLbl>
              <c:idx val="10"/>
              <c:layout>
                <c:manualLayout>
                  <c:x val="2.2158209616662972E-3"/>
                  <c:y val="-0.216736905478627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3BC-48B6-8B02-DB086E4A5925}"/>
                </c:ext>
              </c:extLst>
            </c:dLbl>
            <c:dLbl>
              <c:idx val="12"/>
              <c:layout>
                <c:manualLayout>
                  <c:x val="-4.0622915017834678E-17"/>
                  <c:y val="-0.120409391932570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3BC-48B6-8B02-DB086E4A5925}"/>
                </c:ext>
              </c:extLst>
            </c:dLbl>
            <c:dLbl>
              <c:idx val="14"/>
              <c:layout>
                <c:manualLayout>
                  <c:x val="-4.0622915017834678E-17"/>
                  <c:y val="-0.17459361830222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3BC-48B6-8B02-DB086E4A5925}"/>
                </c:ext>
              </c:extLst>
            </c:dLbl>
            <c:dLbl>
              <c:idx val="16"/>
              <c:layout>
                <c:manualLayout>
                  <c:x val="2.2158209616662161E-3"/>
                  <c:y val="-0.168573148705599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3BC-48B6-8B02-DB086E4A5925}"/>
                </c:ext>
              </c:extLst>
            </c:dLbl>
            <c:dLbl>
              <c:idx val="18"/>
              <c:layout>
                <c:manualLayout>
                  <c:x val="-8.1245830035669357E-17"/>
                  <c:y val="-0.114388922335942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3BC-48B6-8B02-DB086E4A5925}"/>
                </c:ext>
              </c:extLst>
            </c:dLbl>
            <c:dLbl>
              <c:idx val="20"/>
              <c:layout>
                <c:manualLayout>
                  <c:x val="0"/>
                  <c:y val="-0.138470800722456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3BC-48B6-8B02-DB086E4A5925}"/>
                </c:ext>
              </c:extLst>
            </c:dLbl>
            <c:dLbl>
              <c:idx val="22"/>
              <c:layout>
                <c:manualLayout>
                  <c:x val="-8.1245830035669357E-17"/>
                  <c:y val="-0.120409391932570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3BC-48B6-8B02-DB086E4A5925}"/>
                </c:ext>
              </c:extLst>
            </c:dLbl>
            <c:dLbl>
              <c:idx val="24"/>
              <c:layout>
                <c:manualLayout>
                  <c:x val="-8.1245830035669357E-17"/>
                  <c:y val="-0.1505117399157134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3BC-48B6-8B02-DB086E4A5925}"/>
                </c:ext>
              </c:extLst>
            </c:dLbl>
            <c:dLbl>
              <c:idx val="26"/>
              <c:layout>
                <c:manualLayout>
                  <c:x val="-2.2158209616662972E-3"/>
                  <c:y val="-0.174593618302227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3BC-48B6-8B02-DB086E4A5925}"/>
                </c:ext>
              </c:extLst>
            </c:dLbl>
            <c:dLbl>
              <c:idx val="28"/>
              <c:layout>
                <c:manualLayout>
                  <c:x val="-6.6474628849989732E-3"/>
                  <c:y val="-0.12642986152919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3BC-48B6-8B02-DB086E4A5925}"/>
                </c:ext>
              </c:extLst>
            </c:dLbl>
            <c:dLbl>
              <c:idx val="30"/>
              <c:layout>
                <c:manualLayout>
                  <c:x val="-4.4316419233325945E-3"/>
                  <c:y val="-0.222757375075255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3BC-48B6-8B02-DB086E4A5925}"/>
                </c:ext>
              </c:extLst>
            </c:dLbl>
            <c:dLbl>
              <c:idx val="32"/>
              <c:layout>
                <c:manualLayout>
                  <c:x val="0"/>
                  <c:y val="-0.15653220951234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3BC-48B6-8B02-DB086E4A5925}"/>
                </c:ext>
              </c:extLst>
            </c:dLbl>
            <c:dLbl>
              <c:idx val="34"/>
              <c:layout>
                <c:manualLayout>
                  <c:x val="-1.1079104808331486E-2"/>
                  <c:y val="-0.13245033112582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3BC-48B6-8B02-DB086E4A5925}"/>
                </c:ext>
              </c:extLst>
            </c:dLbl>
            <c:dLbl>
              <c:idx val="36"/>
              <c:layout>
                <c:manualLayout>
                  <c:x val="-1.6249166007133871E-16"/>
                  <c:y val="-0.13245033112582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3BC-48B6-8B02-DB086E4A592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'!$B$8:$B$46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'!$C$8:$C$46</c:f>
              <c:numCache>
                <c:formatCode>General</c:formatCode>
                <c:ptCount val="39"/>
                <c:pt idx="0">
                  <c:v>0</c:v>
                </c:pt>
                <c:pt idx="1">
                  <c:v>67</c:v>
                </c:pt>
                <c:pt idx="2">
                  <c:v>23</c:v>
                </c:pt>
                <c:pt idx="3">
                  <c:v>14</c:v>
                </c:pt>
                <c:pt idx="4">
                  <c:v>2</c:v>
                </c:pt>
                <c:pt idx="5">
                  <c:v>29</c:v>
                </c:pt>
                <c:pt idx="6">
                  <c:v>62</c:v>
                </c:pt>
                <c:pt idx="7">
                  <c:v>35</c:v>
                </c:pt>
                <c:pt idx="8">
                  <c:v>53</c:v>
                </c:pt>
                <c:pt idx="9">
                  <c:v>2</c:v>
                </c:pt>
                <c:pt idx="10">
                  <c:v>67</c:v>
                </c:pt>
                <c:pt idx="11">
                  <c:v>38</c:v>
                </c:pt>
                <c:pt idx="12">
                  <c:v>38</c:v>
                </c:pt>
                <c:pt idx="13">
                  <c:v>0</c:v>
                </c:pt>
                <c:pt idx="14">
                  <c:v>34</c:v>
                </c:pt>
                <c:pt idx="15">
                  <c:v>47</c:v>
                </c:pt>
                <c:pt idx="16">
                  <c:v>29</c:v>
                </c:pt>
                <c:pt idx="17">
                  <c:v>3</c:v>
                </c:pt>
                <c:pt idx="18">
                  <c:v>30</c:v>
                </c:pt>
                <c:pt idx="19">
                  <c:v>9</c:v>
                </c:pt>
                <c:pt idx="20">
                  <c:v>87</c:v>
                </c:pt>
                <c:pt idx="21">
                  <c:v>28</c:v>
                </c:pt>
                <c:pt idx="22">
                  <c:v>17</c:v>
                </c:pt>
                <c:pt idx="23">
                  <c:v>74</c:v>
                </c:pt>
                <c:pt idx="24">
                  <c:v>52</c:v>
                </c:pt>
                <c:pt idx="25">
                  <c:v>22</c:v>
                </c:pt>
                <c:pt idx="26">
                  <c:v>64</c:v>
                </c:pt>
                <c:pt idx="27">
                  <c:v>0</c:v>
                </c:pt>
                <c:pt idx="28">
                  <c:v>25</c:v>
                </c:pt>
                <c:pt idx="29">
                  <c:v>32</c:v>
                </c:pt>
                <c:pt idx="30">
                  <c:v>32</c:v>
                </c:pt>
                <c:pt idx="31">
                  <c:v>36</c:v>
                </c:pt>
                <c:pt idx="32">
                  <c:v>0</c:v>
                </c:pt>
                <c:pt idx="33">
                  <c:v>2</c:v>
                </c:pt>
                <c:pt idx="34">
                  <c:v>0</c:v>
                </c:pt>
                <c:pt idx="35">
                  <c:v>29</c:v>
                </c:pt>
                <c:pt idx="36">
                  <c:v>11</c:v>
                </c:pt>
                <c:pt idx="37">
                  <c:v>22</c:v>
                </c:pt>
                <c:pt idx="38">
                  <c:v>1203</c:v>
                </c:pt>
              </c:numCache>
            </c:numRef>
          </c:val>
          <c:extLst>
            <c:ext xmlns:c16="http://schemas.microsoft.com/office/drawing/2014/chart" uri="{C3380CC4-5D6E-409C-BE32-E72D297353CC}">
              <c16:uniqueId val="{00000001-D3BC-48B6-8B02-DB086E4A5925}"/>
            </c:ext>
          </c:extLst>
        </c:ser>
        <c:dLbls>
          <c:showLegendKey val="0"/>
          <c:showVal val="1"/>
          <c:showCatName val="0"/>
          <c:showSerName val="0"/>
          <c:showPercent val="0"/>
          <c:showBubbleSize val="0"/>
        </c:dLbls>
        <c:gapWidth val="150"/>
        <c:overlap val="-25"/>
        <c:axId val="275115008"/>
        <c:axId val="275125592"/>
      </c:barChart>
      <c:catAx>
        <c:axId val="2751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275125592"/>
        <c:crosses val="autoZero"/>
        <c:auto val="1"/>
        <c:lblAlgn val="ctr"/>
        <c:lblOffset val="100"/>
        <c:noMultiLvlLbl val="0"/>
      </c:catAx>
      <c:valAx>
        <c:axId val="275125592"/>
        <c:scaling>
          <c:orientation val="minMax"/>
        </c:scaling>
        <c:delete val="1"/>
        <c:axPos val="l"/>
        <c:numFmt formatCode="General" sourceLinked="1"/>
        <c:majorTickMark val="none"/>
        <c:minorTickMark val="none"/>
        <c:tickLblPos val="nextTo"/>
        <c:crossAx val="275115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latin typeface="Century Schoolbook" panose="020406040505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'AKTET E  KUVENDIT '!$N$1:$N$7</c:f>
              <c:strCache>
                <c:ptCount val="7"/>
                <c:pt idx="6">
                  <c:v>Numri i vendimeve të publikuara të kuvendit komunal</c:v>
                </c:pt>
              </c:strCache>
            </c:strRef>
          </c:tx>
          <c:spPr>
            <a:solidFill>
              <a:schemeClr val="accent1"/>
            </a:solidFill>
            <a:ln>
              <a:noFill/>
            </a:ln>
            <a:effectLst/>
          </c:spPr>
          <c:invertIfNegative val="0"/>
          <c:dLbls>
            <c:dLbl>
              <c:idx val="0"/>
              <c:layout>
                <c:manualLayout>
                  <c:x val="-2.2158209616662972E-3"/>
                  <c:y val="-0.1221640488656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67-4ED8-98D0-C2AA090EEFBB}"/>
                </c:ext>
              </c:extLst>
            </c:dLbl>
            <c:dLbl>
              <c:idx val="1"/>
              <c:layout>
                <c:manualLayout>
                  <c:x val="1.1079104808331486E-2"/>
                  <c:y val="-0.2792321116928447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A67-4ED8-98D0-C2AA090EEFBB}"/>
                </c:ext>
              </c:extLst>
            </c:dLbl>
            <c:dLbl>
              <c:idx val="2"/>
              <c:layout>
                <c:manualLayout>
                  <c:x val="6.6474628849988917E-3"/>
                  <c:y val="-0.186154741128563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A67-4ED8-98D0-C2AA090EEFBB}"/>
                </c:ext>
              </c:extLst>
            </c:dLbl>
            <c:dLbl>
              <c:idx val="3"/>
              <c:layout>
                <c:manualLayout>
                  <c:x val="1.5510746731664082E-2"/>
                  <c:y val="-0.180337405468295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A67-4ED8-98D0-C2AA090EEFBB}"/>
                </c:ext>
              </c:extLst>
            </c:dLbl>
            <c:dLbl>
              <c:idx val="4"/>
              <c:layout>
                <c:manualLayout>
                  <c:x val="6.6474628849988917E-3"/>
                  <c:y val="-4.6538685282140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4A67-4ED8-98D0-C2AA090EEFBB}"/>
                </c:ext>
              </c:extLst>
            </c:dLbl>
            <c:dLbl>
              <c:idx val="5"/>
              <c:layout>
                <c:manualLayout>
                  <c:x val="-2.0311457508917339E-17"/>
                  <c:y val="-0.12798138452588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4A67-4ED8-98D0-C2AA090EEFBB}"/>
                </c:ext>
              </c:extLst>
            </c:dLbl>
            <c:dLbl>
              <c:idx val="6"/>
              <c:layout>
                <c:manualLayout>
                  <c:x val="-2.2158209616662972E-3"/>
                  <c:y val="-9.3077370564281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A67-4ED8-98D0-C2AA090EEFBB}"/>
                </c:ext>
              </c:extLst>
            </c:dLbl>
            <c:dLbl>
              <c:idx val="7"/>
              <c:layout>
                <c:manualLayout>
                  <c:x val="-1.3294925769997783E-2"/>
                  <c:y val="-0.27341477603257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A67-4ED8-98D0-C2AA090EEFBB}"/>
                </c:ext>
              </c:extLst>
            </c:dLbl>
            <c:dLbl>
              <c:idx val="8"/>
              <c:layout>
                <c:manualLayout>
                  <c:x val="-6.6474628849988917E-3"/>
                  <c:y val="-0.1745200698080278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A67-4ED8-98D0-C2AA090EEFBB}"/>
                </c:ext>
              </c:extLst>
            </c:dLbl>
            <c:dLbl>
              <c:idx val="9"/>
              <c:layout>
                <c:manualLayout>
                  <c:x val="1.1079104808331486E-2"/>
                  <c:y val="-0.145433391506689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A67-4ED8-98D0-C2AA090EEFBB}"/>
                </c:ext>
              </c:extLst>
            </c:dLbl>
            <c:dLbl>
              <c:idx val="10"/>
              <c:layout>
                <c:manualLayout>
                  <c:x val="6.6474628849988917E-3"/>
                  <c:y val="-0.232693426410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A67-4ED8-98D0-C2AA090EEFBB}"/>
                </c:ext>
              </c:extLst>
            </c:dLbl>
            <c:dLbl>
              <c:idx val="11"/>
              <c:layout>
                <c:manualLayout>
                  <c:x val="-2.2158209616662972E-3"/>
                  <c:y val="-7.5625363583478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A67-4ED8-98D0-C2AA090EEFBB}"/>
                </c:ext>
              </c:extLst>
            </c:dLbl>
            <c:dLbl>
              <c:idx val="12"/>
              <c:layout>
                <c:manualLayout>
                  <c:x val="2.2158209616662569E-3"/>
                  <c:y val="-0.226876090750436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67-4ED8-98D0-C2AA090EEFBB}"/>
                </c:ext>
              </c:extLst>
            </c:dLbl>
            <c:dLbl>
              <c:idx val="13"/>
              <c:layout>
                <c:manualLayout>
                  <c:x val="4.4316419233325945E-3"/>
                  <c:y val="-0.1221640488656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A67-4ED8-98D0-C2AA090EEFBB}"/>
                </c:ext>
              </c:extLst>
            </c:dLbl>
            <c:dLbl>
              <c:idx val="14"/>
              <c:layout>
                <c:manualLayout>
                  <c:x val="2.2158209616662569E-3"/>
                  <c:y val="-0.209424083769633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A67-4ED8-98D0-C2AA090EEFBB}"/>
                </c:ext>
              </c:extLst>
            </c:dLbl>
            <c:dLbl>
              <c:idx val="15"/>
              <c:layout>
                <c:manualLayout>
                  <c:x val="1.3294925769997704E-2"/>
                  <c:y val="-0.273414776032577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A67-4ED8-98D0-C2AA090EEFBB}"/>
                </c:ext>
              </c:extLst>
            </c:dLbl>
            <c:dLbl>
              <c:idx val="16"/>
              <c:layout>
                <c:manualLayout>
                  <c:x val="1.5510746731664082E-2"/>
                  <c:y val="-0.191972076788830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A67-4ED8-98D0-C2AA090EEFBB}"/>
                </c:ext>
              </c:extLst>
            </c:dLbl>
            <c:dLbl>
              <c:idx val="17"/>
              <c:layout>
                <c:manualLayout>
                  <c:x val="6.6474628849988917E-3"/>
                  <c:y val="-5.8173356602675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4A67-4ED8-98D0-C2AA090EEFBB}"/>
                </c:ext>
              </c:extLst>
            </c:dLbl>
            <c:dLbl>
              <c:idx val="18"/>
              <c:layout>
                <c:manualLayout>
                  <c:x val="1.1079104808331406E-2"/>
                  <c:y val="-0.308318789994182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67-4ED8-98D0-C2AA090EEFBB}"/>
                </c:ext>
              </c:extLst>
            </c:dLbl>
            <c:dLbl>
              <c:idx val="19"/>
              <c:layout>
                <c:manualLayout>
                  <c:x val="2.2158209616662972E-3"/>
                  <c:y val="-0.157068062827225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67-4ED8-98D0-C2AA090EEFBB}"/>
                </c:ext>
              </c:extLst>
            </c:dLbl>
            <c:dLbl>
              <c:idx val="20"/>
              <c:layout>
                <c:manualLayout>
                  <c:x val="8.8632838466651889E-3"/>
                  <c:y val="-9.3077141535318611E-2"/>
                </c:manualLayout>
              </c:layout>
              <c:showLegendKey val="0"/>
              <c:showVal val="1"/>
              <c:showCatName val="0"/>
              <c:showSerName val="0"/>
              <c:showPercent val="0"/>
              <c:showBubbleSize val="0"/>
              <c:extLst>
                <c:ext xmlns:c15="http://schemas.microsoft.com/office/drawing/2012/chart" uri="{CE6537A1-D6FC-4f65-9D91-7224C49458BB}">
                  <c15:layout>
                    <c:manualLayout>
                      <c:w val="2.6612009749612232E-2"/>
                      <c:h val="7.763257341523408E-2"/>
                    </c:manualLayout>
                  </c15:layout>
                </c:ext>
                <c:ext xmlns:c16="http://schemas.microsoft.com/office/drawing/2014/chart" uri="{C3380CC4-5D6E-409C-BE32-E72D297353CC}">
                  <c16:uniqueId val="{00000014-4A67-4ED8-98D0-C2AA090EEFBB}"/>
                </c:ext>
              </c:extLst>
            </c:dLbl>
            <c:dLbl>
              <c:idx val="21"/>
              <c:layout>
                <c:manualLayout>
                  <c:x val="1.3294925769997783E-2"/>
                  <c:y val="-0.19778941244909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67-4ED8-98D0-C2AA090EEFBB}"/>
                </c:ext>
              </c:extLst>
            </c:dLbl>
            <c:dLbl>
              <c:idx val="22"/>
              <c:layout>
                <c:manualLayout>
                  <c:x val="-8.1245830035669357E-17"/>
                  <c:y val="-8.1442699243746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A67-4ED8-98D0-C2AA090EEFBB}"/>
                </c:ext>
              </c:extLst>
            </c:dLbl>
            <c:dLbl>
              <c:idx val="23"/>
              <c:layout>
                <c:manualLayout>
                  <c:x val="6.647462884998811E-3"/>
                  <c:y val="-0.285049447353112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A67-4ED8-98D0-C2AA090EEFBB}"/>
                </c:ext>
              </c:extLst>
            </c:dLbl>
            <c:dLbl>
              <c:idx val="24"/>
              <c:layout>
                <c:manualLayout>
                  <c:x val="0"/>
                  <c:y val="-0.19197207678883077"/>
                </c:manualLayout>
              </c:layout>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4A67-4ED8-98D0-C2AA090EEFBB}"/>
                </c:ext>
              </c:extLst>
            </c:dLbl>
            <c:dLbl>
              <c:idx val="25"/>
              <c:layout>
                <c:manualLayout>
                  <c:x val="-8.1245830035669357E-17"/>
                  <c:y val="-8.7260034904013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A67-4ED8-98D0-C2AA090EEFBB}"/>
                </c:ext>
              </c:extLst>
            </c:dLbl>
            <c:dLbl>
              <c:idx val="26"/>
              <c:layout>
                <c:manualLayout>
                  <c:x val="2.215820961666135E-3"/>
                  <c:y val="-0.151250727166957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A67-4ED8-98D0-C2AA090EEFBB}"/>
                </c:ext>
              </c:extLst>
            </c:dLbl>
            <c:dLbl>
              <c:idx val="27"/>
              <c:layout>
                <c:manualLayout>
                  <c:x val="4.4316419233325945E-3"/>
                  <c:y val="-6.3990692262943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4A67-4ED8-98D0-C2AA090EEFBB}"/>
                </c:ext>
              </c:extLst>
            </c:dLbl>
            <c:dLbl>
              <c:idx val="28"/>
              <c:layout>
                <c:manualLayout>
                  <c:x val="0"/>
                  <c:y val="-0.151250727166957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67-4ED8-98D0-C2AA090EEFBB}"/>
                </c:ext>
              </c:extLst>
            </c:dLbl>
            <c:dLbl>
              <c:idx val="29"/>
              <c:layout>
                <c:manualLayout>
                  <c:x val="6.6474628849988917E-3"/>
                  <c:y val="-0.273414776032577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A67-4ED8-98D0-C2AA090EEFBB}"/>
                </c:ext>
              </c:extLst>
            </c:dLbl>
            <c:dLbl>
              <c:idx val="30"/>
              <c:layout>
                <c:manualLayout>
                  <c:x val="8.7237045572401936E-8"/>
                  <c:y val="-0.1337984911571917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475293596277414E-2"/>
                      <c:h val="0.26960465020406477"/>
                    </c:manualLayout>
                  </c15:layout>
                </c:ext>
                <c:ext xmlns:c16="http://schemas.microsoft.com/office/drawing/2014/chart" uri="{C3380CC4-5D6E-409C-BE32-E72D297353CC}">
                  <c16:uniqueId val="{00000009-4A67-4ED8-98D0-C2AA090EEFBB}"/>
                </c:ext>
              </c:extLst>
            </c:dLbl>
            <c:dLbl>
              <c:idx val="31"/>
              <c:layout>
                <c:manualLayout>
                  <c:x val="0"/>
                  <c:y val="-7.56253635834787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A67-4ED8-98D0-C2AA090EEFBB}"/>
                </c:ext>
              </c:extLst>
            </c:dLbl>
            <c:dLbl>
              <c:idx val="32"/>
              <c:layout>
                <c:manualLayout>
                  <c:x val="2.215820961666135E-3"/>
                  <c:y val="-0.197789412449098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67-4ED8-98D0-C2AA090EEFBB}"/>
                </c:ext>
              </c:extLst>
            </c:dLbl>
            <c:dLbl>
              <c:idx val="33"/>
              <c:layout>
                <c:manualLayout>
                  <c:x val="0"/>
                  <c:y val="-5.23560209424084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A67-4ED8-98D0-C2AA090EEFBB}"/>
                </c:ext>
              </c:extLst>
            </c:dLbl>
            <c:dLbl>
              <c:idx val="34"/>
              <c:layout>
                <c:manualLayout>
                  <c:x val="0"/>
                  <c:y val="-0.244328097731239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67-4ED8-98D0-C2AA090EEFBB}"/>
                </c:ext>
              </c:extLst>
            </c:dLbl>
            <c:dLbl>
              <c:idx val="35"/>
              <c:layout>
                <c:manualLayout>
                  <c:x val="0"/>
                  <c:y val="-8.726003490401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A67-4ED8-98D0-C2AA090EEFBB}"/>
                </c:ext>
              </c:extLst>
            </c:dLbl>
            <c:dLbl>
              <c:idx val="36"/>
              <c:layout>
                <c:manualLayout>
                  <c:x val="8.72370457348936E-8"/>
                  <c:y val="-0.18033717643933253"/>
                </c:manualLayout>
              </c:layout>
              <c:showLegendKey val="0"/>
              <c:showVal val="1"/>
              <c:showCatName val="0"/>
              <c:showSerName val="0"/>
              <c:showPercent val="0"/>
              <c:showBubbleSize val="0"/>
              <c:extLst>
                <c:ext xmlns:c15="http://schemas.microsoft.com/office/drawing/2012/chart" uri="{CE6537A1-D6FC-4f65-9D91-7224C49458BB}">
                  <c15:layout>
                    <c:manualLayout>
                      <c:w val="8.8854420562818476E-3"/>
                      <c:h val="7.763257341523408E-2"/>
                    </c:manualLayout>
                  </c15:layout>
                </c:ext>
                <c:ext xmlns:c16="http://schemas.microsoft.com/office/drawing/2014/chart" uri="{C3380CC4-5D6E-409C-BE32-E72D297353CC}">
                  <c16:uniqueId val="{00000008-4A67-4ED8-98D0-C2AA090EEFBB}"/>
                </c:ext>
              </c:extLst>
            </c:dLbl>
            <c:dLbl>
              <c:idx val="38"/>
              <c:tx>
                <c:rich>
                  <a:bodyPr/>
                  <a:lstStyle/>
                  <a:p>
                    <a:r>
                      <a:rPr lang="en-US"/>
                      <a:t>1147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574-42ED-9A0B-7E8ECD758AE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'!$M$8:$M$47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'!$N$8:$N$47</c:f>
              <c:numCache>
                <c:formatCode>General</c:formatCode>
                <c:ptCount val="40"/>
                <c:pt idx="0">
                  <c:v>0</c:v>
                </c:pt>
                <c:pt idx="1">
                  <c:v>66</c:v>
                </c:pt>
                <c:pt idx="2">
                  <c:v>22</c:v>
                </c:pt>
                <c:pt idx="3">
                  <c:v>12</c:v>
                </c:pt>
                <c:pt idx="4">
                  <c:v>0</c:v>
                </c:pt>
                <c:pt idx="5">
                  <c:v>26</c:v>
                </c:pt>
                <c:pt idx="6">
                  <c:v>62</c:v>
                </c:pt>
                <c:pt idx="7">
                  <c:v>23</c:v>
                </c:pt>
                <c:pt idx="8">
                  <c:v>45</c:v>
                </c:pt>
                <c:pt idx="9">
                  <c:v>1</c:v>
                </c:pt>
                <c:pt idx="10">
                  <c:v>67</c:v>
                </c:pt>
                <c:pt idx="11">
                  <c:v>35</c:v>
                </c:pt>
                <c:pt idx="12">
                  <c:v>37</c:v>
                </c:pt>
                <c:pt idx="13">
                  <c:v>0</c:v>
                </c:pt>
                <c:pt idx="14">
                  <c:v>34</c:v>
                </c:pt>
                <c:pt idx="15">
                  <c:v>46</c:v>
                </c:pt>
                <c:pt idx="16">
                  <c:v>28</c:v>
                </c:pt>
                <c:pt idx="17">
                  <c:v>2</c:v>
                </c:pt>
                <c:pt idx="18">
                  <c:v>26</c:v>
                </c:pt>
                <c:pt idx="19">
                  <c:v>7</c:v>
                </c:pt>
                <c:pt idx="20">
                  <c:v>85</c:v>
                </c:pt>
                <c:pt idx="21">
                  <c:v>27</c:v>
                </c:pt>
                <c:pt idx="22">
                  <c:v>16</c:v>
                </c:pt>
                <c:pt idx="23">
                  <c:v>72</c:v>
                </c:pt>
                <c:pt idx="24">
                  <c:v>50</c:v>
                </c:pt>
                <c:pt idx="25">
                  <c:v>22</c:v>
                </c:pt>
                <c:pt idx="26">
                  <c:v>61</c:v>
                </c:pt>
                <c:pt idx="27">
                  <c:v>0</c:v>
                </c:pt>
                <c:pt idx="28">
                  <c:v>23</c:v>
                </c:pt>
                <c:pt idx="29">
                  <c:v>30</c:v>
                </c:pt>
                <c:pt idx="30">
                  <c:v>31</c:v>
                </c:pt>
                <c:pt idx="31">
                  <c:v>36</c:v>
                </c:pt>
                <c:pt idx="32">
                  <c:v>0</c:v>
                </c:pt>
                <c:pt idx="33">
                  <c:v>1</c:v>
                </c:pt>
                <c:pt idx="34">
                  <c:v>0</c:v>
                </c:pt>
                <c:pt idx="35">
                  <c:v>24</c:v>
                </c:pt>
                <c:pt idx="36">
                  <c:v>11</c:v>
                </c:pt>
                <c:pt idx="37">
                  <c:v>22</c:v>
                </c:pt>
                <c:pt idx="38">
                  <c:v>1145</c:v>
                </c:pt>
              </c:numCache>
            </c:numRef>
          </c:val>
          <c:extLst>
            <c:ext xmlns:c16="http://schemas.microsoft.com/office/drawing/2014/chart" uri="{C3380CC4-5D6E-409C-BE32-E72D297353CC}">
              <c16:uniqueId val="{00000000-4A67-4ED8-98D0-C2AA090EEFBB}"/>
            </c:ext>
          </c:extLst>
        </c:ser>
        <c:dLbls>
          <c:showLegendKey val="0"/>
          <c:showVal val="1"/>
          <c:showCatName val="0"/>
          <c:showSerName val="0"/>
          <c:showPercent val="0"/>
          <c:showBubbleSize val="0"/>
        </c:dLbls>
        <c:gapWidth val="95"/>
        <c:overlap val="100"/>
        <c:axId val="275118928"/>
        <c:axId val="275124024"/>
      </c:barChart>
      <c:catAx>
        <c:axId val="27511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275124024"/>
        <c:crosses val="autoZero"/>
        <c:auto val="1"/>
        <c:lblAlgn val="ctr"/>
        <c:lblOffset val="100"/>
        <c:noMultiLvlLbl val="0"/>
      </c:catAx>
      <c:valAx>
        <c:axId val="275124024"/>
        <c:scaling>
          <c:orientation val="minMax"/>
        </c:scaling>
        <c:delete val="1"/>
        <c:axPos val="l"/>
        <c:numFmt formatCode="General" sourceLinked="1"/>
        <c:majorTickMark val="none"/>
        <c:minorTickMark val="none"/>
        <c:tickLblPos val="nextTo"/>
        <c:crossAx val="27511892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'AKTET E  KUVENDIT '!$N$13</c:f>
              <c:strCache>
                <c:ptCount val="1"/>
                <c:pt idx="0">
                  <c:v>Numri i rregulloreve të kuvendit të publikuara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'AKTET E  KUVENDIT '!$M$14:$M$53</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'AKTET E  KUVENDIT '!$N$14:$N$53</c:f>
              <c:numCache>
                <c:formatCode>General</c:formatCode>
                <c:ptCount val="40"/>
                <c:pt idx="0">
                  <c:v>0</c:v>
                </c:pt>
                <c:pt idx="1">
                  <c:v>1</c:v>
                </c:pt>
                <c:pt idx="2">
                  <c:v>1</c:v>
                </c:pt>
                <c:pt idx="3">
                  <c:v>2</c:v>
                </c:pt>
                <c:pt idx="4">
                  <c:v>2</c:v>
                </c:pt>
                <c:pt idx="5">
                  <c:v>3</c:v>
                </c:pt>
                <c:pt idx="6">
                  <c:v>1</c:v>
                </c:pt>
                <c:pt idx="7">
                  <c:v>2</c:v>
                </c:pt>
                <c:pt idx="8">
                  <c:v>8</c:v>
                </c:pt>
                <c:pt idx="9">
                  <c:v>1</c:v>
                </c:pt>
                <c:pt idx="10">
                  <c:v>0</c:v>
                </c:pt>
                <c:pt idx="11">
                  <c:v>3</c:v>
                </c:pt>
                <c:pt idx="12">
                  <c:v>1</c:v>
                </c:pt>
                <c:pt idx="13">
                  <c:v>0</c:v>
                </c:pt>
                <c:pt idx="14">
                  <c:v>0</c:v>
                </c:pt>
                <c:pt idx="15">
                  <c:v>1</c:v>
                </c:pt>
                <c:pt idx="16">
                  <c:v>1</c:v>
                </c:pt>
                <c:pt idx="17">
                  <c:v>1</c:v>
                </c:pt>
                <c:pt idx="18">
                  <c:v>4</c:v>
                </c:pt>
                <c:pt idx="19">
                  <c:v>2</c:v>
                </c:pt>
                <c:pt idx="20">
                  <c:v>2</c:v>
                </c:pt>
                <c:pt idx="21">
                  <c:v>1</c:v>
                </c:pt>
                <c:pt idx="22">
                  <c:v>1</c:v>
                </c:pt>
                <c:pt idx="23">
                  <c:v>2</c:v>
                </c:pt>
                <c:pt idx="24">
                  <c:v>2</c:v>
                </c:pt>
                <c:pt idx="25">
                  <c:v>0</c:v>
                </c:pt>
                <c:pt idx="26">
                  <c:v>3</c:v>
                </c:pt>
                <c:pt idx="27">
                  <c:v>0</c:v>
                </c:pt>
                <c:pt idx="28">
                  <c:v>2</c:v>
                </c:pt>
                <c:pt idx="29">
                  <c:v>2</c:v>
                </c:pt>
                <c:pt idx="30">
                  <c:v>1</c:v>
                </c:pt>
                <c:pt idx="31">
                  <c:v>0</c:v>
                </c:pt>
                <c:pt idx="32">
                  <c:v>0</c:v>
                </c:pt>
                <c:pt idx="33">
                  <c:v>1</c:v>
                </c:pt>
                <c:pt idx="34">
                  <c:v>0</c:v>
                </c:pt>
                <c:pt idx="35">
                  <c:v>5</c:v>
                </c:pt>
                <c:pt idx="36">
                  <c:v>0</c:v>
                </c:pt>
                <c:pt idx="37">
                  <c:v>0</c:v>
                </c:pt>
                <c:pt idx="38">
                  <c:v>54</c:v>
                </c:pt>
              </c:numCache>
            </c:numRef>
          </c:val>
          <c:extLst>
            <c:ext xmlns:c16="http://schemas.microsoft.com/office/drawing/2014/chart" uri="{C3380CC4-5D6E-409C-BE32-E72D297353CC}">
              <c16:uniqueId val="{00000000-1A20-4551-BB32-A50139F4EE1D}"/>
            </c:ext>
          </c:extLst>
        </c:ser>
        <c:dLbls>
          <c:showLegendKey val="0"/>
          <c:showVal val="1"/>
          <c:showCatName val="0"/>
          <c:showSerName val="0"/>
          <c:showPercent val="0"/>
          <c:showBubbleSize val="0"/>
        </c:dLbls>
        <c:gapWidth val="95"/>
        <c:axId val="634588904"/>
        <c:axId val="634589296"/>
      </c:barChart>
      <c:catAx>
        <c:axId val="63458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Book Antiqua" panose="02040602050305030304" pitchFamily="18" charset="0"/>
                <a:ea typeface="+mn-ea"/>
                <a:cs typeface="+mn-cs"/>
              </a:defRPr>
            </a:pPr>
            <a:endParaRPr lang="en-US"/>
          </a:p>
        </c:txPr>
        <c:crossAx val="634589296"/>
        <c:crosses val="autoZero"/>
        <c:auto val="1"/>
        <c:lblAlgn val="ctr"/>
        <c:lblOffset val="100"/>
        <c:noMultiLvlLbl val="0"/>
      </c:catAx>
      <c:valAx>
        <c:axId val="634589296"/>
        <c:scaling>
          <c:orientation val="minMax"/>
        </c:scaling>
        <c:delete val="1"/>
        <c:axPos val="l"/>
        <c:numFmt formatCode="General" sourceLinked="1"/>
        <c:majorTickMark val="none"/>
        <c:minorTickMark val="none"/>
        <c:tickLblPos val="nextTo"/>
        <c:crossAx val="6345889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9913195585606093"/>
          <c:y val="0.13557888983307784"/>
          <c:w val="0.58357499655562595"/>
          <c:h val="0.82713691546282575"/>
        </c:manualLayout>
      </c:layout>
      <c:bar3DChart>
        <c:barDir val="bar"/>
        <c:grouping val="stacked"/>
        <c:varyColors val="0"/>
        <c:ser>
          <c:idx val="0"/>
          <c:order val="0"/>
          <c:tx>
            <c:strRef>
              <c:f>PROCESVERBALET!$C$8</c:f>
              <c:strCache>
                <c:ptCount val="1"/>
                <c:pt idx="0">
                  <c:v>Deçan</c:v>
                </c:pt>
              </c:strCache>
            </c:strRef>
          </c:tx>
          <c:spPr>
            <a:solidFill>
              <a:schemeClr val="accent1"/>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PROCESVERBALET!$D$8:$F$8</c:f>
              <c:numCache>
                <c:formatCode>General</c:formatCode>
                <c:ptCount val="3"/>
                <c:pt idx="0">
                  <c:v>4</c:v>
                </c:pt>
                <c:pt idx="1">
                  <c:v>6</c:v>
                </c:pt>
                <c:pt idx="2">
                  <c:v>0</c:v>
                </c:pt>
              </c:numCache>
            </c:numRef>
          </c:val>
          <c:extLst>
            <c:ext xmlns:c16="http://schemas.microsoft.com/office/drawing/2014/chart" uri="{C3380CC4-5D6E-409C-BE32-E72D297353CC}">
              <c16:uniqueId val="{00000000-0D74-4EDA-B286-59E06FA057D7}"/>
            </c:ext>
          </c:extLst>
        </c:ser>
        <c:ser>
          <c:idx val="1"/>
          <c:order val="1"/>
          <c:tx>
            <c:strRef>
              <c:f>PROCESVERBALET!$C$9</c:f>
              <c:strCache>
                <c:ptCount val="1"/>
                <c:pt idx="0">
                  <c:v>Ferizaj</c:v>
                </c:pt>
              </c:strCache>
            </c:strRef>
          </c:tx>
          <c:spPr>
            <a:solidFill>
              <a:schemeClr val="accent2"/>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PROCESVERBALET!$D$9:$F$9</c:f>
              <c:numCache>
                <c:formatCode>General</c:formatCode>
                <c:ptCount val="3"/>
                <c:pt idx="0">
                  <c:v>8</c:v>
                </c:pt>
                <c:pt idx="1">
                  <c:v>8</c:v>
                </c:pt>
                <c:pt idx="2">
                  <c:v>6</c:v>
                </c:pt>
              </c:numCache>
            </c:numRef>
          </c:val>
          <c:extLst>
            <c:ext xmlns:c16="http://schemas.microsoft.com/office/drawing/2014/chart" uri="{C3380CC4-5D6E-409C-BE32-E72D297353CC}">
              <c16:uniqueId val="{00000001-0D74-4EDA-B286-59E06FA057D7}"/>
            </c:ext>
          </c:extLst>
        </c:ser>
        <c:ser>
          <c:idx val="2"/>
          <c:order val="2"/>
          <c:tx>
            <c:strRef>
              <c:f>PROCESVERBALET!$C$10</c:f>
              <c:strCache>
                <c:ptCount val="1"/>
                <c:pt idx="0">
                  <c:v>Fushe Kosovë</c:v>
                </c:pt>
              </c:strCache>
            </c:strRef>
          </c:tx>
          <c:spPr>
            <a:solidFill>
              <a:schemeClr val="accent3"/>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PROCESVERBALET!$D$10:$F$10</c:f>
              <c:numCache>
                <c:formatCode>General</c:formatCode>
                <c:ptCount val="3"/>
                <c:pt idx="0">
                  <c:v>6</c:v>
                </c:pt>
                <c:pt idx="1">
                  <c:v>0</c:v>
                </c:pt>
                <c:pt idx="2">
                  <c:v>0</c:v>
                </c:pt>
              </c:numCache>
            </c:numRef>
          </c:val>
          <c:extLst>
            <c:ext xmlns:c16="http://schemas.microsoft.com/office/drawing/2014/chart" uri="{C3380CC4-5D6E-409C-BE32-E72D297353CC}">
              <c16:uniqueId val="{00000002-0D74-4EDA-B286-59E06FA057D7}"/>
            </c:ext>
          </c:extLst>
        </c:ser>
        <c:ser>
          <c:idx val="3"/>
          <c:order val="3"/>
          <c:tx>
            <c:strRef>
              <c:f>PROCESVERBALET!$C$11</c:f>
              <c:strCache>
                <c:ptCount val="1"/>
                <c:pt idx="0">
                  <c:v>Gjakovë</c:v>
                </c:pt>
              </c:strCache>
            </c:strRef>
          </c:tx>
          <c:spPr>
            <a:solidFill>
              <a:schemeClr val="accent4"/>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PROCESVERBALET!$D$11:$F$11</c:f>
              <c:numCache>
                <c:formatCode>General</c:formatCode>
                <c:ptCount val="3"/>
                <c:pt idx="0">
                  <c:v>9</c:v>
                </c:pt>
                <c:pt idx="1">
                  <c:v>0</c:v>
                </c:pt>
                <c:pt idx="2">
                  <c:v>0</c:v>
                </c:pt>
              </c:numCache>
            </c:numRef>
          </c:val>
          <c:extLst>
            <c:ext xmlns:c16="http://schemas.microsoft.com/office/drawing/2014/chart" uri="{C3380CC4-5D6E-409C-BE32-E72D297353CC}">
              <c16:uniqueId val="{00000003-0D74-4EDA-B286-59E06FA057D7}"/>
            </c:ext>
          </c:extLst>
        </c:ser>
        <c:ser>
          <c:idx val="4"/>
          <c:order val="4"/>
          <c:tx>
            <c:strRef>
              <c:f>PROCESVERBALET!$C$12</c:f>
              <c:strCache>
                <c:ptCount val="1"/>
                <c:pt idx="0">
                  <c:v>Gjilan </c:v>
                </c:pt>
              </c:strCache>
            </c:strRef>
          </c:tx>
          <c:spPr>
            <a:solidFill>
              <a:schemeClr val="accent5"/>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PROCESVERBALET!$D$12:$F$12</c:f>
              <c:numCache>
                <c:formatCode>General</c:formatCode>
                <c:ptCount val="3"/>
                <c:pt idx="0">
                  <c:v>7</c:v>
                </c:pt>
                <c:pt idx="1">
                  <c:v>4</c:v>
                </c:pt>
                <c:pt idx="2">
                  <c:v>1</c:v>
                </c:pt>
              </c:numCache>
            </c:numRef>
          </c:val>
          <c:extLst>
            <c:ext xmlns:c16="http://schemas.microsoft.com/office/drawing/2014/chart" uri="{C3380CC4-5D6E-409C-BE32-E72D297353CC}">
              <c16:uniqueId val="{00000004-0D74-4EDA-B286-59E06FA057D7}"/>
            </c:ext>
          </c:extLst>
        </c:ser>
        <c:ser>
          <c:idx val="5"/>
          <c:order val="5"/>
          <c:tx>
            <c:strRef>
              <c:f>PROCESVERBALET!$C$13</c:f>
              <c:strCache>
                <c:ptCount val="1"/>
                <c:pt idx="0">
                  <c:v>Gllogoc </c:v>
                </c:pt>
              </c:strCache>
            </c:strRef>
          </c:tx>
          <c:spPr>
            <a:solidFill>
              <a:schemeClr val="accent6"/>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PROCESVERBALET!$D$13:$F$13</c:f>
              <c:numCache>
                <c:formatCode>General</c:formatCode>
                <c:ptCount val="3"/>
                <c:pt idx="0">
                  <c:v>8</c:v>
                </c:pt>
                <c:pt idx="1">
                  <c:v>8</c:v>
                </c:pt>
                <c:pt idx="2">
                  <c:v>0</c:v>
                </c:pt>
              </c:numCache>
            </c:numRef>
          </c:val>
          <c:extLst>
            <c:ext xmlns:c16="http://schemas.microsoft.com/office/drawing/2014/chart" uri="{C3380CC4-5D6E-409C-BE32-E72D297353CC}">
              <c16:uniqueId val="{00000005-0D74-4EDA-B286-59E06FA057D7}"/>
            </c:ext>
          </c:extLst>
        </c:ser>
        <c:ser>
          <c:idx val="6"/>
          <c:order val="6"/>
          <c:tx>
            <c:strRef>
              <c:f>PROCESVERBALET!$C$14</c:f>
              <c:strCache>
                <c:ptCount val="1"/>
                <c:pt idx="0">
                  <c:v>Graçanicë</c:v>
                </c:pt>
              </c:strCache>
            </c:strRef>
          </c:tx>
          <c:spPr>
            <a:solidFill>
              <a:schemeClr val="accent1">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PROCESVERBALET!$D$14:$F$14</c:f>
              <c:numCache>
                <c:formatCode>General</c:formatCode>
                <c:ptCount val="3"/>
                <c:pt idx="0">
                  <c:v>13</c:v>
                </c:pt>
                <c:pt idx="1">
                  <c:v>0</c:v>
                </c:pt>
                <c:pt idx="2">
                  <c:v>0</c:v>
                </c:pt>
              </c:numCache>
            </c:numRef>
          </c:val>
          <c:extLst>
            <c:ext xmlns:c16="http://schemas.microsoft.com/office/drawing/2014/chart" uri="{C3380CC4-5D6E-409C-BE32-E72D297353CC}">
              <c16:uniqueId val="{00000006-0D74-4EDA-B286-59E06FA057D7}"/>
            </c:ext>
          </c:extLst>
        </c:ser>
        <c:ser>
          <c:idx val="7"/>
          <c:order val="7"/>
          <c:tx>
            <c:strRef>
              <c:f>PROCESVERBALET!$C$15</c:f>
              <c:strCache>
                <c:ptCount val="1"/>
                <c:pt idx="0">
                  <c:v>Hani Elezit </c:v>
                </c:pt>
              </c:strCache>
            </c:strRef>
          </c:tx>
          <c:spPr>
            <a:solidFill>
              <a:schemeClr val="accent2">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PROCESVERBALET!$D$15:$F$15</c:f>
              <c:numCache>
                <c:formatCode>General</c:formatCode>
                <c:ptCount val="3"/>
                <c:pt idx="0">
                  <c:v>8</c:v>
                </c:pt>
                <c:pt idx="1">
                  <c:v>8</c:v>
                </c:pt>
                <c:pt idx="2">
                  <c:v>8</c:v>
                </c:pt>
              </c:numCache>
            </c:numRef>
          </c:val>
          <c:extLst>
            <c:ext xmlns:c16="http://schemas.microsoft.com/office/drawing/2014/chart" uri="{C3380CC4-5D6E-409C-BE32-E72D297353CC}">
              <c16:uniqueId val="{00000007-0D74-4EDA-B286-59E06FA057D7}"/>
            </c:ext>
          </c:extLst>
        </c:ser>
        <c:ser>
          <c:idx val="8"/>
          <c:order val="8"/>
          <c:tx>
            <c:strRef>
              <c:f>PROCESVERBALET!$C$16</c:f>
              <c:strCache>
                <c:ptCount val="1"/>
                <c:pt idx="0">
                  <c:v>Istog </c:v>
                </c:pt>
              </c:strCache>
            </c:strRef>
          </c:tx>
          <c:spPr>
            <a:solidFill>
              <a:schemeClr val="accent3">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PROCESVERBALET!$D$16:$F$16</c:f>
              <c:numCache>
                <c:formatCode>General</c:formatCode>
                <c:ptCount val="3"/>
                <c:pt idx="0">
                  <c:v>5</c:v>
                </c:pt>
                <c:pt idx="1">
                  <c:v>7</c:v>
                </c:pt>
                <c:pt idx="2">
                  <c:v>0</c:v>
                </c:pt>
              </c:numCache>
            </c:numRef>
          </c:val>
          <c:extLst>
            <c:ext xmlns:c16="http://schemas.microsoft.com/office/drawing/2014/chart" uri="{C3380CC4-5D6E-409C-BE32-E72D297353CC}">
              <c16:uniqueId val="{00000008-0D74-4EDA-B286-59E06FA057D7}"/>
            </c:ext>
          </c:extLst>
        </c:ser>
        <c:ser>
          <c:idx val="9"/>
          <c:order val="9"/>
          <c:tx>
            <c:strRef>
              <c:f>PROCESVERBALET!$C$17</c:f>
              <c:strCache>
                <c:ptCount val="1"/>
                <c:pt idx="0">
                  <c:v>Junik </c:v>
                </c:pt>
              </c:strCache>
            </c:strRef>
          </c:tx>
          <c:spPr>
            <a:solidFill>
              <a:schemeClr val="accent4">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PROCESVERBALET!$D$17:$F$17</c:f>
              <c:numCache>
                <c:formatCode>General</c:formatCode>
                <c:ptCount val="3"/>
                <c:pt idx="0">
                  <c:v>10</c:v>
                </c:pt>
                <c:pt idx="1">
                  <c:v>0</c:v>
                </c:pt>
                <c:pt idx="2">
                  <c:v>0</c:v>
                </c:pt>
              </c:numCache>
            </c:numRef>
          </c:val>
          <c:extLst>
            <c:ext xmlns:c16="http://schemas.microsoft.com/office/drawing/2014/chart" uri="{C3380CC4-5D6E-409C-BE32-E72D297353CC}">
              <c16:uniqueId val="{00000009-0D74-4EDA-B286-59E06FA057D7}"/>
            </c:ext>
          </c:extLst>
        </c:ser>
        <c:ser>
          <c:idx val="10"/>
          <c:order val="10"/>
          <c:tx>
            <c:strRef>
              <c:f>PROCESVERBALET!$C$18</c:f>
              <c:strCache>
                <c:ptCount val="1"/>
                <c:pt idx="0">
                  <c:v>Kamenicë</c:v>
                </c:pt>
              </c:strCache>
            </c:strRef>
          </c:tx>
          <c:spPr>
            <a:solidFill>
              <a:schemeClr val="accent5">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PROCESVERBALET!$D$18:$F$18</c:f>
              <c:numCache>
                <c:formatCode>General</c:formatCode>
                <c:ptCount val="3"/>
                <c:pt idx="0">
                  <c:v>12</c:v>
                </c:pt>
                <c:pt idx="1">
                  <c:v>12</c:v>
                </c:pt>
                <c:pt idx="2">
                  <c:v>10</c:v>
                </c:pt>
              </c:numCache>
            </c:numRef>
          </c:val>
          <c:extLst>
            <c:ext xmlns:c16="http://schemas.microsoft.com/office/drawing/2014/chart" uri="{C3380CC4-5D6E-409C-BE32-E72D297353CC}">
              <c16:uniqueId val="{0000000A-0D74-4EDA-B286-59E06FA057D7}"/>
            </c:ext>
          </c:extLst>
        </c:ser>
        <c:ser>
          <c:idx val="11"/>
          <c:order val="11"/>
          <c:tx>
            <c:strRef>
              <c:f>PROCESVERBALET!$C$19</c:f>
              <c:strCache>
                <c:ptCount val="1"/>
                <c:pt idx="0">
                  <c:v>Kaçanik </c:v>
                </c:pt>
              </c:strCache>
            </c:strRef>
          </c:tx>
          <c:spPr>
            <a:solidFill>
              <a:schemeClr val="accent6">
                <a:lumMod val="6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PROCESVERBALET!$D$19:$F$19</c:f>
              <c:numCache>
                <c:formatCode>General</c:formatCode>
                <c:ptCount val="3"/>
                <c:pt idx="0">
                  <c:v>11</c:v>
                </c:pt>
                <c:pt idx="1">
                  <c:v>8</c:v>
                </c:pt>
                <c:pt idx="2">
                  <c:v>8</c:v>
                </c:pt>
              </c:numCache>
            </c:numRef>
          </c:val>
          <c:extLst>
            <c:ext xmlns:c16="http://schemas.microsoft.com/office/drawing/2014/chart" uri="{C3380CC4-5D6E-409C-BE32-E72D297353CC}">
              <c16:uniqueId val="{0000000B-0D74-4EDA-B286-59E06FA057D7}"/>
            </c:ext>
          </c:extLst>
        </c:ser>
        <c:ser>
          <c:idx val="12"/>
          <c:order val="12"/>
          <c:tx>
            <c:strRef>
              <c:f>PROCESVERBALET!$C$20</c:f>
              <c:strCache>
                <c:ptCount val="1"/>
                <c:pt idx="0">
                  <c:v>Klinë</c:v>
                </c:pt>
              </c:strCache>
            </c:strRef>
          </c:tx>
          <c:spPr>
            <a:solidFill>
              <a:schemeClr val="accent1">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PROCESVERBALET!$D$20:$F$20</c:f>
              <c:numCache>
                <c:formatCode>General</c:formatCode>
                <c:ptCount val="3"/>
                <c:pt idx="0">
                  <c:v>13</c:v>
                </c:pt>
                <c:pt idx="1">
                  <c:v>10</c:v>
                </c:pt>
                <c:pt idx="2">
                  <c:v>0</c:v>
                </c:pt>
              </c:numCache>
            </c:numRef>
          </c:val>
          <c:extLst>
            <c:ext xmlns:c16="http://schemas.microsoft.com/office/drawing/2014/chart" uri="{C3380CC4-5D6E-409C-BE32-E72D297353CC}">
              <c16:uniqueId val="{0000000C-0D74-4EDA-B286-59E06FA057D7}"/>
            </c:ext>
          </c:extLst>
        </c:ser>
        <c:ser>
          <c:idx val="13"/>
          <c:order val="13"/>
          <c:tx>
            <c:strRef>
              <c:f>PROCESVERBALET!$C$21</c:f>
              <c:strCache>
                <c:ptCount val="1"/>
                <c:pt idx="0">
                  <c:v>Kllokot </c:v>
                </c:pt>
              </c:strCache>
            </c:strRef>
          </c:tx>
          <c:spPr>
            <a:solidFill>
              <a:schemeClr val="accent2">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PROCESVERBALET!$D$21:$F$21</c:f>
              <c:numCache>
                <c:formatCode>General</c:formatCode>
                <c:ptCount val="3"/>
                <c:pt idx="0">
                  <c:v>0</c:v>
                </c:pt>
                <c:pt idx="1">
                  <c:v>0</c:v>
                </c:pt>
                <c:pt idx="2">
                  <c:v>0</c:v>
                </c:pt>
              </c:numCache>
            </c:numRef>
          </c:val>
          <c:extLst>
            <c:ext xmlns:c16="http://schemas.microsoft.com/office/drawing/2014/chart" uri="{C3380CC4-5D6E-409C-BE32-E72D297353CC}">
              <c16:uniqueId val="{0000000D-0D74-4EDA-B286-59E06FA057D7}"/>
            </c:ext>
          </c:extLst>
        </c:ser>
        <c:ser>
          <c:idx val="14"/>
          <c:order val="14"/>
          <c:tx>
            <c:strRef>
              <c:f>PROCESVERBALET!$C$22</c:f>
              <c:strCache>
                <c:ptCount val="1"/>
                <c:pt idx="0">
                  <c:v>Lipjan </c:v>
                </c:pt>
              </c:strCache>
            </c:strRef>
          </c:tx>
          <c:spPr>
            <a:solidFill>
              <a:schemeClr val="accent3">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PROCESVERBALET!$D$22:$F$22</c:f>
              <c:numCache>
                <c:formatCode>General</c:formatCode>
                <c:ptCount val="3"/>
                <c:pt idx="0">
                  <c:v>8</c:v>
                </c:pt>
                <c:pt idx="1">
                  <c:v>7</c:v>
                </c:pt>
                <c:pt idx="2">
                  <c:v>7</c:v>
                </c:pt>
              </c:numCache>
            </c:numRef>
          </c:val>
          <c:extLst>
            <c:ext xmlns:c16="http://schemas.microsoft.com/office/drawing/2014/chart" uri="{C3380CC4-5D6E-409C-BE32-E72D297353CC}">
              <c16:uniqueId val="{0000000E-0D74-4EDA-B286-59E06FA057D7}"/>
            </c:ext>
          </c:extLst>
        </c:ser>
        <c:ser>
          <c:idx val="15"/>
          <c:order val="15"/>
          <c:tx>
            <c:strRef>
              <c:f>PROCESVERBALET!$C$23</c:f>
              <c:strCache>
                <c:ptCount val="1"/>
                <c:pt idx="0">
                  <c:v>Malishevë</c:v>
                </c:pt>
              </c:strCache>
            </c:strRef>
          </c:tx>
          <c:spPr>
            <a:solidFill>
              <a:schemeClr val="accent4">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PROCESVERBALET!$D$23:$F$23</c:f>
              <c:numCache>
                <c:formatCode>General</c:formatCode>
                <c:ptCount val="3"/>
                <c:pt idx="0">
                  <c:v>9</c:v>
                </c:pt>
                <c:pt idx="1">
                  <c:v>9</c:v>
                </c:pt>
                <c:pt idx="2">
                  <c:v>2</c:v>
                </c:pt>
              </c:numCache>
            </c:numRef>
          </c:val>
          <c:extLst>
            <c:ext xmlns:c16="http://schemas.microsoft.com/office/drawing/2014/chart" uri="{C3380CC4-5D6E-409C-BE32-E72D297353CC}">
              <c16:uniqueId val="{0000000F-0D74-4EDA-B286-59E06FA057D7}"/>
            </c:ext>
          </c:extLst>
        </c:ser>
        <c:ser>
          <c:idx val="16"/>
          <c:order val="16"/>
          <c:tx>
            <c:strRef>
              <c:f>PROCESVERBALET!$C$24</c:f>
              <c:strCache>
                <c:ptCount val="1"/>
                <c:pt idx="0">
                  <c:v>Mitrovicë</c:v>
                </c:pt>
              </c:strCache>
            </c:strRef>
          </c:tx>
          <c:spPr>
            <a:solidFill>
              <a:schemeClr val="accent5">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PROCESVERBALET!$D$24:$F$24</c:f>
              <c:numCache>
                <c:formatCode>General</c:formatCode>
                <c:ptCount val="3"/>
                <c:pt idx="0">
                  <c:v>4</c:v>
                </c:pt>
                <c:pt idx="1">
                  <c:v>10</c:v>
                </c:pt>
                <c:pt idx="2">
                  <c:v>10</c:v>
                </c:pt>
              </c:numCache>
            </c:numRef>
          </c:val>
          <c:extLst>
            <c:ext xmlns:c16="http://schemas.microsoft.com/office/drawing/2014/chart" uri="{C3380CC4-5D6E-409C-BE32-E72D297353CC}">
              <c16:uniqueId val="{00000010-0D74-4EDA-B286-59E06FA057D7}"/>
            </c:ext>
          </c:extLst>
        </c:ser>
        <c:ser>
          <c:idx val="17"/>
          <c:order val="17"/>
          <c:tx>
            <c:strRef>
              <c:f>PROCESVERBALET!$C$25</c:f>
              <c:strCache>
                <c:ptCount val="1"/>
                <c:pt idx="0">
                  <c:v>Novobërdë</c:v>
                </c:pt>
              </c:strCache>
            </c:strRef>
          </c:tx>
          <c:spPr>
            <a:solidFill>
              <a:schemeClr val="accent6">
                <a:lumMod val="80000"/>
                <a:lumOff val="2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PROCESVERBALET!$D$25:$F$25</c:f>
              <c:numCache>
                <c:formatCode>General</c:formatCode>
                <c:ptCount val="3"/>
                <c:pt idx="0">
                  <c:v>0</c:v>
                </c:pt>
                <c:pt idx="1">
                  <c:v>1</c:v>
                </c:pt>
                <c:pt idx="2">
                  <c:v>1</c:v>
                </c:pt>
              </c:numCache>
            </c:numRef>
          </c:val>
          <c:extLst>
            <c:ext xmlns:c16="http://schemas.microsoft.com/office/drawing/2014/chart" uri="{C3380CC4-5D6E-409C-BE32-E72D297353CC}">
              <c16:uniqueId val="{00000011-0D74-4EDA-B286-59E06FA057D7}"/>
            </c:ext>
          </c:extLst>
        </c:ser>
        <c:ser>
          <c:idx val="18"/>
          <c:order val="18"/>
          <c:tx>
            <c:strRef>
              <c:f>PROCESVERBALET!$C$26</c:f>
              <c:strCache>
                <c:ptCount val="1"/>
                <c:pt idx="0">
                  <c:v>Obiliq</c:v>
                </c:pt>
              </c:strCache>
            </c:strRef>
          </c:tx>
          <c:spPr>
            <a:solidFill>
              <a:schemeClr val="accent1">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PROCESVERBALET!$D$26:$F$26</c:f>
              <c:numCache>
                <c:formatCode>General</c:formatCode>
                <c:ptCount val="3"/>
                <c:pt idx="0">
                  <c:v>13</c:v>
                </c:pt>
                <c:pt idx="1">
                  <c:v>8</c:v>
                </c:pt>
                <c:pt idx="2">
                  <c:v>0</c:v>
                </c:pt>
              </c:numCache>
            </c:numRef>
          </c:val>
          <c:extLst>
            <c:ext xmlns:c16="http://schemas.microsoft.com/office/drawing/2014/chart" uri="{C3380CC4-5D6E-409C-BE32-E72D297353CC}">
              <c16:uniqueId val="{00000012-0D74-4EDA-B286-59E06FA057D7}"/>
            </c:ext>
          </c:extLst>
        </c:ser>
        <c:ser>
          <c:idx val="19"/>
          <c:order val="19"/>
          <c:tx>
            <c:strRef>
              <c:f>PROCESVERBALET!$C$27</c:f>
              <c:strCache>
                <c:ptCount val="1"/>
                <c:pt idx="0">
                  <c:v>Partesh </c:v>
                </c:pt>
              </c:strCache>
            </c:strRef>
          </c:tx>
          <c:spPr>
            <a:solidFill>
              <a:schemeClr val="accent2">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PROCESVERBALET!$D$27:$F$27</c:f>
              <c:numCache>
                <c:formatCode>General</c:formatCode>
                <c:ptCount val="3"/>
                <c:pt idx="0">
                  <c:v>8</c:v>
                </c:pt>
                <c:pt idx="1">
                  <c:v>4</c:v>
                </c:pt>
                <c:pt idx="2">
                  <c:v>3</c:v>
                </c:pt>
              </c:numCache>
            </c:numRef>
          </c:val>
          <c:extLst>
            <c:ext xmlns:c16="http://schemas.microsoft.com/office/drawing/2014/chart" uri="{C3380CC4-5D6E-409C-BE32-E72D297353CC}">
              <c16:uniqueId val="{00000013-0D74-4EDA-B286-59E06FA057D7}"/>
            </c:ext>
          </c:extLst>
        </c:ser>
        <c:ser>
          <c:idx val="20"/>
          <c:order val="20"/>
          <c:tx>
            <c:strRef>
              <c:f>PROCESVERBALET!$C$28</c:f>
              <c:strCache>
                <c:ptCount val="1"/>
                <c:pt idx="0">
                  <c:v>Pejë </c:v>
                </c:pt>
              </c:strCache>
            </c:strRef>
          </c:tx>
          <c:spPr>
            <a:solidFill>
              <a:schemeClr val="accent3">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PROCESVERBALET!$D$28:$F$28</c:f>
              <c:numCache>
                <c:formatCode>General</c:formatCode>
                <c:ptCount val="3"/>
                <c:pt idx="0">
                  <c:v>6</c:v>
                </c:pt>
                <c:pt idx="1">
                  <c:v>4</c:v>
                </c:pt>
                <c:pt idx="2">
                  <c:v>0</c:v>
                </c:pt>
              </c:numCache>
            </c:numRef>
          </c:val>
          <c:extLst>
            <c:ext xmlns:c16="http://schemas.microsoft.com/office/drawing/2014/chart" uri="{C3380CC4-5D6E-409C-BE32-E72D297353CC}">
              <c16:uniqueId val="{00000014-0D74-4EDA-B286-59E06FA057D7}"/>
            </c:ext>
          </c:extLst>
        </c:ser>
        <c:ser>
          <c:idx val="21"/>
          <c:order val="21"/>
          <c:tx>
            <c:strRef>
              <c:f>PROCESVERBALET!$C$29</c:f>
              <c:strCache>
                <c:ptCount val="1"/>
                <c:pt idx="0">
                  <c:v>Podujevë</c:v>
                </c:pt>
              </c:strCache>
            </c:strRef>
          </c:tx>
          <c:spPr>
            <a:solidFill>
              <a:schemeClr val="accent4">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PROCESVERBALET!$D$29:$F$29</c:f>
              <c:numCache>
                <c:formatCode>General</c:formatCode>
                <c:ptCount val="3"/>
                <c:pt idx="0">
                  <c:v>12</c:v>
                </c:pt>
                <c:pt idx="1">
                  <c:v>8</c:v>
                </c:pt>
                <c:pt idx="2">
                  <c:v>7</c:v>
                </c:pt>
              </c:numCache>
            </c:numRef>
          </c:val>
          <c:extLst>
            <c:ext xmlns:c16="http://schemas.microsoft.com/office/drawing/2014/chart" uri="{C3380CC4-5D6E-409C-BE32-E72D297353CC}">
              <c16:uniqueId val="{00000015-0D74-4EDA-B286-59E06FA057D7}"/>
            </c:ext>
          </c:extLst>
        </c:ser>
        <c:ser>
          <c:idx val="22"/>
          <c:order val="22"/>
          <c:tx>
            <c:strRef>
              <c:f>PROCESVERBALET!$C$30</c:f>
              <c:strCache>
                <c:ptCount val="1"/>
                <c:pt idx="0">
                  <c:v>Prishtinë</c:v>
                </c:pt>
              </c:strCache>
            </c:strRef>
          </c:tx>
          <c:spPr>
            <a:solidFill>
              <a:schemeClr val="accent5">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PROCESVERBALET!$D$30:$F$30</c:f>
              <c:numCache>
                <c:formatCode>General</c:formatCode>
                <c:ptCount val="3"/>
                <c:pt idx="0">
                  <c:v>8</c:v>
                </c:pt>
                <c:pt idx="1">
                  <c:v>7</c:v>
                </c:pt>
                <c:pt idx="2">
                  <c:v>8</c:v>
                </c:pt>
              </c:numCache>
            </c:numRef>
          </c:val>
          <c:extLst>
            <c:ext xmlns:c16="http://schemas.microsoft.com/office/drawing/2014/chart" uri="{C3380CC4-5D6E-409C-BE32-E72D297353CC}">
              <c16:uniqueId val="{00000016-0D74-4EDA-B286-59E06FA057D7}"/>
            </c:ext>
          </c:extLst>
        </c:ser>
        <c:ser>
          <c:idx val="23"/>
          <c:order val="23"/>
          <c:tx>
            <c:strRef>
              <c:f>PROCESVERBALET!$C$31</c:f>
              <c:strCache>
                <c:ptCount val="1"/>
                <c:pt idx="0">
                  <c:v>Prizren </c:v>
                </c:pt>
              </c:strCache>
            </c:strRef>
          </c:tx>
          <c:spPr>
            <a:solidFill>
              <a:schemeClr val="accent6">
                <a:lumMod val="8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PROCESVERBALET!$D$31:$F$31</c:f>
              <c:numCache>
                <c:formatCode>General</c:formatCode>
                <c:ptCount val="3"/>
                <c:pt idx="0">
                  <c:v>8</c:v>
                </c:pt>
                <c:pt idx="1">
                  <c:v>3</c:v>
                </c:pt>
                <c:pt idx="2">
                  <c:v>0</c:v>
                </c:pt>
              </c:numCache>
            </c:numRef>
          </c:val>
          <c:extLst>
            <c:ext xmlns:c16="http://schemas.microsoft.com/office/drawing/2014/chart" uri="{C3380CC4-5D6E-409C-BE32-E72D297353CC}">
              <c16:uniqueId val="{00000017-0D74-4EDA-B286-59E06FA057D7}"/>
            </c:ext>
          </c:extLst>
        </c:ser>
        <c:ser>
          <c:idx val="24"/>
          <c:order val="24"/>
          <c:tx>
            <c:strRef>
              <c:f>PROCESVERBALET!$C$32</c:f>
              <c:strCache>
                <c:ptCount val="1"/>
                <c:pt idx="0">
                  <c:v>Rahovec</c:v>
                </c:pt>
              </c:strCache>
            </c:strRef>
          </c:tx>
          <c:spPr>
            <a:solidFill>
              <a:schemeClr val="accent1">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PROCESVERBALET!$D$32:$F$32</c:f>
              <c:numCache>
                <c:formatCode>General</c:formatCode>
                <c:ptCount val="3"/>
                <c:pt idx="0">
                  <c:v>13</c:v>
                </c:pt>
                <c:pt idx="1">
                  <c:v>10</c:v>
                </c:pt>
                <c:pt idx="2">
                  <c:v>5</c:v>
                </c:pt>
              </c:numCache>
            </c:numRef>
          </c:val>
          <c:extLst>
            <c:ext xmlns:c16="http://schemas.microsoft.com/office/drawing/2014/chart" uri="{C3380CC4-5D6E-409C-BE32-E72D297353CC}">
              <c16:uniqueId val="{00000018-0D74-4EDA-B286-59E06FA057D7}"/>
            </c:ext>
          </c:extLst>
        </c:ser>
        <c:ser>
          <c:idx val="25"/>
          <c:order val="25"/>
          <c:tx>
            <c:strRef>
              <c:f>PROCESVERBALET!$C$33</c:f>
              <c:strCache>
                <c:ptCount val="1"/>
                <c:pt idx="0">
                  <c:v>Ranillug </c:v>
                </c:pt>
              </c:strCache>
            </c:strRef>
          </c:tx>
          <c:spPr>
            <a:solidFill>
              <a:schemeClr val="accent2">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PROCESVERBALET!$D$33:$F$33</c:f>
              <c:numCache>
                <c:formatCode>General</c:formatCode>
                <c:ptCount val="3"/>
                <c:pt idx="0">
                  <c:v>0</c:v>
                </c:pt>
                <c:pt idx="1">
                  <c:v>0</c:v>
                </c:pt>
                <c:pt idx="2">
                  <c:v>0</c:v>
                </c:pt>
              </c:numCache>
            </c:numRef>
          </c:val>
          <c:extLst>
            <c:ext xmlns:c16="http://schemas.microsoft.com/office/drawing/2014/chart" uri="{C3380CC4-5D6E-409C-BE32-E72D297353CC}">
              <c16:uniqueId val="{00000019-0D74-4EDA-B286-59E06FA057D7}"/>
            </c:ext>
          </c:extLst>
        </c:ser>
        <c:ser>
          <c:idx val="26"/>
          <c:order val="26"/>
          <c:tx>
            <c:strRef>
              <c:f>PROCESVERBALET!$C$34</c:f>
              <c:strCache>
                <c:ptCount val="1"/>
                <c:pt idx="0">
                  <c:v>Shtime </c:v>
                </c:pt>
              </c:strCache>
            </c:strRef>
          </c:tx>
          <c:spPr>
            <a:solidFill>
              <a:schemeClr val="accent3">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PROCESVERBALET!$D$34:$F$34</c:f>
              <c:numCache>
                <c:formatCode>General</c:formatCode>
                <c:ptCount val="3"/>
                <c:pt idx="0">
                  <c:v>9</c:v>
                </c:pt>
                <c:pt idx="1">
                  <c:v>8</c:v>
                </c:pt>
                <c:pt idx="2">
                  <c:v>8</c:v>
                </c:pt>
              </c:numCache>
            </c:numRef>
          </c:val>
          <c:extLst>
            <c:ext xmlns:c16="http://schemas.microsoft.com/office/drawing/2014/chart" uri="{C3380CC4-5D6E-409C-BE32-E72D297353CC}">
              <c16:uniqueId val="{0000001A-0D74-4EDA-B286-59E06FA057D7}"/>
            </c:ext>
          </c:extLst>
        </c:ser>
        <c:ser>
          <c:idx val="27"/>
          <c:order val="27"/>
          <c:tx>
            <c:strRef>
              <c:f>PROCESVERBALET!$C$35</c:f>
              <c:strCache>
                <c:ptCount val="1"/>
                <c:pt idx="0">
                  <c:v>Shtërpcë</c:v>
                </c:pt>
              </c:strCache>
            </c:strRef>
          </c:tx>
          <c:spPr>
            <a:solidFill>
              <a:schemeClr val="accent4">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PROCESVERBALET!$D$35:$F$35</c:f>
              <c:numCache>
                <c:formatCode>General</c:formatCode>
                <c:ptCount val="3"/>
                <c:pt idx="0">
                  <c:v>0</c:v>
                </c:pt>
                <c:pt idx="1">
                  <c:v>0</c:v>
                </c:pt>
                <c:pt idx="2">
                  <c:v>0</c:v>
                </c:pt>
              </c:numCache>
            </c:numRef>
          </c:val>
          <c:extLst>
            <c:ext xmlns:c16="http://schemas.microsoft.com/office/drawing/2014/chart" uri="{C3380CC4-5D6E-409C-BE32-E72D297353CC}">
              <c16:uniqueId val="{0000001B-0D74-4EDA-B286-59E06FA057D7}"/>
            </c:ext>
          </c:extLst>
        </c:ser>
        <c:ser>
          <c:idx val="28"/>
          <c:order val="28"/>
          <c:tx>
            <c:strRef>
              <c:f>PROCESVERBALET!$C$36</c:f>
              <c:strCache>
                <c:ptCount val="1"/>
                <c:pt idx="0">
                  <c:v>Skenderaj </c:v>
                </c:pt>
              </c:strCache>
            </c:strRef>
          </c:tx>
          <c:spPr>
            <a:solidFill>
              <a:schemeClr val="accent5">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PROCESVERBALET!$D$36:$F$36</c:f>
              <c:numCache>
                <c:formatCode>General</c:formatCode>
                <c:ptCount val="3"/>
                <c:pt idx="0">
                  <c:v>9</c:v>
                </c:pt>
                <c:pt idx="1">
                  <c:v>7</c:v>
                </c:pt>
                <c:pt idx="2">
                  <c:v>0</c:v>
                </c:pt>
              </c:numCache>
            </c:numRef>
          </c:val>
          <c:extLst>
            <c:ext xmlns:c16="http://schemas.microsoft.com/office/drawing/2014/chart" uri="{C3380CC4-5D6E-409C-BE32-E72D297353CC}">
              <c16:uniqueId val="{0000001C-0D74-4EDA-B286-59E06FA057D7}"/>
            </c:ext>
          </c:extLst>
        </c:ser>
        <c:ser>
          <c:idx val="29"/>
          <c:order val="29"/>
          <c:tx>
            <c:strRef>
              <c:f>PROCESVERBALET!$C$37</c:f>
              <c:strCache>
                <c:ptCount val="1"/>
                <c:pt idx="0">
                  <c:v>Suharekë</c:v>
                </c:pt>
              </c:strCache>
            </c:strRef>
          </c:tx>
          <c:spPr>
            <a:solidFill>
              <a:schemeClr val="accent6">
                <a:lumMod val="60000"/>
                <a:lumOff val="4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PROCESVERBALET!$D$37:$F$37</c:f>
              <c:numCache>
                <c:formatCode>General</c:formatCode>
                <c:ptCount val="3"/>
                <c:pt idx="0">
                  <c:v>6</c:v>
                </c:pt>
                <c:pt idx="1">
                  <c:v>8</c:v>
                </c:pt>
                <c:pt idx="2">
                  <c:v>0</c:v>
                </c:pt>
              </c:numCache>
            </c:numRef>
          </c:val>
          <c:extLst>
            <c:ext xmlns:c16="http://schemas.microsoft.com/office/drawing/2014/chart" uri="{C3380CC4-5D6E-409C-BE32-E72D297353CC}">
              <c16:uniqueId val="{0000001D-0D74-4EDA-B286-59E06FA057D7}"/>
            </c:ext>
          </c:extLst>
        </c:ser>
        <c:ser>
          <c:idx val="30"/>
          <c:order val="30"/>
          <c:tx>
            <c:strRef>
              <c:f>PROCESVERBALET!$C$38</c:f>
              <c:strCache>
                <c:ptCount val="1"/>
                <c:pt idx="0">
                  <c:v>Viti </c:v>
                </c:pt>
              </c:strCache>
            </c:strRef>
          </c:tx>
          <c:spPr>
            <a:solidFill>
              <a:schemeClr val="accent1">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PROCESVERBALET!$D$38:$F$38</c:f>
              <c:numCache>
                <c:formatCode>General</c:formatCode>
                <c:ptCount val="3"/>
                <c:pt idx="0">
                  <c:v>7</c:v>
                </c:pt>
                <c:pt idx="1">
                  <c:v>0</c:v>
                </c:pt>
                <c:pt idx="2">
                  <c:v>0</c:v>
                </c:pt>
              </c:numCache>
            </c:numRef>
          </c:val>
          <c:extLst>
            <c:ext xmlns:c16="http://schemas.microsoft.com/office/drawing/2014/chart" uri="{C3380CC4-5D6E-409C-BE32-E72D297353CC}">
              <c16:uniqueId val="{0000001E-0D74-4EDA-B286-59E06FA057D7}"/>
            </c:ext>
          </c:extLst>
        </c:ser>
        <c:ser>
          <c:idx val="31"/>
          <c:order val="31"/>
          <c:tx>
            <c:strRef>
              <c:f>PROCESVERBALET!$C$39</c:f>
              <c:strCache>
                <c:ptCount val="1"/>
                <c:pt idx="0">
                  <c:v>Vushtrri </c:v>
                </c:pt>
              </c:strCache>
            </c:strRef>
          </c:tx>
          <c:spPr>
            <a:solidFill>
              <a:schemeClr val="accent2">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PROCESVERBALET!$D$39:$F$39</c:f>
              <c:numCache>
                <c:formatCode>General</c:formatCode>
                <c:ptCount val="3"/>
                <c:pt idx="0">
                  <c:v>7</c:v>
                </c:pt>
                <c:pt idx="1">
                  <c:v>8</c:v>
                </c:pt>
                <c:pt idx="2">
                  <c:v>9</c:v>
                </c:pt>
              </c:numCache>
            </c:numRef>
          </c:val>
          <c:extLst>
            <c:ext xmlns:c16="http://schemas.microsoft.com/office/drawing/2014/chart" uri="{C3380CC4-5D6E-409C-BE32-E72D297353CC}">
              <c16:uniqueId val="{0000001F-0D74-4EDA-B286-59E06FA057D7}"/>
            </c:ext>
          </c:extLst>
        </c:ser>
        <c:ser>
          <c:idx val="32"/>
          <c:order val="32"/>
          <c:tx>
            <c:strRef>
              <c:f>PROCESVERBALET!$C$40</c:f>
              <c:strCache>
                <c:ptCount val="1"/>
                <c:pt idx="0">
                  <c:v>Zubin Potoku</c:v>
                </c:pt>
              </c:strCache>
            </c:strRef>
          </c:tx>
          <c:spPr>
            <a:solidFill>
              <a:schemeClr val="accent3">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PROCESVERBALET!$D$40:$F$40</c:f>
              <c:numCache>
                <c:formatCode>General</c:formatCode>
                <c:ptCount val="3"/>
                <c:pt idx="0">
                  <c:v>0</c:v>
                </c:pt>
                <c:pt idx="1">
                  <c:v>0</c:v>
                </c:pt>
                <c:pt idx="2">
                  <c:v>0</c:v>
                </c:pt>
              </c:numCache>
            </c:numRef>
          </c:val>
          <c:extLst>
            <c:ext xmlns:c16="http://schemas.microsoft.com/office/drawing/2014/chart" uri="{C3380CC4-5D6E-409C-BE32-E72D297353CC}">
              <c16:uniqueId val="{00000020-0D74-4EDA-B286-59E06FA057D7}"/>
            </c:ext>
          </c:extLst>
        </c:ser>
        <c:ser>
          <c:idx val="33"/>
          <c:order val="33"/>
          <c:tx>
            <c:strRef>
              <c:f>PROCESVERBALET!$C$41</c:f>
              <c:strCache>
                <c:ptCount val="1"/>
                <c:pt idx="0">
                  <c:v>Zveçan</c:v>
                </c:pt>
              </c:strCache>
            </c:strRef>
          </c:tx>
          <c:spPr>
            <a:solidFill>
              <a:schemeClr val="accent4">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PROCESVERBALET!$D$41:$F$41</c:f>
              <c:numCache>
                <c:formatCode>General</c:formatCode>
                <c:ptCount val="3"/>
                <c:pt idx="0">
                  <c:v>0</c:v>
                </c:pt>
                <c:pt idx="1">
                  <c:v>0</c:v>
                </c:pt>
                <c:pt idx="2">
                  <c:v>0</c:v>
                </c:pt>
              </c:numCache>
            </c:numRef>
          </c:val>
          <c:extLst>
            <c:ext xmlns:c16="http://schemas.microsoft.com/office/drawing/2014/chart" uri="{C3380CC4-5D6E-409C-BE32-E72D297353CC}">
              <c16:uniqueId val="{00000021-0D74-4EDA-B286-59E06FA057D7}"/>
            </c:ext>
          </c:extLst>
        </c:ser>
        <c:ser>
          <c:idx val="34"/>
          <c:order val="34"/>
          <c:tx>
            <c:strRef>
              <c:f>PROCESVERBALET!$C$42</c:f>
              <c:strCache>
                <c:ptCount val="1"/>
                <c:pt idx="0">
                  <c:v>Leposaviq</c:v>
                </c:pt>
              </c:strCache>
            </c:strRef>
          </c:tx>
          <c:spPr>
            <a:solidFill>
              <a:schemeClr val="accent5">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PROCESVERBALET!$D$42:$F$42</c:f>
              <c:numCache>
                <c:formatCode>General</c:formatCode>
                <c:ptCount val="3"/>
                <c:pt idx="0">
                  <c:v>0</c:v>
                </c:pt>
                <c:pt idx="1">
                  <c:v>0</c:v>
                </c:pt>
                <c:pt idx="2">
                  <c:v>0</c:v>
                </c:pt>
              </c:numCache>
            </c:numRef>
          </c:val>
          <c:extLst>
            <c:ext xmlns:c16="http://schemas.microsoft.com/office/drawing/2014/chart" uri="{C3380CC4-5D6E-409C-BE32-E72D297353CC}">
              <c16:uniqueId val="{00000022-0D74-4EDA-B286-59E06FA057D7}"/>
            </c:ext>
          </c:extLst>
        </c:ser>
        <c:ser>
          <c:idx val="35"/>
          <c:order val="35"/>
          <c:tx>
            <c:strRef>
              <c:f>PROCESVERBALET!$C$43</c:f>
              <c:strCache>
                <c:ptCount val="1"/>
                <c:pt idx="0">
                  <c:v>Mitrovica Veriore</c:v>
                </c:pt>
              </c:strCache>
            </c:strRef>
          </c:tx>
          <c:spPr>
            <a:solidFill>
              <a:schemeClr val="accent6">
                <a:lumMod val="5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PROCESVERBALET!$D$43:$F$43</c:f>
              <c:numCache>
                <c:formatCode>General</c:formatCode>
                <c:ptCount val="3"/>
                <c:pt idx="0">
                  <c:v>4</c:v>
                </c:pt>
                <c:pt idx="1">
                  <c:v>4</c:v>
                </c:pt>
                <c:pt idx="2">
                  <c:v>2</c:v>
                </c:pt>
              </c:numCache>
            </c:numRef>
          </c:val>
          <c:extLst>
            <c:ext xmlns:c16="http://schemas.microsoft.com/office/drawing/2014/chart" uri="{C3380CC4-5D6E-409C-BE32-E72D297353CC}">
              <c16:uniqueId val="{00000023-0D74-4EDA-B286-59E06FA057D7}"/>
            </c:ext>
          </c:extLst>
        </c:ser>
        <c:ser>
          <c:idx val="36"/>
          <c:order val="36"/>
          <c:tx>
            <c:strRef>
              <c:f>PROCESVERBALET!$C$44</c:f>
              <c:strCache>
                <c:ptCount val="1"/>
                <c:pt idx="0">
                  <c:v>Mamushë</c:v>
                </c:pt>
              </c:strCache>
            </c:strRef>
          </c:tx>
          <c:spPr>
            <a:solidFill>
              <a:schemeClr val="accent1">
                <a:lumMod val="70000"/>
                <a:lumOff val="30000"/>
              </a:schemeClr>
            </a:solid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PROCESVERBALET!$D$44:$F$44</c:f>
              <c:numCache>
                <c:formatCode>General</c:formatCode>
                <c:ptCount val="3"/>
                <c:pt idx="0">
                  <c:v>5</c:v>
                </c:pt>
                <c:pt idx="1">
                  <c:v>1</c:v>
                </c:pt>
                <c:pt idx="2">
                  <c:v>2</c:v>
                </c:pt>
              </c:numCache>
            </c:numRef>
          </c:val>
          <c:extLst>
            <c:ext xmlns:c16="http://schemas.microsoft.com/office/drawing/2014/chart" uri="{C3380CC4-5D6E-409C-BE32-E72D297353CC}">
              <c16:uniqueId val="{00000024-0D74-4EDA-B286-59E06FA057D7}"/>
            </c:ext>
          </c:extLst>
        </c:ser>
        <c:ser>
          <c:idx val="37"/>
          <c:order val="37"/>
          <c:tx>
            <c:strRef>
              <c:f>PROCESVERBALET!$C$45</c:f>
              <c:strCache>
                <c:ptCount val="1"/>
                <c:pt idx="0">
                  <c:v>Dragash</c:v>
                </c:pt>
              </c:strCache>
            </c:strRef>
          </c:tx>
          <c:spPr>
            <a:blipFill>
              <a:blip xmlns:r="http://schemas.openxmlformats.org/officeDocument/2006/relationships" r:embed="rId3"/>
              <a:tile tx="0" ty="0" sx="100000" sy="100000" flip="none" algn="tl"/>
            </a:blipFill>
            <a:ln>
              <a:noFill/>
            </a:ln>
            <a:effectLst/>
            <a:sp3d/>
          </c:spPr>
          <c:invertIfNegative val="0"/>
          <c:dLbls>
            <c:delete val="1"/>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PROCESVERBALET!$D$45:$F$45</c:f>
              <c:numCache>
                <c:formatCode>General</c:formatCode>
                <c:ptCount val="3"/>
                <c:pt idx="0">
                  <c:v>1</c:v>
                </c:pt>
                <c:pt idx="1">
                  <c:v>8</c:v>
                </c:pt>
                <c:pt idx="2">
                  <c:v>8</c:v>
                </c:pt>
              </c:numCache>
            </c:numRef>
          </c:val>
          <c:extLst>
            <c:ext xmlns:c16="http://schemas.microsoft.com/office/drawing/2014/chart" uri="{C3380CC4-5D6E-409C-BE32-E72D297353CC}">
              <c16:uniqueId val="{00000025-0D74-4EDA-B286-59E06FA057D7}"/>
            </c:ext>
          </c:extLst>
        </c:ser>
        <c:ser>
          <c:idx val="38"/>
          <c:order val="38"/>
          <c:tx>
            <c:strRef>
              <c:f>PROCESVERBALET!$C$46</c:f>
              <c:strCache>
                <c:ptCount val="1"/>
                <c:pt idx="0">
                  <c:v>TOTALI</c:v>
                </c:pt>
              </c:strCache>
            </c:strRef>
          </c:tx>
          <c:spPr>
            <a:solidFill>
              <a:schemeClr val="accent3">
                <a:lumMod val="70000"/>
                <a:lumOff val="3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PROCESVERBALET!$D$7:$F$7</c:f>
              <c:strCache>
                <c:ptCount val="3"/>
                <c:pt idx="0">
                  <c:v>Procesverbale nga mbledhjet e kuvendit të komunës</c:v>
                </c:pt>
                <c:pt idx="1">
                  <c:v>Procesverbale nga mbledhjet e Komitetit për Politikë dhe Financa</c:v>
                </c:pt>
                <c:pt idx="2">
                  <c:v>Procesverbale nga mbledhjet e Komitetit për Komunitete</c:v>
                </c:pt>
              </c:strCache>
            </c:strRef>
          </c:cat>
          <c:val>
            <c:numRef>
              <c:f>PROCESVERBALET!$D$46:$F$46</c:f>
              <c:numCache>
                <c:formatCode>General</c:formatCode>
                <c:ptCount val="3"/>
                <c:pt idx="0">
                  <c:v>299</c:v>
                </c:pt>
                <c:pt idx="1">
                  <c:v>236</c:v>
                </c:pt>
                <c:pt idx="2">
                  <c:v>101</c:v>
                </c:pt>
              </c:numCache>
            </c:numRef>
          </c:val>
          <c:extLst>
            <c:ext xmlns:c16="http://schemas.microsoft.com/office/drawing/2014/chart" uri="{C3380CC4-5D6E-409C-BE32-E72D297353CC}">
              <c16:uniqueId val="{00000026-0D74-4EDA-B286-59E06FA057D7}"/>
            </c:ext>
          </c:extLst>
        </c:ser>
        <c:dLbls>
          <c:showLegendKey val="0"/>
          <c:showVal val="1"/>
          <c:showCatName val="0"/>
          <c:showSerName val="0"/>
          <c:showPercent val="0"/>
          <c:showBubbleSize val="0"/>
        </c:dLbls>
        <c:gapWidth val="95"/>
        <c:gapDepth val="95"/>
        <c:shape val="box"/>
        <c:axId val="634583416"/>
        <c:axId val="634583808"/>
        <c:axId val="0"/>
      </c:bar3DChart>
      <c:catAx>
        <c:axId val="6345834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83808"/>
        <c:crosses val="autoZero"/>
        <c:auto val="1"/>
        <c:lblAlgn val="ctr"/>
        <c:lblOffset val="100"/>
        <c:noMultiLvlLbl val="0"/>
      </c:catAx>
      <c:valAx>
        <c:axId val="634583808"/>
        <c:scaling>
          <c:orientation val="minMax"/>
        </c:scaling>
        <c:delete val="1"/>
        <c:axPos val="b"/>
        <c:numFmt formatCode="General" sourceLinked="1"/>
        <c:majorTickMark val="none"/>
        <c:minorTickMark val="none"/>
        <c:tickLblPos val="nextTo"/>
        <c:crossAx val="634583416"/>
        <c:crosses val="autoZero"/>
        <c:crossBetween val="between"/>
      </c:valAx>
      <c:spPr>
        <a:noFill/>
        <a:ln>
          <a:noFill/>
        </a:ln>
        <a:effectLst/>
      </c:spPr>
    </c:plotArea>
    <c:plotVisOnly val="1"/>
    <c:dispBlanksAs val="gap"/>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'PUBLIKIMI K.K PLANET STRATEGJIK'!$Q$7</c:f>
              <c:strCache>
                <c:ptCount val="1"/>
                <c:pt idx="0">
                  <c:v> Publikimi i planit të punë së  kuvendit të komunës </c:v>
                </c:pt>
              </c:strCache>
            </c:strRef>
          </c:tx>
          <c:spPr>
            <a:solidFill>
              <a:schemeClr val="accent1"/>
            </a:solidFill>
            <a:ln>
              <a:noFill/>
            </a:ln>
            <a:effectLst/>
          </c:spPr>
          <c:invertIfNegative val="0"/>
          <c:dLbls>
            <c:dLbl>
              <c:idx val="0"/>
              <c:layout>
                <c:manualLayout>
                  <c:x val="1.9942388654996677E-2"/>
                  <c:y val="-0.22953790395650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9F-49EF-BAE9-848881915A76}"/>
                </c:ext>
              </c:extLst>
            </c:dLbl>
            <c:dLbl>
              <c:idx val="1"/>
              <c:layout>
                <c:manualLayout>
                  <c:x val="3.1021493463328165E-2"/>
                  <c:y val="-0.374509211718514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9F-49EF-BAE9-848881915A76}"/>
                </c:ext>
              </c:extLst>
            </c:dLbl>
            <c:dLbl>
              <c:idx val="2"/>
              <c:layout>
                <c:manualLayout>
                  <c:x val="3.1021493463328144E-2"/>
                  <c:y val="-0.229537903956508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19F-49EF-BAE9-848881915A76}"/>
                </c:ext>
              </c:extLst>
            </c:dLbl>
            <c:dLbl>
              <c:idx val="3"/>
              <c:layout>
                <c:manualLayout>
                  <c:x val="3.9884777309993354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19F-49EF-BAE9-848881915A76}"/>
                </c:ext>
              </c:extLst>
            </c:dLbl>
            <c:dLbl>
              <c:idx val="4"/>
              <c:layout>
                <c:manualLayout>
                  <c:x val="3.3237314424994481E-2"/>
                  <c:y val="-0.3322259136212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19F-49EF-BAE9-848881915A76}"/>
                </c:ext>
              </c:extLst>
            </c:dLbl>
            <c:dLbl>
              <c:idx val="5"/>
              <c:layout>
                <c:manualLayout>
                  <c:x val="8.8632838466651889E-3"/>
                  <c:y val="-0.1812141347025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19F-49EF-BAE9-848881915A76}"/>
                </c:ext>
              </c:extLst>
            </c:dLbl>
            <c:dLbl>
              <c:idx val="6"/>
              <c:layout>
                <c:manualLayout>
                  <c:x val="1.1079104808331467E-2"/>
                  <c:y val="-0.18121413470250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19F-49EF-BAE9-848881915A76}"/>
                </c:ext>
              </c:extLst>
            </c:dLbl>
            <c:dLbl>
              <c:idx val="7"/>
              <c:layout>
                <c:manualLayout>
                  <c:x val="1.3294925769997743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19F-49EF-BAE9-848881915A76}"/>
                </c:ext>
              </c:extLst>
            </c:dLbl>
            <c:dLbl>
              <c:idx val="8"/>
              <c:layout>
                <c:manualLayout>
                  <c:x val="4.4316419233325945E-3"/>
                  <c:y val="-0.12080942313500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19F-49EF-BAE9-848881915A76}"/>
                </c:ext>
              </c:extLst>
            </c:dLbl>
            <c:dLbl>
              <c:idx val="9"/>
              <c:layout>
                <c:manualLayout>
                  <c:x val="6.6474628849988518E-3"/>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19F-49EF-BAE9-848881915A76}"/>
                </c:ext>
              </c:extLst>
            </c:dLbl>
            <c:dLbl>
              <c:idx val="10"/>
              <c:layout>
                <c:manualLayout>
                  <c:x val="8.863283846665149E-3"/>
                  <c:y val="-0.120809423135004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19F-49EF-BAE9-848881915A76}"/>
                </c:ext>
              </c:extLst>
            </c:dLbl>
            <c:dLbl>
              <c:idx val="11"/>
              <c:layout>
                <c:manualLayout>
                  <c:x val="6.6474628849988518E-3"/>
                  <c:y val="-0.332225913621262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19F-49EF-BAE9-848881915A76}"/>
                </c:ext>
              </c:extLst>
            </c:dLbl>
            <c:dLbl>
              <c:idx val="12"/>
              <c:layout>
                <c:manualLayout>
                  <c:x val="2.2158209616662972E-3"/>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19F-49EF-BAE9-848881915A76}"/>
                </c:ext>
              </c:extLst>
            </c:dLbl>
            <c:dLbl>
              <c:idx val="13"/>
              <c:layout>
                <c:manualLayout>
                  <c:x val="4.4316419233325537E-3"/>
                  <c:y val="-0.1751736635457566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19F-49EF-BAE9-848881915A76}"/>
                </c:ext>
              </c:extLst>
            </c:dLbl>
            <c:dLbl>
              <c:idx val="14"/>
              <c:layout>
                <c:manualLayout>
                  <c:x val="-4.0622915017834678E-17"/>
                  <c:y val="-0.157052250075505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19F-49EF-BAE9-848881915A76}"/>
                </c:ext>
              </c:extLst>
            </c:dLbl>
            <c:dLbl>
              <c:idx val="15"/>
              <c:layout>
                <c:manualLayout>
                  <c:x val="0"/>
                  <c:y val="-0.241618846270009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19F-49EF-BAE9-848881915A76}"/>
                </c:ext>
              </c:extLst>
            </c:dLbl>
            <c:dLbl>
              <c:idx val="16"/>
              <c:layout>
                <c:manualLayout>
                  <c:x val="4.4316419233325945E-3"/>
                  <c:y val="-0.2476593174267592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19F-49EF-BAE9-848881915A76}"/>
                </c:ext>
              </c:extLst>
            </c:dLbl>
            <c:dLbl>
              <c:idx val="17"/>
              <c:layout>
                <c:manualLayout>
                  <c:x val="4.4316419233325138E-3"/>
                  <c:y val="-0.27182120205376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19F-49EF-BAE9-848881915A76}"/>
                </c:ext>
              </c:extLst>
            </c:dLbl>
            <c:dLbl>
              <c:idx val="18"/>
              <c:layout>
                <c:manualLayout>
                  <c:x val="1.1079104808331486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19F-49EF-BAE9-848881915A76}"/>
                </c:ext>
              </c:extLst>
            </c:dLbl>
            <c:dLbl>
              <c:idx val="19"/>
              <c:layout>
                <c:manualLayout>
                  <c:x val="2.2158209616662972E-2"/>
                  <c:y val="-0.277861673210510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19F-49EF-BAE9-848881915A76}"/>
                </c:ext>
              </c:extLst>
            </c:dLbl>
            <c:dLbl>
              <c:idx val="20"/>
              <c:layout>
                <c:manualLayout>
                  <c:x val="6.647462884998811E-3"/>
                  <c:y val="-0.15101177891875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19F-49EF-BAE9-848881915A76}"/>
                </c:ext>
              </c:extLst>
            </c:dLbl>
            <c:dLbl>
              <c:idx val="21"/>
              <c:layout>
                <c:manualLayout>
                  <c:x val="1.1079104808331486E-2"/>
                  <c:y val="-0.21141649048625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19F-49EF-BAE9-848881915A76}"/>
                </c:ext>
              </c:extLst>
            </c:dLbl>
            <c:dLbl>
              <c:idx val="22"/>
              <c:layout>
                <c:manualLayout>
                  <c:x val="4.4316419233325945E-3"/>
                  <c:y val="-0.120809423135004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19F-49EF-BAE9-848881915A76}"/>
                </c:ext>
              </c:extLst>
            </c:dLbl>
            <c:dLbl>
              <c:idx val="23"/>
              <c:layout>
                <c:manualLayout>
                  <c:x val="1.1079104808331406E-2"/>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19F-49EF-BAE9-848881915A76}"/>
                </c:ext>
              </c:extLst>
            </c:dLbl>
            <c:dLbl>
              <c:idx val="24"/>
              <c:layout>
                <c:manualLayout>
                  <c:x val="1.1079104808331486E-2"/>
                  <c:y val="-0.205376019329507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19F-49EF-BAE9-848881915A76}"/>
                </c:ext>
              </c:extLst>
            </c:dLbl>
            <c:dLbl>
              <c:idx val="25"/>
              <c:layout>
                <c:manualLayout>
                  <c:x val="1.5510746731664162E-2"/>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19F-49EF-BAE9-848881915A76}"/>
                </c:ext>
              </c:extLst>
            </c:dLbl>
            <c:dLbl>
              <c:idx val="26"/>
              <c:layout>
                <c:manualLayout>
                  <c:x val="2.6589851539995567E-2"/>
                  <c:y val="-0.283902144367260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19F-49EF-BAE9-848881915A76}"/>
                </c:ext>
              </c:extLst>
            </c:dLbl>
            <c:dLbl>
              <c:idx val="27"/>
              <c:layout>
                <c:manualLayout>
                  <c:x val="2.2158209616662893E-2"/>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19F-49EF-BAE9-848881915A76}"/>
                </c:ext>
              </c:extLst>
            </c:dLbl>
            <c:dLbl>
              <c:idx val="28"/>
              <c:layout>
                <c:manualLayout>
                  <c:x val="3.3237314424994377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19F-49EF-BAE9-848881915A76}"/>
                </c:ext>
              </c:extLst>
            </c:dLbl>
            <c:dLbl>
              <c:idx val="29"/>
              <c:layout>
                <c:manualLayout>
                  <c:x val="8.1245830035669357E-17"/>
                  <c:y val="-0.144971307762005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19F-49EF-BAE9-848881915A76}"/>
                </c:ext>
              </c:extLst>
            </c:dLbl>
            <c:dLbl>
              <c:idx val="30"/>
              <c:layout>
                <c:manualLayout>
                  <c:x val="1.5510746731664082E-2"/>
                  <c:y val="-0.25369978858350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19F-49EF-BAE9-848881915A76}"/>
                </c:ext>
              </c:extLst>
            </c:dLbl>
            <c:dLbl>
              <c:idx val="31"/>
              <c:layout>
                <c:manualLayout>
                  <c:x val="1.5510746731664082E-2"/>
                  <c:y val="-0.217456961643008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19F-49EF-BAE9-848881915A76}"/>
                </c:ext>
              </c:extLst>
            </c:dLbl>
            <c:dLbl>
              <c:idx val="32"/>
              <c:layout>
                <c:manualLayout>
                  <c:x val="8.8632838466651889E-3"/>
                  <c:y val="-0.259740259740259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19F-49EF-BAE9-848881915A76}"/>
                </c:ext>
              </c:extLst>
            </c:dLbl>
            <c:dLbl>
              <c:idx val="33"/>
              <c:layout>
                <c:manualLayout>
                  <c:x val="2.2158209616662972E-3"/>
                  <c:y val="-0.151011778918755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19F-49EF-BAE9-848881915A76}"/>
                </c:ext>
              </c:extLst>
            </c:dLbl>
            <c:dLbl>
              <c:idx val="34"/>
              <c:layout>
                <c:manualLayout>
                  <c:x val="8.8632838466650276E-3"/>
                  <c:y val="-0.211416490486257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19F-49EF-BAE9-848881915A76}"/>
                </c:ext>
              </c:extLst>
            </c:dLbl>
            <c:dLbl>
              <c:idx val="35"/>
              <c:layout>
                <c:manualLayout>
                  <c:x val="4.4316419233325945E-3"/>
                  <c:y val="-0.235578375113258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19F-49EF-BAE9-848881915A76}"/>
                </c:ext>
              </c:extLst>
            </c:dLbl>
            <c:dLbl>
              <c:idx val="36"/>
              <c:layout>
                <c:manualLayout>
                  <c:x val="6.6474628849988917E-3"/>
                  <c:y val="-0.241618846270009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19F-49EF-BAE9-848881915A76}"/>
                </c:ext>
              </c:extLst>
            </c:dLbl>
            <c:dLbl>
              <c:idx val="37"/>
              <c:layout>
                <c:manualLayout>
                  <c:x val="0"/>
                  <c:y val="-0.10268800966475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19F-49EF-BAE9-848881915A76}"/>
                </c:ext>
              </c:extLst>
            </c:dLbl>
            <c:spPr>
              <a:noFill/>
              <a:ln>
                <a:noFill/>
              </a:ln>
              <a:effectLst/>
            </c:spPr>
            <c:txPr>
              <a:bodyPr rot="0" spcFirstLastPara="1" vertOverflow="ellipsis" vert="horz" wrap="square" anchor="ctr" anchorCtr="1"/>
              <a:lstStyle/>
              <a:p>
                <a:pPr>
                  <a:defRPr sz="800" b="1" i="1" u="none" strike="noStrike" kern="1200" baseline="0">
                    <a:solidFill>
                      <a:schemeClr val="tx1">
                        <a:lumMod val="75000"/>
                        <a:lumOff val="25000"/>
                      </a:schemeClr>
                    </a:solidFill>
                    <a:latin typeface="Century Schoolbook" panose="020406040505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STRATEGJIK'!$P$8:$P$47</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STRATEGJIK'!$Q$8:$Q$47</c:f>
              <c:numCache>
                <c:formatCode>General</c:formatCode>
                <c:ptCount val="40"/>
                <c:pt idx="0">
                  <c:v>1</c:v>
                </c:pt>
                <c:pt idx="1">
                  <c:v>1</c:v>
                </c:pt>
                <c:pt idx="2">
                  <c:v>1</c:v>
                </c:pt>
                <c:pt idx="3">
                  <c:v>0</c:v>
                </c:pt>
                <c:pt idx="4">
                  <c:v>1</c:v>
                </c:pt>
                <c:pt idx="5">
                  <c:v>1</c:v>
                </c:pt>
                <c:pt idx="6">
                  <c:v>1</c:v>
                </c:pt>
                <c:pt idx="7">
                  <c:v>0</c:v>
                </c:pt>
                <c:pt idx="8">
                  <c:v>0</c:v>
                </c:pt>
                <c:pt idx="9">
                  <c:v>0</c:v>
                </c:pt>
                <c:pt idx="10">
                  <c:v>1</c:v>
                </c:pt>
                <c:pt idx="11">
                  <c:v>1</c:v>
                </c:pt>
                <c:pt idx="12">
                  <c:v>0</c:v>
                </c:pt>
                <c:pt idx="13">
                  <c:v>0</c:v>
                </c:pt>
                <c:pt idx="14">
                  <c:v>1</c:v>
                </c:pt>
                <c:pt idx="15">
                  <c:v>1</c:v>
                </c:pt>
                <c:pt idx="16">
                  <c:v>0</c:v>
                </c:pt>
                <c:pt idx="17">
                  <c:v>0</c:v>
                </c:pt>
                <c:pt idx="18">
                  <c:v>0</c:v>
                </c:pt>
                <c:pt idx="19">
                  <c:v>0</c:v>
                </c:pt>
                <c:pt idx="20">
                  <c:v>0</c:v>
                </c:pt>
                <c:pt idx="21">
                  <c:v>0</c:v>
                </c:pt>
                <c:pt idx="22">
                  <c:v>0</c:v>
                </c:pt>
                <c:pt idx="23">
                  <c:v>1</c:v>
                </c:pt>
                <c:pt idx="24">
                  <c:v>1</c:v>
                </c:pt>
                <c:pt idx="25">
                  <c:v>0</c:v>
                </c:pt>
                <c:pt idx="26">
                  <c:v>1</c:v>
                </c:pt>
                <c:pt idx="27">
                  <c:v>0</c:v>
                </c:pt>
                <c:pt idx="28">
                  <c:v>1</c:v>
                </c:pt>
                <c:pt idx="29">
                  <c:v>1</c:v>
                </c:pt>
                <c:pt idx="30">
                  <c:v>0</c:v>
                </c:pt>
                <c:pt idx="31">
                  <c:v>1</c:v>
                </c:pt>
                <c:pt idx="32">
                  <c:v>0</c:v>
                </c:pt>
                <c:pt idx="33">
                  <c:v>0</c:v>
                </c:pt>
                <c:pt idx="34">
                  <c:v>0</c:v>
                </c:pt>
                <c:pt idx="35">
                  <c:v>0</c:v>
                </c:pt>
                <c:pt idx="36">
                  <c:v>0</c:v>
                </c:pt>
                <c:pt idx="37">
                  <c:v>1</c:v>
                </c:pt>
                <c:pt idx="38">
                  <c:v>17</c:v>
                </c:pt>
              </c:numCache>
            </c:numRef>
          </c:val>
          <c:extLst>
            <c:ext xmlns:c16="http://schemas.microsoft.com/office/drawing/2014/chart" uri="{C3380CC4-5D6E-409C-BE32-E72D297353CC}">
              <c16:uniqueId val="{00000026-719F-49EF-BAE9-848881915A76}"/>
            </c:ext>
          </c:extLst>
        </c:ser>
        <c:dLbls>
          <c:showLegendKey val="0"/>
          <c:showVal val="1"/>
          <c:showCatName val="0"/>
          <c:showSerName val="0"/>
          <c:showPercent val="0"/>
          <c:showBubbleSize val="0"/>
        </c:dLbls>
        <c:gapWidth val="95"/>
        <c:overlap val="100"/>
        <c:axId val="634582632"/>
        <c:axId val="634590472"/>
      </c:barChart>
      <c:catAx>
        <c:axId val="634582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crossAx val="634590472"/>
        <c:crosses val="autoZero"/>
        <c:auto val="1"/>
        <c:lblAlgn val="ctr"/>
        <c:lblOffset val="100"/>
        <c:noMultiLvlLbl val="0"/>
      </c:catAx>
      <c:valAx>
        <c:axId val="634590472"/>
        <c:scaling>
          <c:orientation val="minMax"/>
        </c:scaling>
        <c:delete val="1"/>
        <c:axPos val="l"/>
        <c:numFmt formatCode="General" sourceLinked="1"/>
        <c:majorTickMark val="none"/>
        <c:minorTickMark val="none"/>
        <c:tickLblPos val="nextTo"/>
        <c:crossAx val="634582632"/>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700" b="1" i="1" u="none" strike="noStrike" kern="1200" baseline="0">
              <a:solidFill>
                <a:schemeClr val="tx1">
                  <a:lumMod val="65000"/>
                  <a:lumOff val="35000"/>
                </a:schemeClr>
              </a:solidFill>
              <a:latin typeface="Century Schoolbook" panose="020406040505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sz="800" b="1" i="1">
          <a:latin typeface="Book Antiqua" panose="020406020503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'PUBLIKIMI K.K PLANET STRATEGJIK'!$Q$7</c:f>
              <c:strCache>
                <c:ptCount val="1"/>
                <c:pt idx="0">
                  <c:v>Raporti I Kuvendit Komunal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'PUBLIKIMI K.K PLANET STRATEGJIK'!$P$8:$P$46</c:f>
              <c:strCache>
                <c:ptCount val="39"/>
                <c:pt idx="0">
                  <c:v>Deçan</c:v>
                </c:pt>
                <c:pt idx="1">
                  <c:v>Ferizaj</c:v>
                </c:pt>
                <c:pt idx="2">
                  <c:v>Fushe Kosovë</c:v>
                </c:pt>
                <c:pt idx="3">
                  <c:v>Gjakovë</c:v>
                </c:pt>
                <c:pt idx="4">
                  <c:v>Gjilan </c:v>
                </c:pt>
                <c:pt idx="5">
                  <c:v>Gllogoc </c:v>
                </c:pt>
                <c:pt idx="6">
                  <c:v>Graçanicë</c:v>
                </c:pt>
                <c:pt idx="7">
                  <c:v>Hani Elezit </c:v>
                </c:pt>
                <c:pt idx="8">
                  <c:v>Istog </c:v>
                </c:pt>
                <c:pt idx="9">
                  <c:v>Junik </c:v>
                </c:pt>
                <c:pt idx="10">
                  <c:v>Kamenicë</c:v>
                </c:pt>
                <c:pt idx="11">
                  <c:v>Kaçanik </c:v>
                </c:pt>
                <c:pt idx="12">
                  <c:v>Klinë</c:v>
                </c:pt>
                <c:pt idx="13">
                  <c:v>Kllokot </c:v>
                </c:pt>
                <c:pt idx="14">
                  <c:v>Lipjan </c:v>
                </c:pt>
                <c:pt idx="15">
                  <c:v>Malishevë</c:v>
                </c:pt>
                <c:pt idx="16">
                  <c:v>Mitrovicë</c:v>
                </c:pt>
                <c:pt idx="17">
                  <c:v>Novobërdë</c:v>
                </c:pt>
                <c:pt idx="18">
                  <c:v>Obiliq</c:v>
                </c:pt>
                <c:pt idx="19">
                  <c:v>Partesh </c:v>
                </c:pt>
                <c:pt idx="20">
                  <c:v>Pejë </c:v>
                </c:pt>
                <c:pt idx="21">
                  <c:v>Podujevë</c:v>
                </c:pt>
                <c:pt idx="22">
                  <c:v>Prishtinë</c:v>
                </c:pt>
                <c:pt idx="23">
                  <c:v>Prizren </c:v>
                </c:pt>
                <c:pt idx="24">
                  <c:v>Rahovec</c:v>
                </c:pt>
                <c:pt idx="25">
                  <c:v>Ranillug </c:v>
                </c:pt>
                <c:pt idx="26">
                  <c:v>Shtime </c:v>
                </c:pt>
                <c:pt idx="27">
                  <c:v>Shtërpcë</c:v>
                </c:pt>
                <c:pt idx="28">
                  <c:v>Skenderaj </c:v>
                </c:pt>
                <c:pt idx="29">
                  <c:v>Suharekë</c:v>
                </c:pt>
                <c:pt idx="30">
                  <c:v>Viti </c:v>
                </c:pt>
                <c:pt idx="31">
                  <c:v>Vushtrri </c:v>
                </c:pt>
                <c:pt idx="32">
                  <c:v>Zubin Potoku</c:v>
                </c:pt>
                <c:pt idx="33">
                  <c:v>Zveçan</c:v>
                </c:pt>
                <c:pt idx="34">
                  <c:v>Leposaviq</c:v>
                </c:pt>
                <c:pt idx="35">
                  <c:v>Mitrovica Veriore</c:v>
                </c:pt>
                <c:pt idx="36">
                  <c:v>Mamushë</c:v>
                </c:pt>
                <c:pt idx="37">
                  <c:v>Dragash</c:v>
                </c:pt>
                <c:pt idx="38">
                  <c:v>TOTALI</c:v>
                </c:pt>
              </c:strCache>
            </c:strRef>
          </c:cat>
          <c:val>
            <c:numRef>
              <c:f>'PUBLIKIMI K.K PLANET STRATEGJIK'!$Q$8:$Q$46</c:f>
              <c:numCache>
                <c:formatCode>General</c:formatCode>
                <c:ptCount val="39"/>
                <c:pt idx="0">
                  <c:v>1</c:v>
                </c:pt>
                <c:pt idx="1">
                  <c:v>0</c:v>
                </c:pt>
                <c:pt idx="2">
                  <c:v>0</c:v>
                </c:pt>
                <c:pt idx="3">
                  <c:v>0</c:v>
                </c:pt>
                <c:pt idx="4">
                  <c:v>0</c:v>
                </c:pt>
                <c:pt idx="5">
                  <c:v>1</c:v>
                </c:pt>
                <c:pt idx="6">
                  <c:v>1</c:v>
                </c:pt>
                <c:pt idx="7">
                  <c:v>0</c:v>
                </c:pt>
                <c:pt idx="8">
                  <c:v>1</c:v>
                </c:pt>
                <c:pt idx="9">
                  <c:v>0</c:v>
                </c:pt>
                <c:pt idx="10">
                  <c:v>1</c:v>
                </c:pt>
                <c:pt idx="11">
                  <c:v>1</c:v>
                </c:pt>
                <c:pt idx="12">
                  <c:v>1</c:v>
                </c:pt>
                <c:pt idx="13">
                  <c:v>0</c:v>
                </c:pt>
                <c:pt idx="14">
                  <c:v>1</c:v>
                </c:pt>
                <c:pt idx="15">
                  <c:v>1</c:v>
                </c:pt>
                <c:pt idx="16">
                  <c:v>1</c:v>
                </c:pt>
                <c:pt idx="17">
                  <c:v>1</c:v>
                </c:pt>
                <c:pt idx="18">
                  <c:v>1</c:v>
                </c:pt>
                <c:pt idx="19">
                  <c:v>0</c:v>
                </c:pt>
                <c:pt idx="20">
                  <c:v>0</c:v>
                </c:pt>
                <c:pt idx="21">
                  <c:v>1</c:v>
                </c:pt>
                <c:pt idx="22">
                  <c:v>0</c:v>
                </c:pt>
                <c:pt idx="23">
                  <c:v>1</c:v>
                </c:pt>
                <c:pt idx="24">
                  <c:v>1</c:v>
                </c:pt>
                <c:pt idx="25">
                  <c:v>0</c:v>
                </c:pt>
                <c:pt idx="26">
                  <c:v>1</c:v>
                </c:pt>
                <c:pt idx="27">
                  <c:v>0</c:v>
                </c:pt>
                <c:pt idx="28">
                  <c:v>1</c:v>
                </c:pt>
                <c:pt idx="29">
                  <c:v>1</c:v>
                </c:pt>
                <c:pt idx="30">
                  <c:v>1</c:v>
                </c:pt>
                <c:pt idx="31">
                  <c:v>0</c:v>
                </c:pt>
                <c:pt idx="32">
                  <c:v>0</c:v>
                </c:pt>
                <c:pt idx="33">
                  <c:v>0</c:v>
                </c:pt>
                <c:pt idx="34">
                  <c:v>0</c:v>
                </c:pt>
                <c:pt idx="35">
                  <c:v>0</c:v>
                </c:pt>
                <c:pt idx="36">
                  <c:v>1</c:v>
                </c:pt>
                <c:pt idx="37">
                  <c:v>1</c:v>
                </c:pt>
                <c:pt idx="38">
                  <c:v>21</c:v>
                </c:pt>
              </c:numCache>
            </c:numRef>
          </c:val>
          <c:extLst>
            <c:ext xmlns:c16="http://schemas.microsoft.com/office/drawing/2014/chart" uri="{C3380CC4-5D6E-409C-BE32-E72D297353CC}">
              <c16:uniqueId val="{00000000-935B-4C87-AD65-C722088BB440}"/>
            </c:ext>
          </c:extLst>
        </c:ser>
        <c:dLbls>
          <c:showLegendKey val="0"/>
          <c:showVal val="1"/>
          <c:showCatName val="0"/>
          <c:showSerName val="0"/>
          <c:showPercent val="0"/>
          <c:showBubbleSize val="0"/>
        </c:dLbls>
        <c:gapWidth val="150"/>
        <c:overlap val="-25"/>
        <c:axId val="1085900447"/>
        <c:axId val="1085890047"/>
      </c:barChart>
      <c:catAx>
        <c:axId val="1085900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85890047"/>
        <c:crosses val="autoZero"/>
        <c:auto val="1"/>
        <c:lblAlgn val="ctr"/>
        <c:lblOffset val="100"/>
        <c:noMultiLvlLbl val="0"/>
      </c:catAx>
      <c:valAx>
        <c:axId val="1085890047"/>
        <c:scaling>
          <c:orientation val="minMax"/>
        </c:scaling>
        <c:delete val="1"/>
        <c:axPos val="l"/>
        <c:numFmt formatCode="General" sourceLinked="1"/>
        <c:majorTickMark val="none"/>
        <c:minorTickMark val="none"/>
        <c:tickLblPos val="nextTo"/>
        <c:crossAx val="1085900447"/>
        <c:crosses val="autoZero"/>
        <c:crossBetween val="between"/>
      </c:valAx>
      <c:spPr>
        <a:blipFill>
          <a:blip xmlns:r="http://schemas.openxmlformats.org/officeDocument/2006/relationships" r:embed="rId3"/>
          <a:tile tx="0" ty="0" sx="100000" sy="100000" flip="none" algn="tl"/>
        </a:blipFill>
        <a:ln>
          <a:noFill/>
        </a:ln>
        <a:effectLst/>
      </c:spPr>
    </c:plotArea>
    <c:legend>
      <c:legendPos val="t"/>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blipFill>
      <a:blip xmlns:r="http://schemas.openxmlformats.org/officeDocument/2006/relationships" r:embed="rId3"/>
      <a:tile tx="0" ty="0" sx="100000" sy="100000" flip="none" algn="tl"/>
    </a:blip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I FTESAVE '!$R$8:$R$46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lvl>
      </cx:strDim>
      <cx:numDim type="val">
        <cx:f>'PUBLIKIMI I FTESAVE '!$S$8:$S$46</cx:f>
        <cx:lvl ptCount="39" formatCode="General">
          <cx:pt idx="0">0</cx:pt>
          <cx:pt idx="1">11</cx:pt>
          <cx:pt idx="2">0</cx:pt>
          <cx:pt idx="3">3</cx:pt>
          <cx:pt idx="4">0</cx:pt>
          <cx:pt idx="5">4</cx:pt>
          <cx:pt idx="6">3</cx:pt>
          <cx:pt idx="7">8</cx:pt>
          <cx:pt idx="8">0</cx:pt>
          <cx:pt idx="9">0</cx:pt>
          <cx:pt idx="10">10</cx:pt>
          <cx:pt idx="11">1</cx:pt>
          <cx:pt idx="12">2</cx:pt>
          <cx:pt idx="13">0</cx:pt>
          <cx:pt idx="14">8</cx:pt>
          <cx:pt idx="15">4</cx:pt>
          <cx:pt idx="16">5</cx:pt>
          <cx:pt idx="17">0</cx:pt>
          <cx:pt idx="18">16</cx:pt>
          <cx:pt idx="19">0</cx:pt>
          <cx:pt idx="20">3</cx:pt>
          <cx:pt idx="21">11</cx:pt>
          <cx:pt idx="22">15</cx:pt>
          <cx:pt idx="23">13</cx:pt>
          <cx:pt idx="24">11</cx:pt>
          <cx:pt idx="25">0</cx:pt>
          <cx:pt idx="26">1</cx:pt>
          <cx:pt idx="27">0</cx:pt>
          <cx:pt idx="28">9</cx:pt>
          <cx:pt idx="29">8</cx:pt>
          <cx:pt idx="30">0</cx:pt>
          <cx:pt idx="31">12</cx:pt>
          <cx:pt idx="32">0</cx:pt>
          <cx:pt idx="33">0</cx:pt>
          <cx:pt idx="34">0</cx:pt>
          <cx:pt idx="35">0</cx:pt>
          <cx:pt idx="36">0</cx:pt>
          <cx:pt idx="37">9</cx:pt>
          <cx:pt idx="38">167</cx:pt>
        </cx:lvl>
      </cx:numDim>
    </cx:data>
  </cx:chartData>
  <cx:chart>
    <cx:title pos="t" align="ctr" overlay="0">
      <cx:tx>
        <cx:txData>
          <cx:v>Transmetimi online i mbledhjeve të kuvendeve komunale  </cx:v>
        </cx:txData>
      </cx:tx>
      <cx:txPr>
        <a:bodyPr rot="0" spcFirstLastPara="1" vertOverflow="ellipsis" vert="horz" wrap="square" lIns="38100" tIns="19050" rIns="38100" bIns="19050" anchor="ctr" anchorCtr="1" compatLnSpc="0"/>
        <a:lstStyle/>
        <a:p>
          <a:pPr algn="ctr" rtl="0">
            <a:defRPr sz="700" b="1" i="0" u="none" strike="noStrike" kern="1200" spc="0" baseline="0">
              <a:solidFill>
                <a:sysClr val="windowText" lastClr="000000">
                  <a:lumMod val="65000"/>
                  <a:lumOff val="35000"/>
                </a:sysClr>
              </a:solidFill>
              <a:latin typeface="Century Schoolbook" panose="02040604050505020304" pitchFamily="18" charset="0"/>
              <a:ea typeface="Century Schoolbook" panose="02040604050505020304" pitchFamily="18" charset="0"/>
              <a:cs typeface="Century Schoolbook" panose="02040604050505020304" pitchFamily="18" charset="0"/>
            </a:defRPr>
          </a:pPr>
          <a:r>
            <a:rPr kumimoji="0" lang="en-GB" sz="700" b="1" i="0" u="none" strike="noStrike" kern="1200" cap="none" spc="0" normalizeH="0" baseline="0" noProof="0">
              <a:ln>
                <a:noFill/>
              </a:ln>
              <a:solidFill>
                <a:sysClr val="windowText" lastClr="000000">
                  <a:lumMod val="65000"/>
                  <a:lumOff val="35000"/>
                </a:sysClr>
              </a:solidFill>
              <a:effectLst/>
              <a:uLnTx/>
              <a:uFillTx/>
              <a:latin typeface="Century Schoolbook" panose="02040604050505020304" pitchFamily="18" charset="0"/>
            </a:rPr>
            <a:t>Transmetimi online i mbledhjeve të kuvendeve komunale  </a:t>
          </a:r>
        </a:p>
      </cx:txPr>
    </cx:title>
    <cx:plotArea>
      <cx:plotAreaRegion>
        <cx:series layoutId="clusteredColumn" uniqueId="{F20EBE0A-A15C-4184-9BE9-1F8A40384AB1}">
          <cx:tx>
            <cx:txData>
              <cx:f>'PUBLIKIMI I FTESAVE '!$S$7</cx:f>
              <cx:v>Transmetimi online i mbledhjeve të kuvendeve komunale  </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solidFill>
                  <a:latin typeface="Arial" panose="020B0604020202020204"/>
                </a:endParaRPr>
              </a:p>
            </cx:txPr>
            <cx:visibility seriesName="0" categoryName="0" value="1"/>
          </cx:dataLabels>
          <cx:dataId val="0"/>
          <cx:layoutPr>
            <cx:aggregation/>
          </cx:layoutPr>
          <cx:axisId val="1"/>
        </cx:series>
        <cx:series layoutId="paretoLine" ownerIdx="0" uniqueId="{76B9CFE3-9B55-441F-9B65-A07BEFE80EF6}">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Book Antiqua" panose="02040602050305030304" pitchFamily="18" charset="0"/>
                <a:ea typeface="Book Antiqua" panose="02040602050305030304" pitchFamily="18" charset="0"/>
                <a:cs typeface="Book Antiqua" panose="02040602050305030304" pitchFamily="18" charset="0"/>
              </a:defRPr>
            </a:pPr>
            <a:endParaRPr lang="en-US" sz="800" b="1" i="1" u="none" strike="noStrike" baseline="0">
              <a:solidFill>
                <a:sysClr val="windowText" lastClr="000000">
                  <a:lumMod val="75000"/>
                  <a:lumOff val="25000"/>
                </a:sysClr>
              </a:solidFill>
              <a:latin typeface="Book Antiqua" panose="0204060205030503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'PUBLIKIMI K.K PLANET STRATEGJIK'!$AC$9:$AC$48</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'PUBLIKIMI K.K PLANET STRATEGJIK'!$AD$9:$AD$48</cx:f>
        <cx:lvl ptCount="40" formatCode="General">
          <cx:pt idx="0">0</cx:pt>
          <cx:pt idx="1">1</cx:pt>
          <cx:pt idx="2">0</cx:pt>
          <cx:pt idx="3">1</cx:pt>
          <cx:pt idx="4">1</cx:pt>
          <cx:pt idx="5">1</cx:pt>
          <cx:pt idx="6">0</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1</cx:pt>
          <cx:pt idx="28">1</cx:pt>
          <cx:pt idx="29">1</cx:pt>
          <cx:pt idx="30">0</cx:pt>
          <cx:pt idx="31">0</cx:pt>
          <cx:pt idx="32">0</cx:pt>
          <cx:pt idx="33">0</cx:pt>
          <cx:pt idx="34">0</cx:pt>
          <cx:pt idx="35">0</cx:pt>
          <cx:pt idx="36">0</cx:pt>
          <cx:pt idx="37">0</cx:pt>
          <cx:pt idx="38">23</cx:pt>
        </cx:lvl>
      </cx:numDim>
    </cx:data>
  </cx:chartData>
  <cx:chart>
    <cx:plotArea>
      <cx:plotAreaRegion>
        <cx:series layoutId="clusteredColumn" uniqueId="{8512EF98-173A-4E91-8374-0A507B4BA09C}">
          <cx:tx>
            <cx:txData>
              <cx:f>'PUBLIKIMI K.K PLANET STRATEGJIK'!$AD$7:$AD$8</cx:f>
              <cx:v>Plani i  Veprimit për transparencë</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F0CD19BD-CE9E-496E-A912-1A9B87635EE2}">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800" b="1" i="1" u="none" strike="noStrike" baseline="0">
              <a:solidFill>
                <a:sysClr val="windowText" lastClr="000000">
                  <a:lumMod val="65000"/>
                  <a:lumOff val="35000"/>
                </a:sysClr>
              </a:solidFill>
              <a:latin typeface="Century Schoolbook" panose="02040604050505020304"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lrMapOvr bg1="lt1" tx1="dk1" bg2="lt2" tx2="dk2" accent1="accent1" accent2="accent2" accent3="accent3" accent4="accent4" accent5="accent5" accent6="accent6" hlink="hlink" folHlink="folHlink"/>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'PROKURIMI '!$D$8:$D$46</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TOTALI</cx:pt>
        </cx:lvl>
      </cx:strDim>
      <cx:numDim type="val">
        <cx:f>'PROKURIMI '!$E$8:$E$46</cx:f>
        <cx:lvl ptCount="39" formatCode="General">
          <cx:pt idx="0">1</cx:pt>
          <cx:pt idx="1">1</cx:pt>
          <cx:pt idx="2">1</cx:pt>
          <cx:pt idx="3">1</cx:pt>
          <cx:pt idx="4">0</cx:pt>
          <cx:pt idx="5">1</cx:pt>
          <cx:pt idx="6">1</cx:pt>
          <cx:pt idx="7">1</cx:pt>
          <cx:pt idx="8">1</cx:pt>
          <cx:pt idx="9">1</cx:pt>
          <cx:pt idx="10">1</cx:pt>
          <cx:pt idx="11">1</cx:pt>
          <cx:pt idx="12">1</cx:pt>
          <cx:pt idx="13">0</cx:pt>
          <cx:pt idx="14">1</cx:pt>
          <cx:pt idx="15">1</cx:pt>
          <cx:pt idx="16">1</cx:pt>
          <cx:pt idx="17">0</cx:pt>
          <cx:pt idx="18">1</cx:pt>
          <cx:pt idx="19">0</cx:pt>
          <cx:pt idx="20">1</cx:pt>
          <cx:pt idx="21">1</cx:pt>
          <cx:pt idx="22">1</cx:pt>
          <cx:pt idx="23">1</cx:pt>
          <cx:pt idx="24">1</cx:pt>
          <cx:pt idx="25">0</cx:pt>
          <cx:pt idx="26">1</cx:pt>
          <cx:pt idx="27">0</cx:pt>
          <cx:pt idx="28">1</cx:pt>
          <cx:pt idx="29">1</cx:pt>
          <cx:pt idx="30">1</cx:pt>
          <cx:pt idx="31">1</cx:pt>
          <cx:pt idx="32">0</cx:pt>
          <cx:pt idx="33">0</cx:pt>
          <cx:pt idx="34">0</cx:pt>
          <cx:pt idx="35">0</cx:pt>
          <cx:pt idx="36">0</cx:pt>
          <cx:pt idx="37">1</cx:pt>
          <cx:pt idx="38">27</cx:pt>
        </cx:lvl>
      </cx:numDim>
    </cx:data>
  </cx:chartData>
  <cx:chart>
    <cx:plotArea>
      <cx:plotAreaRegion>
        <cx:series layoutId="clusteredColumn" uniqueId="{EEE80804-F926-49C4-897F-D468D71A4662}">
          <cx:tx>
            <cx:txData>
              <cx:f>'PROKURIMI '!$E$7</cx:f>
              <cx:v>Publikimi i planit të prokurimit</cx:v>
            </cx:txData>
          </cx:tx>
          <cx:dataLabels pos="inEnd">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75000"/>
                      <a:lumOff val="25000"/>
                    </a:sysClr>
                  </a:solidFill>
                  <a:latin typeface="Arial" panose="020B0604020202020204"/>
                </a:endParaRPr>
              </a:p>
            </cx:txPr>
            <cx:visibility seriesName="0" categoryName="0" value="1"/>
          </cx:dataLabels>
          <cx:dataId val="0"/>
          <cx:layoutPr>
            <cx:aggregation/>
          </cx:layoutPr>
          <cx:axisId val="1"/>
        </cx:series>
        <cx:series layoutId="paretoLine" ownerIdx="0" uniqueId="{C7E468B9-DBB6-45C6-AB04-378AF5CBA12C}">
          <cx:axisId val="2"/>
        </cx:series>
      </cx:plotAreaRegion>
      <cx:axis id="0">
        <cx:catScaling gapWidth="0"/>
        <cx:tickLabels/>
        <cx:txPr>
          <a:bodyPr spcFirstLastPara="1" vertOverflow="ellipsis" horzOverflow="overflow" wrap="square" lIns="0" tIns="0" rIns="0" bIns="0" anchor="ctr" anchorCtr="1"/>
          <a:lstStyle/>
          <a:p>
            <a:pPr algn="ctr" rtl="0">
              <a:defRPr sz="800" b="1" i="1">
                <a:latin typeface="Garamond" panose="02020404030301010803" pitchFamily="18" charset="0"/>
                <a:ea typeface="Garamond" panose="02020404030301010803" pitchFamily="18" charset="0"/>
                <a:cs typeface="Garamond" panose="02020404030301010803" pitchFamily="18" charset="0"/>
              </a:defRPr>
            </a:pPr>
            <a:endParaRPr lang="en-US" sz="800" b="1" i="1" u="none" strike="noStrike" baseline="0">
              <a:solidFill>
                <a:sysClr val="windowText" lastClr="000000">
                  <a:lumMod val="65000"/>
                  <a:lumOff val="35000"/>
                </a:sysClr>
              </a:solidFill>
              <a:latin typeface="Garamond" panose="02020404030301010803" pitchFamily="18" charset="0"/>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'!$L$6:$L$44</cx:f>
        <cx:lvl ptCount="39">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'!$M$6:$M$44</cx:f>
        <cx:lvl ptCount="39" formatCode="General">
          <cx:pt idx="0">0</cx:pt>
          <cx:pt idx="1">1</cx:pt>
          <cx:pt idx="2">0</cx:pt>
          <cx:pt idx="3">0</cx:pt>
          <cx:pt idx="4">1</cx:pt>
          <cx:pt idx="5">1</cx:pt>
          <cx:pt idx="6">0</cx:pt>
          <cx:pt idx="7">1</cx:pt>
          <cx:pt idx="8">0</cx:pt>
          <cx:pt idx="9">0</cx:pt>
          <cx:pt idx="10">1</cx:pt>
          <cx:pt idx="11">1</cx:pt>
          <cx:pt idx="12">1</cx:pt>
          <cx:pt idx="13">0</cx:pt>
          <cx:pt idx="14">1</cx:pt>
          <cx:pt idx="15">1</cx:pt>
          <cx:pt idx="16">1</cx:pt>
          <cx:pt idx="17">0</cx:pt>
          <cx:pt idx="18">1</cx:pt>
          <cx:pt idx="19">0</cx:pt>
          <cx:pt idx="20">0</cx:pt>
          <cx:pt idx="21">1</cx:pt>
          <cx:pt idx="22">0</cx:pt>
          <cx:pt idx="23">1</cx:pt>
          <cx:pt idx="24">1</cx:pt>
          <cx:pt idx="25">0</cx:pt>
          <cx:pt idx="26">1</cx:pt>
          <cx:pt idx="27">0</cx:pt>
          <cx:pt idx="28">1</cx:pt>
          <cx:pt idx="29">0</cx:pt>
          <cx:pt idx="30">0</cx:pt>
          <cx:pt idx="31">1</cx:pt>
          <cx:pt idx="32">0</cx:pt>
          <cx:pt idx="33">0</cx:pt>
          <cx:pt idx="34">0</cx:pt>
          <cx:pt idx="35">0</cx:pt>
          <cx:pt idx="36">0</cx:pt>
          <cx:pt idx="37">0</cx:pt>
          <cx:pt idx="38">17</cx:pt>
        </cx:lvl>
      </cx:numDim>
    </cx:data>
  </cx:chartData>
  <cx:chart>
    <cx:title pos="t" align="ctr" overlay="0">
      <cx:tx>
        <cx:txData>
          <cx:v>Plani i  konsultimeve publike </cx:v>
        </cx:txData>
      </cx:tx>
      <cx:txPr>
        <a:bodyPr spcFirstLastPara="1" vertOverflow="ellipsis" horzOverflow="overflow" wrap="square" lIns="0" tIns="0" rIns="0" bIns="0" anchor="ctr" anchorCtr="1"/>
        <a:lstStyle/>
        <a:p>
          <a:pPr algn="ctr" rtl="0">
            <a:defRPr sz="800" b="1">
              <a:latin typeface="+mj-lt"/>
              <a:ea typeface="Century Schoolbook" panose="02040604050505020304" pitchFamily="18" charset="0"/>
              <a:cs typeface="Century Schoolbook" panose="02040604050505020304" pitchFamily="18" charset="0"/>
            </a:defRPr>
          </a:pPr>
          <a:r>
            <a:rPr lang="en-US" sz="800" b="1" i="0" u="none" strike="noStrike" baseline="0">
              <a:solidFill>
                <a:sysClr val="windowText" lastClr="000000">
                  <a:lumMod val="65000"/>
                  <a:lumOff val="35000"/>
                </a:sysClr>
              </a:solidFill>
              <a:latin typeface="+mj-lt"/>
            </a:rPr>
            <a:t>Plani i  konsultimeve publike </a:t>
          </a:r>
        </a:p>
      </cx:txPr>
    </cx:title>
    <cx:plotArea>
      <cx:plotAreaRegion>
        <cx:series layoutId="clusteredColumn" uniqueId="{0467077E-C1FD-4530-8513-1BA5011C8602}">
          <cx:tx>
            <cx:txData>
              <cx:f>'KONSULLTIMET PUBLIKE '!$M$5</cx:f>
              <cx:v>Planifikimi i planit të konsultimeve publike</cx:v>
            </cx:txData>
          </cx:tx>
          <cx:dataLabels pos="inBase">
            <cx:txPr>
              <a:bodyPr spcFirstLastPara="1" vertOverflow="ellipsis" horzOverflow="overflow" wrap="square" lIns="0" tIns="0" rIns="0" bIns="0" anchor="ctr" anchorCtr="1"/>
              <a:lstStyle/>
              <a:p>
                <a:pPr algn="ctr" rtl="0">
                  <a:defRPr b="1"/>
                </a:pPr>
                <a:endParaRPr lang="en-US" sz="900" b="1" i="0" u="none" strike="noStrike" baseline="0">
                  <a:solidFill>
                    <a:sysClr val="windowText" lastClr="000000">
                      <a:lumMod val="65000"/>
                      <a:lumOff val="35000"/>
                    </a:sysClr>
                  </a:solidFill>
                  <a:latin typeface="Arial" panose="020B0604020202020204"/>
                </a:endParaRPr>
              </a:p>
            </cx:txPr>
            <cx:visibility seriesName="0" categoryName="0" value="1"/>
          </cx:dataLabels>
          <cx:dataId val="0"/>
          <cx:layoutPr>
            <cx:aggregation/>
          </cx:layoutPr>
          <cx:axisId val="1"/>
        </cx:series>
        <cx:series layoutId="paretoLine" ownerIdx="0" uniqueId="{B6C6F627-B479-4559-9653-C6BD42BDAE91}">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'KONSULLTIMET PUBLIKE '!$O$6:$O$45</cx:f>
        <cx:lvl ptCount="40">
          <cx:pt idx="0">Deçan</cx:pt>
          <cx:pt idx="1">Ferizaj</cx:pt>
          <cx:pt idx="2">Fushe Kosovë</cx:pt>
          <cx:pt idx="3">Gjakovë</cx:pt>
          <cx:pt idx="4">Gjilan </cx:pt>
          <cx:pt idx="5">Gllogoc </cx:pt>
          <cx:pt idx="6">Graçanicë</cx:pt>
          <cx:pt idx="7">Hani Elezit </cx:pt>
          <cx:pt idx="8">Istog </cx:pt>
          <cx:pt idx="9">Junik </cx:pt>
          <cx:pt idx="10">Kamenicë</cx:pt>
          <cx:pt idx="11">Kaçanik </cx:pt>
          <cx:pt idx="12">Klinë</cx:pt>
          <cx:pt idx="13">Kllokot </cx:pt>
          <cx:pt idx="14">Lipjan </cx:pt>
          <cx:pt idx="15">Malishevë</cx:pt>
          <cx:pt idx="16">Mitrovicë</cx:pt>
          <cx:pt idx="17">Novobërdë</cx:pt>
          <cx:pt idx="18">Obiliq</cx:pt>
          <cx:pt idx="19">Partesh </cx:pt>
          <cx:pt idx="20">Pejë </cx:pt>
          <cx:pt idx="21">Podujevë</cx:pt>
          <cx:pt idx="22">Prishtinë</cx:pt>
          <cx:pt idx="23">Prizren </cx:pt>
          <cx:pt idx="24">Rahovec</cx:pt>
          <cx:pt idx="25">Ranillug </cx:pt>
          <cx:pt idx="26">Shtime </cx:pt>
          <cx:pt idx="27">Shtërpcë</cx:pt>
          <cx:pt idx="28">Skenderaj </cx:pt>
          <cx:pt idx="29">Suharekë</cx:pt>
          <cx:pt idx="30">Viti </cx:pt>
          <cx:pt idx="31">Vushtrri </cx:pt>
          <cx:pt idx="32">Zubin Potoku</cx:pt>
          <cx:pt idx="33">Zveçan</cx:pt>
          <cx:pt idx="34">Leposaviq</cx:pt>
          <cx:pt idx="35">Mitrovica Veriore</cx:pt>
          <cx:pt idx="36">Mamushë</cx:pt>
          <cx:pt idx="37">Dragash</cx:pt>
          <cx:pt idx="38">TOTAL</cx:pt>
        </cx:lvl>
      </cx:strDim>
      <cx:numDim type="val">
        <cx:f>'KONSULLTIMET PUBLIKE '!$P$6:$P$45</cx:f>
        <cx:lvl ptCount="40" formatCode="General">
          <cx:pt idx="0">0</cx:pt>
          <cx:pt idx="1">0</cx:pt>
          <cx:pt idx="2">2</cx:pt>
          <cx:pt idx="3">2</cx:pt>
          <cx:pt idx="4">4</cx:pt>
          <cx:pt idx="5">3</cx:pt>
          <cx:pt idx="6">0</cx:pt>
          <cx:pt idx="7">4</cx:pt>
          <cx:pt idx="8">7</cx:pt>
          <cx:pt idx="9">5</cx:pt>
          <cx:pt idx="10">17</cx:pt>
          <cx:pt idx="11">3</cx:pt>
          <cx:pt idx="12">3</cx:pt>
          <cx:pt idx="13">0</cx:pt>
          <cx:pt idx="14">4</cx:pt>
          <cx:pt idx="15">1</cx:pt>
          <cx:pt idx="16">3</cx:pt>
          <cx:pt idx="17">1</cx:pt>
          <cx:pt idx="18">0</cx:pt>
          <cx:pt idx="19">2</cx:pt>
          <cx:pt idx="20">10</cx:pt>
          <cx:pt idx="21">3</cx:pt>
          <cx:pt idx="22">1</cx:pt>
          <cx:pt idx="23">8</cx:pt>
          <cx:pt idx="24">1</cx:pt>
          <cx:pt idx="25">0</cx:pt>
          <cx:pt idx="26">9</cx:pt>
          <cx:pt idx="27">0</cx:pt>
          <cx:pt idx="28">2</cx:pt>
          <cx:pt idx="29">2</cx:pt>
          <cx:pt idx="30">4</cx:pt>
          <cx:pt idx="31">3</cx:pt>
          <cx:pt idx="32">1</cx:pt>
          <cx:pt idx="33">0</cx:pt>
          <cx:pt idx="34">0</cx:pt>
          <cx:pt idx="35">0</cx:pt>
          <cx:pt idx="36">0</cx:pt>
          <cx:pt idx="37">0</cx:pt>
          <cx:pt idx="38">27</cx:pt>
        </cx:lvl>
      </cx:numDim>
    </cx:data>
  </cx:chartData>
  <cx:chart>
    <cx:title pos="t" align="ctr" overlay="0">
      <cx:tx>
        <cx:txData>
          <cx:v>Njoftim per konsultime publike </cx:v>
        </cx:txData>
      </cx:tx>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r>
            <a:rPr lang="en-US" sz="700" b="1" i="0" u="none" strike="noStrike" baseline="0">
              <a:solidFill>
                <a:sysClr val="windowText" lastClr="000000">
                  <a:lumMod val="65000"/>
                  <a:lumOff val="35000"/>
                </a:sysClr>
              </a:solidFill>
              <a:latin typeface="+mj-lt"/>
            </a:rPr>
            <a:t>Njoftim per konsultime publike </a:t>
          </a:r>
        </a:p>
      </cx:txPr>
    </cx:title>
    <cx:plotArea>
      <cx:plotAreaRegion>
        <cx:series layoutId="clusteredColumn" uniqueId="{B87AD9C3-B5EB-4243-AC59-02874BF3BDF4}">
          <cx:tx>
            <cx:txData>
              <cx:f>'KONSULLTIMET PUBLIKE '!$P$4:$P$5</cx:f>
              <cx:v>Njoftimet për konsultime publike</cx:v>
            </cx:txData>
          </cx:tx>
          <cx:dataLabels pos="inBase">
            <cx:txPr>
              <a:bodyPr spcFirstLastPara="1" vertOverflow="ellipsis" horzOverflow="overflow" wrap="square" lIns="0" tIns="0" rIns="0" bIns="0" anchor="ctr" anchorCtr="1"/>
              <a:lstStyle/>
              <a:p>
                <a:pPr algn="ctr" rtl="0">
                  <a:defRPr sz="900" b="1">
                    <a:latin typeface="Century Schoolbook" panose="02040604050505020304" pitchFamily="18" charset="0"/>
                    <a:ea typeface="Century Schoolbook" panose="02040604050505020304" pitchFamily="18" charset="0"/>
                    <a:cs typeface="Century Schoolbook" panose="02040604050505020304" pitchFamily="18" charset="0"/>
                  </a:defRPr>
                </a:pPr>
                <a:endParaRPr lang="en-US" sz="900" b="1" i="0" u="none" strike="noStrike" baseline="0">
                  <a:solidFill>
                    <a:sysClr val="windowText" lastClr="000000">
                      <a:lumMod val="65000"/>
                      <a:lumOff val="35000"/>
                    </a:sysClr>
                  </a:solidFill>
                  <a:latin typeface="Century Schoolbook" panose="02040604050505020304" pitchFamily="18" charset="0"/>
                </a:endParaRPr>
              </a:p>
            </cx:txPr>
            <cx:visibility seriesName="0" categoryName="0" value="1"/>
          </cx:dataLabels>
          <cx:dataId val="0"/>
          <cx:layoutPr>
            <cx:aggregation/>
          </cx:layoutPr>
          <cx:axisId val="1"/>
        </cx:series>
        <cx:series layoutId="paretoLine" ownerIdx="0" uniqueId="{475ACA5A-FB80-45F3-9853-86CF17BDF68D}">
          <cx:axisId val="2"/>
        </cx:series>
      </cx:plotAreaRegion>
      <cx:axis id="0">
        <cx:catScaling gapWidth="0"/>
        <cx:tickLabels/>
        <cx:txPr>
          <a:bodyPr spcFirstLastPara="1" vertOverflow="ellipsis" horzOverflow="overflow" wrap="square" lIns="0" tIns="0" rIns="0" bIns="0" anchor="ctr" anchorCtr="1"/>
          <a:lstStyle/>
          <a:p>
            <a:pPr algn="ctr" rtl="0">
              <a:defRPr sz="700" b="1">
                <a:latin typeface="+mj-lt"/>
                <a:ea typeface="Century Schoolbook" panose="02040604050505020304" pitchFamily="18" charset="0"/>
                <a:cs typeface="Century Schoolbook" panose="02040604050505020304" pitchFamily="18" charset="0"/>
              </a:defRPr>
            </a:pPr>
            <a:endParaRPr lang="en-US" sz="700" b="1" i="0" u="none" strike="noStrike" baseline="0">
              <a:solidFill>
                <a:sysClr val="windowText" lastClr="000000">
                  <a:lumMod val="65000"/>
                  <a:lumOff val="35000"/>
                </a:sysClr>
              </a:solidFill>
              <a:latin typeface="+mj-lt"/>
            </a:endParaRPr>
          </a:p>
        </cx:txPr>
      </cx:axis>
      <cx:axis id="1" hidden="1">
        <cx:valScaling/>
        <cx:tickLabels/>
      </cx:axis>
      <cx:axis id="2" hidden="1">
        <cx:valScaling max="1" min="0"/>
        <cx:units unit="percentage"/>
        <cx:tickLabels/>
      </cx:axis>
    </cx:plotArea>
  </cx:chart>
  <cx:spPr>
    <a:blipFill>
      <a:blip r:embed="rId2"/>
      <a:tile tx="0" ty="0" sx="100000" sy="100000" flip="none" algn="tl"/>
    </a:blipFill>
    <a:ln>
      <a:solidFill>
        <a:schemeClr val="tx1"/>
      </a:soli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1.xml><?xml version="1.0" encoding="utf-8"?>
<cs:chartStyle xmlns:cs="http://schemas.microsoft.com/office/drawing/2012/chartStyle" xmlns:a="http://schemas.openxmlformats.org/drawingml/2006/main" id="367">
  <cs:axisTitle>
    <cs:lnRef idx="0"/>
    <cs:fillRef idx="0"/>
    <cs:effectRef idx="0"/>
    <cs:fontRef idx="minor">
      <a:schemeClr val="tx1">
        <a:lumMod val="65000"/>
        <a:lumOff val="35000"/>
      </a:schemeClr>
    </cs:fontRef>
    <cs:defRPr sz="900" b="1"/>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solidFill>
        <a:schemeClr val="phClr"/>
      </a:solid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25000"/>
            <a:lumOff val="75000"/>
          </a:schemeClr>
        </a:solidFill>
      </a:ln>
    </cs:spPr>
    <cs:defRPr sz="9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25000"/>
            <a:lumOff val="75000"/>
          </a:schemeClr>
        </a:solidFill>
      </a:ln>
    </cs:spPr>
  </cs:gridlineMajor>
  <cs:gridlineMinor>
    <cs:lnRef idx="0"/>
    <cs:fillRef idx="0"/>
    <cs:effectRef idx="0"/>
    <cs:fontRef idx="minor">
      <a:schemeClr val="dk1"/>
    </cs:fontRef>
    <cs:spPr>
      <a:ln>
        <a:solidFill>
          <a:schemeClr val="tx1">
            <a:lumMod val="25000"/>
            <a:lumOff val="75000"/>
            <a:lumOff val="10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tx1">
        <a:lumMod val="50000"/>
        <a:lumOff val="50000"/>
      </a:schemeClr>
    </cs:fontRef>
    <cs:defRPr sz="1800" b="1" cap="all" spc="15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5.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68">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cs:chartArea>
  <cs:dataLabel>
    <cs:lnRef idx="0"/>
    <cs:fillRef idx="0"/>
    <cs:effectRef idx="0"/>
    <cs:fontRef idx="minor">
      <a:schemeClr val="dk1"/>
    </cs:fontRef>
    <cs:defRPr sz="900"/>
  </cs:dataLabel>
  <cs:dataLabelCallout>
    <cs:lnRef idx="0"/>
    <cs:fillRef idx="0"/>
    <cs:effectRef idx="0"/>
    <cs:fontRef idx="minor">
      <a:schemeClr val="lt1"/>
    </cs:fontRef>
    <cs:spPr>
      <a:solidFill>
        <a:schemeClr val="dk1">
          <a:lumMod val="65000"/>
          <a:lumOff val="35000"/>
          <a:alpha val="75000"/>
        </a:schemeClr>
      </a:solidFill>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75000"/>
            <a:lumOff val="25000"/>
          </a:schemeClr>
        </a:solidFill>
      </a:ln>
    </cs:spPr>
    <cs:defRPr sz="9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chemeClr val="bg1">
            <a:lumMod val="50000"/>
          </a:schemeClr>
        </a:solidFill>
        <a:round/>
      </a:ln>
    </cs:spPr>
  </cs:seriesLine>
  <cs:title>
    <cs:lnRef idx="0"/>
    <cs:fillRef idx="0"/>
    <cs:effectRef idx="0"/>
    <cs:fontRef idx="minor">
      <a:schemeClr val="dk1">
        <a:lumMod val="75000"/>
        <a:lumOff val="25000"/>
      </a:schemeClr>
    </cs:fontRef>
    <cs:defRPr sz="1800" b="1"/>
  </cs:title>
  <cs:trendline>
    <cs:lnRef idx="0"/>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{20ADD190-D00A-49D3-ABBC-3C843DAD96D6}</b:Guid>
    <b:RefOrder>1</b:RefOrder>
  </b:Source>
</b:Sources>
</file>

<file path=customXml/itemProps1.xml><?xml version="1.0" encoding="utf-8"?>
<ds:datastoreItem xmlns:ds="http://schemas.openxmlformats.org/officeDocument/2006/customXml" ds:itemID="{29E19D3E-F23B-4E1B-A099-4573FE1F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10667</Words>
  <Characters>60805</Characters>
  <Application>Microsoft Office Word</Application>
  <DocSecurity>0</DocSecurity>
  <Lines>506</Lines>
  <Paragraphs>142</Paragraphs>
  <ScaleCrop>false</ScaleCrop>
  <HeadingPairs>
    <vt:vector size="4" baseType="variant">
      <vt:variant>
        <vt:lpstr>Title</vt:lpstr>
      </vt:variant>
      <vt:variant>
        <vt:i4>1</vt:i4>
      </vt:variant>
      <vt:variant>
        <vt:lpstr>Headings</vt:lpstr>
      </vt:variant>
      <vt:variant>
        <vt:i4>63</vt:i4>
      </vt:variant>
    </vt:vector>
  </HeadingPairs>
  <TitlesOfParts>
    <vt:vector size="64" baseType="lpstr">
      <vt:lpstr/>
      <vt:lpstr/>
      <vt:lpstr/>
      <vt:lpstr>HYRJE </vt:lpstr>
      <vt:lpstr>EXECUTIVE SUMMARY</vt:lpstr>
      <vt:lpstr>INTRODUCTION</vt:lpstr>
      <vt:lpstr>PURPOSE OF THE REPORT</vt:lpstr>
      <vt:lpstr>METHODOLOGY</vt:lpstr>
      <vt:lpstr>LEGAL FRAMEWORK</vt:lpstr>
      <vt:lpstr/>
      <vt:lpstr>TRANSPARENCY OF THE WORK OF MUNICIPAL ASSEMBLIES</vt:lpstr>
      <vt:lpstr>NOTICES OF MEETINGS OF MUNICIPAL ASSEMBLIES</vt:lpstr>
      <vt:lpstr>POLICY AND FINANCE COMMITTEE</vt:lpstr>
      <vt:lpstr>COMMUNITY COMMITTEE</vt:lpstr>
      <vt:lpstr/>
      <vt:lpstr>DECISIONS OF THE MUNICIPAL ASSEMBLY</vt:lpstr>
      <vt:lpstr/>
      <vt:lpstr>PUBLISHED REGULATIONS</vt:lpstr>
      <vt:lpstr>    Minutes of the Municipal Assembly meetings</vt:lpstr>
      <vt:lpstr>    Minutes from the meetings of the Committee on Policy and Finance</vt:lpstr>
      <vt:lpstr>    Minutes from the meetings of the Committee for Communities</vt:lpstr>
      <vt:lpstr/>
      <vt:lpstr>ONLINE BROADCAST OF MUNICIPAL ASSEMBLY’S MEETINGS</vt:lpstr>
      <vt:lpstr>PUBLICATION OF THE WORK PLAN OF THE MUNICIPAL ASSEMBLY</vt:lpstr>
      <vt:lpstr>    Strategic plans and documents</vt:lpstr>
      <vt:lpstr>    </vt:lpstr>
      <vt:lpstr>    </vt:lpstr>
      <vt:lpstr>    Zonal maps</vt:lpstr>
      <vt:lpstr>    </vt:lpstr>
      <vt:lpstr>    Transparency Action Plan</vt:lpstr>
      <vt:lpstr>    MUNICIPAL TRANSPARENCY REGULATIONS</vt:lpstr>
      <vt:lpstr>    Integrity Plan</vt:lpstr>
      <vt:lpstr>TRANSPARENCY OF THE MAYOR OF THE MUNICIPALITY</vt:lpstr>
      <vt:lpstr>PUBLICATION OF THE MAYOR'S ANNUAL PLAN</vt:lpstr>
      <vt:lpstr>PUBLICATION OF THE MAYOR’s REPORT</vt:lpstr>
      <vt:lpstr>    Publication of the list of immovable properties of the municipality</vt:lpstr>
      <vt:lpstr>    Report on access to public documents</vt:lpstr>
      <vt:lpstr>FINANCIAL TRANSPARENCY</vt:lpstr>
      <vt:lpstr>PUBLICATION OF THE BUDGET PLAN</vt:lpstr>
      <vt:lpstr>MEDIUM-TERM BUDGETARY FRAMEWORK</vt:lpstr>
      <vt:lpstr/>
      <vt:lpstr>    </vt:lpstr>
      <vt:lpstr>    PUBLICATION OF PERIODIC REPORTS</vt:lpstr>
      <vt:lpstr>    Annual financial report</vt:lpstr>
      <vt:lpstr>    Publication of notices for Budget Meetings/Hearings</vt:lpstr>
      <vt:lpstr>PARTICIPATORY BUDGETING</vt:lpstr>
      <vt:lpstr>/</vt:lpstr>
      <vt:lpstr>/</vt:lpstr>
      <vt:lpstr/>
      <vt:lpstr>TRANSPARENCY IN PUBLIC PROCUREMENT</vt:lpstr>
      <vt:lpstr>PUBLICATION OF THE PROCUREMENT PLAN</vt:lpstr>
      <vt:lpstr>PUBLICATION OF THE PROCUREMENT REPORT</vt:lpstr>
      <vt:lpstr/>
      <vt:lpstr/>
      <vt:lpstr>IMPLEMENTATION OF MINIMUM STANDARDS OF PUBLIC CONSULTATIONS</vt:lpstr>
      <vt:lpstr>PUBLIC CONSULTATION PLAN</vt:lpstr>
      <vt:lpstr>    </vt:lpstr>
      <vt:lpstr>    Public consultation notices</vt:lpstr>
      <vt:lpstr>    </vt:lpstr>
      <vt:lpstr>    </vt:lpstr>
      <vt:lpstr>    Draft proposals for public consultations and explanatory memorandums</vt:lpstr>
      <vt:lpstr>    Publication of reports for public consultations</vt:lpstr>
      <vt:lpstr>    Notice on the provision of municipal services</vt:lpstr>
      <vt:lpstr>RECOMMENDATIONS</vt:lpstr>
    </vt:vector>
  </TitlesOfParts>
  <Company/>
  <LinksUpToDate>false</LinksUpToDate>
  <CharactersWithSpaces>71330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Majlinda Shaqiri</dc:creator>
  <cp:keywords/>
  <dc:description/>
  <cp:lastModifiedBy>Nazmije G.Krasniqi</cp:lastModifiedBy>
  <cp:revision>5</cp:revision>
  <cp:lastPrinted>2023-03-22T14:45:00Z</cp:lastPrinted>
  <dcterms:created xsi:type="dcterms:W3CDTF">2026-05-21T07:27:00Z</dcterms:created>
  <dcterms:modified xsi:type="dcterms:W3CDTF">2026-05-26T09:07:00Z</dcterms:modified>
</cp:coreProperties>
</file>