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hartEx3.xml" ContentType="application/vnd.ms-office.chartex+xml"/>
  <Override PartName="/word/charts/chartEx4.xml" ContentType="application/vnd.ms-office.chartex+xml"/>
  <Override PartName="/word/charts/chartEx5.xml" ContentType="application/vnd.ms-office.chartex+xml"/>
  <Override PartName="/word/charts/style80.xml" ContentType="application/vnd.ms-office.chartstyle+xml"/>
  <Override PartName="/word/charts/colors80.xml" ContentType="application/vnd.ms-office.chartcolorstyle+xml"/>
  <Override PartName="/word/charts/style130.xml" ContentType="application/vnd.ms-office.chartstyle+xml"/>
  <Override PartName="/word/theme/themeOverride1.xml" ContentType="application/vnd.openxmlformats-officedocument.themeOverride+xml"/>
  <Override PartName="/word/charts/colors130.xml" ContentType="application/vnd.ms-office.chartcolorstyle+xml"/>
  <Override PartName="/word/charts/style310.xml" ContentType="application/vnd.ms-office.chartstyle+xml"/>
  <Override PartName="/word/charts/colors310.xml" ContentType="application/vnd.ms-office.chartcolorstyle+xml"/>
  <Override PartName="/word/charts/style33.xml" ContentType="application/vnd.ms-office.chartstyle+xml"/>
  <Override PartName="/word/charts/colors33.xml" ContentType="application/vnd.ms-office.chartcolorstyle+xml"/>
  <Override PartName="/word/charts/style34.xml" ContentType="application/vnd.ms-office.chartstyle+xml"/>
  <Override PartName="/word/charts/colors3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10B28" w14:textId="77777777" w:rsidR="005901F4" w:rsidRPr="005901F4" w:rsidRDefault="005901F4" w:rsidP="005901F4">
      <w:pPr>
        <w:spacing w:before="100" w:beforeAutospacing="1" w:after="100" w:afterAutospacing="1" w:line="240" w:lineRule="auto"/>
        <w:jc w:val="left"/>
        <w:rPr>
          <w:rFonts w:ascii="Times New Roman" w:eastAsia="Times New Roman" w:hAnsi="Times New Roman" w:cs="Times New Roman"/>
          <w:sz w:val="24"/>
          <w:szCs w:val="24"/>
          <w:lang w:val="en-GB" w:eastAsia="en-GB"/>
        </w:rPr>
      </w:pPr>
      <w:r w:rsidRPr="005901F4">
        <w:rPr>
          <w:rFonts w:ascii="Times New Roman" w:eastAsia="Times New Roman" w:hAnsi="Times New Roman" w:cs="Times New Roman"/>
          <w:noProof/>
          <w:sz w:val="24"/>
          <w:szCs w:val="24"/>
          <w:lang w:eastAsia="sq-AL"/>
        </w:rPr>
        <w:drawing>
          <wp:inline distT="0" distB="0" distL="0" distR="0" wp14:anchorId="7875E41B" wp14:editId="2A630BDA">
            <wp:extent cx="5938736" cy="812048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232" cy="8207312"/>
                    </a:xfrm>
                    <a:prstGeom prst="rect">
                      <a:avLst/>
                    </a:prstGeom>
                    <a:noFill/>
                    <a:ln>
                      <a:noFill/>
                    </a:ln>
                  </pic:spPr>
                </pic:pic>
              </a:graphicData>
            </a:graphic>
          </wp:inline>
        </w:drawing>
      </w:r>
    </w:p>
    <w:p w14:paraId="5EE6BFCE" w14:textId="77777777" w:rsidR="005901F4" w:rsidRDefault="005901F4" w:rsidP="001F5C47">
      <w:pPr>
        <w:spacing w:after="0"/>
        <w:jc w:val="center"/>
        <w:rPr>
          <w:noProof/>
          <w:lang w:eastAsia="sq-AL"/>
        </w:rPr>
      </w:pPr>
    </w:p>
    <w:p w14:paraId="1F2212D9" w14:textId="59CE6ADE" w:rsidR="001F5C47" w:rsidRPr="001F5C47" w:rsidRDefault="004E0DA8" w:rsidP="001F5C47">
      <w:pPr>
        <w:spacing w:after="0"/>
        <w:jc w:val="center"/>
        <w:rPr>
          <w:rFonts w:ascii="Book Antiqua" w:eastAsia="Batang" w:hAnsi="Book Antiqua"/>
        </w:rPr>
      </w:pPr>
      <w:r>
        <w:rPr>
          <w:rFonts w:ascii="Calibri" w:eastAsia="Batang" w:hAnsi="Calibri"/>
        </w:rPr>
        <w:t xml:space="preserve"> </w:t>
      </w:r>
      <w:r w:rsidR="003F57AE" w:rsidRPr="00594CBB">
        <w:rPr>
          <w:rFonts w:ascii="Calibri" w:eastAsia="Batang" w:hAnsi="Calibri"/>
        </w:rPr>
        <w:t xml:space="preserve">  </w:t>
      </w:r>
      <w:bookmarkStart w:id="0" w:name="_Hlk227672521"/>
    </w:p>
    <w:sdt>
      <w:sdtPr>
        <w:rPr>
          <w:rFonts w:asciiTheme="minorHAnsi" w:eastAsiaTheme="minorEastAsia" w:hAnsiTheme="minorHAnsi" w:cstheme="minorBidi"/>
          <w:b w:val="0"/>
          <w:bCs w:val="0"/>
          <w:caps w:val="0"/>
          <w:color w:val="auto"/>
          <w:spacing w:val="0"/>
          <w:sz w:val="20"/>
          <w:szCs w:val="22"/>
          <w:lang w:val="en-US"/>
        </w:rPr>
        <w:id w:val="-1029799664"/>
        <w:docPartObj>
          <w:docPartGallery w:val="Table of Contents"/>
          <w:docPartUnique/>
        </w:docPartObj>
      </w:sdtPr>
      <w:sdtEndPr>
        <w:rPr>
          <w:sz w:val="22"/>
          <w:lang w:val="sq-AL"/>
        </w:rPr>
      </w:sdtEndPr>
      <w:sdtContent>
        <w:p w14:paraId="41F7D09C" w14:textId="77777777" w:rsidR="00620919" w:rsidRDefault="00026ECD" w:rsidP="00A83156">
          <w:pPr>
            <w:pStyle w:val="TOCHeading"/>
            <w:spacing w:line="240" w:lineRule="auto"/>
            <w:rPr>
              <w:noProof/>
            </w:rPr>
          </w:pPr>
          <w:r>
            <w:rPr>
              <w:rFonts w:asciiTheme="majorHAnsi" w:hAnsiTheme="majorHAnsi" w:cstheme="majorHAnsi"/>
              <w:caps w:val="0"/>
              <w:color w:val="2F5496" w:themeColor="accent5" w:themeShade="BF"/>
              <w:sz w:val="16"/>
              <w:szCs w:val="20"/>
            </w:rPr>
            <w:t>Sadržaj</w:t>
          </w:r>
          <w:r w:rsidR="00A83156" w:rsidRPr="00C263D5">
            <w:rPr>
              <w:rFonts w:asciiTheme="majorHAnsi" w:hAnsiTheme="majorHAnsi" w:cstheme="majorHAnsi"/>
              <w:color w:val="2F5496" w:themeColor="accent5" w:themeShade="BF"/>
              <w:sz w:val="16"/>
              <w:szCs w:val="20"/>
            </w:rPr>
            <w:fldChar w:fldCharType="begin"/>
          </w:r>
          <w:r w:rsidR="00A83156" w:rsidRPr="00C263D5">
            <w:rPr>
              <w:rFonts w:asciiTheme="majorHAnsi" w:hAnsiTheme="majorHAnsi" w:cstheme="majorHAnsi"/>
              <w:color w:val="2F5496" w:themeColor="accent5" w:themeShade="BF"/>
              <w:sz w:val="16"/>
              <w:szCs w:val="20"/>
            </w:rPr>
            <w:instrText xml:space="preserve"> TOC \o "1-3" \h \z \u </w:instrText>
          </w:r>
          <w:r w:rsidR="00A83156" w:rsidRPr="00C263D5">
            <w:rPr>
              <w:rFonts w:asciiTheme="majorHAnsi" w:hAnsiTheme="majorHAnsi" w:cstheme="majorHAnsi"/>
              <w:color w:val="2F5496" w:themeColor="accent5" w:themeShade="BF"/>
              <w:sz w:val="16"/>
              <w:szCs w:val="20"/>
            </w:rPr>
            <w:fldChar w:fldCharType="separate"/>
          </w:r>
        </w:p>
        <w:p w14:paraId="472D5F17" w14:textId="1F323D20" w:rsidR="00620919" w:rsidRDefault="00D92CD3">
          <w:pPr>
            <w:pStyle w:val="TOC1"/>
            <w:rPr>
              <w:rFonts w:asciiTheme="minorHAnsi" w:eastAsiaTheme="minorEastAsia" w:hAnsiTheme="minorHAnsi" w:cstheme="minorBidi"/>
              <w:sz w:val="22"/>
              <w:lang w:val="en-US" w:eastAsia="en-US"/>
            </w:rPr>
          </w:pPr>
          <w:hyperlink w:anchor="_Toc230183721" w:history="1">
            <w:r w:rsidR="00620919" w:rsidRPr="00DB2CE1">
              <w:rPr>
                <w:rStyle w:val="Hyperlink"/>
                <w:rFonts w:asciiTheme="majorHAnsi" w:hAnsiTheme="majorHAnsi" w:cstheme="majorHAnsi"/>
                <w:b/>
                <w:bCs/>
                <w:kern w:val="36"/>
              </w:rPr>
              <w:t>IZVRŠNI SAŽETAK</w:t>
            </w:r>
            <w:r w:rsidR="00620919">
              <w:rPr>
                <w:webHidden/>
              </w:rPr>
              <w:tab/>
            </w:r>
            <w:r w:rsidR="00620919">
              <w:rPr>
                <w:webHidden/>
              </w:rPr>
              <w:fldChar w:fldCharType="begin"/>
            </w:r>
            <w:r w:rsidR="00620919">
              <w:rPr>
                <w:webHidden/>
              </w:rPr>
              <w:instrText xml:space="preserve"> PAGEREF _Toc230183721 \h </w:instrText>
            </w:r>
            <w:r w:rsidR="00620919">
              <w:rPr>
                <w:webHidden/>
              </w:rPr>
            </w:r>
            <w:r w:rsidR="00620919">
              <w:rPr>
                <w:webHidden/>
              </w:rPr>
              <w:fldChar w:fldCharType="separate"/>
            </w:r>
            <w:r w:rsidR="00620919">
              <w:rPr>
                <w:webHidden/>
              </w:rPr>
              <w:t>4</w:t>
            </w:r>
            <w:r w:rsidR="00620919">
              <w:rPr>
                <w:webHidden/>
              </w:rPr>
              <w:fldChar w:fldCharType="end"/>
            </w:r>
          </w:hyperlink>
        </w:p>
        <w:p w14:paraId="32A5D50A" w14:textId="341D175A" w:rsidR="00620919" w:rsidRDefault="00D92CD3">
          <w:pPr>
            <w:pStyle w:val="TOC1"/>
            <w:rPr>
              <w:rFonts w:asciiTheme="minorHAnsi" w:eastAsiaTheme="minorEastAsia" w:hAnsiTheme="minorHAnsi" w:cstheme="minorBidi"/>
              <w:sz w:val="22"/>
              <w:lang w:val="en-US" w:eastAsia="en-US"/>
            </w:rPr>
          </w:pPr>
          <w:hyperlink w:anchor="_Toc230183722" w:history="1">
            <w:r w:rsidR="00620919" w:rsidRPr="00DB2CE1">
              <w:rPr>
                <w:rStyle w:val="Hyperlink"/>
                <w:rFonts w:asciiTheme="majorHAnsi" w:hAnsiTheme="majorHAnsi" w:cstheme="majorHAnsi"/>
                <w:b/>
                <w:bCs/>
                <w:kern w:val="36"/>
              </w:rPr>
              <w:t>UVOD</w:t>
            </w:r>
            <w:r w:rsidR="00620919">
              <w:rPr>
                <w:webHidden/>
              </w:rPr>
              <w:tab/>
            </w:r>
            <w:r w:rsidR="00620919">
              <w:rPr>
                <w:webHidden/>
              </w:rPr>
              <w:fldChar w:fldCharType="begin"/>
            </w:r>
            <w:r w:rsidR="00620919">
              <w:rPr>
                <w:webHidden/>
              </w:rPr>
              <w:instrText xml:space="preserve"> PAGEREF _Toc230183722 \h </w:instrText>
            </w:r>
            <w:r w:rsidR="00620919">
              <w:rPr>
                <w:webHidden/>
              </w:rPr>
            </w:r>
            <w:r w:rsidR="00620919">
              <w:rPr>
                <w:webHidden/>
              </w:rPr>
              <w:fldChar w:fldCharType="separate"/>
            </w:r>
            <w:r w:rsidR="00620919">
              <w:rPr>
                <w:webHidden/>
              </w:rPr>
              <w:t>5</w:t>
            </w:r>
            <w:r w:rsidR="00620919">
              <w:rPr>
                <w:webHidden/>
              </w:rPr>
              <w:fldChar w:fldCharType="end"/>
            </w:r>
          </w:hyperlink>
        </w:p>
        <w:p w14:paraId="1EEAB8C0" w14:textId="417D92A7" w:rsidR="00620919" w:rsidRDefault="00D92CD3">
          <w:pPr>
            <w:pStyle w:val="TOC1"/>
            <w:rPr>
              <w:rFonts w:asciiTheme="minorHAnsi" w:eastAsiaTheme="minorEastAsia" w:hAnsiTheme="minorHAnsi" w:cstheme="minorBidi"/>
              <w:sz w:val="22"/>
              <w:lang w:val="en-US" w:eastAsia="en-US"/>
            </w:rPr>
          </w:pPr>
          <w:hyperlink w:anchor="_Toc230183723" w:history="1">
            <w:r w:rsidR="00620919" w:rsidRPr="00DB2CE1">
              <w:rPr>
                <w:rStyle w:val="Hyperlink"/>
                <w:rFonts w:asciiTheme="majorHAnsi" w:hAnsiTheme="majorHAnsi" w:cstheme="majorHAnsi"/>
                <w:b/>
                <w:bCs/>
                <w:kern w:val="36"/>
                <w:lang w:val="sr-Latn-RS"/>
              </w:rPr>
              <w:t>SVRHA IZVEŠTAJA</w:t>
            </w:r>
            <w:r w:rsidR="00620919">
              <w:rPr>
                <w:webHidden/>
              </w:rPr>
              <w:tab/>
            </w:r>
            <w:r w:rsidR="00620919">
              <w:rPr>
                <w:webHidden/>
              </w:rPr>
              <w:fldChar w:fldCharType="begin"/>
            </w:r>
            <w:r w:rsidR="00620919">
              <w:rPr>
                <w:webHidden/>
              </w:rPr>
              <w:instrText xml:space="preserve"> PAGEREF _Toc230183723 \h </w:instrText>
            </w:r>
            <w:r w:rsidR="00620919">
              <w:rPr>
                <w:webHidden/>
              </w:rPr>
            </w:r>
            <w:r w:rsidR="00620919">
              <w:rPr>
                <w:webHidden/>
              </w:rPr>
              <w:fldChar w:fldCharType="separate"/>
            </w:r>
            <w:r w:rsidR="00620919">
              <w:rPr>
                <w:webHidden/>
              </w:rPr>
              <w:t>6</w:t>
            </w:r>
            <w:r w:rsidR="00620919">
              <w:rPr>
                <w:webHidden/>
              </w:rPr>
              <w:fldChar w:fldCharType="end"/>
            </w:r>
          </w:hyperlink>
        </w:p>
        <w:p w14:paraId="2DBE689B" w14:textId="12683C78" w:rsidR="00620919" w:rsidRPr="003F3A35" w:rsidRDefault="00D92CD3">
          <w:pPr>
            <w:pStyle w:val="TOC1"/>
            <w:rPr>
              <w:rFonts w:asciiTheme="minorHAnsi" w:eastAsiaTheme="minorEastAsia" w:hAnsiTheme="minorHAnsi" w:cstheme="minorBidi"/>
              <w:b/>
              <w:bCs/>
              <w:sz w:val="22"/>
              <w:lang w:val="en-US" w:eastAsia="en-US"/>
            </w:rPr>
          </w:pPr>
          <w:hyperlink w:anchor="_Toc230183724" w:history="1">
            <w:r w:rsidR="00620919" w:rsidRPr="003F3A35">
              <w:rPr>
                <w:rStyle w:val="Hyperlink"/>
                <w:rFonts w:asciiTheme="majorHAnsi" w:hAnsiTheme="majorHAnsi" w:cstheme="majorHAnsi"/>
                <w:b/>
                <w:bCs/>
                <w:lang w:val="sr-Latn-RS"/>
              </w:rPr>
              <w:t>METODOLOGIJA</w:t>
            </w:r>
            <w:r w:rsidR="00620919" w:rsidRPr="003F3A35">
              <w:rPr>
                <w:b/>
                <w:bCs/>
                <w:webHidden/>
              </w:rPr>
              <w:tab/>
            </w:r>
            <w:r w:rsidR="00620919" w:rsidRPr="003F3A35">
              <w:rPr>
                <w:b/>
                <w:bCs/>
                <w:webHidden/>
              </w:rPr>
              <w:fldChar w:fldCharType="begin"/>
            </w:r>
            <w:r w:rsidR="00620919" w:rsidRPr="003F3A35">
              <w:rPr>
                <w:b/>
                <w:bCs/>
                <w:webHidden/>
              </w:rPr>
              <w:instrText xml:space="preserve"> PAGEREF _Toc230183724 \h </w:instrText>
            </w:r>
            <w:r w:rsidR="00620919" w:rsidRPr="003F3A35">
              <w:rPr>
                <w:b/>
                <w:bCs/>
                <w:webHidden/>
              </w:rPr>
            </w:r>
            <w:r w:rsidR="00620919" w:rsidRPr="003F3A35">
              <w:rPr>
                <w:b/>
                <w:bCs/>
                <w:webHidden/>
              </w:rPr>
              <w:fldChar w:fldCharType="separate"/>
            </w:r>
            <w:r w:rsidR="00620919" w:rsidRPr="003F3A35">
              <w:rPr>
                <w:b/>
                <w:bCs/>
                <w:webHidden/>
              </w:rPr>
              <w:t>6</w:t>
            </w:r>
            <w:r w:rsidR="00620919" w:rsidRPr="003F3A35">
              <w:rPr>
                <w:b/>
                <w:bCs/>
                <w:webHidden/>
              </w:rPr>
              <w:fldChar w:fldCharType="end"/>
            </w:r>
          </w:hyperlink>
        </w:p>
        <w:p w14:paraId="7CBFC764" w14:textId="0A8DC4EB" w:rsidR="00620919" w:rsidRDefault="00D92CD3">
          <w:pPr>
            <w:pStyle w:val="TOC1"/>
            <w:rPr>
              <w:rFonts w:asciiTheme="minorHAnsi" w:eastAsiaTheme="minorEastAsia" w:hAnsiTheme="minorHAnsi" w:cstheme="minorBidi"/>
              <w:sz w:val="22"/>
              <w:lang w:val="en-US" w:eastAsia="en-US"/>
            </w:rPr>
          </w:pPr>
          <w:hyperlink w:anchor="_Toc230183725" w:history="1">
            <w:r w:rsidR="00620919" w:rsidRPr="00DB2CE1">
              <w:rPr>
                <w:rStyle w:val="Hyperlink"/>
                <w:rFonts w:asciiTheme="majorHAnsi" w:hAnsiTheme="majorHAnsi" w:cstheme="majorHAnsi"/>
                <w:b/>
                <w:bCs/>
                <w:kern w:val="36"/>
                <w:lang w:val="sr-Latn-RS"/>
              </w:rPr>
              <w:t>PRAVNI OKVIR</w:t>
            </w:r>
            <w:r w:rsidR="00620919">
              <w:rPr>
                <w:webHidden/>
              </w:rPr>
              <w:tab/>
            </w:r>
            <w:r w:rsidR="00620919">
              <w:rPr>
                <w:webHidden/>
              </w:rPr>
              <w:fldChar w:fldCharType="begin"/>
            </w:r>
            <w:r w:rsidR="00620919">
              <w:rPr>
                <w:webHidden/>
              </w:rPr>
              <w:instrText xml:space="preserve"> PAGEREF _Toc230183725 \h </w:instrText>
            </w:r>
            <w:r w:rsidR="00620919">
              <w:rPr>
                <w:webHidden/>
              </w:rPr>
            </w:r>
            <w:r w:rsidR="00620919">
              <w:rPr>
                <w:webHidden/>
              </w:rPr>
              <w:fldChar w:fldCharType="separate"/>
            </w:r>
            <w:r w:rsidR="00620919">
              <w:rPr>
                <w:webHidden/>
              </w:rPr>
              <w:t>7</w:t>
            </w:r>
            <w:r w:rsidR="00620919">
              <w:rPr>
                <w:webHidden/>
              </w:rPr>
              <w:fldChar w:fldCharType="end"/>
            </w:r>
          </w:hyperlink>
        </w:p>
        <w:p w14:paraId="6451334C" w14:textId="1D135C22" w:rsidR="00620919" w:rsidRDefault="00D92CD3">
          <w:pPr>
            <w:pStyle w:val="TOC1"/>
            <w:rPr>
              <w:rFonts w:asciiTheme="minorHAnsi" w:eastAsiaTheme="minorEastAsia" w:hAnsiTheme="minorHAnsi" w:cstheme="minorBidi"/>
              <w:sz w:val="22"/>
              <w:lang w:val="en-US" w:eastAsia="en-US"/>
            </w:rPr>
          </w:pPr>
          <w:hyperlink w:anchor="_Toc230183726" w:history="1">
            <w:r w:rsidR="00620919" w:rsidRPr="00DB2CE1">
              <w:rPr>
                <w:rStyle w:val="Hyperlink"/>
                <w:rFonts w:asciiTheme="majorHAnsi" w:hAnsiTheme="majorHAnsi" w:cstheme="majorHAnsi"/>
              </w:rPr>
              <w:t>TRANSPARENTNOST RADA SKUPŠTINA OPŠTINa</w:t>
            </w:r>
            <w:r w:rsidR="00620919">
              <w:rPr>
                <w:webHidden/>
              </w:rPr>
              <w:tab/>
            </w:r>
            <w:r w:rsidR="00620919">
              <w:rPr>
                <w:webHidden/>
              </w:rPr>
              <w:fldChar w:fldCharType="begin"/>
            </w:r>
            <w:r w:rsidR="00620919">
              <w:rPr>
                <w:webHidden/>
              </w:rPr>
              <w:instrText xml:space="preserve"> PAGEREF _Toc230183726 \h </w:instrText>
            </w:r>
            <w:r w:rsidR="00620919">
              <w:rPr>
                <w:webHidden/>
              </w:rPr>
            </w:r>
            <w:r w:rsidR="00620919">
              <w:rPr>
                <w:webHidden/>
              </w:rPr>
              <w:fldChar w:fldCharType="separate"/>
            </w:r>
            <w:r w:rsidR="00620919">
              <w:rPr>
                <w:webHidden/>
              </w:rPr>
              <w:t>7</w:t>
            </w:r>
            <w:r w:rsidR="00620919">
              <w:rPr>
                <w:webHidden/>
              </w:rPr>
              <w:fldChar w:fldCharType="end"/>
            </w:r>
          </w:hyperlink>
        </w:p>
        <w:p w14:paraId="1A29E113" w14:textId="02033FF8" w:rsidR="00620919" w:rsidRDefault="00D92CD3">
          <w:pPr>
            <w:pStyle w:val="TOC1"/>
            <w:rPr>
              <w:rFonts w:asciiTheme="minorHAnsi" w:eastAsiaTheme="minorEastAsia" w:hAnsiTheme="minorHAnsi" w:cstheme="minorBidi"/>
              <w:sz w:val="22"/>
              <w:lang w:val="en-US" w:eastAsia="en-US"/>
            </w:rPr>
          </w:pPr>
          <w:hyperlink w:anchor="_Toc230183727" w:history="1">
            <w:r w:rsidR="00620919" w:rsidRPr="00DB2CE1">
              <w:rPr>
                <w:rStyle w:val="Hyperlink"/>
                <w:rFonts w:asciiTheme="majorHAnsi" w:hAnsiTheme="majorHAnsi" w:cstheme="majorHAnsi"/>
                <w:b/>
                <w:bCs/>
                <w:kern w:val="36"/>
                <w:lang w:val="sr-Latn-RS"/>
              </w:rPr>
              <w:t>OBAVEŠTENJA O SEDNICAMA SKUPŠTINA OPŠTINA</w:t>
            </w:r>
            <w:r w:rsidR="00620919">
              <w:rPr>
                <w:webHidden/>
              </w:rPr>
              <w:tab/>
            </w:r>
            <w:r w:rsidR="00620919">
              <w:rPr>
                <w:webHidden/>
              </w:rPr>
              <w:fldChar w:fldCharType="begin"/>
            </w:r>
            <w:r w:rsidR="00620919">
              <w:rPr>
                <w:webHidden/>
              </w:rPr>
              <w:instrText xml:space="preserve"> PAGEREF _Toc230183727 \h </w:instrText>
            </w:r>
            <w:r w:rsidR="00620919">
              <w:rPr>
                <w:webHidden/>
              </w:rPr>
            </w:r>
            <w:r w:rsidR="00620919">
              <w:rPr>
                <w:webHidden/>
              </w:rPr>
              <w:fldChar w:fldCharType="separate"/>
            </w:r>
            <w:r w:rsidR="00620919">
              <w:rPr>
                <w:webHidden/>
              </w:rPr>
              <w:t>8</w:t>
            </w:r>
            <w:r w:rsidR="00620919">
              <w:rPr>
                <w:webHidden/>
              </w:rPr>
              <w:fldChar w:fldCharType="end"/>
            </w:r>
          </w:hyperlink>
        </w:p>
        <w:p w14:paraId="53AC500C" w14:textId="71DA593F" w:rsidR="00620919" w:rsidRDefault="00D92CD3">
          <w:pPr>
            <w:pStyle w:val="TOC1"/>
            <w:rPr>
              <w:rFonts w:asciiTheme="minorHAnsi" w:eastAsiaTheme="minorEastAsia" w:hAnsiTheme="minorHAnsi" w:cstheme="minorBidi"/>
              <w:sz w:val="22"/>
              <w:lang w:val="en-US" w:eastAsia="en-US"/>
            </w:rPr>
          </w:pPr>
          <w:hyperlink w:anchor="_Toc230183728" w:history="1">
            <w:r w:rsidR="00620919" w:rsidRPr="00DB2CE1">
              <w:rPr>
                <w:rStyle w:val="Hyperlink"/>
                <w:rFonts w:asciiTheme="majorHAnsi" w:hAnsiTheme="majorHAnsi" w:cstheme="majorHAnsi"/>
                <w:lang w:val="sr-Latn-RS"/>
              </w:rPr>
              <w:t>ODBOR ZA POLITIKU I FINANSIJE</w:t>
            </w:r>
            <w:r w:rsidR="00620919">
              <w:rPr>
                <w:webHidden/>
              </w:rPr>
              <w:tab/>
            </w:r>
            <w:r w:rsidR="00620919">
              <w:rPr>
                <w:webHidden/>
              </w:rPr>
              <w:fldChar w:fldCharType="begin"/>
            </w:r>
            <w:r w:rsidR="00620919">
              <w:rPr>
                <w:webHidden/>
              </w:rPr>
              <w:instrText xml:space="preserve"> PAGEREF _Toc230183728 \h </w:instrText>
            </w:r>
            <w:r w:rsidR="00620919">
              <w:rPr>
                <w:webHidden/>
              </w:rPr>
            </w:r>
            <w:r w:rsidR="00620919">
              <w:rPr>
                <w:webHidden/>
              </w:rPr>
              <w:fldChar w:fldCharType="separate"/>
            </w:r>
            <w:r w:rsidR="00620919">
              <w:rPr>
                <w:webHidden/>
              </w:rPr>
              <w:t>9</w:t>
            </w:r>
            <w:r w:rsidR="00620919">
              <w:rPr>
                <w:webHidden/>
              </w:rPr>
              <w:fldChar w:fldCharType="end"/>
            </w:r>
          </w:hyperlink>
        </w:p>
        <w:p w14:paraId="1487B467" w14:textId="7182F52A" w:rsidR="00620919" w:rsidRDefault="00D92CD3">
          <w:pPr>
            <w:pStyle w:val="TOC1"/>
            <w:rPr>
              <w:rFonts w:asciiTheme="minorHAnsi" w:eastAsiaTheme="minorEastAsia" w:hAnsiTheme="minorHAnsi" w:cstheme="minorBidi"/>
              <w:sz w:val="22"/>
              <w:lang w:val="en-US" w:eastAsia="en-US"/>
            </w:rPr>
          </w:pPr>
          <w:hyperlink w:anchor="_Toc230183729" w:history="1">
            <w:r w:rsidR="00620919" w:rsidRPr="00DB2CE1">
              <w:rPr>
                <w:rStyle w:val="Hyperlink"/>
                <w:rFonts w:asciiTheme="majorHAnsi" w:hAnsiTheme="majorHAnsi" w:cstheme="majorHAnsi"/>
              </w:rPr>
              <w:t>ODBOR ZAJEDNICE</w:t>
            </w:r>
            <w:r w:rsidR="00620919">
              <w:rPr>
                <w:webHidden/>
              </w:rPr>
              <w:tab/>
            </w:r>
            <w:r w:rsidR="00620919">
              <w:rPr>
                <w:webHidden/>
              </w:rPr>
              <w:fldChar w:fldCharType="begin"/>
            </w:r>
            <w:r w:rsidR="00620919">
              <w:rPr>
                <w:webHidden/>
              </w:rPr>
              <w:instrText xml:space="preserve"> PAGEREF _Toc230183729 \h </w:instrText>
            </w:r>
            <w:r w:rsidR="00620919">
              <w:rPr>
                <w:webHidden/>
              </w:rPr>
            </w:r>
            <w:r w:rsidR="00620919">
              <w:rPr>
                <w:webHidden/>
              </w:rPr>
              <w:fldChar w:fldCharType="separate"/>
            </w:r>
            <w:r w:rsidR="00620919">
              <w:rPr>
                <w:webHidden/>
              </w:rPr>
              <w:t>10</w:t>
            </w:r>
            <w:r w:rsidR="00620919">
              <w:rPr>
                <w:webHidden/>
              </w:rPr>
              <w:fldChar w:fldCharType="end"/>
            </w:r>
          </w:hyperlink>
        </w:p>
        <w:p w14:paraId="3520974E" w14:textId="333AD602" w:rsidR="00620919" w:rsidRDefault="00D92CD3">
          <w:pPr>
            <w:pStyle w:val="TOC1"/>
            <w:rPr>
              <w:rFonts w:asciiTheme="minorHAnsi" w:eastAsiaTheme="minorEastAsia" w:hAnsiTheme="minorHAnsi" w:cstheme="minorBidi"/>
              <w:sz w:val="22"/>
              <w:lang w:val="en-US" w:eastAsia="en-US"/>
            </w:rPr>
          </w:pPr>
          <w:hyperlink w:anchor="_Toc230183730" w:history="1">
            <w:r w:rsidR="00620919" w:rsidRPr="00DB2CE1">
              <w:rPr>
                <w:rStyle w:val="Hyperlink"/>
                <w:rFonts w:asciiTheme="majorHAnsi" w:hAnsiTheme="majorHAnsi" w:cstheme="majorHAnsi"/>
              </w:rPr>
              <w:t>ODLUKE SKUPŠTINE OPŠTINE</w:t>
            </w:r>
            <w:r w:rsidR="00620919">
              <w:rPr>
                <w:webHidden/>
              </w:rPr>
              <w:tab/>
            </w:r>
            <w:r w:rsidR="00620919">
              <w:rPr>
                <w:webHidden/>
              </w:rPr>
              <w:fldChar w:fldCharType="begin"/>
            </w:r>
            <w:r w:rsidR="00620919">
              <w:rPr>
                <w:webHidden/>
              </w:rPr>
              <w:instrText xml:space="preserve"> PAGEREF _Toc230183730 \h </w:instrText>
            </w:r>
            <w:r w:rsidR="00620919">
              <w:rPr>
                <w:webHidden/>
              </w:rPr>
            </w:r>
            <w:r w:rsidR="00620919">
              <w:rPr>
                <w:webHidden/>
              </w:rPr>
              <w:fldChar w:fldCharType="separate"/>
            </w:r>
            <w:r w:rsidR="00620919">
              <w:rPr>
                <w:webHidden/>
              </w:rPr>
              <w:t>12</w:t>
            </w:r>
            <w:r w:rsidR="00620919">
              <w:rPr>
                <w:webHidden/>
              </w:rPr>
              <w:fldChar w:fldCharType="end"/>
            </w:r>
          </w:hyperlink>
        </w:p>
        <w:p w14:paraId="3E59548B" w14:textId="5FC3B86D" w:rsidR="00620919" w:rsidRDefault="00D92CD3">
          <w:pPr>
            <w:pStyle w:val="TOC1"/>
            <w:rPr>
              <w:rFonts w:asciiTheme="minorHAnsi" w:eastAsiaTheme="minorEastAsia" w:hAnsiTheme="minorHAnsi" w:cstheme="minorBidi"/>
              <w:sz w:val="22"/>
              <w:lang w:val="en-US" w:eastAsia="en-US"/>
            </w:rPr>
          </w:pPr>
          <w:hyperlink w:anchor="_Toc230183731" w:history="1">
            <w:r w:rsidR="00620919" w:rsidRPr="00DB2CE1">
              <w:rPr>
                <w:rStyle w:val="Hyperlink"/>
                <w:rFonts w:asciiTheme="majorHAnsi" w:hAnsiTheme="majorHAnsi" w:cstheme="majorHAnsi"/>
                <w:lang w:eastAsia="sq-AL"/>
              </w:rPr>
              <w:t>OBJAVLJENE UREDBE</w:t>
            </w:r>
            <w:r w:rsidR="00620919">
              <w:rPr>
                <w:webHidden/>
              </w:rPr>
              <w:tab/>
            </w:r>
            <w:r w:rsidR="00620919">
              <w:rPr>
                <w:webHidden/>
              </w:rPr>
              <w:fldChar w:fldCharType="begin"/>
            </w:r>
            <w:r w:rsidR="00620919">
              <w:rPr>
                <w:webHidden/>
              </w:rPr>
              <w:instrText xml:space="preserve"> PAGEREF _Toc230183731 \h </w:instrText>
            </w:r>
            <w:r w:rsidR="00620919">
              <w:rPr>
                <w:webHidden/>
              </w:rPr>
            </w:r>
            <w:r w:rsidR="00620919">
              <w:rPr>
                <w:webHidden/>
              </w:rPr>
              <w:fldChar w:fldCharType="separate"/>
            </w:r>
            <w:r w:rsidR="00620919">
              <w:rPr>
                <w:webHidden/>
              </w:rPr>
              <w:t>13</w:t>
            </w:r>
            <w:r w:rsidR="00620919">
              <w:rPr>
                <w:webHidden/>
              </w:rPr>
              <w:fldChar w:fldCharType="end"/>
            </w:r>
          </w:hyperlink>
        </w:p>
        <w:p w14:paraId="040D1DBC" w14:textId="13829B4A" w:rsidR="00620919" w:rsidRDefault="00D92CD3">
          <w:pPr>
            <w:pStyle w:val="TOC2"/>
            <w:rPr>
              <w:rFonts w:asciiTheme="minorHAnsi" w:hAnsiTheme="minorHAnsi" w:cstheme="minorBidi"/>
              <w:sz w:val="22"/>
              <w:szCs w:val="22"/>
              <w:lang w:val="en-US"/>
            </w:rPr>
          </w:pPr>
          <w:hyperlink w:anchor="_Toc230183732" w:history="1">
            <w:r w:rsidR="00620919" w:rsidRPr="00DB2CE1">
              <w:rPr>
                <w:rStyle w:val="Hyperlink"/>
                <w:rFonts w:eastAsia="Times New Roman"/>
                <w:b/>
                <w:bCs/>
                <w:lang w:val="sr-Latn-RS" w:eastAsia="en-GB"/>
              </w:rPr>
              <w:t xml:space="preserve">Zapisnici </w:t>
            </w:r>
            <w:r w:rsidR="00620919">
              <w:rPr>
                <w:rStyle w:val="Hyperlink"/>
                <w:rFonts w:eastAsia="Times New Roman"/>
                <w:b/>
                <w:bCs/>
                <w:lang w:val="sr-Latn-RS" w:eastAsia="en-GB"/>
              </w:rPr>
              <w:t>s</w:t>
            </w:r>
            <w:r w:rsidR="00620919" w:rsidRPr="00DB2CE1">
              <w:rPr>
                <w:rStyle w:val="Hyperlink"/>
                <w:rFonts w:eastAsia="Times New Roman"/>
                <w:b/>
                <w:bCs/>
                <w:lang w:val="sr-Latn-RS" w:eastAsia="en-GB"/>
              </w:rPr>
              <w:t>a Sednica Skupštine Opštine</w:t>
            </w:r>
            <w:r w:rsidR="00620919">
              <w:rPr>
                <w:webHidden/>
              </w:rPr>
              <w:tab/>
            </w:r>
            <w:r w:rsidR="00620919">
              <w:rPr>
                <w:webHidden/>
              </w:rPr>
              <w:fldChar w:fldCharType="begin"/>
            </w:r>
            <w:r w:rsidR="00620919">
              <w:rPr>
                <w:webHidden/>
              </w:rPr>
              <w:instrText xml:space="preserve"> PAGEREF _Toc230183732 \h </w:instrText>
            </w:r>
            <w:r w:rsidR="00620919">
              <w:rPr>
                <w:webHidden/>
              </w:rPr>
            </w:r>
            <w:r w:rsidR="00620919">
              <w:rPr>
                <w:webHidden/>
              </w:rPr>
              <w:fldChar w:fldCharType="separate"/>
            </w:r>
            <w:r w:rsidR="00620919">
              <w:rPr>
                <w:webHidden/>
              </w:rPr>
              <w:t>13</w:t>
            </w:r>
            <w:r w:rsidR="00620919">
              <w:rPr>
                <w:webHidden/>
              </w:rPr>
              <w:fldChar w:fldCharType="end"/>
            </w:r>
          </w:hyperlink>
        </w:p>
        <w:p w14:paraId="063A627C" w14:textId="24B3AEEB" w:rsidR="00620919" w:rsidRDefault="00D92CD3">
          <w:pPr>
            <w:pStyle w:val="TOC2"/>
            <w:rPr>
              <w:rFonts w:asciiTheme="minorHAnsi" w:hAnsiTheme="minorHAnsi" w:cstheme="minorBidi"/>
              <w:sz w:val="22"/>
              <w:szCs w:val="22"/>
              <w:lang w:val="en-US"/>
            </w:rPr>
          </w:pPr>
          <w:hyperlink w:anchor="_Toc230183733" w:history="1">
            <w:r w:rsidR="00620919" w:rsidRPr="00DB2CE1">
              <w:rPr>
                <w:rStyle w:val="Hyperlink"/>
                <w:rFonts w:eastAsia="Times New Roman"/>
                <w:lang w:val="sr-Latn-RS"/>
              </w:rPr>
              <w:t>Zapisnici sa sastanaka Odbora za zajednice</w:t>
            </w:r>
            <w:r w:rsidR="00620919">
              <w:rPr>
                <w:webHidden/>
              </w:rPr>
              <w:tab/>
            </w:r>
            <w:r w:rsidR="00620919">
              <w:rPr>
                <w:webHidden/>
              </w:rPr>
              <w:fldChar w:fldCharType="begin"/>
            </w:r>
            <w:r w:rsidR="00620919">
              <w:rPr>
                <w:webHidden/>
              </w:rPr>
              <w:instrText xml:space="preserve"> PAGEREF _Toc230183733 \h </w:instrText>
            </w:r>
            <w:r w:rsidR="00620919">
              <w:rPr>
                <w:webHidden/>
              </w:rPr>
            </w:r>
            <w:r w:rsidR="00620919">
              <w:rPr>
                <w:webHidden/>
              </w:rPr>
              <w:fldChar w:fldCharType="separate"/>
            </w:r>
            <w:r w:rsidR="00620919">
              <w:rPr>
                <w:webHidden/>
              </w:rPr>
              <w:t>14</w:t>
            </w:r>
            <w:r w:rsidR="00620919">
              <w:rPr>
                <w:webHidden/>
              </w:rPr>
              <w:fldChar w:fldCharType="end"/>
            </w:r>
          </w:hyperlink>
        </w:p>
        <w:p w14:paraId="08E0D078" w14:textId="11F4A666" w:rsidR="00620919" w:rsidRDefault="00D92CD3">
          <w:pPr>
            <w:pStyle w:val="TOC1"/>
            <w:rPr>
              <w:rFonts w:asciiTheme="minorHAnsi" w:eastAsiaTheme="minorEastAsia" w:hAnsiTheme="minorHAnsi" w:cstheme="minorBidi"/>
              <w:sz w:val="22"/>
              <w:lang w:val="en-US" w:eastAsia="en-US"/>
            </w:rPr>
          </w:pPr>
          <w:hyperlink w:anchor="_Toc230183734" w:history="1">
            <w:r w:rsidR="00620919" w:rsidRPr="00DB2CE1">
              <w:rPr>
                <w:rStyle w:val="Hyperlink"/>
                <w:rFonts w:asciiTheme="majorHAnsi" w:hAnsiTheme="majorHAnsi" w:cstheme="majorHAnsi"/>
              </w:rPr>
              <w:t>ONLINE PRENOS SEDNICA SKUPŠTINA OPŠTINA SKUPŠTINA</w:t>
            </w:r>
            <w:r w:rsidR="00620919">
              <w:rPr>
                <w:webHidden/>
              </w:rPr>
              <w:tab/>
            </w:r>
            <w:r w:rsidR="00620919">
              <w:rPr>
                <w:webHidden/>
              </w:rPr>
              <w:fldChar w:fldCharType="begin"/>
            </w:r>
            <w:r w:rsidR="00620919">
              <w:rPr>
                <w:webHidden/>
              </w:rPr>
              <w:instrText xml:space="preserve"> PAGEREF _Toc230183734 \h </w:instrText>
            </w:r>
            <w:r w:rsidR="00620919">
              <w:rPr>
                <w:webHidden/>
              </w:rPr>
            </w:r>
            <w:r w:rsidR="00620919">
              <w:rPr>
                <w:webHidden/>
              </w:rPr>
              <w:fldChar w:fldCharType="separate"/>
            </w:r>
            <w:r w:rsidR="00620919">
              <w:rPr>
                <w:webHidden/>
              </w:rPr>
              <w:t>15</w:t>
            </w:r>
            <w:r w:rsidR="00620919">
              <w:rPr>
                <w:webHidden/>
              </w:rPr>
              <w:fldChar w:fldCharType="end"/>
            </w:r>
          </w:hyperlink>
        </w:p>
        <w:p w14:paraId="33AA3F85" w14:textId="65DF9CC8" w:rsidR="00620919" w:rsidRDefault="00D92CD3">
          <w:pPr>
            <w:pStyle w:val="TOC1"/>
            <w:rPr>
              <w:rFonts w:asciiTheme="minorHAnsi" w:eastAsiaTheme="minorEastAsia" w:hAnsiTheme="minorHAnsi" w:cstheme="minorBidi"/>
              <w:sz w:val="22"/>
              <w:lang w:val="en-US" w:eastAsia="en-US"/>
            </w:rPr>
          </w:pPr>
          <w:hyperlink w:anchor="_Toc230183735" w:history="1">
            <w:r w:rsidR="00620919" w:rsidRPr="00DB2CE1">
              <w:rPr>
                <w:rStyle w:val="Hyperlink"/>
                <w:rFonts w:asciiTheme="majorHAnsi" w:hAnsiTheme="majorHAnsi" w:cstheme="majorHAnsi"/>
              </w:rPr>
              <w:t>OBJAVLJIVANJE PLANA RADA SKUPŠTINE OPŠTINE</w:t>
            </w:r>
            <w:r w:rsidR="00620919">
              <w:rPr>
                <w:webHidden/>
              </w:rPr>
              <w:tab/>
            </w:r>
            <w:r w:rsidR="00620919">
              <w:rPr>
                <w:webHidden/>
              </w:rPr>
              <w:fldChar w:fldCharType="begin"/>
            </w:r>
            <w:r w:rsidR="00620919">
              <w:rPr>
                <w:webHidden/>
              </w:rPr>
              <w:instrText xml:space="preserve"> PAGEREF _Toc230183735 \h </w:instrText>
            </w:r>
            <w:r w:rsidR="00620919">
              <w:rPr>
                <w:webHidden/>
              </w:rPr>
            </w:r>
            <w:r w:rsidR="00620919">
              <w:rPr>
                <w:webHidden/>
              </w:rPr>
              <w:fldChar w:fldCharType="separate"/>
            </w:r>
            <w:r w:rsidR="00620919">
              <w:rPr>
                <w:webHidden/>
              </w:rPr>
              <w:t>15</w:t>
            </w:r>
            <w:r w:rsidR="00620919">
              <w:rPr>
                <w:webHidden/>
              </w:rPr>
              <w:fldChar w:fldCharType="end"/>
            </w:r>
          </w:hyperlink>
        </w:p>
        <w:p w14:paraId="2553A670" w14:textId="0BB03C36" w:rsidR="00620919" w:rsidRDefault="00D92CD3">
          <w:pPr>
            <w:pStyle w:val="TOC2"/>
            <w:rPr>
              <w:rFonts w:asciiTheme="minorHAnsi" w:hAnsiTheme="minorHAnsi" w:cstheme="minorBidi"/>
              <w:sz w:val="22"/>
              <w:szCs w:val="22"/>
              <w:lang w:val="en-US"/>
            </w:rPr>
          </w:pPr>
          <w:hyperlink w:anchor="_Toc230183736" w:history="1">
            <w:r w:rsidR="00620919" w:rsidRPr="00DB2CE1">
              <w:rPr>
                <w:rStyle w:val="Hyperlink"/>
                <w:rFonts w:eastAsia="Times New Roman"/>
                <w:lang w:val="sr-Latn-RS" w:eastAsia="en-GB"/>
              </w:rPr>
              <w:t>Strateški planovi i dokumenti</w:t>
            </w:r>
            <w:r w:rsidR="00620919">
              <w:rPr>
                <w:webHidden/>
              </w:rPr>
              <w:tab/>
            </w:r>
            <w:r w:rsidR="00620919">
              <w:rPr>
                <w:webHidden/>
              </w:rPr>
              <w:fldChar w:fldCharType="begin"/>
            </w:r>
            <w:r w:rsidR="00620919">
              <w:rPr>
                <w:webHidden/>
              </w:rPr>
              <w:instrText xml:space="preserve"> PAGEREF _Toc230183736 \h </w:instrText>
            </w:r>
            <w:r w:rsidR="00620919">
              <w:rPr>
                <w:webHidden/>
              </w:rPr>
            </w:r>
            <w:r w:rsidR="00620919">
              <w:rPr>
                <w:webHidden/>
              </w:rPr>
              <w:fldChar w:fldCharType="separate"/>
            </w:r>
            <w:r w:rsidR="00620919">
              <w:rPr>
                <w:webHidden/>
              </w:rPr>
              <w:t>16</w:t>
            </w:r>
            <w:r w:rsidR="00620919">
              <w:rPr>
                <w:webHidden/>
              </w:rPr>
              <w:fldChar w:fldCharType="end"/>
            </w:r>
          </w:hyperlink>
        </w:p>
        <w:p w14:paraId="1524D75B" w14:textId="502DFA33" w:rsidR="00620919" w:rsidRDefault="00D92CD3">
          <w:pPr>
            <w:pStyle w:val="TOC2"/>
            <w:rPr>
              <w:rFonts w:asciiTheme="minorHAnsi" w:hAnsiTheme="minorHAnsi" w:cstheme="minorBidi"/>
              <w:sz w:val="22"/>
              <w:szCs w:val="22"/>
              <w:lang w:val="en-US"/>
            </w:rPr>
          </w:pPr>
          <w:hyperlink w:anchor="_Toc230183737" w:history="1">
            <w:r w:rsidR="00620919" w:rsidRPr="00DB2CE1">
              <w:rPr>
                <w:rStyle w:val="Hyperlink"/>
                <w:lang w:val="sr-Latn-RS"/>
              </w:rPr>
              <w:t>Zonalne mape</w:t>
            </w:r>
            <w:r w:rsidR="00620919">
              <w:rPr>
                <w:webHidden/>
              </w:rPr>
              <w:tab/>
            </w:r>
            <w:r w:rsidR="00620919">
              <w:rPr>
                <w:webHidden/>
              </w:rPr>
              <w:fldChar w:fldCharType="begin"/>
            </w:r>
            <w:r w:rsidR="00620919">
              <w:rPr>
                <w:webHidden/>
              </w:rPr>
              <w:instrText xml:space="preserve"> PAGEREF _Toc230183737 \h </w:instrText>
            </w:r>
            <w:r w:rsidR="00620919">
              <w:rPr>
                <w:webHidden/>
              </w:rPr>
            </w:r>
            <w:r w:rsidR="00620919">
              <w:rPr>
                <w:webHidden/>
              </w:rPr>
              <w:fldChar w:fldCharType="separate"/>
            </w:r>
            <w:r w:rsidR="00620919">
              <w:rPr>
                <w:webHidden/>
              </w:rPr>
              <w:t>17</w:t>
            </w:r>
            <w:r w:rsidR="00620919">
              <w:rPr>
                <w:webHidden/>
              </w:rPr>
              <w:fldChar w:fldCharType="end"/>
            </w:r>
          </w:hyperlink>
        </w:p>
        <w:p w14:paraId="4166682B" w14:textId="6E68EA8D" w:rsidR="00620919" w:rsidRDefault="00D92CD3">
          <w:pPr>
            <w:pStyle w:val="TOC2"/>
            <w:rPr>
              <w:rFonts w:asciiTheme="minorHAnsi" w:hAnsiTheme="minorHAnsi" w:cstheme="minorBidi"/>
              <w:sz w:val="22"/>
              <w:szCs w:val="22"/>
              <w:lang w:val="en-US"/>
            </w:rPr>
          </w:pPr>
          <w:hyperlink w:anchor="_Toc230183738" w:history="1">
            <w:r w:rsidR="00620919" w:rsidRPr="00DB2CE1">
              <w:rPr>
                <w:rStyle w:val="Hyperlink"/>
                <w:lang w:val="sr-Latn-RS"/>
              </w:rPr>
              <w:t>Akcioni plan transparentnosti</w:t>
            </w:r>
            <w:r w:rsidR="00620919">
              <w:rPr>
                <w:webHidden/>
              </w:rPr>
              <w:tab/>
            </w:r>
            <w:r w:rsidR="00620919">
              <w:rPr>
                <w:webHidden/>
              </w:rPr>
              <w:fldChar w:fldCharType="begin"/>
            </w:r>
            <w:r w:rsidR="00620919">
              <w:rPr>
                <w:webHidden/>
              </w:rPr>
              <w:instrText xml:space="preserve"> PAGEREF _Toc230183738 \h </w:instrText>
            </w:r>
            <w:r w:rsidR="00620919">
              <w:rPr>
                <w:webHidden/>
              </w:rPr>
            </w:r>
            <w:r w:rsidR="00620919">
              <w:rPr>
                <w:webHidden/>
              </w:rPr>
              <w:fldChar w:fldCharType="separate"/>
            </w:r>
            <w:r w:rsidR="00620919">
              <w:rPr>
                <w:webHidden/>
              </w:rPr>
              <w:t>18</w:t>
            </w:r>
            <w:r w:rsidR="00620919">
              <w:rPr>
                <w:webHidden/>
              </w:rPr>
              <w:fldChar w:fldCharType="end"/>
            </w:r>
          </w:hyperlink>
        </w:p>
        <w:p w14:paraId="10B7169C" w14:textId="7CAE8B6B" w:rsidR="00620919" w:rsidRDefault="00D92CD3">
          <w:pPr>
            <w:pStyle w:val="TOC2"/>
            <w:rPr>
              <w:rFonts w:asciiTheme="minorHAnsi" w:hAnsiTheme="minorHAnsi" w:cstheme="minorBidi"/>
              <w:sz w:val="22"/>
              <w:szCs w:val="22"/>
              <w:lang w:val="en-US"/>
            </w:rPr>
          </w:pPr>
          <w:hyperlink w:anchor="_Toc230183739" w:history="1">
            <w:r w:rsidR="00620919" w:rsidRPr="00DB2CE1">
              <w:rPr>
                <w:rStyle w:val="Hyperlink"/>
                <w:rFonts w:eastAsia="Times New Roman"/>
                <w:b/>
                <w:bCs/>
                <w:lang w:eastAsia="en-GB"/>
              </w:rPr>
              <w:t>PROPISI O TRANSPARENTNOSTI OPŠTINA</w:t>
            </w:r>
            <w:r w:rsidR="00620919">
              <w:rPr>
                <w:webHidden/>
              </w:rPr>
              <w:tab/>
            </w:r>
            <w:r w:rsidR="00620919">
              <w:rPr>
                <w:webHidden/>
              </w:rPr>
              <w:fldChar w:fldCharType="begin"/>
            </w:r>
            <w:r w:rsidR="00620919">
              <w:rPr>
                <w:webHidden/>
              </w:rPr>
              <w:instrText xml:space="preserve"> PAGEREF _Toc230183739 \h </w:instrText>
            </w:r>
            <w:r w:rsidR="00620919">
              <w:rPr>
                <w:webHidden/>
              </w:rPr>
            </w:r>
            <w:r w:rsidR="00620919">
              <w:rPr>
                <w:webHidden/>
              </w:rPr>
              <w:fldChar w:fldCharType="separate"/>
            </w:r>
            <w:r w:rsidR="00620919">
              <w:rPr>
                <w:webHidden/>
              </w:rPr>
              <w:t>19</w:t>
            </w:r>
            <w:r w:rsidR="00620919">
              <w:rPr>
                <w:webHidden/>
              </w:rPr>
              <w:fldChar w:fldCharType="end"/>
            </w:r>
          </w:hyperlink>
        </w:p>
        <w:p w14:paraId="5AEB221B" w14:textId="73A1870B" w:rsidR="00620919" w:rsidRDefault="00D92CD3">
          <w:pPr>
            <w:pStyle w:val="TOC2"/>
            <w:rPr>
              <w:rFonts w:asciiTheme="minorHAnsi" w:hAnsiTheme="minorHAnsi" w:cstheme="minorBidi"/>
              <w:sz w:val="22"/>
              <w:szCs w:val="22"/>
              <w:lang w:val="en-US"/>
            </w:rPr>
          </w:pPr>
          <w:hyperlink w:anchor="_Toc230183740" w:history="1">
            <w:r w:rsidR="00620919" w:rsidRPr="00DB2CE1">
              <w:rPr>
                <w:rStyle w:val="Hyperlink"/>
                <w:rFonts w:eastAsia="Times New Roman"/>
                <w:lang w:val="sr-Latn-RS" w:eastAsia="en-GB"/>
              </w:rPr>
              <w:t>Plan i integriteta</w:t>
            </w:r>
            <w:r w:rsidR="00620919">
              <w:rPr>
                <w:webHidden/>
              </w:rPr>
              <w:tab/>
            </w:r>
            <w:r w:rsidR="00620919">
              <w:rPr>
                <w:webHidden/>
              </w:rPr>
              <w:fldChar w:fldCharType="begin"/>
            </w:r>
            <w:r w:rsidR="00620919">
              <w:rPr>
                <w:webHidden/>
              </w:rPr>
              <w:instrText xml:space="preserve"> PAGEREF _Toc230183740 \h </w:instrText>
            </w:r>
            <w:r w:rsidR="00620919">
              <w:rPr>
                <w:webHidden/>
              </w:rPr>
            </w:r>
            <w:r w:rsidR="00620919">
              <w:rPr>
                <w:webHidden/>
              </w:rPr>
              <w:fldChar w:fldCharType="separate"/>
            </w:r>
            <w:r w:rsidR="00620919">
              <w:rPr>
                <w:webHidden/>
              </w:rPr>
              <w:t>20</w:t>
            </w:r>
            <w:r w:rsidR="00620919">
              <w:rPr>
                <w:webHidden/>
              </w:rPr>
              <w:fldChar w:fldCharType="end"/>
            </w:r>
          </w:hyperlink>
        </w:p>
        <w:p w14:paraId="098851EF" w14:textId="716802A4" w:rsidR="00620919" w:rsidRDefault="00D92CD3">
          <w:pPr>
            <w:pStyle w:val="TOC1"/>
            <w:rPr>
              <w:rFonts w:asciiTheme="minorHAnsi" w:eastAsiaTheme="minorEastAsia" w:hAnsiTheme="minorHAnsi" w:cstheme="minorBidi"/>
              <w:sz w:val="22"/>
              <w:lang w:val="en-US" w:eastAsia="en-US"/>
            </w:rPr>
          </w:pPr>
          <w:hyperlink w:anchor="_Toc230183741" w:history="1">
            <w:r w:rsidR="00620919" w:rsidRPr="00DB2CE1">
              <w:rPr>
                <w:rStyle w:val="Hyperlink"/>
                <w:rFonts w:asciiTheme="majorHAnsi" w:hAnsiTheme="majorHAnsi" w:cstheme="majorHAnsi"/>
              </w:rPr>
              <w:t>TRANSPARENTNOST GRADONAČELNIKA</w:t>
            </w:r>
            <w:r w:rsidR="00620919">
              <w:rPr>
                <w:webHidden/>
              </w:rPr>
              <w:tab/>
            </w:r>
            <w:r w:rsidR="00620919">
              <w:rPr>
                <w:webHidden/>
              </w:rPr>
              <w:fldChar w:fldCharType="begin"/>
            </w:r>
            <w:r w:rsidR="00620919">
              <w:rPr>
                <w:webHidden/>
              </w:rPr>
              <w:instrText xml:space="preserve"> PAGEREF _Toc230183741 \h </w:instrText>
            </w:r>
            <w:r w:rsidR="00620919">
              <w:rPr>
                <w:webHidden/>
              </w:rPr>
            </w:r>
            <w:r w:rsidR="00620919">
              <w:rPr>
                <w:webHidden/>
              </w:rPr>
              <w:fldChar w:fldCharType="separate"/>
            </w:r>
            <w:r w:rsidR="00620919">
              <w:rPr>
                <w:webHidden/>
              </w:rPr>
              <w:t>20</w:t>
            </w:r>
            <w:r w:rsidR="00620919">
              <w:rPr>
                <w:webHidden/>
              </w:rPr>
              <w:fldChar w:fldCharType="end"/>
            </w:r>
          </w:hyperlink>
        </w:p>
        <w:p w14:paraId="4DBBF56C" w14:textId="6BB03F26" w:rsidR="00620919" w:rsidRDefault="00D92CD3">
          <w:pPr>
            <w:pStyle w:val="TOC1"/>
            <w:rPr>
              <w:rFonts w:asciiTheme="minorHAnsi" w:eastAsiaTheme="minorEastAsia" w:hAnsiTheme="minorHAnsi" w:cstheme="minorBidi"/>
              <w:sz w:val="22"/>
              <w:lang w:val="en-US" w:eastAsia="en-US"/>
            </w:rPr>
          </w:pPr>
          <w:hyperlink w:anchor="_Toc230183742" w:history="1">
            <w:r w:rsidR="00620919" w:rsidRPr="00DB2CE1">
              <w:rPr>
                <w:rStyle w:val="Hyperlink"/>
                <w:rFonts w:asciiTheme="majorHAnsi" w:hAnsiTheme="majorHAnsi" w:cstheme="majorHAnsi"/>
              </w:rPr>
              <w:t>OBJAVLJIVANJE GODIŠNJEG PLANA GRADONAČELNIKA</w:t>
            </w:r>
            <w:r w:rsidR="00620919">
              <w:rPr>
                <w:webHidden/>
              </w:rPr>
              <w:tab/>
            </w:r>
            <w:r w:rsidR="00620919">
              <w:rPr>
                <w:webHidden/>
              </w:rPr>
              <w:fldChar w:fldCharType="begin"/>
            </w:r>
            <w:r w:rsidR="00620919">
              <w:rPr>
                <w:webHidden/>
              </w:rPr>
              <w:instrText xml:space="preserve"> PAGEREF _Toc230183742 \h </w:instrText>
            </w:r>
            <w:r w:rsidR="00620919">
              <w:rPr>
                <w:webHidden/>
              </w:rPr>
            </w:r>
            <w:r w:rsidR="00620919">
              <w:rPr>
                <w:webHidden/>
              </w:rPr>
              <w:fldChar w:fldCharType="separate"/>
            </w:r>
            <w:r w:rsidR="00620919">
              <w:rPr>
                <w:webHidden/>
              </w:rPr>
              <w:t>21</w:t>
            </w:r>
            <w:r w:rsidR="00620919">
              <w:rPr>
                <w:webHidden/>
              </w:rPr>
              <w:fldChar w:fldCharType="end"/>
            </w:r>
          </w:hyperlink>
        </w:p>
        <w:p w14:paraId="3EC30188" w14:textId="1BD3D4FC" w:rsidR="00620919" w:rsidRDefault="00D92CD3">
          <w:pPr>
            <w:pStyle w:val="TOC1"/>
            <w:rPr>
              <w:rFonts w:asciiTheme="minorHAnsi" w:eastAsiaTheme="minorEastAsia" w:hAnsiTheme="minorHAnsi" w:cstheme="minorBidi"/>
              <w:sz w:val="22"/>
              <w:lang w:val="en-US" w:eastAsia="en-US"/>
            </w:rPr>
          </w:pPr>
          <w:hyperlink w:anchor="_Toc230183743" w:history="1">
            <w:r w:rsidR="00620919" w:rsidRPr="00DB2CE1">
              <w:rPr>
                <w:rStyle w:val="Hyperlink"/>
                <w:rFonts w:asciiTheme="majorHAnsi" w:hAnsiTheme="majorHAnsi" w:cstheme="majorHAnsi"/>
              </w:rPr>
              <w:t>OBJAVLJIVANJE IZVEŠTAJA GRADONAČELNIKA</w:t>
            </w:r>
            <w:r w:rsidR="00620919">
              <w:rPr>
                <w:webHidden/>
              </w:rPr>
              <w:tab/>
            </w:r>
            <w:r w:rsidR="00620919">
              <w:rPr>
                <w:webHidden/>
              </w:rPr>
              <w:fldChar w:fldCharType="begin"/>
            </w:r>
            <w:r w:rsidR="00620919">
              <w:rPr>
                <w:webHidden/>
              </w:rPr>
              <w:instrText xml:space="preserve"> PAGEREF _Toc230183743 \h </w:instrText>
            </w:r>
            <w:r w:rsidR="00620919">
              <w:rPr>
                <w:webHidden/>
              </w:rPr>
            </w:r>
            <w:r w:rsidR="00620919">
              <w:rPr>
                <w:webHidden/>
              </w:rPr>
              <w:fldChar w:fldCharType="separate"/>
            </w:r>
            <w:r w:rsidR="00620919">
              <w:rPr>
                <w:webHidden/>
              </w:rPr>
              <w:t>22</w:t>
            </w:r>
            <w:r w:rsidR="00620919">
              <w:rPr>
                <w:webHidden/>
              </w:rPr>
              <w:fldChar w:fldCharType="end"/>
            </w:r>
          </w:hyperlink>
        </w:p>
        <w:p w14:paraId="5A1E9B51" w14:textId="1DDB301D" w:rsidR="00620919" w:rsidRDefault="00D92CD3">
          <w:pPr>
            <w:pStyle w:val="TOC2"/>
            <w:rPr>
              <w:rFonts w:asciiTheme="minorHAnsi" w:hAnsiTheme="minorHAnsi" w:cstheme="minorBidi"/>
              <w:sz w:val="22"/>
              <w:szCs w:val="22"/>
              <w:lang w:val="en-US"/>
            </w:rPr>
          </w:pPr>
          <w:hyperlink w:anchor="_Toc230183744" w:history="1">
            <w:r w:rsidR="00620919" w:rsidRPr="00DB2CE1">
              <w:rPr>
                <w:rStyle w:val="Hyperlink"/>
                <w:lang w:val="sr-Latn-RS"/>
              </w:rPr>
              <w:t>Objavljivanje spiska nepokretne imovine opštine</w:t>
            </w:r>
            <w:r w:rsidR="00620919">
              <w:rPr>
                <w:webHidden/>
              </w:rPr>
              <w:tab/>
            </w:r>
            <w:r w:rsidR="00620919">
              <w:rPr>
                <w:webHidden/>
              </w:rPr>
              <w:fldChar w:fldCharType="begin"/>
            </w:r>
            <w:r w:rsidR="00620919">
              <w:rPr>
                <w:webHidden/>
              </w:rPr>
              <w:instrText xml:space="preserve"> PAGEREF _Toc230183744 \h </w:instrText>
            </w:r>
            <w:r w:rsidR="00620919">
              <w:rPr>
                <w:webHidden/>
              </w:rPr>
            </w:r>
            <w:r w:rsidR="00620919">
              <w:rPr>
                <w:webHidden/>
              </w:rPr>
              <w:fldChar w:fldCharType="separate"/>
            </w:r>
            <w:r w:rsidR="00620919">
              <w:rPr>
                <w:webHidden/>
              </w:rPr>
              <w:t>23</w:t>
            </w:r>
            <w:r w:rsidR="00620919">
              <w:rPr>
                <w:webHidden/>
              </w:rPr>
              <w:fldChar w:fldCharType="end"/>
            </w:r>
          </w:hyperlink>
        </w:p>
        <w:p w14:paraId="29888EDC" w14:textId="0EA142E0" w:rsidR="00620919" w:rsidRDefault="00D92CD3">
          <w:pPr>
            <w:pStyle w:val="TOC2"/>
            <w:rPr>
              <w:rFonts w:asciiTheme="minorHAnsi" w:hAnsiTheme="minorHAnsi" w:cstheme="minorBidi"/>
              <w:sz w:val="22"/>
              <w:szCs w:val="22"/>
              <w:lang w:val="en-US"/>
            </w:rPr>
          </w:pPr>
          <w:hyperlink w:anchor="_Toc230183746" w:history="1">
            <w:r w:rsidR="00620919" w:rsidRPr="00DB2CE1">
              <w:rPr>
                <w:rStyle w:val="Hyperlink"/>
                <w:rFonts w:eastAsia="Times New Roman"/>
                <w:lang w:val="sr-Latn-RS" w:eastAsia="en-GB"/>
              </w:rPr>
              <w:t>Izveštaj o pristupu javnim dokumentima</w:t>
            </w:r>
            <w:r w:rsidR="00620919">
              <w:rPr>
                <w:webHidden/>
              </w:rPr>
              <w:tab/>
            </w:r>
            <w:r w:rsidR="00620919">
              <w:rPr>
                <w:webHidden/>
              </w:rPr>
              <w:fldChar w:fldCharType="begin"/>
            </w:r>
            <w:r w:rsidR="00620919">
              <w:rPr>
                <w:webHidden/>
              </w:rPr>
              <w:instrText xml:space="preserve"> PAGEREF _Toc230183746 \h </w:instrText>
            </w:r>
            <w:r w:rsidR="00620919">
              <w:rPr>
                <w:webHidden/>
              </w:rPr>
            </w:r>
            <w:r w:rsidR="00620919">
              <w:rPr>
                <w:webHidden/>
              </w:rPr>
              <w:fldChar w:fldCharType="separate"/>
            </w:r>
            <w:r w:rsidR="00620919">
              <w:rPr>
                <w:webHidden/>
              </w:rPr>
              <w:t>25</w:t>
            </w:r>
            <w:r w:rsidR="00620919">
              <w:rPr>
                <w:webHidden/>
              </w:rPr>
              <w:fldChar w:fldCharType="end"/>
            </w:r>
          </w:hyperlink>
        </w:p>
        <w:p w14:paraId="76DD4524" w14:textId="0B3C03E9" w:rsidR="00620919" w:rsidRDefault="00D92CD3">
          <w:pPr>
            <w:pStyle w:val="TOC1"/>
            <w:rPr>
              <w:rFonts w:asciiTheme="minorHAnsi" w:eastAsiaTheme="minorEastAsia" w:hAnsiTheme="minorHAnsi" w:cstheme="minorBidi"/>
              <w:sz w:val="22"/>
              <w:lang w:val="en-US" w:eastAsia="en-US"/>
            </w:rPr>
          </w:pPr>
          <w:hyperlink w:anchor="_Toc230183747" w:history="1">
            <w:r w:rsidR="00620919" w:rsidRPr="00DB2CE1">
              <w:rPr>
                <w:rStyle w:val="Hyperlink"/>
                <w:rFonts w:asciiTheme="majorHAnsi" w:hAnsiTheme="majorHAnsi" w:cstheme="majorHAnsi"/>
                <w:lang w:val="sr-Latn-RS"/>
              </w:rPr>
              <w:t>FINANSIJSKA TRANSPARENTNOST</w:t>
            </w:r>
            <w:r w:rsidR="00620919">
              <w:rPr>
                <w:webHidden/>
              </w:rPr>
              <w:tab/>
            </w:r>
            <w:r w:rsidR="00620919">
              <w:rPr>
                <w:webHidden/>
              </w:rPr>
              <w:fldChar w:fldCharType="begin"/>
            </w:r>
            <w:r w:rsidR="00620919">
              <w:rPr>
                <w:webHidden/>
              </w:rPr>
              <w:instrText xml:space="preserve"> PAGEREF _Toc230183747 \h </w:instrText>
            </w:r>
            <w:r w:rsidR="00620919">
              <w:rPr>
                <w:webHidden/>
              </w:rPr>
            </w:r>
            <w:r w:rsidR="00620919">
              <w:rPr>
                <w:webHidden/>
              </w:rPr>
              <w:fldChar w:fldCharType="separate"/>
            </w:r>
            <w:r w:rsidR="00620919">
              <w:rPr>
                <w:webHidden/>
              </w:rPr>
              <w:t>25</w:t>
            </w:r>
            <w:r w:rsidR="00620919">
              <w:rPr>
                <w:webHidden/>
              </w:rPr>
              <w:fldChar w:fldCharType="end"/>
            </w:r>
          </w:hyperlink>
        </w:p>
        <w:p w14:paraId="21B27143" w14:textId="3F25B20D" w:rsidR="00620919" w:rsidRDefault="00D92CD3">
          <w:pPr>
            <w:pStyle w:val="TOC1"/>
            <w:rPr>
              <w:rFonts w:asciiTheme="minorHAnsi" w:eastAsiaTheme="minorEastAsia" w:hAnsiTheme="minorHAnsi" w:cstheme="minorBidi"/>
              <w:sz w:val="22"/>
              <w:lang w:val="en-US" w:eastAsia="en-US"/>
            </w:rPr>
          </w:pPr>
          <w:hyperlink w:anchor="_Toc230183748" w:history="1">
            <w:r w:rsidR="00620919" w:rsidRPr="00DB2CE1">
              <w:rPr>
                <w:rStyle w:val="Hyperlink"/>
                <w:rFonts w:asciiTheme="majorHAnsi" w:hAnsiTheme="majorHAnsi" w:cstheme="majorHAnsi"/>
              </w:rPr>
              <w:t>OBJAVLJIVANJE BUDŽETSKOG PLANA</w:t>
            </w:r>
            <w:r w:rsidR="00620919">
              <w:rPr>
                <w:webHidden/>
              </w:rPr>
              <w:tab/>
            </w:r>
            <w:r w:rsidR="00620919">
              <w:rPr>
                <w:webHidden/>
              </w:rPr>
              <w:fldChar w:fldCharType="begin"/>
            </w:r>
            <w:r w:rsidR="00620919">
              <w:rPr>
                <w:webHidden/>
              </w:rPr>
              <w:instrText xml:space="preserve"> PAGEREF _Toc230183748 \h </w:instrText>
            </w:r>
            <w:r w:rsidR="00620919">
              <w:rPr>
                <w:webHidden/>
              </w:rPr>
            </w:r>
            <w:r w:rsidR="00620919">
              <w:rPr>
                <w:webHidden/>
              </w:rPr>
              <w:fldChar w:fldCharType="separate"/>
            </w:r>
            <w:r w:rsidR="00620919">
              <w:rPr>
                <w:webHidden/>
              </w:rPr>
              <w:t>26</w:t>
            </w:r>
            <w:r w:rsidR="00620919">
              <w:rPr>
                <w:webHidden/>
              </w:rPr>
              <w:fldChar w:fldCharType="end"/>
            </w:r>
          </w:hyperlink>
        </w:p>
        <w:p w14:paraId="55AFE27E" w14:textId="2AC1E89F" w:rsidR="00620919" w:rsidRDefault="00D92CD3">
          <w:pPr>
            <w:pStyle w:val="TOC1"/>
            <w:rPr>
              <w:rFonts w:asciiTheme="minorHAnsi" w:eastAsiaTheme="minorEastAsia" w:hAnsiTheme="minorHAnsi" w:cstheme="minorBidi"/>
              <w:sz w:val="22"/>
              <w:lang w:val="en-US" w:eastAsia="en-US"/>
            </w:rPr>
          </w:pPr>
          <w:hyperlink w:anchor="_Toc230183749" w:history="1">
            <w:r w:rsidR="00620919" w:rsidRPr="00DB2CE1">
              <w:rPr>
                <w:rStyle w:val="Hyperlink"/>
                <w:rFonts w:asciiTheme="majorHAnsi" w:hAnsiTheme="majorHAnsi" w:cstheme="majorHAnsi"/>
              </w:rPr>
              <w:t>SREDNJOROČNI BUDŽETSKI OKVIR</w:t>
            </w:r>
            <w:r w:rsidR="00620919">
              <w:rPr>
                <w:webHidden/>
              </w:rPr>
              <w:tab/>
            </w:r>
            <w:r w:rsidR="00620919">
              <w:rPr>
                <w:webHidden/>
              </w:rPr>
              <w:fldChar w:fldCharType="begin"/>
            </w:r>
            <w:r w:rsidR="00620919">
              <w:rPr>
                <w:webHidden/>
              </w:rPr>
              <w:instrText xml:space="preserve"> PAGEREF _Toc230183749 \h </w:instrText>
            </w:r>
            <w:r w:rsidR="00620919">
              <w:rPr>
                <w:webHidden/>
              </w:rPr>
            </w:r>
            <w:r w:rsidR="00620919">
              <w:rPr>
                <w:webHidden/>
              </w:rPr>
              <w:fldChar w:fldCharType="separate"/>
            </w:r>
            <w:r w:rsidR="00620919">
              <w:rPr>
                <w:webHidden/>
              </w:rPr>
              <w:t>26</w:t>
            </w:r>
            <w:r w:rsidR="00620919">
              <w:rPr>
                <w:webHidden/>
              </w:rPr>
              <w:fldChar w:fldCharType="end"/>
            </w:r>
          </w:hyperlink>
        </w:p>
        <w:p w14:paraId="5790DCBB" w14:textId="5747E398" w:rsidR="00620919" w:rsidRDefault="00D92CD3">
          <w:pPr>
            <w:pStyle w:val="TOC2"/>
            <w:rPr>
              <w:rFonts w:asciiTheme="minorHAnsi" w:hAnsiTheme="minorHAnsi" w:cstheme="minorBidi"/>
              <w:sz w:val="22"/>
              <w:szCs w:val="22"/>
              <w:lang w:val="en-US"/>
            </w:rPr>
          </w:pPr>
          <w:hyperlink w:anchor="_Toc230183750" w:history="1">
            <w:r w:rsidR="00620919" w:rsidRPr="00DB2CE1">
              <w:rPr>
                <w:rStyle w:val="Hyperlink"/>
                <w:lang w:val="sr-Latn-RS"/>
              </w:rPr>
              <w:t>OBJAVLJIVANJE PERIODIČNIH IZVEŠTAJA</w:t>
            </w:r>
            <w:r w:rsidR="00620919">
              <w:rPr>
                <w:webHidden/>
              </w:rPr>
              <w:tab/>
            </w:r>
            <w:r w:rsidR="00620919">
              <w:rPr>
                <w:webHidden/>
              </w:rPr>
              <w:fldChar w:fldCharType="begin"/>
            </w:r>
            <w:r w:rsidR="00620919">
              <w:rPr>
                <w:webHidden/>
              </w:rPr>
              <w:instrText xml:space="preserve"> PAGEREF _Toc230183750 \h </w:instrText>
            </w:r>
            <w:r w:rsidR="00620919">
              <w:rPr>
                <w:webHidden/>
              </w:rPr>
            </w:r>
            <w:r w:rsidR="00620919">
              <w:rPr>
                <w:webHidden/>
              </w:rPr>
              <w:fldChar w:fldCharType="separate"/>
            </w:r>
            <w:r w:rsidR="00620919">
              <w:rPr>
                <w:webHidden/>
              </w:rPr>
              <w:t>27</w:t>
            </w:r>
            <w:r w:rsidR="00620919">
              <w:rPr>
                <w:webHidden/>
              </w:rPr>
              <w:fldChar w:fldCharType="end"/>
            </w:r>
          </w:hyperlink>
        </w:p>
        <w:p w14:paraId="6B70CD6B" w14:textId="222531A3" w:rsidR="00620919" w:rsidRDefault="00D92CD3">
          <w:pPr>
            <w:pStyle w:val="TOC2"/>
            <w:rPr>
              <w:rFonts w:asciiTheme="minorHAnsi" w:hAnsiTheme="minorHAnsi" w:cstheme="minorBidi"/>
              <w:sz w:val="22"/>
              <w:szCs w:val="22"/>
              <w:lang w:val="en-US"/>
            </w:rPr>
          </w:pPr>
          <w:hyperlink w:anchor="_Toc230183751" w:history="1">
            <w:r w:rsidR="00620919" w:rsidRPr="00DB2CE1">
              <w:rPr>
                <w:rStyle w:val="Hyperlink"/>
                <w:lang w:val="sr-Latn-RS"/>
              </w:rPr>
              <w:t>Godišnji finansijski izveštaj</w:t>
            </w:r>
            <w:r w:rsidR="00620919">
              <w:rPr>
                <w:webHidden/>
              </w:rPr>
              <w:tab/>
            </w:r>
            <w:r w:rsidR="00620919">
              <w:rPr>
                <w:webHidden/>
              </w:rPr>
              <w:fldChar w:fldCharType="begin"/>
            </w:r>
            <w:r w:rsidR="00620919">
              <w:rPr>
                <w:webHidden/>
              </w:rPr>
              <w:instrText xml:space="preserve"> PAGEREF _Toc230183751 \h </w:instrText>
            </w:r>
            <w:r w:rsidR="00620919">
              <w:rPr>
                <w:webHidden/>
              </w:rPr>
            </w:r>
            <w:r w:rsidR="00620919">
              <w:rPr>
                <w:webHidden/>
              </w:rPr>
              <w:fldChar w:fldCharType="separate"/>
            </w:r>
            <w:r w:rsidR="00620919">
              <w:rPr>
                <w:webHidden/>
              </w:rPr>
              <w:t>28</w:t>
            </w:r>
            <w:r w:rsidR="00620919">
              <w:rPr>
                <w:webHidden/>
              </w:rPr>
              <w:fldChar w:fldCharType="end"/>
            </w:r>
          </w:hyperlink>
        </w:p>
        <w:p w14:paraId="618579C1" w14:textId="43BED443" w:rsidR="00620919" w:rsidRDefault="00D92CD3">
          <w:pPr>
            <w:pStyle w:val="TOC2"/>
            <w:rPr>
              <w:rFonts w:asciiTheme="minorHAnsi" w:hAnsiTheme="minorHAnsi" w:cstheme="minorBidi"/>
              <w:sz w:val="22"/>
              <w:szCs w:val="22"/>
              <w:lang w:val="en-US"/>
            </w:rPr>
          </w:pPr>
          <w:hyperlink w:anchor="_Toc230183752" w:history="1">
            <w:r w:rsidR="00620919" w:rsidRPr="00DB2CE1">
              <w:rPr>
                <w:rStyle w:val="Hyperlink"/>
                <w:lang w:val="sr-Latn-RS"/>
              </w:rPr>
              <w:t>Objavljivanje obaveštenja za budžetske sastanke/saslušanja</w:t>
            </w:r>
            <w:r w:rsidR="00620919">
              <w:rPr>
                <w:webHidden/>
              </w:rPr>
              <w:tab/>
            </w:r>
            <w:r w:rsidR="00620919">
              <w:rPr>
                <w:webHidden/>
              </w:rPr>
              <w:fldChar w:fldCharType="begin"/>
            </w:r>
            <w:r w:rsidR="00620919">
              <w:rPr>
                <w:webHidden/>
              </w:rPr>
              <w:instrText xml:space="preserve"> PAGEREF _Toc230183752 \h </w:instrText>
            </w:r>
            <w:r w:rsidR="00620919">
              <w:rPr>
                <w:webHidden/>
              </w:rPr>
            </w:r>
            <w:r w:rsidR="00620919">
              <w:rPr>
                <w:webHidden/>
              </w:rPr>
              <w:fldChar w:fldCharType="separate"/>
            </w:r>
            <w:r w:rsidR="00620919">
              <w:rPr>
                <w:webHidden/>
              </w:rPr>
              <w:t>28</w:t>
            </w:r>
            <w:r w:rsidR="00620919">
              <w:rPr>
                <w:webHidden/>
              </w:rPr>
              <w:fldChar w:fldCharType="end"/>
            </w:r>
          </w:hyperlink>
        </w:p>
        <w:p w14:paraId="589CD2EE" w14:textId="41394555" w:rsidR="00620919" w:rsidRDefault="00D92CD3">
          <w:pPr>
            <w:pStyle w:val="TOC1"/>
            <w:rPr>
              <w:rFonts w:asciiTheme="minorHAnsi" w:eastAsiaTheme="minorEastAsia" w:hAnsiTheme="minorHAnsi" w:cstheme="minorBidi"/>
              <w:sz w:val="22"/>
              <w:lang w:val="en-US" w:eastAsia="en-US"/>
            </w:rPr>
          </w:pPr>
          <w:hyperlink w:anchor="_Toc230183753" w:history="1">
            <w:r w:rsidR="00620919" w:rsidRPr="00DB2CE1">
              <w:rPr>
                <w:rStyle w:val="Hyperlink"/>
                <w:rFonts w:asciiTheme="majorHAnsi" w:hAnsiTheme="majorHAnsi" w:cstheme="majorHAnsi"/>
              </w:rPr>
              <w:t>Participativno budžetiranje</w:t>
            </w:r>
            <w:r w:rsidR="00620919">
              <w:rPr>
                <w:webHidden/>
              </w:rPr>
              <w:tab/>
            </w:r>
            <w:r w:rsidR="00620919">
              <w:rPr>
                <w:webHidden/>
              </w:rPr>
              <w:fldChar w:fldCharType="begin"/>
            </w:r>
            <w:r w:rsidR="00620919">
              <w:rPr>
                <w:webHidden/>
              </w:rPr>
              <w:instrText xml:space="preserve"> PAGEREF _Toc230183753 \h </w:instrText>
            </w:r>
            <w:r w:rsidR="00620919">
              <w:rPr>
                <w:webHidden/>
              </w:rPr>
            </w:r>
            <w:r w:rsidR="00620919">
              <w:rPr>
                <w:webHidden/>
              </w:rPr>
              <w:fldChar w:fldCharType="separate"/>
            </w:r>
            <w:r w:rsidR="00620919">
              <w:rPr>
                <w:webHidden/>
              </w:rPr>
              <w:t>31</w:t>
            </w:r>
            <w:r w:rsidR="00620919">
              <w:rPr>
                <w:webHidden/>
              </w:rPr>
              <w:fldChar w:fldCharType="end"/>
            </w:r>
          </w:hyperlink>
        </w:p>
        <w:p w14:paraId="29CBC341" w14:textId="5309847A" w:rsidR="00620919" w:rsidRDefault="00D92CD3">
          <w:pPr>
            <w:pStyle w:val="TOC1"/>
            <w:rPr>
              <w:rFonts w:asciiTheme="minorHAnsi" w:eastAsiaTheme="minorEastAsia" w:hAnsiTheme="minorHAnsi" w:cstheme="minorBidi"/>
              <w:sz w:val="22"/>
              <w:lang w:val="en-US" w:eastAsia="en-US"/>
            </w:rPr>
          </w:pPr>
          <w:hyperlink w:anchor="_Toc230183756" w:history="1">
            <w:r w:rsidR="00620919" w:rsidRPr="00DB2CE1">
              <w:rPr>
                <w:rStyle w:val="Hyperlink"/>
                <w:rFonts w:asciiTheme="majorHAnsi" w:hAnsiTheme="majorHAnsi" w:cstheme="majorHAnsi"/>
              </w:rPr>
              <w:t>TRANSPARENTNOST U JAVNIM NABAVKAMA</w:t>
            </w:r>
            <w:r w:rsidR="00620919">
              <w:rPr>
                <w:webHidden/>
              </w:rPr>
              <w:tab/>
            </w:r>
            <w:r w:rsidR="00620919">
              <w:rPr>
                <w:webHidden/>
              </w:rPr>
              <w:fldChar w:fldCharType="begin"/>
            </w:r>
            <w:r w:rsidR="00620919">
              <w:rPr>
                <w:webHidden/>
              </w:rPr>
              <w:instrText xml:space="preserve"> PAGEREF _Toc230183756 \h </w:instrText>
            </w:r>
            <w:r w:rsidR="00620919">
              <w:rPr>
                <w:webHidden/>
              </w:rPr>
            </w:r>
            <w:r w:rsidR="00620919">
              <w:rPr>
                <w:webHidden/>
              </w:rPr>
              <w:fldChar w:fldCharType="separate"/>
            </w:r>
            <w:r w:rsidR="00620919">
              <w:rPr>
                <w:webHidden/>
              </w:rPr>
              <w:t>32</w:t>
            </w:r>
            <w:r w:rsidR="00620919">
              <w:rPr>
                <w:webHidden/>
              </w:rPr>
              <w:fldChar w:fldCharType="end"/>
            </w:r>
          </w:hyperlink>
        </w:p>
        <w:p w14:paraId="090E51FC" w14:textId="4415FA59" w:rsidR="00620919" w:rsidRDefault="00D92CD3">
          <w:pPr>
            <w:pStyle w:val="TOC1"/>
            <w:rPr>
              <w:rFonts w:asciiTheme="minorHAnsi" w:eastAsiaTheme="minorEastAsia" w:hAnsiTheme="minorHAnsi" w:cstheme="minorBidi"/>
              <w:sz w:val="22"/>
              <w:lang w:val="en-US" w:eastAsia="en-US"/>
            </w:rPr>
          </w:pPr>
          <w:hyperlink w:anchor="_Toc230183757" w:history="1">
            <w:r w:rsidR="00620919" w:rsidRPr="00DB2CE1">
              <w:rPr>
                <w:rStyle w:val="Hyperlink"/>
                <w:rFonts w:asciiTheme="majorHAnsi" w:hAnsiTheme="majorHAnsi" w:cstheme="majorHAnsi"/>
              </w:rPr>
              <w:t>OBJAVLJIVANJE PLANA NABAVKI</w:t>
            </w:r>
            <w:r w:rsidR="00620919">
              <w:rPr>
                <w:webHidden/>
              </w:rPr>
              <w:tab/>
            </w:r>
            <w:r w:rsidR="00620919">
              <w:rPr>
                <w:webHidden/>
              </w:rPr>
              <w:fldChar w:fldCharType="begin"/>
            </w:r>
            <w:r w:rsidR="00620919">
              <w:rPr>
                <w:webHidden/>
              </w:rPr>
              <w:instrText xml:space="preserve"> PAGEREF _Toc230183757 \h </w:instrText>
            </w:r>
            <w:r w:rsidR="00620919">
              <w:rPr>
                <w:webHidden/>
              </w:rPr>
            </w:r>
            <w:r w:rsidR="00620919">
              <w:rPr>
                <w:webHidden/>
              </w:rPr>
              <w:fldChar w:fldCharType="separate"/>
            </w:r>
            <w:r w:rsidR="00620919">
              <w:rPr>
                <w:webHidden/>
              </w:rPr>
              <w:t>33</w:t>
            </w:r>
            <w:r w:rsidR="00620919">
              <w:rPr>
                <w:webHidden/>
              </w:rPr>
              <w:fldChar w:fldCharType="end"/>
            </w:r>
          </w:hyperlink>
        </w:p>
        <w:p w14:paraId="056BDAF6" w14:textId="6834375C" w:rsidR="00620919" w:rsidRDefault="00D92CD3">
          <w:pPr>
            <w:pStyle w:val="TOC1"/>
            <w:rPr>
              <w:rFonts w:asciiTheme="minorHAnsi" w:eastAsiaTheme="minorEastAsia" w:hAnsiTheme="minorHAnsi" w:cstheme="minorBidi"/>
              <w:sz w:val="22"/>
              <w:lang w:val="en-US" w:eastAsia="en-US"/>
            </w:rPr>
          </w:pPr>
          <w:hyperlink w:anchor="_Toc230183758" w:history="1">
            <w:r w:rsidR="00620919" w:rsidRPr="00DB2CE1">
              <w:rPr>
                <w:rStyle w:val="Hyperlink"/>
                <w:rFonts w:asciiTheme="majorHAnsi" w:hAnsiTheme="majorHAnsi" w:cstheme="majorHAnsi"/>
              </w:rPr>
              <w:t>OBJAVLJIVANJE IZVEŠTAJA O NABAVKAMA</w:t>
            </w:r>
            <w:r w:rsidR="00620919">
              <w:rPr>
                <w:webHidden/>
              </w:rPr>
              <w:tab/>
            </w:r>
            <w:r w:rsidR="00620919">
              <w:rPr>
                <w:webHidden/>
              </w:rPr>
              <w:fldChar w:fldCharType="begin"/>
            </w:r>
            <w:r w:rsidR="00620919">
              <w:rPr>
                <w:webHidden/>
              </w:rPr>
              <w:instrText xml:space="preserve"> PAGEREF _Toc230183758 \h </w:instrText>
            </w:r>
            <w:r w:rsidR="00620919">
              <w:rPr>
                <w:webHidden/>
              </w:rPr>
            </w:r>
            <w:r w:rsidR="00620919">
              <w:rPr>
                <w:webHidden/>
              </w:rPr>
              <w:fldChar w:fldCharType="separate"/>
            </w:r>
            <w:r w:rsidR="00620919">
              <w:rPr>
                <w:webHidden/>
              </w:rPr>
              <w:t>33</w:t>
            </w:r>
            <w:r w:rsidR="00620919">
              <w:rPr>
                <w:webHidden/>
              </w:rPr>
              <w:fldChar w:fldCharType="end"/>
            </w:r>
          </w:hyperlink>
        </w:p>
        <w:p w14:paraId="15BBBB81" w14:textId="00C0DE98" w:rsidR="00620919" w:rsidRDefault="00D92CD3">
          <w:pPr>
            <w:pStyle w:val="TOC1"/>
            <w:rPr>
              <w:rFonts w:asciiTheme="minorHAnsi" w:eastAsiaTheme="minorEastAsia" w:hAnsiTheme="minorHAnsi" w:cstheme="minorBidi"/>
              <w:sz w:val="22"/>
              <w:lang w:val="en-US" w:eastAsia="en-US"/>
            </w:rPr>
          </w:pPr>
          <w:hyperlink w:anchor="_Toc230183759" w:history="1">
            <w:r w:rsidR="00620919" w:rsidRPr="00DB2CE1">
              <w:rPr>
                <w:rStyle w:val="Hyperlink"/>
                <w:rFonts w:asciiTheme="majorHAnsi" w:hAnsiTheme="majorHAnsi" w:cstheme="majorHAnsi"/>
                <w:lang w:val="sr-Latn-RS"/>
              </w:rPr>
              <w:t>SPROVOĐENJE MINIMALNIH STANDARDA JAVNIH KONSULTACIJA</w:t>
            </w:r>
            <w:r w:rsidR="00620919">
              <w:rPr>
                <w:webHidden/>
              </w:rPr>
              <w:tab/>
            </w:r>
            <w:r w:rsidR="00620919">
              <w:rPr>
                <w:webHidden/>
              </w:rPr>
              <w:fldChar w:fldCharType="begin"/>
            </w:r>
            <w:r w:rsidR="00620919">
              <w:rPr>
                <w:webHidden/>
              </w:rPr>
              <w:instrText xml:space="preserve"> PAGEREF _Toc230183759 \h </w:instrText>
            </w:r>
            <w:r w:rsidR="00620919">
              <w:rPr>
                <w:webHidden/>
              </w:rPr>
            </w:r>
            <w:r w:rsidR="00620919">
              <w:rPr>
                <w:webHidden/>
              </w:rPr>
              <w:fldChar w:fldCharType="separate"/>
            </w:r>
            <w:r w:rsidR="00620919">
              <w:rPr>
                <w:webHidden/>
              </w:rPr>
              <w:t>34</w:t>
            </w:r>
            <w:r w:rsidR="00620919">
              <w:rPr>
                <w:webHidden/>
              </w:rPr>
              <w:fldChar w:fldCharType="end"/>
            </w:r>
          </w:hyperlink>
        </w:p>
        <w:p w14:paraId="5E14F6D0" w14:textId="63ACA6EF" w:rsidR="00620919" w:rsidRDefault="00D92CD3">
          <w:pPr>
            <w:pStyle w:val="TOC1"/>
            <w:rPr>
              <w:rFonts w:asciiTheme="minorHAnsi" w:eastAsiaTheme="minorEastAsia" w:hAnsiTheme="minorHAnsi" w:cstheme="minorBidi"/>
              <w:sz w:val="22"/>
              <w:lang w:val="en-US" w:eastAsia="en-US"/>
            </w:rPr>
          </w:pPr>
          <w:hyperlink w:anchor="_Toc230183760" w:history="1">
            <w:r w:rsidR="00620919" w:rsidRPr="00DB2CE1">
              <w:rPr>
                <w:rStyle w:val="Hyperlink"/>
                <w:rFonts w:asciiTheme="majorHAnsi" w:hAnsiTheme="majorHAnsi" w:cstheme="majorHAnsi"/>
                <w:lang w:val="sr-Latn-RS"/>
              </w:rPr>
              <w:t>PLAN JAVNIH KONSULTACIJA</w:t>
            </w:r>
            <w:r w:rsidR="00620919">
              <w:rPr>
                <w:webHidden/>
              </w:rPr>
              <w:tab/>
            </w:r>
            <w:r w:rsidR="00620919">
              <w:rPr>
                <w:webHidden/>
              </w:rPr>
              <w:fldChar w:fldCharType="begin"/>
            </w:r>
            <w:r w:rsidR="00620919">
              <w:rPr>
                <w:webHidden/>
              </w:rPr>
              <w:instrText xml:space="preserve"> PAGEREF _Toc230183760 \h </w:instrText>
            </w:r>
            <w:r w:rsidR="00620919">
              <w:rPr>
                <w:webHidden/>
              </w:rPr>
            </w:r>
            <w:r w:rsidR="00620919">
              <w:rPr>
                <w:webHidden/>
              </w:rPr>
              <w:fldChar w:fldCharType="separate"/>
            </w:r>
            <w:r w:rsidR="00620919">
              <w:rPr>
                <w:webHidden/>
              </w:rPr>
              <w:t>35</w:t>
            </w:r>
            <w:r w:rsidR="00620919">
              <w:rPr>
                <w:webHidden/>
              </w:rPr>
              <w:fldChar w:fldCharType="end"/>
            </w:r>
          </w:hyperlink>
        </w:p>
        <w:p w14:paraId="654D772E" w14:textId="3FD44214" w:rsidR="00620919" w:rsidRDefault="00D92CD3">
          <w:pPr>
            <w:pStyle w:val="TOC2"/>
            <w:rPr>
              <w:rFonts w:asciiTheme="minorHAnsi" w:hAnsiTheme="minorHAnsi" w:cstheme="minorBidi"/>
              <w:sz w:val="22"/>
              <w:szCs w:val="22"/>
              <w:lang w:val="en-US"/>
            </w:rPr>
          </w:pPr>
          <w:hyperlink w:anchor="_Toc230183761" w:history="1">
            <w:r w:rsidR="00620919" w:rsidRPr="00DB2CE1">
              <w:rPr>
                <w:rStyle w:val="Hyperlink"/>
                <w:lang w:val="sr-Latn-RS"/>
              </w:rPr>
              <w:t>Obaveštenja o javnim konsultacijama</w:t>
            </w:r>
            <w:r w:rsidR="00620919">
              <w:rPr>
                <w:webHidden/>
              </w:rPr>
              <w:tab/>
            </w:r>
            <w:r w:rsidR="00620919">
              <w:rPr>
                <w:webHidden/>
              </w:rPr>
              <w:fldChar w:fldCharType="begin"/>
            </w:r>
            <w:r w:rsidR="00620919">
              <w:rPr>
                <w:webHidden/>
              </w:rPr>
              <w:instrText xml:space="preserve"> PAGEREF _Toc230183761 \h </w:instrText>
            </w:r>
            <w:r w:rsidR="00620919">
              <w:rPr>
                <w:webHidden/>
              </w:rPr>
            </w:r>
            <w:r w:rsidR="00620919">
              <w:rPr>
                <w:webHidden/>
              </w:rPr>
              <w:fldChar w:fldCharType="separate"/>
            </w:r>
            <w:r w:rsidR="00620919">
              <w:rPr>
                <w:webHidden/>
              </w:rPr>
              <w:t>36</w:t>
            </w:r>
            <w:r w:rsidR="00620919">
              <w:rPr>
                <w:webHidden/>
              </w:rPr>
              <w:fldChar w:fldCharType="end"/>
            </w:r>
          </w:hyperlink>
        </w:p>
        <w:p w14:paraId="67E215F2" w14:textId="44D88C0E" w:rsidR="00620919" w:rsidRDefault="00D92CD3">
          <w:pPr>
            <w:pStyle w:val="TOC2"/>
            <w:rPr>
              <w:rFonts w:asciiTheme="minorHAnsi" w:hAnsiTheme="minorHAnsi" w:cstheme="minorBidi"/>
              <w:sz w:val="22"/>
              <w:szCs w:val="22"/>
              <w:lang w:val="en-US"/>
            </w:rPr>
          </w:pPr>
          <w:hyperlink w:anchor="_Toc230183762" w:history="1">
            <w:r w:rsidR="00620919" w:rsidRPr="00DB2CE1">
              <w:rPr>
                <w:rStyle w:val="Hyperlink"/>
                <w:lang w:val="sr-Latn-RS"/>
              </w:rPr>
              <w:t>Nacrti predloga za javne konsultacije i obrazloženja</w:t>
            </w:r>
            <w:r w:rsidR="00620919">
              <w:rPr>
                <w:webHidden/>
              </w:rPr>
              <w:tab/>
            </w:r>
            <w:r w:rsidR="00620919">
              <w:rPr>
                <w:webHidden/>
              </w:rPr>
              <w:fldChar w:fldCharType="begin"/>
            </w:r>
            <w:r w:rsidR="00620919">
              <w:rPr>
                <w:webHidden/>
              </w:rPr>
              <w:instrText xml:space="preserve"> PAGEREF _Toc230183762 \h </w:instrText>
            </w:r>
            <w:r w:rsidR="00620919">
              <w:rPr>
                <w:webHidden/>
              </w:rPr>
            </w:r>
            <w:r w:rsidR="00620919">
              <w:rPr>
                <w:webHidden/>
              </w:rPr>
              <w:fldChar w:fldCharType="separate"/>
            </w:r>
            <w:r w:rsidR="00620919">
              <w:rPr>
                <w:webHidden/>
              </w:rPr>
              <w:t>36</w:t>
            </w:r>
            <w:r w:rsidR="00620919">
              <w:rPr>
                <w:webHidden/>
              </w:rPr>
              <w:fldChar w:fldCharType="end"/>
            </w:r>
          </w:hyperlink>
        </w:p>
        <w:p w14:paraId="6770D6E1" w14:textId="4E6163EC" w:rsidR="00620919" w:rsidRDefault="00D92CD3">
          <w:pPr>
            <w:pStyle w:val="TOC2"/>
            <w:rPr>
              <w:rFonts w:asciiTheme="minorHAnsi" w:hAnsiTheme="minorHAnsi" w:cstheme="minorBidi"/>
              <w:sz w:val="22"/>
              <w:szCs w:val="22"/>
              <w:lang w:val="en-US"/>
            </w:rPr>
          </w:pPr>
          <w:hyperlink w:anchor="_Toc230183763" w:history="1">
            <w:r w:rsidR="00620919" w:rsidRPr="00DB2CE1">
              <w:rPr>
                <w:rStyle w:val="Hyperlink"/>
                <w:lang w:val="sr-Latn-RS"/>
              </w:rPr>
              <w:t>Objavljivanje izveštaja za javne konsultacije</w:t>
            </w:r>
            <w:r w:rsidR="00620919">
              <w:rPr>
                <w:webHidden/>
              </w:rPr>
              <w:tab/>
            </w:r>
            <w:r w:rsidR="00620919">
              <w:rPr>
                <w:webHidden/>
              </w:rPr>
              <w:fldChar w:fldCharType="begin"/>
            </w:r>
            <w:r w:rsidR="00620919">
              <w:rPr>
                <w:webHidden/>
              </w:rPr>
              <w:instrText xml:space="preserve"> PAGEREF _Toc230183763 \h </w:instrText>
            </w:r>
            <w:r w:rsidR="00620919">
              <w:rPr>
                <w:webHidden/>
              </w:rPr>
            </w:r>
            <w:r w:rsidR="00620919">
              <w:rPr>
                <w:webHidden/>
              </w:rPr>
              <w:fldChar w:fldCharType="separate"/>
            </w:r>
            <w:r w:rsidR="00620919">
              <w:rPr>
                <w:webHidden/>
              </w:rPr>
              <w:t>38</w:t>
            </w:r>
            <w:r w:rsidR="00620919">
              <w:rPr>
                <w:webHidden/>
              </w:rPr>
              <w:fldChar w:fldCharType="end"/>
            </w:r>
          </w:hyperlink>
        </w:p>
        <w:p w14:paraId="6EF05A24" w14:textId="043E76C5" w:rsidR="00620919" w:rsidRDefault="00D92CD3">
          <w:pPr>
            <w:pStyle w:val="TOC2"/>
            <w:rPr>
              <w:rFonts w:asciiTheme="minorHAnsi" w:hAnsiTheme="minorHAnsi" w:cstheme="minorBidi"/>
              <w:sz w:val="22"/>
              <w:szCs w:val="22"/>
              <w:lang w:val="en-US"/>
            </w:rPr>
          </w:pPr>
          <w:hyperlink w:anchor="_Toc230183764" w:history="1">
            <w:r w:rsidR="00620919" w:rsidRPr="00DB2CE1">
              <w:rPr>
                <w:rStyle w:val="Hyperlink"/>
                <w:rFonts w:eastAsia="Times New Roman"/>
                <w:lang w:val="sr-Latn-RS" w:eastAsia="en-GB"/>
              </w:rPr>
              <w:t>Obaveštenje o pružanju komunalnih usluga</w:t>
            </w:r>
            <w:r w:rsidR="00620919">
              <w:rPr>
                <w:webHidden/>
              </w:rPr>
              <w:tab/>
            </w:r>
            <w:r w:rsidR="00620919">
              <w:rPr>
                <w:webHidden/>
              </w:rPr>
              <w:fldChar w:fldCharType="begin"/>
            </w:r>
            <w:r w:rsidR="00620919">
              <w:rPr>
                <w:webHidden/>
              </w:rPr>
              <w:instrText xml:space="preserve"> PAGEREF _Toc230183764 \h </w:instrText>
            </w:r>
            <w:r w:rsidR="00620919">
              <w:rPr>
                <w:webHidden/>
              </w:rPr>
            </w:r>
            <w:r w:rsidR="00620919">
              <w:rPr>
                <w:webHidden/>
              </w:rPr>
              <w:fldChar w:fldCharType="separate"/>
            </w:r>
            <w:r w:rsidR="00620919">
              <w:rPr>
                <w:webHidden/>
              </w:rPr>
              <w:t>39</w:t>
            </w:r>
            <w:r w:rsidR="00620919">
              <w:rPr>
                <w:webHidden/>
              </w:rPr>
              <w:fldChar w:fldCharType="end"/>
            </w:r>
          </w:hyperlink>
        </w:p>
        <w:p w14:paraId="15BF0035" w14:textId="27F5A57F" w:rsidR="00620919" w:rsidRDefault="00D92CD3">
          <w:pPr>
            <w:pStyle w:val="TOC1"/>
            <w:rPr>
              <w:rFonts w:asciiTheme="minorHAnsi" w:eastAsiaTheme="minorEastAsia" w:hAnsiTheme="minorHAnsi" w:cstheme="minorBidi"/>
              <w:sz w:val="22"/>
              <w:lang w:val="en-US" w:eastAsia="en-US"/>
            </w:rPr>
          </w:pPr>
          <w:hyperlink w:anchor="_Toc230183765" w:history="1">
            <w:r w:rsidR="00620919" w:rsidRPr="00DB2CE1">
              <w:rPr>
                <w:rStyle w:val="Hyperlink"/>
                <w:rFonts w:asciiTheme="majorHAnsi" w:hAnsiTheme="majorHAnsi" w:cstheme="majorHAnsi"/>
                <w:lang w:val="sr-Latn-RS"/>
              </w:rPr>
              <w:t>PREPORUKE</w:t>
            </w:r>
            <w:r w:rsidR="00620919">
              <w:rPr>
                <w:webHidden/>
              </w:rPr>
              <w:tab/>
            </w:r>
            <w:r w:rsidR="00620919">
              <w:rPr>
                <w:webHidden/>
              </w:rPr>
              <w:fldChar w:fldCharType="begin"/>
            </w:r>
            <w:r w:rsidR="00620919">
              <w:rPr>
                <w:webHidden/>
              </w:rPr>
              <w:instrText xml:space="preserve"> PAGEREF _Toc230183765 \h </w:instrText>
            </w:r>
            <w:r w:rsidR="00620919">
              <w:rPr>
                <w:webHidden/>
              </w:rPr>
            </w:r>
            <w:r w:rsidR="00620919">
              <w:rPr>
                <w:webHidden/>
              </w:rPr>
              <w:fldChar w:fldCharType="separate"/>
            </w:r>
            <w:r w:rsidR="00620919">
              <w:rPr>
                <w:webHidden/>
              </w:rPr>
              <w:t>39</w:t>
            </w:r>
            <w:r w:rsidR="00620919">
              <w:rPr>
                <w:webHidden/>
              </w:rPr>
              <w:fldChar w:fldCharType="end"/>
            </w:r>
          </w:hyperlink>
        </w:p>
        <w:p w14:paraId="380A4616" w14:textId="3F40E7AC" w:rsidR="00A83156" w:rsidRPr="00B8016C" w:rsidRDefault="00A83156" w:rsidP="00A83156">
          <w:pPr>
            <w:spacing w:line="240" w:lineRule="auto"/>
          </w:pPr>
          <w:r w:rsidRPr="00C263D5">
            <w:rPr>
              <w:rFonts w:asciiTheme="majorHAnsi" w:hAnsiTheme="majorHAnsi" w:cstheme="majorHAnsi"/>
              <w:bCs/>
              <w:color w:val="2F5496" w:themeColor="accent5" w:themeShade="BF"/>
              <w:sz w:val="16"/>
              <w:szCs w:val="20"/>
            </w:rPr>
            <w:fldChar w:fldCharType="end"/>
          </w:r>
        </w:p>
      </w:sdtContent>
    </w:sdt>
    <w:p w14:paraId="7D2F9421" w14:textId="77777777" w:rsidR="00A83156" w:rsidRPr="00B8016C" w:rsidRDefault="00A83156" w:rsidP="00A83156">
      <w:pPr>
        <w:spacing w:line="240" w:lineRule="auto"/>
        <w:rPr>
          <w:rFonts w:ascii="Book Antiqua" w:hAnsi="Book Antiqua" w:cs="Calibri Light"/>
          <w:sz w:val="18"/>
          <w:szCs w:val="20"/>
        </w:rPr>
      </w:pPr>
    </w:p>
    <w:p w14:paraId="2552A389" w14:textId="77777777" w:rsidR="00A83156" w:rsidRPr="00B8016C" w:rsidRDefault="00A83156" w:rsidP="00A83156">
      <w:pPr>
        <w:spacing w:line="240" w:lineRule="auto"/>
        <w:rPr>
          <w:sz w:val="18"/>
          <w:szCs w:val="20"/>
        </w:rPr>
      </w:pPr>
    </w:p>
    <w:p w14:paraId="6E5887D2" w14:textId="77777777" w:rsidR="002F234C" w:rsidRDefault="002F234C" w:rsidP="0052060D">
      <w:pPr>
        <w:pStyle w:val="Contactinfo"/>
        <w:spacing w:line="276" w:lineRule="auto"/>
        <w:jc w:val="center"/>
        <w:rPr>
          <w:rFonts w:ascii="Book Antiqua" w:hAnsi="Book Antiqua" w:cs="Calibri Light"/>
          <w:color w:val="000000" w:themeColor="text1"/>
          <w:sz w:val="22"/>
          <w:szCs w:val="22"/>
          <w:lang w:val="sq-AL"/>
        </w:rPr>
      </w:pPr>
    </w:p>
    <w:p w14:paraId="555F8750" w14:textId="77777777" w:rsidR="00A83156" w:rsidRPr="00A83156" w:rsidRDefault="00A83156" w:rsidP="00A83156">
      <w:pPr>
        <w:pStyle w:val="Contactinfo"/>
        <w:jc w:val="center"/>
        <w:rPr>
          <w:rFonts w:ascii="Book Antiqua" w:hAnsi="Book Antiqua" w:cs="Calibri Light"/>
          <w:color w:val="000000" w:themeColor="text1"/>
          <w:sz w:val="18"/>
          <w:lang w:val="sq-AL"/>
        </w:rPr>
      </w:pPr>
    </w:p>
    <w:p w14:paraId="4CD6E400" w14:textId="77777777" w:rsidR="005A3D00" w:rsidRPr="005A3D00" w:rsidRDefault="005A3D00" w:rsidP="005A3D00">
      <w:pPr>
        <w:spacing w:line="276" w:lineRule="auto"/>
        <w:rPr>
          <w:rFonts w:ascii="Book Antiqua" w:hAnsi="Book Antiqua" w:cstheme="majorHAnsi"/>
          <w:b/>
          <w:color w:val="2F5496" w:themeColor="accent5" w:themeShade="BF"/>
        </w:rPr>
      </w:pPr>
    </w:p>
    <w:p w14:paraId="6AF5A8F7" w14:textId="77777777" w:rsidR="005A3D00" w:rsidRPr="005A3D00" w:rsidRDefault="005A3D00" w:rsidP="005A3D00">
      <w:pPr>
        <w:spacing w:line="276" w:lineRule="auto"/>
        <w:rPr>
          <w:rFonts w:ascii="Book Antiqua" w:hAnsi="Book Antiqua" w:cstheme="majorHAnsi"/>
          <w:b/>
          <w:color w:val="2F5496" w:themeColor="accent5" w:themeShade="BF"/>
        </w:rPr>
      </w:pPr>
    </w:p>
    <w:p w14:paraId="6D600B2E" w14:textId="77777777" w:rsidR="005A3D00" w:rsidRPr="005A3D00" w:rsidRDefault="005A3D00" w:rsidP="005A3D00">
      <w:pPr>
        <w:keepNext/>
        <w:keepLines/>
        <w:spacing w:before="320" w:after="40"/>
        <w:outlineLvl w:val="0"/>
        <w:rPr>
          <w:rFonts w:ascii="Times New Roman" w:eastAsiaTheme="majorEastAsia" w:hAnsi="Times New Roman" w:cstheme="majorBidi"/>
          <w:b/>
          <w:bCs/>
          <w:caps/>
          <w:color w:val="2F5496" w:themeColor="accent5" w:themeShade="BF"/>
          <w:spacing w:val="4"/>
          <w:sz w:val="24"/>
          <w:szCs w:val="28"/>
        </w:rPr>
      </w:pPr>
    </w:p>
    <w:p w14:paraId="1899E2DE" w14:textId="77777777" w:rsidR="005A3D00" w:rsidRPr="005A3D00" w:rsidRDefault="005A3D00" w:rsidP="005A3D00">
      <w:pPr>
        <w:spacing w:line="276" w:lineRule="auto"/>
        <w:rPr>
          <w:rFonts w:ascii="Book Antiqua" w:hAnsi="Book Antiqua" w:cstheme="majorHAnsi"/>
          <w:b/>
          <w:color w:val="2F5496" w:themeColor="accent5" w:themeShade="BF"/>
        </w:rPr>
      </w:pPr>
    </w:p>
    <w:p w14:paraId="62A11B90" w14:textId="77777777" w:rsidR="005A3D00" w:rsidRPr="005A3D00" w:rsidRDefault="005A3D00" w:rsidP="005A3D00">
      <w:pPr>
        <w:spacing w:line="276" w:lineRule="auto"/>
        <w:rPr>
          <w:rFonts w:ascii="Book Antiqua" w:hAnsi="Book Antiqua" w:cstheme="majorHAnsi"/>
          <w:b/>
          <w:color w:val="2F5496" w:themeColor="accent5" w:themeShade="BF"/>
        </w:rPr>
      </w:pPr>
    </w:p>
    <w:p w14:paraId="59AB5700" w14:textId="77777777" w:rsidR="005A3D00" w:rsidRPr="005A3D00" w:rsidRDefault="005A3D00" w:rsidP="005A3D00">
      <w:pPr>
        <w:rPr>
          <w:rFonts w:ascii="Book Antiqua" w:hAnsi="Book Antiqua"/>
          <w:color w:val="2F5496" w:themeColor="accent5" w:themeShade="BF"/>
          <w:sz w:val="24"/>
        </w:rPr>
      </w:pPr>
    </w:p>
    <w:p w14:paraId="1D35863A" w14:textId="77777777" w:rsidR="005A3D00" w:rsidRPr="005A3D00" w:rsidRDefault="005A3D00" w:rsidP="005A3D00">
      <w:pPr>
        <w:spacing w:line="276" w:lineRule="auto"/>
        <w:rPr>
          <w:rFonts w:ascii="Book Antiqua" w:hAnsi="Book Antiqua" w:cstheme="majorHAnsi"/>
          <w:b/>
          <w:color w:val="2F5496" w:themeColor="accent5" w:themeShade="BF"/>
          <w:sz w:val="18"/>
        </w:rPr>
      </w:pPr>
    </w:p>
    <w:p w14:paraId="296B0FC7" w14:textId="77777777" w:rsidR="00E8247D" w:rsidRPr="00A83156" w:rsidRDefault="00E8247D" w:rsidP="00A83156">
      <w:pPr>
        <w:keepNext/>
        <w:keepLines/>
        <w:spacing w:before="320" w:after="40"/>
        <w:outlineLvl w:val="0"/>
        <w:rPr>
          <w:rFonts w:ascii="Book Antiqua" w:eastAsiaTheme="majorEastAsia" w:hAnsi="Book Antiqua" w:cstheme="majorBidi"/>
          <w:b/>
          <w:bCs/>
          <w:caps/>
          <w:color w:val="2F5496" w:themeColor="accent5" w:themeShade="BF"/>
          <w:spacing w:val="4"/>
          <w:sz w:val="24"/>
          <w:szCs w:val="28"/>
        </w:rPr>
      </w:pPr>
    </w:p>
    <w:p w14:paraId="0B48FB52" w14:textId="54D69618"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09DE2AD8" w14:textId="2740599A"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2B1E60D5" w14:textId="26331587" w:rsidR="00EA6113" w:rsidRDefault="001F5C47"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noProof/>
          <w:color w:val="000000" w:themeColor="text1"/>
          <w:lang w:val="sq-AL" w:eastAsia="sq-AL"/>
        </w:rPr>
        <mc:AlternateContent>
          <mc:Choice Requires="wps">
            <w:drawing>
              <wp:anchor distT="0" distB="0" distL="114300" distR="114300" simplePos="0" relativeHeight="251770880" behindDoc="0" locked="0" layoutInCell="1" allowOverlap="1" wp14:anchorId="054A6333" wp14:editId="26DB6FAA">
                <wp:simplePos x="0" y="0"/>
                <wp:positionH relativeFrom="page">
                  <wp:align>right</wp:align>
                </wp:positionH>
                <wp:positionV relativeFrom="paragraph">
                  <wp:posOffset>336550</wp:posOffset>
                </wp:positionV>
                <wp:extent cx="7581900" cy="3319200"/>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33192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16823" id="Rectangle 152" o:spid="_x0000_s1026" style="position:absolute;margin-left:545.8pt;margin-top:26.5pt;width:597pt;height:261.35pt;z-index:251770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" fillcolor="#92bce3 [2132]" stroked="f" strokeweight="1pt">
                <v:fill color2="#d9e8f5 [756]" rotate="t" angle="90" colors="0 #9ac3f6;.5 #c1d8f8;1 #e1ecfb" focus="100%" type="gradient"/>
                <w10:wrap anchorx="page"/>
              </v:rect>
            </w:pict>
          </mc:Fallback>
        </mc:AlternateContent>
      </w:r>
    </w:p>
    <w:p w14:paraId="4775A657" w14:textId="4E1FDE1A" w:rsidR="00E8247D" w:rsidRDefault="00E8247D" w:rsidP="0052060D">
      <w:pPr>
        <w:pStyle w:val="Contactinfo"/>
        <w:spacing w:line="276" w:lineRule="auto"/>
        <w:jc w:val="center"/>
        <w:rPr>
          <w:rFonts w:ascii="Book Antiqua" w:hAnsi="Book Antiqua" w:cs="Calibri Light"/>
          <w:color w:val="000000" w:themeColor="text1"/>
          <w:sz w:val="22"/>
          <w:szCs w:val="22"/>
          <w:lang w:val="sq-AL"/>
        </w:rPr>
      </w:pPr>
    </w:p>
    <w:p w14:paraId="077B4514" w14:textId="37987339" w:rsidR="00E8247D" w:rsidRDefault="002931C0"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b/>
          <w:noProof/>
          <w:color w:val="000000" w:themeColor="text1"/>
          <w:lang w:val="sq-AL" w:eastAsia="sq-AL"/>
        </w:rPr>
        <mc:AlternateContent>
          <mc:Choice Requires="wps">
            <w:drawing>
              <wp:anchor distT="0" distB="0" distL="114300" distR="114300" simplePos="0" relativeHeight="251772928" behindDoc="0" locked="0" layoutInCell="1" allowOverlap="1" wp14:anchorId="63286BC1" wp14:editId="15004431">
                <wp:simplePos x="0" y="0"/>
                <wp:positionH relativeFrom="column">
                  <wp:posOffset>-244800</wp:posOffset>
                </wp:positionH>
                <wp:positionV relativeFrom="paragraph">
                  <wp:posOffset>163080</wp:posOffset>
                </wp:positionV>
                <wp:extent cx="6296025" cy="2152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96025" cy="2152800"/>
                        </a:xfrm>
                        <a:prstGeom prst="rect">
                          <a:avLst/>
                        </a:prstGeom>
                        <a:noFill/>
                        <a:ln w="6350">
                          <a:noFill/>
                        </a:ln>
                      </wps:spPr>
                      <wps:txbx>
                        <w:txbxContent>
                          <w:p w14:paraId="4AE21EC8" w14:textId="4A2A09B9"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Autorska prava © 2026 </w:t>
                            </w:r>
                          </w:p>
                          <w:p w14:paraId="5FC3C695" w14:textId="7342B7E9"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Sva prava su zadržana. Nijedan deo dokumenta ne može biti kopiran, umnožavan niti korišćen u bilo kom obliku,( elektronskom ili fizičkom  ) niti prepisivan bez pismene dozvole autora - MALS.</w:t>
                            </w:r>
                          </w:p>
                          <w:p w14:paraId="74A6197E" w14:textId="08ADB0A3"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Naslov: Izveštaj o proceni transparentnosti januar–decembar 2025   </w:t>
                            </w:r>
                          </w:p>
                          <w:p w14:paraId="232CEF09" w14:textId="77777777" w:rsidR="00D92CD3" w:rsidRPr="00D21805" w:rsidRDefault="00D92CD3" w:rsidP="00422CE4">
                            <w:pPr>
                              <w:spacing w:line="276" w:lineRule="auto"/>
                              <w:ind w:left="2160" w:hanging="2160"/>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w:t>
                            </w:r>
                          </w:p>
                          <w:p w14:paraId="0DDAF447" w14:textId="0B591B0C" w:rsidR="00D92CD3" w:rsidRPr="00D21805" w:rsidRDefault="00D92CD3" w:rsidP="003F57AE">
                            <w:pPr>
                              <w:spacing w:line="276" w:lineRule="auto"/>
                              <w:ind w:left="2160" w:hanging="2160"/>
                              <w:jc w:val="left"/>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Tim za realizaciju:  Nazmije Krasniqi,  rukovoditeljka Divizije za transparentnost na lokalnom nivou  /ODVLN </w:t>
                            </w:r>
                          </w:p>
                          <w:p w14:paraId="23DA10A0" w14:textId="28793945" w:rsidR="00D92CD3" w:rsidRPr="00D21805" w:rsidRDefault="00D92CD3" w:rsidP="003F57AE">
                            <w:pPr>
                              <w:spacing w:line="276" w:lineRule="auto"/>
                              <w:ind w:left="2160" w:hanging="2160"/>
                              <w:jc w:val="left"/>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Majlinda Shaqiri,  viša službenica za transparentnost na lokalnom nivou / ODVLN</w:t>
                            </w:r>
                          </w:p>
                          <w:p w14:paraId="7FBC92E0" w14:textId="77777777" w:rsidR="00D92CD3" w:rsidRPr="00D21805" w:rsidRDefault="00D92CD3" w:rsidP="003F57AE">
                            <w:pPr>
                              <w:spacing w:line="276" w:lineRule="auto"/>
                              <w:ind w:left="2160" w:hanging="2160"/>
                              <w:jc w:val="left"/>
                              <w:rPr>
                                <w:rStyle w:val="Emphasis"/>
                                <w:sz w:val="20"/>
                                <w:szCs w:val="20"/>
                                <w:lang w:val="sr-Latn-RS"/>
                              </w:rPr>
                            </w:pPr>
                          </w:p>
                          <w:p w14:paraId="005BA9E5" w14:textId="77777777" w:rsidR="00D92CD3" w:rsidRDefault="00D92CD3" w:rsidP="003F57AE">
                            <w:pPr>
                              <w:spacing w:line="276" w:lineRule="auto"/>
                              <w:ind w:left="2160" w:hanging="2160"/>
                              <w:jc w:val="left"/>
                              <w:rPr>
                                <w:rStyle w:val="Emphasis"/>
                                <w:sz w:val="20"/>
                                <w:szCs w:val="20"/>
                              </w:rPr>
                            </w:pPr>
                          </w:p>
                          <w:p w14:paraId="579155E3" w14:textId="77777777" w:rsidR="00D92CD3" w:rsidRDefault="00D92CD3" w:rsidP="003F57AE">
                            <w:pPr>
                              <w:spacing w:line="276" w:lineRule="auto"/>
                              <w:ind w:left="2160" w:hanging="2160"/>
                              <w:jc w:val="left"/>
                              <w:rPr>
                                <w:rStyle w:val="Emphasis"/>
                                <w:sz w:val="20"/>
                                <w:szCs w:val="20"/>
                              </w:rPr>
                            </w:pPr>
                          </w:p>
                          <w:p w14:paraId="7D98B8EF" w14:textId="77777777" w:rsidR="00D92CD3" w:rsidRPr="001713E3" w:rsidRDefault="00D92CD3" w:rsidP="003F57AE">
                            <w:pPr>
                              <w:spacing w:line="276" w:lineRule="auto"/>
                              <w:ind w:left="2160" w:hanging="2160"/>
                              <w:jc w:val="left"/>
                              <w:rPr>
                                <w:rStyle w:val="Emphasis"/>
                                <w:sz w:val="20"/>
                                <w:szCs w:val="20"/>
                              </w:rPr>
                            </w:pPr>
                          </w:p>
                          <w:p w14:paraId="66FB9E62" w14:textId="77777777" w:rsidR="00D92CD3" w:rsidRPr="001713E3" w:rsidRDefault="00D92CD3"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D92CD3" w:rsidRPr="00323FCB" w:rsidRDefault="00D92CD3" w:rsidP="003F57AE">
                            <w:pPr>
                              <w:rPr>
                                <w:rFonts w:ascii="Gill Sans MT" w:eastAsia="Antenna Light" w:hAnsi="Gill Sans MT" w:cs="Antenna Light"/>
                                <w:i/>
                                <w:iCs/>
                                <w:color w:val="FFFFFF" w:themeColor="background1"/>
                              </w:rPr>
                            </w:pPr>
                          </w:p>
                          <w:p w14:paraId="116391C5" w14:textId="77777777" w:rsidR="00D92CD3" w:rsidRPr="009B7EDA" w:rsidRDefault="00D92CD3"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86BC1" id="_x0000_t202" coordsize="21600,21600" o:spt="202" path="m,l,21600r21600,l21600,xe">
                <v:stroke joinstyle="miter"/>
                <v:path gradientshapeok="t" o:connecttype="rect"/>
              </v:shapetype>
              <v:shape id="Text Box 153" o:spid="_x0000_s1026" type="#_x0000_t202" style="position:absolute;left:0;text-align:left;margin-left:-19.3pt;margin-top:12.85pt;width:495.75pt;height:16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" filled="f" stroked="f" strokeweight=".5pt">
                <v:textbox>
                  <w:txbxContent>
                    <w:p w14:paraId="4AE21EC8" w14:textId="4A2A09B9"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Autorska prava © 2026 </w:t>
                      </w:r>
                    </w:p>
                    <w:p w14:paraId="5FC3C695" w14:textId="7342B7E9"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Sva prava su zadržana. Nijedan deo dokumenta ne može biti kopiran, umnožavan niti korišćen u bilo kom obliku,( elektronskom ili fizičkom  ) niti prepisivan bez pismene dozvole autora - MALS.</w:t>
                      </w:r>
                    </w:p>
                    <w:p w14:paraId="74A6197E" w14:textId="08ADB0A3" w:rsidR="00D92CD3" w:rsidRPr="00D21805" w:rsidRDefault="00D92CD3" w:rsidP="003F57AE">
                      <w:pPr>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Naslov: Izveštaj o proceni transparentnosti januar–decembar 2025   </w:t>
                      </w:r>
                    </w:p>
                    <w:p w14:paraId="232CEF09" w14:textId="77777777" w:rsidR="00D92CD3" w:rsidRPr="00D21805" w:rsidRDefault="00D92CD3" w:rsidP="00422CE4">
                      <w:pPr>
                        <w:spacing w:line="276" w:lineRule="auto"/>
                        <w:ind w:left="2160" w:hanging="2160"/>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w:t>
                      </w:r>
                    </w:p>
                    <w:p w14:paraId="0DDAF447" w14:textId="0B591B0C" w:rsidR="00D92CD3" w:rsidRPr="00D21805" w:rsidRDefault="00D92CD3" w:rsidP="003F57AE">
                      <w:pPr>
                        <w:spacing w:line="276" w:lineRule="auto"/>
                        <w:ind w:left="2160" w:hanging="2160"/>
                        <w:jc w:val="left"/>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Tim za realizaciju:  Nazmije Krasniqi,  rukovoditeljka Divizije za transparentnost na lokalnom nivou  /ODVLN </w:t>
                      </w:r>
                    </w:p>
                    <w:p w14:paraId="23DA10A0" w14:textId="28793945" w:rsidR="00D92CD3" w:rsidRPr="00D21805" w:rsidRDefault="00D92CD3" w:rsidP="003F57AE">
                      <w:pPr>
                        <w:spacing w:line="276" w:lineRule="auto"/>
                        <w:ind w:left="2160" w:hanging="2160"/>
                        <w:jc w:val="left"/>
                        <w:rPr>
                          <w:rStyle w:val="Emphasis"/>
                          <w:rFonts w:asciiTheme="majorHAnsi" w:hAnsiTheme="majorHAnsi" w:cstheme="majorHAnsi"/>
                          <w:sz w:val="20"/>
                          <w:szCs w:val="20"/>
                          <w:lang w:val="sr-Latn-RS"/>
                        </w:rPr>
                      </w:pPr>
                      <w:r w:rsidRPr="00D21805">
                        <w:rPr>
                          <w:rStyle w:val="Emphasis"/>
                          <w:rFonts w:asciiTheme="majorHAnsi" w:hAnsiTheme="majorHAnsi" w:cstheme="majorHAnsi"/>
                          <w:sz w:val="20"/>
                          <w:szCs w:val="20"/>
                          <w:lang w:val="sr-Latn-RS"/>
                        </w:rPr>
                        <w:t xml:space="preserve">                             Majlinda Shaqiri,  viša službenica za transparentnost na lokalnom nivou / ODVLN</w:t>
                      </w:r>
                    </w:p>
                    <w:p w14:paraId="7FBC92E0" w14:textId="77777777" w:rsidR="00D92CD3" w:rsidRPr="00D21805" w:rsidRDefault="00D92CD3" w:rsidP="003F57AE">
                      <w:pPr>
                        <w:spacing w:line="276" w:lineRule="auto"/>
                        <w:ind w:left="2160" w:hanging="2160"/>
                        <w:jc w:val="left"/>
                        <w:rPr>
                          <w:rStyle w:val="Emphasis"/>
                          <w:sz w:val="20"/>
                          <w:szCs w:val="20"/>
                          <w:lang w:val="sr-Latn-RS"/>
                        </w:rPr>
                      </w:pPr>
                    </w:p>
                    <w:p w14:paraId="005BA9E5" w14:textId="77777777" w:rsidR="00D92CD3" w:rsidRDefault="00D92CD3" w:rsidP="003F57AE">
                      <w:pPr>
                        <w:spacing w:line="276" w:lineRule="auto"/>
                        <w:ind w:left="2160" w:hanging="2160"/>
                        <w:jc w:val="left"/>
                        <w:rPr>
                          <w:rStyle w:val="Emphasis"/>
                          <w:sz w:val="20"/>
                          <w:szCs w:val="20"/>
                        </w:rPr>
                      </w:pPr>
                    </w:p>
                    <w:p w14:paraId="579155E3" w14:textId="77777777" w:rsidR="00D92CD3" w:rsidRDefault="00D92CD3" w:rsidP="003F57AE">
                      <w:pPr>
                        <w:spacing w:line="276" w:lineRule="auto"/>
                        <w:ind w:left="2160" w:hanging="2160"/>
                        <w:jc w:val="left"/>
                        <w:rPr>
                          <w:rStyle w:val="Emphasis"/>
                          <w:sz w:val="20"/>
                          <w:szCs w:val="20"/>
                        </w:rPr>
                      </w:pPr>
                    </w:p>
                    <w:p w14:paraId="7D98B8EF" w14:textId="77777777" w:rsidR="00D92CD3" w:rsidRPr="001713E3" w:rsidRDefault="00D92CD3" w:rsidP="003F57AE">
                      <w:pPr>
                        <w:spacing w:line="276" w:lineRule="auto"/>
                        <w:ind w:left="2160" w:hanging="2160"/>
                        <w:jc w:val="left"/>
                        <w:rPr>
                          <w:rStyle w:val="Emphasis"/>
                          <w:sz w:val="20"/>
                          <w:szCs w:val="20"/>
                        </w:rPr>
                      </w:pPr>
                    </w:p>
                    <w:p w14:paraId="66FB9E62" w14:textId="77777777" w:rsidR="00D92CD3" w:rsidRPr="001713E3" w:rsidRDefault="00D92CD3"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D92CD3" w:rsidRPr="00323FCB" w:rsidRDefault="00D92CD3" w:rsidP="003F57AE">
                      <w:pPr>
                        <w:rPr>
                          <w:rFonts w:ascii="Gill Sans MT" w:eastAsia="Antenna Light" w:hAnsi="Gill Sans MT" w:cs="Antenna Light"/>
                          <w:i/>
                          <w:iCs/>
                          <w:color w:val="FFFFFF" w:themeColor="background1"/>
                        </w:rPr>
                      </w:pPr>
                    </w:p>
                    <w:p w14:paraId="116391C5" w14:textId="77777777" w:rsidR="00D92CD3" w:rsidRPr="009B7EDA" w:rsidRDefault="00D92CD3"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14:paraId="1F15D234" w14:textId="04F26F87"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232DE8BD" w14:textId="77777777"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14:paraId="334657F4" w14:textId="77777777" w:rsidR="00B47797" w:rsidRPr="007C3D4B" w:rsidRDefault="00B47797" w:rsidP="007C3D4B">
      <w:pPr>
        <w:spacing w:before="40" w:line="276" w:lineRule="auto"/>
        <w:rPr>
          <w:rFonts w:ascii="Book Antiqua" w:hAnsi="Book Antiqua" w:cs="Calibri Light"/>
          <w:color w:val="000000" w:themeColor="text1"/>
        </w:rPr>
        <w:sectPr w:rsidR="00B47797" w:rsidRPr="007C3D4B" w:rsidSect="006944A4">
          <w:headerReference w:type="default" r:id="rId9"/>
          <w:footerReference w:type="default" r:id="rId10"/>
          <w:pgSz w:w="11906" w:h="16838"/>
          <w:pgMar w:top="1920" w:right="1440" w:bottom="1710" w:left="1440" w:header="720" w:footer="1454" w:gutter="0"/>
          <w:cols w:space="720"/>
          <w:docGrid w:linePitch="360"/>
        </w:sectPr>
      </w:pPr>
    </w:p>
    <w:p w14:paraId="2CA8F572" w14:textId="77777777" w:rsidR="00EA6113" w:rsidRDefault="00B5476B" w:rsidP="00EA6113">
      <w:pPr>
        <w:pStyle w:val="Style2"/>
      </w:pPr>
      <w:bookmarkStart w:id="1" w:name="_Toc163220240"/>
      <w:bookmarkStart w:id="2" w:name="_Toc230183421"/>
      <w:bookmarkStart w:id="3" w:name="_Toc230183720"/>
      <w:r>
        <w:rPr>
          <w:caps w:val="0"/>
        </w:rPr>
        <w:lastRenderedPageBreak/>
        <w:t>HYRJE</w:t>
      </w:r>
      <w:bookmarkEnd w:id="1"/>
      <w:bookmarkEnd w:id="2"/>
      <w:bookmarkEnd w:id="3"/>
      <w:r>
        <w:rPr>
          <w:caps w:val="0"/>
        </w:rPr>
        <w:t xml:space="preserve"> </w:t>
      </w:r>
    </w:p>
    <w:p w14:paraId="68DCED07" w14:textId="77777777" w:rsidR="00A83156" w:rsidRDefault="00A83156" w:rsidP="001713E3">
      <w:pPr>
        <w:spacing w:line="276" w:lineRule="auto"/>
        <w:rPr>
          <w:rFonts w:ascii="Book Antiqua" w:hAnsi="Book Antiqua"/>
          <w:i/>
          <w:sz w:val="24"/>
          <w:szCs w:val="24"/>
        </w:rPr>
      </w:pPr>
    </w:p>
    <w:p w14:paraId="7E7E24D8" w14:textId="77777777" w:rsidR="00A83156" w:rsidRDefault="00A83156" w:rsidP="001713E3">
      <w:pPr>
        <w:spacing w:line="276" w:lineRule="auto"/>
        <w:rPr>
          <w:rFonts w:ascii="Book Antiqua" w:hAnsi="Book Antiqua"/>
          <w:b/>
          <w:i/>
          <w:color w:val="2F5496" w:themeColor="accent5" w:themeShade="BF"/>
          <w:sz w:val="24"/>
          <w:szCs w:val="24"/>
        </w:rPr>
      </w:pPr>
    </w:p>
    <w:p w14:paraId="4858639C" w14:textId="77777777" w:rsidR="00A83156" w:rsidRDefault="00A83156" w:rsidP="001713E3">
      <w:pPr>
        <w:spacing w:line="276" w:lineRule="auto"/>
        <w:rPr>
          <w:rFonts w:ascii="Book Antiqua" w:hAnsi="Book Antiqua"/>
          <w:b/>
          <w:i/>
          <w:color w:val="2F5496" w:themeColor="accent5" w:themeShade="BF"/>
          <w:sz w:val="24"/>
          <w:szCs w:val="24"/>
        </w:rPr>
      </w:pPr>
    </w:p>
    <w:p w14:paraId="01F23C4E" w14:textId="77777777" w:rsidR="00A83156" w:rsidRDefault="00A83156" w:rsidP="001713E3">
      <w:pPr>
        <w:spacing w:line="276" w:lineRule="auto"/>
        <w:rPr>
          <w:rFonts w:ascii="Book Antiqua" w:hAnsi="Book Antiqua"/>
          <w:b/>
          <w:i/>
          <w:color w:val="2F5496" w:themeColor="accent5" w:themeShade="BF"/>
          <w:sz w:val="24"/>
          <w:szCs w:val="24"/>
        </w:rPr>
      </w:pPr>
    </w:p>
    <w:p w14:paraId="20C60D15" w14:textId="2E144B74" w:rsidR="00A83156" w:rsidRDefault="00A83156" w:rsidP="001713E3">
      <w:pPr>
        <w:spacing w:line="276" w:lineRule="auto"/>
        <w:rPr>
          <w:rFonts w:ascii="Book Antiqua" w:hAnsi="Book Antiqua"/>
          <w:b/>
          <w:i/>
          <w:color w:val="2F5496" w:themeColor="accent5" w:themeShade="BF"/>
          <w:sz w:val="24"/>
          <w:szCs w:val="24"/>
        </w:rPr>
      </w:pPr>
    </w:p>
    <w:p w14:paraId="45EE05BE" w14:textId="2203E4F9" w:rsidR="009F4BE1" w:rsidRDefault="009F4BE1" w:rsidP="001713E3">
      <w:pPr>
        <w:spacing w:line="276" w:lineRule="auto"/>
        <w:rPr>
          <w:rFonts w:ascii="Book Antiqua" w:hAnsi="Book Antiqua"/>
          <w:b/>
          <w:i/>
          <w:color w:val="2F5496" w:themeColor="accent5" w:themeShade="BF"/>
          <w:sz w:val="24"/>
          <w:szCs w:val="24"/>
        </w:rPr>
      </w:pPr>
    </w:p>
    <w:p w14:paraId="763205C2" w14:textId="77777777" w:rsidR="00CC7D4D" w:rsidRPr="00CC7D4D" w:rsidRDefault="00CC7D4D" w:rsidP="001713E3">
      <w:pPr>
        <w:spacing w:line="276" w:lineRule="auto"/>
        <w:rPr>
          <w:rFonts w:ascii="Book Antiqua" w:hAnsi="Book Antiqua"/>
          <w:b/>
          <w:i/>
          <w:color w:val="2F5496" w:themeColor="accent5" w:themeShade="BF"/>
          <w:sz w:val="24"/>
          <w:szCs w:val="24"/>
        </w:rPr>
      </w:pPr>
    </w:p>
    <w:p w14:paraId="01266922" w14:textId="2FD69962" w:rsidR="00CC7D4D" w:rsidRPr="00C263D5" w:rsidRDefault="0032026B"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bookmarkStart w:id="4" w:name="_Toc227827153"/>
      <w:r>
        <w:rPr>
          <w:rFonts w:asciiTheme="majorHAnsi" w:eastAsia="Times New Roman" w:hAnsiTheme="majorHAnsi" w:cstheme="majorHAnsi"/>
          <w:b/>
          <w:bCs/>
          <w:color w:val="2F5496" w:themeColor="accent5" w:themeShade="BF"/>
          <w:kern w:val="36"/>
          <w:lang w:eastAsia="en-GB"/>
        </w:rPr>
        <w:t xml:space="preserve">  </w:t>
      </w:r>
      <w:bookmarkStart w:id="5" w:name="_Toc230183721"/>
      <w:r w:rsidRPr="0032026B">
        <w:rPr>
          <w:rFonts w:asciiTheme="majorHAnsi" w:eastAsia="Times New Roman" w:hAnsiTheme="majorHAnsi" w:cstheme="majorHAnsi"/>
          <w:b/>
          <w:bCs/>
          <w:color w:val="2F5496" w:themeColor="accent5" w:themeShade="BF"/>
          <w:kern w:val="36"/>
          <w:lang w:eastAsia="en-GB"/>
        </w:rPr>
        <w:t>IZVRŠNI SAŽETAK</w:t>
      </w:r>
      <w:bookmarkEnd w:id="5"/>
      <w:r>
        <w:rPr>
          <w:rFonts w:asciiTheme="majorHAnsi" w:eastAsia="Times New Roman" w:hAnsiTheme="majorHAnsi" w:cstheme="majorHAnsi"/>
          <w:b/>
          <w:bCs/>
          <w:color w:val="2F5496" w:themeColor="accent5" w:themeShade="BF"/>
          <w:kern w:val="36"/>
          <w:lang w:eastAsia="en-GB"/>
        </w:rPr>
        <w:t xml:space="preserve"> </w:t>
      </w:r>
    </w:p>
    <w:p w14:paraId="37C14B32" w14:textId="0D6E870C" w:rsidR="0032026B" w:rsidRPr="00D21805" w:rsidRDefault="0032026B"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Funkcionisanje i korišćenje zvaničnih opštinskih veb-sajtova regulisano je Administrativnim uputstvom br. 01/2015 o veb-sajtovima javnih institucija. U 2018. godini sproveden je projekat redizajna veb-sajtova svih opština, dok je u 2019. godini omogućena integracija intranet sistema u ove platforme, čime je stvoren prostor za pružanje elektronskih usluga, uključujući zahteve za dokumenta o građanskom statusu.</w:t>
      </w:r>
    </w:p>
    <w:p w14:paraId="2F11E308" w14:textId="5C3F6360" w:rsidR="0032026B" w:rsidRPr="00D21805" w:rsidRDefault="0032026B"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Poslednjih godina identifikovani su izazovi u funkcionisanju zvaničnih opštinskih veb-sajtova, posebno u pogledu ažuriranja podataka i doslednog pristupa javnim dokumentima i informacijama. Primećeni su slučajevi usporavanja rada, teškoća u pristupu dokumentima, kao i privremenih prekida sistema, što je uticalo na pristup građana javnim informacijama u utvrđenim rokovima.</w:t>
      </w:r>
    </w:p>
    <w:p w14:paraId="2D2275D2" w14:textId="1070C81C" w:rsidR="00CC7D4D" w:rsidRPr="00D21805" w:rsidRDefault="0032026B"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 xml:space="preserve">U tom smislu, Ministarstvo unutrašnjih poslova, odnosno Agencija za informaciono društvo (AID), sprovela je proces objedinjavanja i razvoja novih veb stranica za sve opštine Republike Kosovo, zasnovanih na modernoj tehnologiji. Od 1. marta 2025. godine pokrenute su nove veb stranice za 38 opština, sa ciljem povećanja bezbednosti, poboljšanja </w:t>
      </w:r>
      <w:r w:rsidR="00F45BEA" w:rsidRPr="00D21805">
        <w:rPr>
          <w:rFonts w:asciiTheme="majorHAnsi" w:eastAsia="Times New Roman" w:hAnsiTheme="majorHAnsi" w:cstheme="majorHAnsi"/>
          <w:lang w:val="sr-Latn-RS" w:eastAsia="en-GB"/>
        </w:rPr>
        <w:t>učinka</w:t>
      </w:r>
      <w:r w:rsidRPr="00D21805">
        <w:rPr>
          <w:rFonts w:asciiTheme="majorHAnsi" w:eastAsia="Times New Roman" w:hAnsiTheme="majorHAnsi" w:cstheme="majorHAnsi"/>
          <w:lang w:val="sr-Latn-RS" w:eastAsia="en-GB"/>
        </w:rPr>
        <w:t xml:space="preserve"> i olakšavanja upravljanja sadržajem.  </w:t>
      </w:r>
    </w:p>
    <w:p w14:paraId="74E76091" w14:textId="1B4D2AC6" w:rsidR="00F45BEA" w:rsidRPr="00D21805" w:rsidRDefault="00F45BEA"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Međutim, uprkos ovom napretku, određeni izazovi u funkcionalnosti i kontinuiranom ažuriranju sadržaja ostaju. Nalazi izveštaja pokazuju da je, u nekim oblastima, postignut napredak, ali i pad nivoa transparentnosti u ispunjavanju zakonskih obaveza, uglavnom kao rezultat prelaska sa starih na nove veb stranice.</w:t>
      </w:r>
    </w:p>
    <w:p w14:paraId="59152584" w14:textId="0F5A05E4" w:rsidR="00F45BEA" w:rsidRPr="00D21805" w:rsidRDefault="00F45BEA"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Izveštaj predstavlja sveobuhvatnu procenu transparentnosti za svih 38 opština, zasnovanu na merljivim indikatorima i zakonskim obavezama za javno informisanje. Cilj mu je da posluži kao instrument za identifikovanje nedostataka i podsticanje preduzimanja konkretnih mera za poboljšanje transparentnosti, povećanje institucionalne odgovornosti i unapređenje usluga za građane.</w:t>
      </w:r>
    </w:p>
    <w:p w14:paraId="38F1B43B" w14:textId="7A6E9E08" w:rsidR="00CC7D4D" w:rsidRPr="00C263D5" w:rsidRDefault="00F45BEA" w:rsidP="00CC7D4D">
      <w:pPr>
        <w:spacing w:before="100" w:beforeAutospacing="1" w:after="100" w:afterAutospacing="1" w:line="276"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  </w:t>
      </w:r>
    </w:p>
    <w:p w14:paraId="5D258F05" w14:textId="3ED1733D" w:rsidR="00CC7D4D" w:rsidRPr="00C263D5" w:rsidRDefault="00F45BEA"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eastAsia="en-GB"/>
        </w:rPr>
      </w:pPr>
      <w:bookmarkStart w:id="6" w:name="_Toc230183722"/>
      <w:r>
        <w:rPr>
          <w:rFonts w:asciiTheme="majorHAnsi" w:eastAsia="Times New Roman" w:hAnsiTheme="majorHAnsi" w:cstheme="majorHAnsi"/>
          <w:b/>
          <w:bCs/>
          <w:color w:val="2F5496" w:themeColor="accent5" w:themeShade="BF"/>
          <w:kern w:val="36"/>
          <w:lang w:eastAsia="en-GB"/>
        </w:rPr>
        <w:t>UVOD</w:t>
      </w:r>
      <w:bookmarkEnd w:id="6"/>
      <w:r>
        <w:rPr>
          <w:rFonts w:asciiTheme="majorHAnsi" w:eastAsia="Times New Roman" w:hAnsiTheme="majorHAnsi" w:cstheme="majorHAnsi"/>
          <w:b/>
          <w:bCs/>
          <w:color w:val="2F5496" w:themeColor="accent5" w:themeShade="BF"/>
          <w:kern w:val="36"/>
          <w:lang w:eastAsia="en-GB"/>
        </w:rPr>
        <w:t xml:space="preserve"> </w:t>
      </w:r>
    </w:p>
    <w:p w14:paraId="03AC6F30" w14:textId="15FA1605" w:rsidR="00F45BEA" w:rsidRPr="00D21805" w:rsidRDefault="00F45BEA"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Transparentnost predstavlja jedan od osnovnih principa demokratske uprave i jedan od glavnih pokazatelja funkcionisanja javnih institucija u skladu sa standardima vladavine prava. Ona odražava stepen institucionalne otvorenosti, nivo pristupa građana javnim informacijama, kao i spremnost vlasti da obezbede odgovornost u vršenju svojih ovlašćenja.</w:t>
      </w:r>
    </w:p>
    <w:p w14:paraId="04EC92BB" w14:textId="4AB9949A" w:rsidR="00CC7D4D" w:rsidRPr="00D21805" w:rsidRDefault="00350A01"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U tom smislu, transparentnost nije samo zakonska obaveza, već suštinski mehanizam za jačanje javnog poverenja, poboljšanje kvaliteta donošenja odluka i promociju aktivnog učešća građana u demokratskim procesima.</w:t>
      </w:r>
      <w:r w:rsidR="00F45BEA" w:rsidRPr="00D21805">
        <w:rPr>
          <w:rFonts w:asciiTheme="majorHAnsi" w:eastAsia="Times New Roman" w:hAnsiTheme="majorHAnsi" w:cstheme="majorHAnsi"/>
          <w:lang w:val="sr-Latn-RS" w:eastAsia="en-GB"/>
        </w:rPr>
        <w:t xml:space="preserve"> </w:t>
      </w:r>
    </w:p>
    <w:p w14:paraId="750685EC" w14:textId="09B5AE02" w:rsidR="00CC7D4D" w:rsidRPr="00D21805" w:rsidRDefault="00350A01"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lastRenderedPageBreak/>
        <w:t xml:space="preserve">Na lokalnom nivou, transparentnost je od posebnog značaja, jer opštine predstavljaju najbliži nivo vlasti građanima i direktno su odgovorne za pružanje širokog spektra javnih usluga. Efikasno funkcionisanje opštinske administracije i kvalitet usluga usko su povezani sa načinom upravljanja i distribucije informacija, kao i sa mogućnostima za učešće građana u procesima donošenja odluka.  </w:t>
      </w:r>
    </w:p>
    <w:p w14:paraId="31B7AC2F" w14:textId="77777777" w:rsidR="00233414" w:rsidRPr="00D21805" w:rsidRDefault="00233414"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U ovom kontekstu, zvanične opštinske veb stranice predstavljaju jedan od glavnih instrumenata za postizanje transparentnosti i institucionalne komunikacije. One služe kao platforme za objavljivanje informacija od javnog interesa, uključujući zvanična dokumenta, institucionalne aktivnosti, procese donošenja odluka i usluge za građane.</w:t>
      </w:r>
    </w:p>
    <w:p w14:paraId="5A8DF889" w14:textId="77777777" w:rsidR="00233414" w:rsidRPr="00D21805" w:rsidRDefault="00233414" w:rsidP="00CC7D4D">
      <w:pPr>
        <w:spacing w:before="100" w:beforeAutospacing="1" w:after="100" w:afterAutospacing="1" w:line="276" w:lineRule="auto"/>
        <w:rPr>
          <w:rFonts w:asciiTheme="majorHAnsi" w:eastAsia="Times New Roman" w:hAnsiTheme="majorHAnsi" w:cstheme="majorHAnsi"/>
          <w:lang w:val="sr-Latn-RS" w:eastAsia="en-GB"/>
        </w:rPr>
      </w:pPr>
    </w:p>
    <w:p w14:paraId="164C9B50" w14:textId="2ADFFA47" w:rsidR="00CC7D4D" w:rsidRPr="00D21805" w:rsidRDefault="00233414"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 xml:space="preserve">U ovom kontekstu, zvanične opštinske veb stranice predstavljaju jedan od glavnih instrumenata za postizanje transparentnosti i institucionalne komunikacije. One služe kao platforme za objavljivanje informacija od javnog interesa, uključujući zvanična dokumenta, institucionalne aktivnosti, procese donošenja odluka i usluge za građane.   </w:t>
      </w:r>
    </w:p>
    <w:p w14:paraId="0423DC48" w14:textId="77777777" w:rsidR="00F865B8" w:rsidRPr="00D21805" w:rsidRDefault="00F865B8" w:rsidP="00F865B8">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Štaviše, veb stranice doprinose digitalizaciji javnih usluga i povećanju administrativne efikasnosti. Njihova funkcionalnost, pristupačnost i ažuriranje direktno utiču na nivo transparentnosti i percepciju građana o javnim institucijama.</w:t>
      </w:r>
    </w:p>
    <w:p w14:paraId="13EEF7C0" w14:textId="4BCC94A9" w:rsidR="00CC7D4D" w:rsidRPr="00D21805" w:rsidRDefault="00F865B8" w:rsidP="00F865B8">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 xml:space="preserve">Međutim, razni izazovi i dalje utiču na efikasno funkcionisanje ovih platformi, posebno u pogledu ažuriranja sadržaja i tehničkog upravljanja.   </w:t>
      </w:r>
    </w:p>
    <w:p w14:paraId="6E26A96E" w14:textId="7C52FBA0" w:rsidR="00CC7D4D" w:rsidRPr="00D21805" w:rsidRDefault="00CD7F46"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sr-Latn-RS" w:eastAsia="en-GB"/>
        </w:rPr>
      </w:pPr>
      <w:r w:rsidRPr="00D21805">
        <w:rPr>
          <w:rFonts w:asciiTheme="majorHAnsi" w:eastAsia="Times New Roman" w:hAnsiTheme="majorHAnsi" w:cstheme="majorHAnsi"/>
          <w:b/>
          <w:bCs/>
          <w:color w:val="2F5496" w:themeColor="accent5" w:themeShade="BF"/>
          <w:kern w:val="36"/>
          <w:lang w:val="sr-Latn-RS" w:eastAsia="en-GB"/>
        </w:rPr>
        <w:t xml:space="preserve"> </w:t>
      </w:r>
      <w:bookmarkStart w:id="7" w:name="_Toc230183723"/>
      <w:r w:rsidRPr="00D21805">
        <w:rPr>
          <w:rFonts w:asciiTheme="majorHAnsi" w:eastAsia="Times New Roman" w:hAnsiTheme="majorHAnsi" w:cstheme="majorHAnsi"/>
          <w:b/>
          <w:bCs/>
          <w:color w:val="2F5496" w:themeColor="accent5" w:themeShade="BF"/>
          <w:kern w:val="36"/>
          <w:lang w:val="sr-Latn-RS" w:eastAsia="en-GB"/>
        </w:rPr>
        <w:t>SVRHA IZVEŠTAJA</w:t>
      </w:r>
      <w:bookmarkEnd w:id="7"/>
      <w:r w:rsidRPr="00D21805">
        <w:rPr>
          <w:rFonts w:asciiTheme="majorHAnsi" w:eastAsia="Times New Roman" w:hAnsiTheme="majorHAnsi" w:cstheme="majorHAnsi"/>
          <w:b/>
          <w:bCs/>
          <w:color w:val="2F5496" w:themeColor="accent5" w:themeShade="BF"/>
          <w:kern w:val="36"/>
          <w:lang w:val="sr-Latn-RS" w:eastAsia="en-GB"/>
        </w:rPr>
        <w:t xml:space="preserve">    </w:t>
      </w:r>
    </w:p>
    <w:p w14:paraId="5981EA9F" w14:textId="77777777" w:rsidR="00CD7F46" w:rsidRPr="00D21805" w:rsidRDefault="00CD7F46"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Izveštaj o proceni transparentnosti za period januar–decembar 2025. godine ima za cilj da predstavi sveobuhvatnu procenu nivoa transparentnosti u svim opštinama Republike Kosovo, u vezi sa ispunjavanjem zakonskih obaveza za javno informisanje. Konkretnije, izveštaj ima za cilj da pruži tačan i objektivan pregled objavljivanja opštinskih aktivnosti, pravnih akata i javnih dokumenata, da obavesti institucije i javnost o stanju transparentnosti na opštinskom nivou, da proceni funkcionalnost i sadržaj zvaničnih veb stranica i da doprinese povećanju institucionalne odgovornosti i poboljšanju transparentnosti.</w:t>
      </w:r>
    </w:p>
    <w:p w14:paraId="301B364A" w14:textId="1C0A844F" w:rsidR="00CD7F46" w:rsidRPr="00D21805" w:rsidRDefault="00CD7F46" w:rsidP="00CC7D4D">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U okviru ovog izveštaja, analizirani su podaci za 38 opština, na osnovu merljivih indikatora transparentnosti, uključujući objavljivanje akata, finansijsku transparentnost, javne nabavke, javne konsultacije i pružanje usluga građanima.</w:t>
      </w:r>
    </w:p>
    <w:p w14:paraId="126B5914" w14:textId="3CD66708" w:rsidR="00AD283B" w:rsidRPr="00D21805" w:rsidRDefault="00AD283B" w:rsidP="00AD283B">
      <w:pPr>
        <w:pStyle w:val="Style2"/>
        <w:spacing w:line="276" w:lineRule="auto"/>
        <w:rPr>
          <w:rFonts w:asciiTheme="majorHAnsi" w:hAnsiTheme="majorHAnsi" w:cstheme="majorHAnsi"/>
          <w:lang w:val="sr-Latn-RS"/>
        </w:rPr>
      </w:pPr>
      <w:bookmarkStart w:id="8" w:name="_Toc230183724"/>
      <w:bookmarkStart w:id="9" w:name="_Toc56692983"/>
      <w:bookmarkStart w:id="10" w:name="_Toc81401209"/>
      <w:bookmarkStart w:id="11" w:name="_Toc85812813"/>
      <w:bookmarkStart w:id="12" w:name="_Toc130455674"/>
      <w:bookmarkEnd w:id="4"/>
      <w:r w:rsidRPr="00D21805">
        <w:rPr>
          <w:rFonts w:asciiTheme="majorHAnsi" w:hAnsiTheme="majorHAnsi" w:cstheme="majorHAnsi"/>
          <w:lang w:val="sr-Latn-RS"/>
        </w:rPr>
        <w:t>METODOLO</w:t>
      </w:r>
      <w:r w:rsidR="00410672" w:rsidRPr="00D21805">
        <w:rPr>
          <w:rFonts w:asciiTheme="majorHAnsi" w:hAnsiTheme="majorHAnsi" w:cstheme="majorHAnsi"/>
          <w:lang w:val="sr-Latn-RS"/>
        </w:rPr>
        <w:t>GI</w:t>
      </w:r>
      <w:r w:rsidRPr="00D21805">
        <w:rPr>
          <w:rFonts w:asciiTheme="majorHAnsi" w:hAnsiTheme="majorHAnsi" w:cstheme="majorHAnsi"/>
          <w:lang w:val="sr-Latn-RS"/>
        </w:rPr>
        <w:t>JA</w:t>
      </w:r>
      <w:bookmarkEnd w:id="8"/>
      <w:r w:rsidRPr="00D21805">
        <w:rPr>
          <w:rFonts w:asciiTheme="majorHAnsi" w:hAnsiTheme="majorHAnsi" w:cstheme="majorHAnsi"/>
          <w:lang w:val="sr-Latn-RS"/>
        </w:rPr>
        <w:t xml:space="preserve"> </w:t>
      </w:r>
    </w:p>
    <w:p w14:paraId="403D04C8" w14:textId="77777777" w:rsidR="00410672" w:rsidRPr="00D21805" w:rsidRDefault="00410672" w:rsidP="00410672">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Za sastavljanje ovog izveštaja korišćene su statističke i uporedne metode, kako bi se osigurala najobjektivnija i proverljivija analiza nivoa transparentnosti.</w:t>
      </w:r>
    </w:p>
    <w:p w14:paraId="64B8B7BB" w14:textId="2CBBB0A7" w:rsidR="00410672" w:rsidRPr="00D21805" w:rsidRDefault="00410672" w:rsidP="00410672">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lastRenderedPageBreak/>
        <w:t>Podaci su prikupljeni direktnim praćenjem zvaničnih veb stranica i obrađeni u E</w:t>
      </w:r>
      <w:r w:rsidR="00944A22" w:rsidRPr="00D21805">
        <w:rPr>
          <w:rFonts w:asciiTheme="majorHAnsi" w:eastAsia="Times New Roman" w:hAnsiTheme="majorHAnsi" w:cstheme="majorHAnsi"/>
          <w:lang w:val="sr-Latn-RS" w:eastAsia="en-GB"/>
        </w:rPr>
        <w:t>xce</w:t>
      </w:r>
      <w:r w:rsidRPr="00D21805">
        <w:rPr>
          <w:rFonts w:asciiTheme="majorHAnsi" w:eastAsia="Times New Roman" w:hAnsiTheme="majorHAnsi" w:cstheme="majorHAnsi"/>
          <w:lang w:val="sr-Latn-RS" w:eastAsia="en-GB"/>
        </w:rPr>
        <w:t>l formatu. Zatim su prosleđeni opštinama na proveru. Opštine koje su osporavale podatke podnele su komentare praćene linkovima preko kojih se mogu proveriti relevantni dokumenti.</w:t>
      </w:r>
    </w:p>
    <w:p w14:paraId="00BDECB5" w14:textId="6B163110" w:rsidR="00944A22" w:rsidRPr="00D21805" w:rsidRDefault="00944A22" w:rsidP="00AD283B">
      <w:pPr>
        <w:spacing w:before="100" w:beforeAutospacing="1" w:after="100" w:afterAutospacing="1" w:line="276" w:lineRule="auto"/>
        <w:rPr>
          <w:rFonts w:asciiTheme="majorHAnsi" w:eastAsia="Times New Roman" w:hAnsiTheme="majorHAnsi" w:cstheme="majorHAnsi"/>
          <w:lang w:val="sr-Latn-RS" w:eastAsia="en-GB"/>
        </w:rPr>
      </w:pPr>
      <w:r w:rsidRPr="00D21805">
        <w:rPr>
          <w:rFonts w:asciiTheme="majorHAnsi" w:eastAsia="Times New Roman" w:hAnsiTheme="majorHAnsi" w:cstheme="majorHAnsi"/>
          <w:lang w:val="sr-Latn-RS" w:eastAsia="en-GB"/>
        </w:rPr>
        <w:t>Od</w:t>
      </w:r>
      <w:r w:rsidR="00D21805" w:rsidRPr="00D21805">
        <w:rPr>
          <w:rFonts w:asciiTheme="majorHAnsi" w:eastAsia="Times New Roman" w:hAnsiTheme="majorHAnsi" w:cstheme="majorHAnsi"/>
          <w:lang w:val="sr-Latn-RS" w:eastAsia="en-GB"/>
        </w:rPr>
        <w:t>sek</w:t>
      </w:r>
      <w:r w:rsidRPr="00D21805">
        <w:rPr>
          <w:rFonts w:asciiTheme="majorHAnsi" w:eastAsia="Times New Roman" w:hAnsiTheme="majorHAnsi" w:cstheme="majorHAnsi"/>
          <w:lang w:val="sr-Latn-RS" w:eastAsia="en-GB"/>
        </w:rPr>
        <w:t xml:space="preserve"> za transparentnost je pregledalo i verifikovalo sve komentare primljene od 19 opština i obavestilo svaku od njih u vezi sa komentarima koji, zbog nemogućnosti verifikacije, nisu uključeni u izveštaj. Konačni podaci za sve opštine su analizirani u skladu sa definisanim indikatorima transparentnosti.</w:t>
      </w:r>
    </w:p>
    <w:p w14:paraId="40CF6C67" w14:textId="77777777" w:rsidR="00944A22" w:rsidRPr="00C263D5" w:rsidRDefault="00944A22" w:rsidP="00AD283B">
      <w:pPr>
        <w:spacing w:before="100" w:beforeAutospacing="1" w:after="100" w:afterAutospacing="1" w:line="276" w:lineRule="auto"/>
        <w:rPr>
          <w:rFonts w:asciiTheme="majorHAnsi" w:eastAsia="Times New Roman" w:hAnsiTheme="majorHAnsi" w:cstheme="majorHAnsi"/>
          <w:lang w:eastAsia="en-GB"/>
        </w:rPr>
      </w:pPr>
    </w:p>
    <w:p w14:paraId="0422F241" w14:textId="3742969D" w:rsidR="00D21805" w:rsidRPr="008818F4" w:rsidRDefault="00D21805" w:rsidP="00D21805">
      <w:p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Radi poređenja, podaci su upoređeni sa:</w:t>
      </w:r>
    </w:p>
    <w:p w14:paraId="4BB46BCC" w14:textId="75798BD5" w:rsidR="00D21805" w:rsidRPr="008818F4" w:rsidRDefault="00D21805" w:rsidP="00D21805">
      <w:pPr>
        <w:pStyle w:val="ListParagraph"/>
        <w:numPr>
          <w:ilvl w:val="0"/>
          <w:numId w:val="47"/>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zakonskim obavezama utvrđenim važećim odredbama u oblasti javne transparentnosti;</w:t>
      </w:r>
    </w:p>
    <w:p w14:paraId="63985630" w14:textId="65A649F3" w:rsidR="00D21805" w:rsidRPr="008818F4" w:rsidRDefault="00D21805" w:rsidP="00D21805">
      <w:pPr>
        <w:pStyle w:val="ListParagraph"/>
        <w:numPr>
          <w:ilvl w:val="0"/>
          <w:numId w:val="47"/>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zvaničnim izveštajem o funkcionisanju opština za period januar–decembar 2025. godine;</w:t>
      </w:r>
    </w:p>
    <w:p w14:paraId="5BB488C3" w14:textId="68ED5DF2" w:rsidR="00D21805" w:rsidRPr="008818F4" w:rsidRDefault="00D21805" w:rsidP="00D21805">
      <w:pPr>
        <w:pStyle w:val="ListParagraph"/>
        <w:numPr>
          <w:ilvl w:val="0"/>
          <w:numId w:val="47"/>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izveštajem o proceni transparentnosti za period januar–decembar 2024. Godine</w:t>
      </w:r>
    </w:p>
    <w:p w14:paraId="603ABBC8" w14:textId="2CF14F50" w:rsidR="00A1058D" w:rsidRPr="008818F4" w:rsidRDefault="00D21805"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sr-Latn-RS" w:eastAsia="en-GB"/>
        </w:rPr>
      </w:pPr>
      <w:bookmarkStart w:id="13" w:name="_Toc230183725"/>
      <w:r w:rsidRPr="008818F4">
        <w:rPr>
          <w:rFonts w:asciiTheme="majorHAnsi" w:eastAsia="Times New Roman" w:hAnsiTheme="majorHAnsi" w:cstheme="majorHAnsi"/>
          <w:b/>
          <w:bCs/>
          <w:color w:val="2F5496" w:themeColor="accent5" w:themeShade="BF"/>
          <w:kern w:val="36"/>
          <w:lang w:val="sr-Latn-RS" w:eastAsia="en-GB"/>
        </w:rPr>
        <w:t>PRAVNI OKVIR</w:t>
      </w:r>
      <w:bookmarkEnd w:id="13"/>
      <w:r w:rsidRPr="008818F4">
        <w:rPr>
          <w:rFonts w:asciiTheme="majorHAnsi" w:eastAsia="Times New Roman" w:hAnsiTheme="majorHAnsi" w:cstheme="majorHAnsi"/>
          <w:b/>
          <w:bCs/>
          <w:color w:val="2F5496" w:themeColor="accent5" w:themeShade="BF"/>
          <w:kern w:val="36"/>
          <w:lang w:val="sr-Latn-RS" w:eastAsia="en-GB"/>
        </w:rPr>
        <w:t xml:space="preserve">  </w:t>
      </w:r>
    </w:p>
    <w:p w14:paraId="02A8D53E" w14:textId="77777777" w:rsidR="00D21805" w:rsidRPr="008818F4" w:rsidRDefault="00D21805" w:rsidP="00D21805">
      <w:p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Procena transparentnosti opština zasniva se na važećem pravnom okviru u Republici Kosovo, koji postavlja standarde za transparentnost, odgovornost, pristup javnim informacijama, upravljanje javnim finansijama i funkcionisanje lokalne samouprave.</w:t>
      </w:r>
    </w:p>
    <w:p w14:paraId="20339225" w14:textId="77777777" w:rsidR="00D21805" w:rsidRPr="008818F4" w:rsidRDefault="00D21805" w:rsidP="00D21805">
      <w:p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t>U ovom kontekstu, glavni pravni osnov obuhvata:</w:t>
      </w:r>
    </w:p>
    <w:p w14:paraId="28410F20" w14:textId="77777777"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Ustav Republike Kosovo</w:t>
      </w:r>
      <w:r w:rsidRPr="008818F4">
        <w:rPr>
          <w:rFonts w:asciiTheme="majorHAnsi" w:eastAsia="Times New Roman" w:hAnsiTheme="majorHAnsi" w:cstheme="majorHAnsi"/>
          <w:lang w:val="sr-Latn-RS" w:eastAsia="en-GB"/>
        </w:rPr>
        <w:t>, koji garantuje pravo pristupa javnim informacijama i obavezuje javne institucije na transparentnost i odgovornost;</w:t>
      </w:r>
    </w:p>
    <w:p w14:paraId="62EE19E3" w14:textId="6AA9DAC7"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03/L-040 o lokalnoj samoupravi</w:t>
      </w:r>
      <w:r w:rsidRPr="008818F4">
        <w:rPr>
          <w:rFonts w:asciiTheme="majorHAnsi" w:eastAsia="Times New Roman" w:hAnsiTheme="majorHAnsi" w:cstheme="majorHAnsi"/>
          <w:lang w:val="sr-Latn-RS" w:eastAsia="en-GB"/>
        </w:rPr>
        <w:t>, kojim se utvrđuju nadležnosti i obaveze opština, uključujući transparentnost u donošenju odluka i javno informisanje;</w:t>
      </w:r>
    </w:p>
    <w:p w14:paraId="6363FC71" w14:textId="1F705616"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06/L-081 o pristupu javnim dokumentima</w:t>
      </w:r>
      <w:r w:rsidRPr="008818F4">
        <w:rPr>
          <w:rFonts w:asciiTheme="majorHAnsi" w:eastAsia="Times New Roman" w:hAnsiTheme="majorHAnsi" w:cstheme="majorHAnsi"/>
          <w:lang w:val="sr-Latn-RS" w:eastAsia="en-GB"/>
        </w:rPr>
        <w:t>, koji garantuje pravo građana na pristup zvaničnim dokumentima i reguliše postupke za ostvarivanje ovog prava;</w:t>
      </w:r>
    </w:p>
    <w:p w14:paraId="0DD8793C" w14:textId="4CC5417C"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03/L-048 o upravljanju javnim finansijama i odgovornosti</w:t>
      </w:r>
      <w:r w:rsidRPr="008818F4">
        <w:rPr>
          <w:rFonts w:asciiTheme="majorHAnsi" w:eastAsia="Times New Roman" w:hAnsiTheme="majorHAnsi" w:cstheme="majorHAnsi"/>
          <w:lang w:val="sr-Latn-RS" w:eastAsia="en-GB"/>
        </w:rPr>
        <w:t>, koji reguliše upravljanje, izveštavanje i transparentnost javnih rashoda;</w:t>
      </w:r>
    </w:p>
    <w:p w14:paraId="44AFA1C7" w14:textId="1C054CF9"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04/L-042 o javnim nabavkama</w:t>
      </w:r>
      <w:r w:rsidRPr="008818F4">
        <w:rPr>
          <w:rFonts w:asciiTheme="majorHAnsi" w:eastAsia="Times New Roman" w:hAnsiTheme="majorHAnsi" w:cstheme="majorHAnsi"/>
          <w:lang w:val="sr-Latn-RS" w:eastAsia="en-GB"/>
        </w:rPr>
        <w:t>, kojim se utvrđuju principi transparentnosti, jednakosti i konkurencije u postupcima javnih nabavki, kao i obaveza objavljivanja podataka i odluka o javnim nabavkama;</w:t>
      </w:r>
    </w:p>
    <w:p w14:paraId="20DE24DD" w14:textId="5ACBE309" w:rsidR="00D21805" w:rsidRPr="008818F4" w:rsidRDefault="00D21805" w:rsidP="00D21805">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08/L-284 o administrativnom</w:t>
      </w:r>
      <w:r w:rsidR="007B5C0C" w:rsidRPr="008818F4">
        <w:rPr>
          <w:rFonts w:asciiTheme="majorHAnsi" w:eastAsia="Times New Roman" w:hAnsiTheme="majorHAnsi" w:cstheme="majorHAnsi"/>
          <w:b/>
          <w:bCs/>
          <w:lang w:val="sr-Latn-RS" w:eastAsia="en-GB"/>
        </w:rPr>
        <w:t xml:space="preserve"> razmatranju</w:t>
      </w:r>
      <w:r w:rsidRPr="008818F4">
        <w:rPr>
          <w:rFonts w:asciiTheme="majorHAnsi" w:eastAsia="Times New Roman" w:hAnsiTheme="majorHAnsi" w:cstheme="majorHAnsi"/>
          <w:b/>
          <w:bCs/>
          <w:lang w:val="sr-Latn-RS" w:eastAsia="en-GB"/>
        </w:rPr>
        <w:t xml:space="preserve"> opštinskih akata</w:t>
      </w:r>
      <w:r w:rsidRPr="008818F4">
        <w:rPr>
          <w:rFonts w:asciiTheme="majorHAnsi" w:eastAsia="Times New Roman" w:hAnsiTheme="majorHAnsi" w:cstheme="majorHAnsi"/>
          <w:lang w:val="sr-Latn-RS" w:eastAsia="en-GB"/>
        </w:rPr>
        <w:t>, koji</w:t>
      </w:r>
      <w:r w:rsidRPr="00D21805">
        <w:rPr>
          <w:rFonts w:asciiTheme="majorHAnsi" w:eastAsia="Times New Roman" w:hAnsiTheme="majorHAnsi" w:cstheme="majorHAnsi"/>
          <w:lang w:eastAsia="en-GB"/>
        </w:rPr>
        <w:t xml:space="preserve"> reguliše </w:t>
      </w:r>
      <w:r w:rsidRPr="008818F4">
        <w:rPr>
          <w:rFonts w:asciiTheme="majorHAnsi" w:eastAsia="Times New Roman" w:hAnsiTheme="majorHAnsi" w:cstheme="majorHAnsi"/>
          <w:lang w:val="sr-Latn-RS" w:eastAsia="en-GB"/>
        </w:rPr>
        <w:t xml:space="preserve">postupak </w:t>
      </w:r>
      <w:r w:rsidR="007B5C0C" w:rsidRPr="008818F4">
        <w:rPr>
          <w:rFonts w:asciiTheme="majorHAnsi" w:eastAsia="Times New Roman" w:hAnsiTheme="majorHAnsi" w:cstheme="majorHAnsi"/>
          <w:lang w:val="sr-Latn-RS" w:eastAsia="en-GB"/>
        </w:rPr>
        <w:t>razmatranja</w:t>
      </w:r>
      <w:r w:rsidRPr="008818F4">
        <w:rPr>
          <w:rFonts w:asciiTheme="majorHAnsi" w:eastAsia="Times New Roman" w:hAnsiTheme="majorHAnsi" w:cstheme="majorHAnsi"/>
          <w:lang w:val="sr-Latn-RS" w:eastAsia="en-GB"/>
        </w:rPr>
        <w:t xml:space="preserve"> i zakonitost opštinskih akata;</w:t>
      </w:r>
    </w:p>
    <w:p w14:paraId="75515ECC" w14:textId="68FBE89D" w:rsidR="00D21805" w:rsidRPr="008818F4" w:rsidRDefault="00D21805" w:rsidP="007B5C0C">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Zakon br. 06/L-082 o zaštiti ličnih podataka</w:t>
      </w:r>
      <w:r w:rsidRPr="008818F4">
        <w:rPr>
          <w:rFonts w:asciiTheme="majorHAnsi" w:eastAsia="Times New Roman" w:hAnsiTheme="majorHAnsi" w:cstheme="majorHAnsi"/>
          <w:lang w:val="sr-Latn-RS" w:eastAsia="en-GB"/>
        </w:rPr>
        <w:t>, kojim se reguliše obrada i objavljivanje ličnih podataka u skladu sa principima privatnosti i transparentnosti;</w:t>
      </w:r>
    </w:p>
    <w:p w14:paraId="43B09D7F" w14:textId="6DC066C9" w:rsidR="00D21805" w:rsidRPr="008818F4" w:rsidRDefault="00D21805" w:rsidP="007B5C0C">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Administrativno uputstvo br. 04/2023 o otvorenoj administraciji u opštinama</w:t>
      </w:r>
      <w:r w:rsidRPr="008818F4">
        <w:rPr>
          <w:rFonts w:asciiTheme="majorHAnsi" w:eastAsia="Times New Roman" w:hAnsiTheme="majorHAnsi" w:cstheme="majorHAnsi"/>
          <w:lang w:val="sr-Latn-RS" w:eastAsia="en-GB"/>
        </w:rPr>
        <w:t>, koje utvrđuje standarde za proaktivno objavljivanje informacija i institucionalnu transparentnost;</w:t>
      </w:r>
    </w:p>
    <w:p w14:paraId="20E52442" w14:textId="38AA7838" w:rsidR="007B5C0C" w:rsidRPr="008818F4" w:rsidRDefault="00D21805" w:rsidP="007B5C0C">
      <w:pPr>
        <w:pStyle w:val="ListParagraph"/>
        <w:numPr>
          <w:ilvl w:val="0"/>
          <w:numId w:val="49"/>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b/>
          <w:bCs/>
          <w:lang w:val="sr-Latn-RS" w:eastAsia="en-GB"/>
        </w:rPr>
        <w:t>Uredba br. 02/2021 o postupku za izradu i objavljivanje opštinskih akata</w:t>
      </w:r>
      <w:r w:rsidRPr="008818F4">
        <w:rPr>
          <w:rFonts w:asciiTheme="majorHAnsi" w:eastAsia="Times New Roman" w:hAnsiTheme="majorHAnsi" w:cstheme="majorHAnsi"/>
          <w:lang w:val="sr-Latn-RS" w:eastAsia="en-GB"/>
        </w:rPr>
        <w:t>, koja reguliše način izrade, objavljivanja i pristupa opštinskim aktima;</w:t>
      </w:r>
    </w:p>
    <w:p w14:paraId="7ED2CE03" w14:textId="51837A31" w:rsidR="00EA0F7D" w:rsidRPr="008818F4" w:rsidRDefault="00EA0F7D" w:rsidP="00EA0F7D">
      <w:pPr>
        <w:pStyle w:val="ListParagraph"/>
        <w:numPr>
          <w:ilvl w:val="0"/>
          <w:numId w:val="50"/>
        </w:numPr>
        <w:spacing w:before="100" w:beforeAutospacing="1" w:after="100" w:afterAutospacing="1" w:line="276" w:lineRule="auto"/>
        <w:rPr>
          <w:rFonts w:asciiTheme="majorHAnsi" w:eastAsia="Times New Roman" w:hAnsiTheme="majorHAnsi" w:cstheme="majorHAnsi"/>
          <w:lang w:val="sr-Latn-RS" w:eastAsia="en-GB"/>
        </w:rPr>
      </w:pPr>
      <w:r w:rsidRPr="008818F4">
        <w:rPr>
          <w:rFonts w:asciiTheme="majorHAnsi" w:eastAsia="Times New Roman" w:hAnsiTheme="majorHAnsi" w:cstheme="majorHAnsi"/>
          <w:lang w:val="sr-Latn-RS" w:eastAsia="en-GB"/>
        </w:rPr>
        <w:lastRenderedPageBreak/>
        <w:t>kao i drugi podzakonski akti i administrativna uputstva koja regulišu određene oblasti funkcionisanja javne uprave, uključujući opštinske usluge, zvaničnu dokumentaciju i digitalnu transparentnost.</w:t>
      </w:r>
    </w:p>
    <w:p w14:paraId="7BB3826C" w14:textId="51751945" w:rsidR="00A1058D" w:rsidRPr="00A1058D" w:rsidRDefault="00A1058D" w:rsidP="00A1058D">
      <w:pPr>
        <w:spacing w:before="100" w:beforeAutospacing="1" w:after="100" w:afterAutospacing="1" w:line="276" w:lineRule="auto"/>
        <w:rPr>
          <w:rFonts w:asciiTheme="majorHAnsi" w:eastAsia="Times New Roman" w:hAnsiTheme="majorHAnsi" w:cstheme="majorHAnsi"/>
          <w:lang w:eastAsia="en-GB"/>
        </w:rPr>
      </w:pPr>
    </w:p>
    <w:p w14:paraId="54D29A3A" w14:textId="77777777" w:rsidR="00873758" w:rsidRPr="009D6147" w:rsidRDefault="00873758" w:rsidP="00A70BC5">
      <w:pPr>
        <w:pStyle w:val="Style2"/>
        <w:spacing w:line="276" w:lineRule="auto"/>
        <w:rPr>
          <w:rFonts w:asciiTheme="majorHAnsi" w:hAnsiTheme="majorHAnsi" w:cstheme="majorHAnsi"/>
        </w:rPr>
      </w:pPr>
    </w:p>
    <w:p w14:paraId="2E738BAC" w14:textId="1CFD289B" w:rsidR="00E05816" w:rsidRPr="009D6147" w:rsidRDefault="00913BFE" w:rsidP="00F12D0B">
      <w:pPr>
        <w:pStyle w:val="Style2"/>
        <w:spacing w:line="276" w:lineRule="auto"/>
        <w:rPr>
          <w:rFonts w:asciiTheme="majorHAnsi" w:hAnsiTheme="majorHAnsi" w:cstheme="majorHAnsi"/>
        </w:rPr>
      </w:pPr>
      <w:bookmarkStart w:id="14" w:name="_Toc230183726"/>
      <w:bookmarkStart w:id="15" w:name="_Toc163220244"/>
      <w:r w:rsidRPr="00913BFE">
        <w:rPr>
          <w:rFonts w:asciiTheme="majorHAnsi" w:hAnsiTheme="majorHAnsi" w:cstheme="majorHAnsi"/>
        </w:rPr>
        <w:t>TRANSPARENTNOST RADA SKUPŠTINA OPŠTIN</w:t>
      </w:r>
      <w:r>
        <w:rPr>
          <w:rFonts w:asciiTheme="majorHAnsi" w:hAnsiTheme="majorHAnsi" w:cstheme="majorHAnsi"/>
        </w:rPr>
        <w:t>a</w:t>
      </w:r>
      <w:bookmarkEnd w:id="14"/>
      <w:r w:rsidRPr="00913BFE">
        <w:rPr>
          <w:rFonts w:asciiTheme="majorHAnsi" w:hAnsiTheme="majorHAnsi" w:cstheme="majorHAnsi"/>
        </w:rPr>
        <w:t xml:space="preserve"> </w:t>
      </w:r>
      <w:bookmarkEnd w:id="9"/>
      <w:bookmarkEnd w:id="10"/>
      <w:bookmarkEnd w:id="11"/>
      <w:bookmarkEnd w:id="12"/>
      <w:bookmarkEnd w:id="15"/>
    </w:p>
    <w:p w14:paraId="63D5BF9F" w14:textId="51F2CE21" w:rsidR="00913BFE" w:rsidRPr="00A776E2" w:rsidRDefault="00913BFE" w:rsidP="00F12D0B">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Skupština opštine predstavlja najviše predstavničko telo lokalne samouprave i istovremeno zakonski ovlašćeno telo za nadzor rada opštinske izvršne vlasti, u skladu sa zakonodavstvom na snazi . U tom svojstvu, ona obavlja osnovne funkcije u smislu obezbeđivanja demokratske uprave na lokalnom nivou i garantovanja institucionalne odgovornosti.</w:t>
      </w:r>
    </w:p>
    <w:p w14:paraId="1D4ADAFA" w14:textId="4117382E" w:rsidR="00913BFE" w:rsidRPr="00A776E2" w:rsidRDefault="00913BFE" w:rsidP="00F12D0B">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Radi efikasnog vršenja svog mandata, Skupština opštine se redovno sastaje kako bi sprovodila odgovornosti i ovlašćenja definisana zakonom. U okviru ovih odgovornosti, ona usvaja normativne akte neophodne za funkcionisanje opštine, uključujući akte koje izričito zahteva važeće zakonodavstvo, kao i one koji se, na osnovu zakonskih odredbi, prepuštaju na diskreciju opštine da se donose u skladu sa lokalnim potrebama i specifičnostima.</w:t>
      </w:r>
    </w:p>
    <w:p w14:paraId="5CFA54BC" w14:textId="1DA850DA" w:rsidR="00B96996" w:rsidRPr="00A776E2" w:rsidRDefault="00D4397B" w:rsidP="00F12D0B">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Skupština opštine se bavi pitanjima od lokalnog javnog interesa i odlučuje o njima, obezbeđujući demokratsku debatu, transparentno donošenje odluka i zastupanje interesa građana u procesima opštinske uprave.</w:t>
      </w:r>
      <w:r w:rsidR="00913BFE" w:rsidRPr="00A776E2">
        <w:rPr>
          <w:rFonts w:asciiTheme="majorHAnsi" w:eastAsia="Times New Roman" w:hAnsiTheme="majorHAnsi" w:cstheme="majorHAnsi"/>
          <w:lang w:val="sr-Latn-RS" w:eastAsia="en-GB"/>
        </w:rPr>
        <w:t xml:space="preserve">   </w:t>
      </w:r>
    </w:p>
    <w:p w14:paraId="186575F9" w14:textId="03A5CC50" w:rsidR="00A1058D" w:rsidRPr="00A776E2" w:rsidRDefault="00777B42"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sr-Latn-RS" w:eastAsia="en-GB"/>
        </w:rPr>
      </w:pPr>
      <w:bookmarkStart w:id="16" w:name="_Toc230183727"/>
      <w:bookmarkStart w:id="17" w:name="_Toc130455675"/>
      <w:bookmarkStart w:id="18" w:name="_Toc130462780"/>
      <w:r w:rsidRPr="00A776E2">
        <w:rPr>
          <w:rFonts w:asciiTheme="majorHAnsi" w:eastAsia="Times New Roman" w:hAnsiTheme="majorHAnsi" w:cstheme="majorHAnsi"/>
          <w:b/>
          <w:bCs/>
          <w:color w:val="2F5496" w:themeColor="accent5" w:themeShade="BF"/>
          <w:kern w:val="36"/>
          <w:lang w:val="sr-Latn-RS" w:eastAsia="en-GB"/>
        </w:rPr>
        <w:t>OBAVEŠTENJA O SEDNICAMA SKUPŠTINA OPŠTINA</w:t>
      </w:r>
      <w:bookmarkEnd w:id="16"/>
      <w:r w:rsidRPr="00A776E2">
        <w:rPr>
          <w:rFonts w:asciiTheme="majorHAnsi" w:eastAsia="Times New Roman" w:hAnsiTheme="majorHAnsi" w:cstheme="majorHAnsi"/>
          <w:b/>
          <w:bCs/>
          <w:color w:val="2F5496" w:themeColor="accent5" w:themeShade="BF"/>
          <w:kern w:val="36"/>
          <w:lang w:val="sr-Latn-RS" w:eastAsia="en-GB"/>
        </w:rPr>
        <w:t xml:space="preserve"> </w:t>
      </w:r>
    </w:p>
    <w:p w14:paraId="437F9146" w14:textId="0FF4F85C" w:rsidR="00777B42" w:rsidRPr="00A776E2" w:rsidRDefault="00777B42" w:rsidP="00A1058D">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Zakon br. 03/L-040 o lokalnoj samoupravi utvrđuje minimalne standarde za funkcionisanje Skupštine opštine, kako bi se obezbedilo efikasno vršenje njenih ovlašćenja. U tom kontekstu, zakon predviđa održavanje najmanje 10 sednica godišnje, od kojih se pet mora održati tokom prve polovine godine.</w:t>
      </w:r>
    </w:p>
    <w:p w14:paraId="076B83BD" w14:textId="55FA4E02" w:rsidR="00A1058D" w:rsidRPr="00A776E2" w:rsidRDefault="00777B42" w:rsidP="00A1058D">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Pre svake sednice Skupštine, predsedavajući Skupštine je dužan da obavesti javnost, putem objavljivanja obaveštenja na zvaničnoj veb stranici opštine, društvenim mrežama ili medijima, najmanje 7 radnih dana pre redovnih sednica, 3 radna dana pre vanrednih sednica, kao i istog dana u slučajevima hitnih sednica. </w:t>
      </w:r>
    </w:p>
    <w:p w14:paraId="38DDCDA6" w14:textId="205F188D" w:rsidR="00777B42" w:rsidRPr="00A776E2" w:rsidRDefault="00777B42" w:rsidP="00A1058D">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Tokom perioda januar-decembar 2025. godine, ukupno 402 poziva za sednice skupština opština objavljena su od strane 33 opštine, što čini 86,8% opština. Dok 5 opština, ili 13,2%, nije objavilo nijedan poziv za sednice skupština i nije ispunilo ovu zakonsku obavezu.</w:t>
      </w:r>
    </w:p>
    <w:p w14:paraId="6A9CE737" w14:textId="6687DC74" w:rsidR="00777B42" w:rsidRPr="00A776E2" w:rsidRDefault="00777B42" w:rsidP="00A1058D">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Prema podacima iz Izveštaja o funksionisanju opština za 2025. godinu, skupštine opština Republike Kosovo održale su ukupno 430 sednica. U poređenju sa tim, objavljeno je 402 poziva, što znači da nedostaje 28 poziva za sednice skupština.</w:t>
      </w:r>
    </w:p>
    <w:p w14:paraId="7F4EC146" w14:textId="777CA9C2" w:rsidR="00A1058D" w:rsidRPr="00A776E2" w:rsidRDefault="00777B42" w:rsidP="00A1058D">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lastRenderedPageBreak/>
        <w:t xml:space="preserve">Opštine koje nisu objavile pozive za sednice skupština opština su: Ranilug, Štrpce, Zubin Potok, Zvečan i Leposavić.   </w:t>
      </w:r>
    </w:p>
    <w:p w14:paraId="61C96C18" w14:textId="3C182878" w:rsidR="007D2BDB" w:rsidRPr="00A776E2" w:rsidRDefault="00777B42" w:rsidP="00A1058D">
      <w:pPr>
        <w:spacing w:before="100" w:beforeAutospacing="1" w:after="100" w:afterAutospacing="1" w:line="276" w:lineRule="auto"/>
        <w:rPr>
          <w:rFonts w:asciiTheme="majorHAnsi" w:eastAsia="Times New Roman" w:hAnsiTheme="majorHAnsi" w:cstheme="majorHAnsi"/>
          <w:sz w:val="24"/>
          <w:szCs w:val="24"/>
          <w:lang w:val="sr-Latn-RS" w:eastAsia="en-GB"/>
        </w:rPr>
      </w:pPr>
      <w:r w:rsidRPr="00A776E2">
        <w:rPr>
          <w:rFonts w:asciiTheme="majorHAnsi" w:eastAsia="Times New Roman" w:hAnsiTheme="majorHAnsi" w:cstheme="majorHAnsi"/>
          <w:lang w:val="sr-Latn-RS" w:eastAsia="en-GB"/>
        </w:rPr>
        <w:t xml:space="preserve">Sledi slika sa uporednim podacima u vezi sa objavljivanjem obaveštenja za sednice skupštine opštine. </w:t>
      </w:r>
    </w:p>
    <w:bookmarkEnd w:id="17"/>
    <w:bookmarkEnd w:id="18"/>
    <w:p w14:paraId="31476141" w14:textId="3CD46589" w:rsidR="004D0F33" w:rsidRPr="00A776E2" w:rsidRDefault="00480C1B" w:rsidP="00A70BC5">
      <w:pPr>
        <w:spacing w:line="276" w:lineRule="auto"/>
        <w:rPr>
          <w:rFonts w:asciiTheme="majorHAnsi" w:hAnsiTheme="majorHAnsi" w:cstheme="majorHAnsi"/>
          <w:lang w:val="sr-Latn-RS"/>
        </w:rPr>
      </w:pPr>
      <w:r w:rsidRPr="00A776E2">
        <w:rPr>
          <w:rFonts w:asciiTheme="majorHAnsi" w:hAnsiTheme="majorHAnsi" w:cstheme="majorHAnsi"/>
          <w:noProof/>
          <w:lang w:eastAsia="sq-AL"/>
        </w:rPr>
        <w:drawing>
          <wp:inline distT="0" distB="0" distL="0" distR="0" wp14:anchorId="5F81E0E0" wp14:editId="33095224">
            <wp:extent cx="5947200" cy="1903730"/>
            <wp:effectExtent l="0" t="0" r="15875" b="1270"/>
            <wp:docPr id="51" name="Chart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28208A-2FE8-4BCA-8972-EDB011A4D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6ABA9B" w14:textId="64257505" w:rsidR="0054277E" w:rsidRPr="00A776E2" w:rsidRDefault="00E908F5" w:rsidP="009F4BE1">
      <w:pPr>
        <w:spacing w:line="276" w:lineRule="auto"/>
        <w:jc w:val="center"/>
        <w:rPr>
          <w:rFonts w:asciiTheme="majorHAnsi" w:eastAsia="Times New Roman" w:hAnsiTheme="majorHAnsi" w:cstheme="majorHAnsi"/>
          <w:bCs/>
          <w:kern w:val="20"/>
          <w:lang w:val="sr-Latn-RS"/>
        </w:rPr>
      </w:pPr>
      <w:r w:rsidRPr="00A776E2">
        <w:rPr>
          <w:rFonts w:asciiTheme="majorHAnsi" w:hAnsiTheme="majorHAnsi" w:cstheme="majorHAnsi"/>
          <w:bCs/>
          <w:i/>
          <w:sz w:val="14"/>
          <w:szCs w:val="16"/>
          <w:lang w:val="sr-Latn-RS"/>
        </w:rPr>
        <w:t xml:space="preserve">Fig.1. </w:t>
      </w:r>
      <w:r w:rsidR="007706D3" w:rsidRPr="00A776E2">
        <w:rPr>
          <w:rFonts w:asciiTheme="majorHAnsi" w:hAnsiTheme="majorHAnsi" w:cstheme="majorHAnsi"/>
          <w:bCs/>
          <w:i/>
          <w:sz w:val="14"/>
          <w:szCs w:val="16"/>
          <w:lang w:val="sr-Latn-RS"/>
        </w:rPr>
        <w:t xml:space="preserve"> </w:t>
      </w:r>
      <w:r w:rsidR="007650F0" w:rsidRPr="00A776E2">
        <w:rPr>
          <w:rFonts w:asciiTheme="majorHAnsi" w:hAnsiTheme="majorHAnsi" w:cstheme="majorHAnsi"/>
          <w:bCs/>
          <w:i/>
          <w:sz w:val="14"/>
          <w:szCs w:val="16"/>
          <w:lang w:val="sr-Latn-RS"/>
        </w:rPr>
        <w:t xml:space="preserve">  Objavljivanje poziva za sednice Skupštine opštine </w:t>
      </w:r>
    </w:p>
    <w:p w14:paraId="0B85846F" w14:textId="77777777" w:rsidR="001F364F" w:rsidRPr="00A776E2" w:rsidRDefault="001F364F" w:rsidP="00A70BC5">
      <w:pPr>
        <w:spacing w:line="276" w:lineRule="auto"/>
        <w:rPr>
          <w:rFonts w:asciiTheme="majorHAnsi" w:hAnsiTheme="majorHAnsi" w:cstheme="majorHAnsi"/>
          <w:b/>
          <w:color w:val="2F5496" w:themeColor="accent5" w:themeShade="BF"/>
          <w:sz w:val="24"/>
          <w:szCs w:val="24"/>
          <w:lang w:val="sr-Latn-RS"/>
        </w:rPr>
      </w:pPr>
      <w:bookmarkStart w:id="19" w:name="_Toc130455676"/>
    </w:p>
    <w:p w14:paraId="1C364BAD" w14:textId="43FB9522" w:rsidR="005F412B" w:rsidRPr="00A776E2" w:rsidRDefault="007650F0" w:rsidP="00A70BC5">
      <w:pPr>
        <w:pStyle w:val="Style2"/>
        <w:spacing w:line="276" w:lineRule="auto"/>
        <w:rPr>
          <w:rFonts w:asciiTheme="majorHAnsi" w:hAnsiTheme="majorHAnsi" w:cstheme="majorHAnsi"/>
          <w:lang w:val="sr-Latn-RS"/>
        </w:rPr>
      </w:pPr>
      <w:r w:rsidRPr="00A776E2">
        <w:rPr>
          <w:rFonts w:asciiTheme="majorHAnsi" w:hAnsiTheme="majorHAnsi" w:cstheme="majorHAnsi"/>
          <w:lang w:val="sr-Latn-RS"/>
        </w:rPr>
        <w:t xml:space="preserve"> </w:t>
      </w:r>
      <w:bookmarkStart w:id="20" w:name="_Toc230183728"/>
      <w:r w:rsidRPr="00A776E2">
        <w:rPr>
          <w:rFonts w:asciiTheme="majorHAnsi" w:hAnsiTheme="majorHAnsi" w:cstheme="majorHAnsi"/>
          <w:lang w:val="sr-Latn-RS"/>
        </w:rPr>
        <w:t>ODBOR ZA POLITIKU I FINANSIJE</w:t>
      </w:r>
      <w:bookmarkEnd w:id="19"/>
      <w:bookmarkEnd w:id="20"/>
    </w:p>
    <w:p w14:paraId="3203D9D9" w14:textId="77777777" w:rsidR="00737FB5" w:rsidRPr="00A776E2" w:rsidRDefault="00737FB5" w:rsidP="009D6147">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Na osnovu Zakona br. 03/L-040 o lokalnoj samoupravi, član 51, stav 51.1, skupštine opština osnivaju obavezne odbore, uključujući Odbor za politiku i finansije i Odbor za zajednice, kao stalne odbore.</w:t>
      </w:r>
    </w:p>
    <w:p w14:paraId="0E5E44CE" w14:textId="77777777" w:rsidR="001724DC" w:rsidRPr="00A776E2" w:rsidRDefault="00737FB5" w:rsidP="009D6147">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 Odbor za politiku i finansije je odgovoran za razmatranje svih politika, fiskalnih i finansijskih dokumenata, planova i inicijativa opštine. U tom kontekstu, on razmatra strateška planska dokumenta, Srednjoročni budžetski okvir, Godišnji plan nabavki, godišnju uredbu o porezima, naknadama i troškovima, Godišnji plan rada interne revizije, godišnji budžet, kao i sve izmene budžeta tokom fiskalne godine. Odbor takođe </w:t>
      </w:r>
      <w:r w:rsidR="001724DC" w:rsidRPr="00A776E2">
        <w:rPr>
          <w:rFonts w:asciiTheme="majorHAnsi" w:eastAsia="Times New Roman" w:hAnsiTheme="majorHAnsi" w:cstheme="majorHAnsi"/>
          <w:lang w:val="sr-Latn-RS" w:eastAsia="en-GB"/>
        </w:rPr>
        <w:t>razmatra</w:t>
      </w:r>
      <w:r w:rsidRPr="00A776E2">
        <w:rPr>
          <w:rFonts w:asciiTheme="majorHAnsi" w:eastAsia="Times New Roman" w:hAnsiTheme="majorHAnsi" w:cstheme="majorHAnsi"/>
          <w:lang w:val="sr-Latn-RS" w:eastAsia="en-GB"/>
        </w:rPr>
        <w:t xml:space="preserve"> izveštaje gradonačelnika i podnosi preporuke Skupštini opštine.</w:t>
      </w:r>
    </w:p>
    <w:p w14:paraId="461B13AD" w14:textId="5FF86A7F" w:rsidR="001724DC" w:rsidRPr="00A776E2" w:rsidRDefault="001724DC" w:rsidP="001724DC">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Tokom perioda januar–decembar 2025. godine, objavljeno je ukupno 258 poziva za sastanke Odbora za politiku i finansije od strane 28 opština, što čini 73,7% od ukupnog broja opština. U međuvremenu, 10 opština, odnosno 26,3%, nije objavilo nijedan poziv za sastanke ovog odbora, čime nije ispunilo ovu obavezu transparentnosti.</w:t>
      </w:r>
    </w:p>
    <w:p w14:paraId="3ECBDA7A" w14:textId="4FA1733A" w:rsidR="00A1058D" w:rsidRPr="00A776E2" w:rsidRDefault="001724DC" w:rsidP="009D6147">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Prema podacima iz Izveštaja o funkcionisanju opština za 2025. godinu, održano je ukupno 338 sastanaka Odbora za politiku i finansije, dok je objavljeno samo 258 poziva. To znači da 80 poziva za sastanke ovog odbora nije objavljeno.</w:t>
      </w:r>
      <w:r w:rsidR="00737FB5" w:rsidRPr="00A776E2">
        <w:rPr>
          <w:rFonts w:asciiTheme="majorHAnsi" w:eastAsia="Times New Roman" w:hAnsiTheme="majorHAnsi" w:cstheme="majorHAnsi"/>
          <w:lang w:val="sr-Latn-RS" w:eastAsia="en-GB"/>
        </w:rPr>
        <w:t xml:space="preserve"> </w:t>
      </w:r>
    </w:p>
    <w:p w14:paraId="10908955" w14:textId="2878EBA5" w:rsidR="001724DC" w:rsidRPr="00A776E2" w:rsidRDefault="001724DC" w:rsidP="001724DC">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Opštine koje nisu objavile nijedan poziv za sastanke Odbora za politiku i finansije su: Kosovo Polje, Junik, Klokot, Parteš, Ranilug, Štrpce, Zubin Potok, Zvečan, Leposavić i Severna Mitrovica.</w:t>
      </w:r>
    </w:p>
    <w:p w14:paraId="7FCE60E4" w14:textId="01A15F4A" w:rsidR="001724DC" w:rsidRPr="00A776E2" w:rsidRDefault="001724DC" w:rsidP="001724DC">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lastRenderedPageBreak/>
        <w:t>U poređenju sa podacima Izveštaja o proceni transparentnosti za 2024. godinu, u kojem je objavljeno 325 poziva iz 29 opština, dok 9 opština nije objavilo nijedan poziv, primećuje se pad broja objavljenih poziva za sastanke Odbora za politiku i finansije tokom 2025. godine.</w:t>
      </w:r>
    </w:p>
    <w:p w14:paraId="1C2D52AA" w14:textId="77777777" w:rsidR="008B25D3" w:rsidRDefault="001724DC" w:rsidP="008B25D3">
      <w:pPr>
        <w:spacing w:line="276" w:lineRule="auto"/>
        <w:jc w:val="center"/>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U nastavku je prikazan uporedni prikaz podataka o objavljivanju obaveštenja za sastanke Odbora za politiku i finansije.</w:t>
      </w:r>
    </w:p>
    <w:p w14:paraId="68EF05DE" w14:textId="77777777" w:rsidR="008B25D3" w:rsidRDefault="008B25D3" w:rsidP="008B25D3">
      <w:pPr>
        <w:spacing w:line="276" w:lineRule="auto"/>
        <w:jc w:val="center"/>
        <w:rPr>
          <w:rFonts w:asciiTheme="majorHAnsi" w:eastAsia="Times New Roman" w:hAnsiTheme="majorHAnsi" w:cstheme="majorHAnsi"/>
          <w:lang w:val="sr-Latn-RS" w:eastAsia="en-GB"/>
        </w:rPr>
      </w:pPr>
    </w:p>
    <w:p w14:paraId="2608D04D" w14:textId="160D7C77" w:rsidR="008B25D3" w:rsidRPr="00B12033" w:rsidRDefault="008B25D3" w:rsidP="008B25D3">
      <w:pPr>
        <w:spacing w:line="276" w:lineRule="auto"/>
        <w:jc w:val="center"/>
        <w:rPr>
          <w:rFonts w:asciiTheme="majorHAnsi" w:hAnsiTheme="majorHAnsi" w:cstheme="majorHAnsi"/>
          <w:bCs/>
          <w:i/>
          <w:color w:val="C00000"/>
          <w:sz w:val="14"/>
          <w:szCs w:val="14"/>
        </w:rPr>
      </w:pPr>
      <w:r w:rsidRPr="008B25D3">
        <w:rPr>
          <w:rFonts w:asciiTheme="majorHAnsi" w:hAnsiTheme="majorHAnsi" w:cstheme="majorHAnsi"/>
          <w:i/>
          <w:color w:val="C00000"/>
          <w:sz w:val="14"/>
          <w:szCs w:val="14"/>
        </w:rPr>
        <w:t xml:space="preserve"> </w:t>
      </w:r>
      <w:r>
        <w:rPr>
          <w:rFonts w:asciiTheme="majorHAnsi" w:hAnsiTheme="majorHAnsi" w:cstheme="majorHAnsi"/>
          <w:i/>
          <w:color w:val="C00000"/>
          <w:sz w:val="14"/>
          <w:szCs w:val="14"/>
        </w:rPr>
        <w:t>Po</w:t>
      </w:r>
      <w:r>
        <w:rPr>
          <w:rFonts w:asciiTheme="majorHAnsi" w:hAnsiTheme="majorHAnsi" w:cstheme="majorHAnsi"/>
          <w:i/>
          <w:color w:val="C00000"/>
          <w:sz w:val="14"/>
          <w:szCs w:val="14"/>
        </w:rPr>
        <w:t xml:space="preserve">zivi sa </w:t>
      </w:r>
      <w:r>
        <w:rPr>
          <w:rFonts w:asciiTheme="majorHAnsi" w:hAnsiTheme="majorHAnsi" w:cstheme="majorHAnsi"/>
          <w:i/>
          <w:color w:val="C00000"/>
          <w:sz w:val="14"/>
          <w:szCs w:val="14"/>
        </w:rPr>
        <w:t xml:space="preserve"> Odbora za </w:t>
      </w:r>
      <w:r>
        <w:rPr>
          <w:rFonts w:asciiTheme="majorHAnsi" w:hAnsiTheme="majorHAnsi" w:cstheme="majorHAnsi"/>
          <w:i/>
          <w:color w:val="C00000"/>
          <w:sz w:val="14"/>
          <w:szCs w:val="14"/>
        </w:rPr>
        <w:t>Politiku i Finansije</w:t>
      </w:r>
    </w:p>
    <w:p w14:paraId="52259C19" w14:textId="0666A19C" w:rsidR="001724DC" w:rsidRPr="008B25D3" w:rsidRDefault="001724DC" w:rsidP="009D6147">
      <w:pPr>
        <w:spacing w:before="100" w:beforeAutospacing="1" w:after="100" w:afterAutospacing="1" w:line="276" w:lineRule="auto"/>
        <w:rPr>
          <w:rFonts w:asciiTheme="majorHAnsi" w:eastAsia="Times New Roman" w:hAnsiTheme="majorHAnsi" w:cstheme="majorHAnsi"/>
          <w:lang w:eastAsia="en-GB"/>
        </w:rPr>
      </w:pPr>
    </w:p>
    <w:p w14:paraId="419E9134" w14:textId="3FE06F3B" w:rsidR="00873758" w:rsidRPr="009D6147" w:rsidRDefault="00480C1B" w:rsidP="00A70BC5">
      <w:pPr>
        <w:spacing w:line="276" w:lineRule="auto"/>
        <w:rPr>
          <w:rFonts w:asciiTheme="majorHAnsi" w:hAnsiTheme="majorHAnsi" w:cstheme="majorHAnsi"/>
        </w:rPr>
      </w:pPr>
      <w:bookmarkStart w:id="21" w:name="_Toc130455677"/>
      <w:r w:rsidRPr="009D6147">
        <w:rPr>
          <w:rFonts w:asciiTheme="majorHAnsi" w:hAnsiTheme="majorHAnsi" w:cstheme="majorHAnsi"/>
          <w:noProof/>
          <w:sz w:val="20"/>
          <w:szCs w:val="20"/>
          <w:lang w:eastAsia="sq-AL"/>
        </w:rPr>
        <w:drawing>
          <wp:inline distT="0" distB="0" distL="0" distR="0" wp14:anchorId="3E7FF42D" wp14:editId="1AE712CC">
            <wp:extent cx="5846230" cy="1685925"/>
            <wp:effectExtent l="0" t="0" r="2540" b="9525"/>
            <wp:docPr id="52" name="Chart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7FEE5-41CE-4391-AB1C-BD6B38D0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5412B" w14:textId="62C3B165" w:rsidR="006E5A07" w:rsidRPr="00634E67" w:rsidRDefault="00634E67" w:rsidP="00634E67">
      <w:pPr>
        <w:spacing w:line="276" w:lineRule="auto"/>
        <w:jc w:val="center"/>
        <w:rPr>
          <w:rFonts w:asciiTheme="majorHAnsi" w:hAnsiTheme="majorHAnsi" w:cstheme="majorHAnsi"/>
          <w:bCs/>
          <w:i/>
          <w:sz w:val="14"/>
          <w:szCs w:val="16"/>
          <w:lang w:val="sr-Latn-RS"/>
        </w:rPr>
      </w:pPr>
      <w:r>
        <w:rPr>
          <w:rFonts w:asciiTheme="majorHAnsi" w:hAnsiTheme="majorHAnsi" w:cstheme="majorHAnsi"/>
          <w:i/>
          <w:color w:val="C00000"/>
          <w:sz w:val="14"/>
          <w:szCs w:val="14"/>
        </w:rPr>
        <w:t>S</w:t>
      </w:r>
      <w:r w:rsidR="00D92CD3">
        <w:rPr>
          <w:rFonts w:asciiTheme="majorHAnsi" w:hAnsiTheme="majorHAnsi" w:cstheme="majorHAnsi"/>
          <w:i/>
          <w:color w:val="C00000"/>
          <w:sz w:val="14"/>
          <w:szCs w:val="14"/>
        </w:rPr>
        <w:t>l</w:t>
      </w:r>
      <w:r w:rsidR="006E5A07" w:rsidRPr="00B12033">
        <w:rPr>
          <w:rFonts w:asciiTheme="majorHAnsi" w:hAnsiTheme="majorHAnsi" w:cstheme="majorHAnsi"/>
          <w:i/>
          <w:color w:val="C00000"/>
          <w:sz w:val="14"/>
          <w:szCs w:val="14"/>
        </w:rPr>
        <w:t xml:space="preserve">.2. </w:t>
      </w:r>
      <w:r>
        <w:rPr>
          <w:rFonts w:asciiTheme="majorHAnsi" w:hAnsiTheme="majorHAnsi" w:cstheme="majorHAnsi"/>
          <w:bCs/>
          <w:i/>
          <w:sz w:val="14"/>
          <w:szCs w:val="16"/>
          <w:lang w:val="sr-Latn-RS"/>
        </w:rPr>
        <w:t xml:space="preserve"> P</w:t>
      </w:r>
      <w:r w:rsidR="00D92CD3" w:rsidRPr="00A776E2">
        <w:rPr>
          <w:rFonts w:asciiTheme="majorHAnsi" w:hAnsiTheme="majorHAnsi" w:cstheme="majorHAnsi"/>
          <w:bCs/>
          <w:i/>
          <w:sz w:val="14"/>
          <w:szCs w:val="16"/>
          <w:lang w:val="sr-Latn-RS"/>
        </w:rPr>
        <w:t>oz</w:t>
      </w:r>
      <w:r>
        <w:rPr>
          <w:rFonts w:asciiTheme="majorHAnsi" w:hAnsiTheme="majorHAnsi" w:cstheme="majorHAnsi"/>
          <w:bCs/>
          <w:i/>
          <w:sz w:val="14"/>
          <w:szCs w:val="16"/>
          <w:lang w:val="sr-Latn-RS"/>
        </w:rPr>
        <w:t>ivi  sa Odbora za Politiku i Finansije</w:t>
      </w:r>
    </w:p>
    <w:p w14:paraId="0DF4F02D" w14:textId="46D324EC" w:rsidR="00497257" w:rsidRPr="009D6147" w:rsidRDefault="00C45D7D" w:rsidP="005D1C05">
      <w:pPr>
        <w:pStyle w:val="Style2"/>
        <w:spacing w:line="276" w:lineRule="auto"/>
        <w:rPr>
          <w:rFonts w:asciiTheme="majorHAnsi" w:eastAsia="Times New Roman" w:hAnsiTheme="majorHAnsi" w:cstheme="majorHAnsi"/>
          <w:sz w:val="22"/>
          <w:szCs w:val="22"/>
          <w:lang w:eastAsia="en-GB"/>
        </w:rPr>
      </w:pPr>
      <w:bookmarkStart w:id="22" w:name="_Toc230183729"/>
      <w:r w:rsidRPr="00C45D7D">
        <w:rPr>
          <w:rFonts w:asciiTheme="majorHAnsi" w:eastAsia="Times New Roman" w:hAnsiTheme="majorHAnsi" w:cstheme="majorHAnsi"/>
          <w:sz w:val="22"/>
          <w:szCs w:val="22"/>
          <w:lang w:eastAsia="en-GB"/>
        </w:rPr>
        <w:t>ODBOR ZAJEDNICE</w:t>
      </w:r>
      <w:bookmarkEnd w:id="22"/>
      <w:r>
        <w:rPr>
          <w:rFonts w:asciiTheme="majorHAnsi" w:eastAsia="Times New Roman" w:hAnsiTheme="majorHAnsi" w:cstheme="majorHAnsi"/>
          <w:sz w:val="22"/>
          <w:szCs w:val="22"/>
          <w:lang w:eastAsia="en-GB"/>
        </w:rPr>
        <w:t xml:space="preserve">     </w:t>
      </w:r>
    </w:p>
    <w:p w14:paraId="3178EB7D" w14:textId="3D183214" w:rsidR="002137B3" w:rsidRPr="00A776E2" w:rsidRDefault="002137B3" w:rsidP="002137B3">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Odbor za zajednice, u skladu sa Zakonom br. 03/L-040 o lokalnoj samoupravi, je obavezno telo Skupštine opštine, odgovorno za razmatranje usklađenosti postupaka opštinskih vlasti sa zakon</w:t>
      </w:r>
      <w:r w:rsidR="00623200" w:rsidRPr="00A776E2">
        <w:rPr>
          <w:rFonts w:asciiTheme="majorHAnsi" w:eastAsia="Times New Roman" w:hAnsiTheme="majorHAnsi" w:cstheme="majorHAnsi"/>
          <w:lang w:val="sr-Latn-RS" w:eastAsia="en-GB"/>
        </w:rPr>
        <w:t>odavstvom na snazi</w:t>
      </w:r>
      <w:r w:rsidRPr="00A776E2">
        <w:rPr>
          <w:rFonts w:asciiTheme="majorHAnsi" w:eastAsia="Times New Roman" w:hAnsiTheme="majorHAnsi" w:cstheme="majorHAnsi"/>
          <w:lang w:val="sr-Latn-RS" w:eastAsia="en-GB"/>
        </w:rPr>
        <w:t>. Ovaj odbor ima mandat da analizira opštinske politike, prakse i aktivnosti, kako bi se garantovalo puno poštovanje prava i interesa zajednica koje žive u opštini.</w:t>
      </w:r>
    </w:p>
    <w:p w14:paraId="7C83F03E" w14:textId="53CC56EB" w:rsidR="002137B3" w:rsidRPr="00A776E2" w:rsidRDefault="002137B3" w:rsidP="002137B3">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Odbor za zajednice preporučuje Skupštini opštine neophodne mere za unapređenje, zaštitu i razvoj etničkog, kulturnog, verskog i jezičkog identiteta zajednica, kao i za obezbeđivanje adekvatne zaštite njihovih prava </w:t>
      </w:r>
      <w:r w:rsidR="00623200" w:rsidRPr="00A776E2">
        <w:rPr>
          <w:rFonts w:asciiTheme="majorHAnsi" w:eastAsia="Times New Roman" w:hAnsiTheme="majorHAnsi" w:cstheme="majorHAnsi"/>
          <w:lang w:val="sr-Latn-RS" w:eastAsia="en-GB"/>
        </w:rPr>
        <w:t>unutar</w:t>
      </w:r>
      <w:r w:rsidRPr="00A776E2">
        <w:rPr>
          <w:rFonts w:asciiTheme="majorHAnsi" w:eastAsia="Times New Roman" w:hAnsiTheme="majorHAnsi" w:cstheme="majorHAnsi"/>
          <w:lang w:val="sr-Latn-RS" w:eastAsia="en-GB"/>
        </w:rPr>
        <w:t xml:space="preserve"> opštin</w:t>
      </w:r>
      <w:r w:rsidR="00623200" w:rsidRPr="00A776E2">
        <w:rPr>
          <w:rFonts w:asciiTheme="majorHAnsi" w:eastAsia="Times New Roman" w:hAnsiTheme="majorHAnsi" w:cstheme="majorHAnsi"/>
          <w:lang w:val="sr-Latn-RS" w:eastAsia="en-GB"/>
        </w:rPr>
        <w:t>e</w:t>
      </w:r>
      <w:r w:rsidRPr="00A776E2">
        <w:rPr>
          <w:rFonts w:asciiTheme="majorHAnsi" w:eastAsia="Times New Roman" w:hAnsiTheme="majorHAnsi" w:cstheme="majorHAnsi"/>
          <w:lang w:val="sr-Latn-RS" w:eastAsia="en-GB"/>
        </w:rPr>
        <w:t xml:space="preserve">.   </w:t>
      </w:r>
    </w:p>
    <w:p w14:paraId="3592D797" w14:textId="2F4BE2FE" w:rsidR="00623200" w:rsidRPr="00A776E2" w:rsidRDefault="00623200" w:rsidP="00623200">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Tokom perioda januar–decembar 2025. godine, ukupno 124 poziva za sastanke Odbora za zajednice objavljeno je od strane 20 opština, što čini 53% od ukupnog broja opština. U međuvremenu, 18 opština, odnosno 47%, nije objavilo nijedan poziv za sastanke ovog odbora, čime nije ispunilo svoju zakonsku obavezu transparentnosti.</w:t>
      </w:r>
    </w:p>
    <w:p w14:paraId="53E97FA1" w14:textId="36C44EDD" w:rsidR="00623200" w:rsidRPr="00A776E2" w:rsidRDefault="00623200" w:rsidP="00623200">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Prema podacima iz Izveštaja o funkcionisanju opština za 2025. godinu, održano je ukupno 321 sastanka Odbora za zajednice, dok je objavljeno samo 124 poziva. To znači da nedostaje objavljivanje 197 poziva za sastanke koje je ovaj odbor održao tokom izveštajnog perioda.</w:t>
      </w:r>
    </w:p>
    <w:p w14:paraId="4F364BEC" w14:textId="7EC97722" w:rsidR="00623200" w:rsidRPr="00A776E2" w:rsidRDefault="00623200" w:rsidP="00623200">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lastRenderedPageBreak/>
        <w:t>Opštine koje nisu ispunile zakonsku obavezu objavljivanja poziva za Odbor zajednica su: Dečane, Kosovo Polje, Đakovica, Glogovac, Istok, Junik, Klokot, Obilić, Parteš, Ranilug, Štrpce, Srbica, Suva Reka, Vitina, Zubin Potok, Zvečan, Leposavić i Severna Mitrovica.</w:t>
      </w:r>
    </w:p>
    <w:p w14:paraId="03738702" w14:textId="4179BCB8" w:rsidR="00272431" w:rsidRPr="00A776E2" w:rsidRDefault="00623200" w:rsidP="00623200">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U poređenju sa podacima iz 2024. godine, kada je objavljeno 173 poziva iz 20 opština, dok 18 opština nije objavilo nijedan poziv, tokom 2025. godine primećen je pad u objavljivanju poziva, odnosno 49 poziva manje. U međuvremenu, broj opština ostaje isti kao i prethodne godine.</w:t>
      </w:r>
    </w:p>
    <w:p w14:paraId="02A59E70" w14:textId="16A9D228" w:rsidR="00272431" w:rsidRPr="00A776E2" w:rsidRDefault="00623200" w:rsidP="00272431">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Sledi slika sa uporednim podacima u vezi sa objavljivanjem obaveštenja za sastanke Odbora zajednica za period januar–decembar 2025. godine.       </w:t>
      </w:r>
    </w:p>
    <w:p w14:paraId="0812281D" w14:textId="77777777" w:rsidR="008B25D3" w:rsidRDefault="008B25D3" w:rsidP="008B25D3">
      <w:pPr>
        <w:spacing w:line="276" w:lineRule="auto"/>
        <w:jc w:val="center"/>
        <w:rPr>
          <w:rFonts w:asciiTheme="majorHAnsi" w:hAnsiTheme="majorHAnsi" w:cstheme="majorHAnsi"/>
          <w:i/>
          <w:color w:val="C00000"/>
          <w:sz w:val="14"/>
          <w:szCs w:val="14"/>
        </w:rPr>
      </w:pPr>
    </w:p>
    <w:p w14:paraId="140467E3" w14:textId="7DF3C28A" w:rsidR="008B25D3" w:rsidRPr="00B12033" w:rsidRDefault="008B25D3" w:rsidP="008B25D3">
      <w:pPr>
        <w:spacing w:line="276" w:lineRule="auto"/>
        <w:jc w:val="center"/>
        <w:rPr>
          <w:rFonts w:asciiTheme="majorHAnsi" w:hAnsiTheme="majorHAnsi" w:cstheme="majorHAnsi"/>
          <w:bCs/>
          <w:i/>
          <w:color w:val="C00000"/>
          <w:sz w:val="14"/>
          <w:szCs w:val="14"/>
        </w:rPr>
      </w:pPr>
      <w:r>
        <w:rPr>
          <w:rFonts w:asciiTheme="majorHAnsi" w:hAnsiTheme="majorHAnsi" w:cstheme="majorHAnsi"/>
          <w:i/>
          <w:color w:val="C00000"/>
          <w:sz w:val="14"/>
          <w:szCs w:val="14"/>
        </w:rPr>
        <w:t>Pozivi sa sednice Odbora za Z</w:t>
      </w:r>
      <w:r>
        <w:rPr>
          <w:rFonts w:asciiTheme="majorHAnsi" w:hAnsiTheme="majorHAnsi" w:cstheme="majorHAnsi"/>
          <w:i/>
          <w:color w:val="C00000"/>
          <w:sz w:val="14"/>
          <w:szCs w:val="14"/>
        </w:rPr>
        <w:t>ajednice</w:t>
      </w:r>
    </w:p>
    <w:p w14:paraId="234A211D" w14:textId="77777777" w:rsidR="00272431" w:rsidRPr="009D6147" w:rsidRDefault="00272431" w:rsidP="005D1C05">
      <w:pPr>
        <w:pStyle w:val="Style2"/>
        <w:spacing w:line="276" w:lineRule="auto"/>
        <w:rPr>
          <w:rFonts w:asciiTheme="majorHAnsi" w:eastAsia="Times New Roman" w:hAnsiTheme="majorHAnsi" w:cstheme="majorHAnsi"/>
          <w:sz w:val="22"/>
          <w:szCs w:val="22"/>
          <w:lang w:eastAsia="en-GB"/>
        </w:rPr>
      </w:pPr>
    </w:p>
    <w:bookmarkEnd w:id="21"/>
    <w:p w14:paraId="464DE8E4" w14:textId="787F39EE" w:rsidR="00322A5F" w:rsidRPr="009D6147" w:rsidRDefault="00480C1B" w:rsidP="00A70BC5">
      <w:pPr>
        <w:spacing w:line="276" w:lineRule="auto"/>
        <w:rPr>
          <w:rFonts w:asciiTheme="majorHAnsi" w:hAnsiTheme="majorHAnsi" w:cstheme="majorHAnsi"/>
          <w:bCs/>
        </w:rPr>
      </w:pPr>
      <w:r w:rsidRPr="009D6147">
        <w:rPr>
          <w:rFonts w:asciiTheme="majorHAnsi" w:hAnsiTheme="majorHAnsi" w:cstheme="majorHAnsi"/>
          <w:noProof/>
          <w:lang w:eastAsia="sq-AL"/>
        </w:rPr>
        <w:drawing>
          <wp:inline distT="0" distB="0" distL="0" distR="0" wp14:anchorId="192ED388" wp14:editId="1B951F66">
            <wp:extent cx="5817235" cy="1706400"/>
            <wp:effectExtent l="0" t="0" r="12065" b="8255"/>
            <wp:docPr id="53" name="Chart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E04C3E-90EC-4A62-A15C-9DA0A6631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EC5163" w14:textId="4DE71728" w:rsidR="006E5A07" w:rsidRPr="00B12033" w:rsidRDefault="00634E67" w:rsidP="005D1C05">
      <w:pPr>
        <w:spacing w:line="276" w:lineRule="auto"/>
        <w:jc w:val="center"/>
        <w:rPr>
          <w:rFonts w:asciiTheme="majorHAnsi" w:hAnsiTheme="majorHAnsi" w:cstheme="majorHAnsi"/>
          <w:bCs/>
          <w:i/>
          <w:color w:val="C00000"/>
          <w:sz w:val="14"/>
          <w:szCs w:val="14"/>
        </w:rPr>
      </w:pPr>
      <w:r>
        <w:rPr>
          <w:rFonts w:asciiTheme="majorHAnsi" w:hAnsiTheme="majorHAnsi" w:cstheme="majorHAnsi"/>
          <w:i/>
          <w:color w:val="C00000"/>
          <w:sz w:val="14"/>
          <w:szCs w:val="14"/>
        </w:rPr>
        <w:t>Sl</w:t>
      </w:r>
      <w:r w:rsidR="007316F6" w:rsidRPr="00B12033">
        <w:rPr>
          <w:rFonts w:asciiTheme="majorHAnsi" w:hAnsiTheme="majorHAnsi" w:cstheme="majorHAnsi"/>
          <w:i/>
          <w:color w:val="C00000"/>
          <w:sz w:val="14"/>
          <w:szCs w:val="14"/>
        </w:rPr>
        <w:t>.</w:t>
      </w:r>
      <w:r w:rsidR="006E5A07" w:rsidRPr="00B12033">
        <w:rPr>
          <w:rFonts w:asciiTheme="majorHAnsi" w:hAnsiTheme="majorHAnsi" w:cstheme="majorHAnsi"/>
          <w:i/>
          <w:color w:val="C00000"/>
          <w:sz w:val="14"/>
          <w:szCs w:val="14"/>
        </w:rPr>
        <w:t>3</w:t>
      </w:r>
      <w:r w:rsidR="0086716D" w:rsidRPr="00B12033">
        <w:rPr>
          <w:rFonts w:asciiTheme="majorHAnsi" w:hAnsiTheme="majorHAnsi" w:cstheme="majorHAnsi"/>
          <w:i/>
          <w:color w:val="C00000"/>
          <w:sz w:val="14"/>
          <w:szCs w:val="14"/>
        </w:rPr>
        <w:t>.</w:t>
      </w:r>
      <w:r w:rsidR="0005516F" w:rsidRPr="00B12033">
        <w:rPr>
          <w:rFonts w:asciiTheme="majorHAnsi" w:hAnsiTheme="majorHAnsi" w:cstheme="majorHAnsi"/>
          <w:i/>
          <w:color w:val="C00000"/>
          <w:sz w:val="14"/>
          <w:szCs w:val="14"/>
        </w:rPr>
        <w:t xml:space="preserve"> </w:t>
      </w:r>
      <w:r>
        <w:rPr>
          <w:rFonts w:asciiTheme="majorHAnsi" w:hAnsiTheme="majorHAnsi" w:cstheme="majorHAnsi"/>
          <w:i/>
          <w:color w:val="C00000"/>
          <w:sz w:val="14"/>
          <w:szCs w:val="14"/>
        </w:rPr>
        <w:t xml:space="preserve">Pozivi sa sednice Odbora za </w:t>
      </w:r>
      <w:r w:rsidR="008B25D3">
        <w:rPr>
          <w:rFonts w:asciiTheme="majorHAnsi" w:hAnsiTheme="majorHAnsi" w:cstheme="majorHAnsi"/>
          <w:i/>
          <w:color w:val="C00000"/>
          <w:sz w:val="14"/>
          <w:szCs w:val="14"/>
        </w:rPr>
        <w:t>Zajednice</w:t>
      </w:r>
    </w:p>
    <w:p w14:paraId="48AFC1AA" w14:textId="77777777" w:rsidR="00272431" w:rsidRPr="009D6147" w:rsidRDefault="00272431" w:rsidP="00A70BC5">
      <w:pPr>
        <w:spacing w:line="276" w:lineRule="auto"/>
        <w:rPr>
          <w:rFonts w:asciiTheme="majorHAnsi" w:hAnsiTheme="majorHAnsi" w:cstheme="majorHAnsi"/>
          <w:sz w:val="20"/>
        </w:rPr>
      </w:pPr>
      <w:bookmarkStart w:id="23" w:name="_Toc130455678"/>
    </w:p>
    <w:p w14:paraId="75D9E90A" w14:textId="1A605B5B" w:rsidR="00272431" w:rsidRPr="009D6147" w:rsidRDefault="00F428A8" w:rsidP="005D1C05">
      <w:pPr>
        <w:spacing w:line="276" w:lineRule="auto"/>
        <w:rPr>
          <w:rFonts w:asciiTheme="majorHAnsi" w:hAnsiTheme="majorHAnsi" w:cstheme="majorHAnsi"/>
          <w:b/>
          <w:color w:val="2F5496" w:themeColor="accent5" w:themeShade="BF"/>
          <w:szCs w:val="24"/>
        </w:rPr>
      </w:pPr>
      <w:r w:rsidRPr="00F428A8">
        <w:rPr>
          <w:rFonts w:asciiTheme="majorHAnsi" w:hAnsiTheme="majorHAnsi" w:cstheme="majorHAnsi"/>
          <w:b/>
          <w:color w:val="2F5496" w:themeColor="accent5" w:themeShade="BF"/>
          <w:szCs w:val="24"/>
        </w:rPr>
        <w:t>OBJAVLJIVANJE AKATA SKUPŠTINA OPŠTINA</w:t>
      </w:r>
      <w:r>
        <w:rPr>
          <w:rFonts w:asciiTheme="majorHAnsi" w:hAnsiTheme="majorHAnsi" w:cstheme="majorHAnsi"/>
          <w:b/>
          <w:color w:val="2F5496" w:themeColor="accent5" w:themeShade="BF"/>
          <w:szCs w:val="24"/>
        </w:rPr>
        <w:t xml:space="preserve">         </w:t>
      </w:r>
      <w:bookmarkEnd w:id="23"/>
    </w:p>
    <w:p w14:paraId="26F8CA36" w14:textId="2204BA55" w:rsidR="00F428A8" w:rsidRPr="00A776E2" w:rsidRDefault="00F428A8" w:rsidP="00272431">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Na osnovu Zakona br. 03/L-040 o lokalnoj samoupravi, Skupština opštine </w:t>
      </w:r>
      <w:r w:rsidR="00564084" w:rsidRPr="00A776E2">
        <w:rPr>
          <w:rFonts w:asciiTheme="majorHAnsi" w:eastAsia="Times New Roman" w:hAnsiTheme="majorHAnsi" w:cstheme="majorHAnsi"/>
          <w:lang w:val="sr-Latn-RS" w:eastAsia="en-GB"/>
        </w:rPr>
        <w:t>je u</w:t>
      </w:r>
      <w:r w:rsidRPr="00A776E2">
        <w:rPr>
          <w:rFonts w:asciiTheme="majorHAnsi" w:eastAsia="Times New Roman" w:hAnsiTheme="majorHAnsi" w:cstheme="majorHAnsi"/>
          <w:lang w:val="sr-Latn-RS" w:eastAsia="en-GB"/>
        </w:rPr>
        <w:t xml:space="preserve"> nadležnost</w:t>
      </w:r>
      <w:r w:rsidR="00564084" w:rsidRPr="00A776E2">
        <w:rPr>
          <w:rFonts w:asciiTheme="majorHAnsi" w:eastAsia="Times New Roman" w:hAnsiTheme="majorHAnsi" w:cstheme="majorHAnsi"/>
          <w:lang w:val="sr-Latn-RS" w:eastAsia="en-GB"/>
        </w:rPr>
        <w:t>i</w:t>
      </w:r>
      <w:r w:rsidRPr="00A776E2">
        <w:rPr>
          <w:rFonts w:asciiTheme="majorHAnsi" w:eastAsia="Times New Roman" w:hAnsiTheme="majorHAnsi" w:cstheme="majorHAnsi"/>
          <w:lang w:val="sr-Latn-RS" w:eastAsia="en-GB"/>
        </w:rPr>
        <w:t xml:space="preserve"> da donosi odluke i </w:t>
      </w:r>
      <w:r w:rsidR="00564084" w:rsidRPr="00A776E2">
        <w:rPr>
          <w:rFonts w:asciiTheme="majorHAnsi" w:eastAsia="Times New Roman" w:hAnsiTheme="majorHAnsi" w:cstheme="majorHAnsi"/>
          <w:lang w:val="sr-Latn-RS" w:eastAsia="en-GB"/>
        </w:rPr>
        <w:t>uredbe</w:t>
      </w:r>
      <w:r w:rsidRPr="00A776E2">
        <w:rPr>
          <w:rFonts w:asciiTheme="majorHAnsi" w:eastAsia="Times New Roman" w:hAnsiTheme="majorHAnsi" w:cstheme="majorHAnsi"/>
          <w:lang w:val="sr-Latn-RS" w:eastAsia="en-GB"/>
        </w:rPr>
        <w:t xml:space="preserve"> za sprovođenje zakona koji utiču na nadležnosti na lokalnom nivou. U tom kontekstu, Skupština donosi Statut i </w:t>
      </w:r>
      <w:r w:rsidR="00564084" w:rsidRPr="00A776E2">
        <w:rPr>
          <w:rFonts w:asciiTheme="majorHAnsi" w:eastAsia="Times New Roman" w:hAnsiTheme="majorHAnsi" w:cstheme="majorHAnsi"/>
          <w:lang w:val="sr-Latn-RS" w:eastAsia="en-GB"/>
        </w:rPr>
        <w:t>Uredbu</w:t>
      </w:r>
      <w:r w:rsidRPr="00A776E2">
        <w:rPr>
          <w:rFonts w:asciiTheme="majorHAnsi" w:eastAsia="Times New Roman" w:hAnsiTheme="majorHAnsi" w:cstheme="majorHAnsi"/>
          <w:lang w:val="sr-Latn-RS" w:eastAsia="en-GB"/>
        </w:rPr>
        <w:t xml:space="preserve">, kao i donosi odluke, </w:t>
      </w:r>
      <w:r w:rsidR="00564084" w:rsidRPr="00A776E2">
        <w:rPr>
          <w:rFonts w:asciiTheme="majorHAnsi" w:eastAsia="Times New Roman" w:hAnsiTheme="majorHAnsi" w:cstheme="majorHAnsi"/>
          <w:lang w:val="sr-Latn-RS" w:eastAsia="en-GB"/>
        </w:rPr>
        <w:t>uredbe</w:t>
      </w:r>
      <w:r w:rsidRPr="00A776E2">
        <w:rPr>
          <w:rFonts w:asciiTheme="majorHAnsi" w:eastAsia="Times New Roman" w:hAnsiTheme="majorHAnsi" w:cstheme="majorHAnsi"/>
          <w:lang w:val="sr-Latn-RS" w:eastAsia="en-GB"/>
        </w:rPr>
        <w:t xml:space="preserve"> i druge opšte akte kojima se reguliše funkcionisanje opštinske administracije.</w:t>
      </w:r>
    </w:p>
    <w:p w14:paraId="07BC7AEA" w14:textId="3E18DC93" w:rsidR="00F428A8" w:rsidRPr="00A776E2" w:rsidRDefault="00564084" w:rsidP="00272431">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Objavljivanje akata predstavlja suštinski element procesa njihovog usvajanja i stupanja na snagu, nakon potvrde zakonitosti od strane nadzornog organa. Ovaj proces obezbeđuje institucionalnu transparentnost i omogućava potpuno informisanje javnosti o aktima koji su na snazi na lokalnom nivou. U tom smislu, sprovođenje Uredbe (MALS) br. 02/2021 o postupku izrade i objavljivanja opštinskih akata, kao i Administrativnog uputstva br. 04/2023 o otvorenoj administraciji u opštinama, utvrđuje principe, pravila i procedure za objavljivanje opštinskih normativnih akata.</w:t>
      </w:r>
    </w:p>
    <w:p w14:paraId="66A8F350" w14:textId="16377321" w:rsidR="00564084" w:rsidRPr="00A776E2" w:rsidRDefault="00564084" w:rsidP="00564084">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Prema podacima iz Izveštaja o funkcionisanju opština, tokom perioda januar-decembar 2025. godine, usvojeno je ukupno 1.478 akata, od kojih je 54 uredbi i 1.424 odluka.</w:t>
      </w:r>
    </w:p>
    <w:p w14:paraId="4012A914" w14:textId="7782D1F5" w:rsidR="00272431" w:rsidRPr="00A776E2" w:rsidRDefault="00564084" w:rsidP="00564084">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lastRenderedPageBreak/>
        <w:t>Dok podaci iz Izveštaja o proceni transparentnosti pokazuju da je 34 opštine (90%) objavilo ukupno 1.203 akta, od kojih je 54 uredbi i 1.149 odluka, dok 4 opštine (10%) nisu objavile nijedan akt.</w:t>
      </w:r>
      <w:r w:rsidR="00F428A8" w:rsidRPr="00A776E2">
        <w:rPr>
          <w:rFonts w:asciiTheme="majorHAnsi" w:eastAsia="Times New Roman" w:hAnsiTheme="majorHAnsi" w:cstheme="majorHAnsi"/>
          <w:lang w:val="sr-Latn-RS" w:eastAsia="en-GB"/>
        </w:rPr>
        <w:t xml:space="preserve"> </w:t>
      </w:r>
    </w:p>
    <w:p w14:paraId="127F9749" w14:textId="77777777" w:rsidR="00525B7F" w:rsidRPr="00A776E2" w:rsidRDefault="00525B7F" w:rsidP="00525B7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Poređenjem ovih podataka proizilazi da nedostaje objavljivanje 275 akata, što predstavlja prazninu u ispunjavanju zakonskih obaveza za transparentnost i objavljivanje opštinskih akata.</w:t>
      </w:r>
    </w:p>
    <w:p w14:paraId="02133A5F" w14:textId="77777777" w:rsidR="00525B7F" w:rsidRPr="00A776E2" w:rsidRDefault="00525B7F" w:rsidP="00525B7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U nastavku je prikazan broj akata koje su objavile sve opštine za izveštajni period.</w:t>
      </w:r>
    </w:p>
    <w:p w14:paraId="0CC1D431" w14:textId="77777777" w:rsidR="00525B7F" w:rsidRDefault="00525B7F" w:rsidP="00525B7F">
      <w:pPr>
        <w:spacing w:before="100" w:beforeAutospacing="1" w:after="100" w:afterAutospacing="1" w:line="276" w:lineRule="auto"/>
        <w:rPr>
          <w:rFonts w:asciiTheme="majorHAnsi" w:eastAsia="Times New Roman" w:hAnsiTheme="majorHAnsi" w:cstheme="majorHAnsi"/>
          <w:lang w:eastAsia="en-GB"/>
        </w:rPr>
      </w:pPr>
    </w:p>
    <w:p w14:paraId="280CECDC" w14:textId="236C95F8" w:rsidR="00104F6B" w:rsidRPr="009D6147" w:rsidRDefault="00A549DB" w:rsidP="00A549DB">
      <w:pPr>
        <w:spacing w:line="276" w:lineRule="auto"/>
        <w:rPr>
          <w:rFonts w:asciiTheme="majorHAnsi" w:hAnsiTheme="majorHAnsi" w:cstheme="majorHAnsi"/>
          <w:b/>
          <w:color w:val="2F5496" w:themeColor="accent5" w:themeShade="BF"/>
          <w:szCs w:val="24"/>
        </w:rPr>
      </w:pPr>
      <w:r w:rsidRPr="009D6147">
        <w:rPr>
          <w:rFonts w:asciiTheme="majorHAnsi" w:hAnsiTheme="majorHAnsi" w:cstheme="majorHAnsi"/>
          <w:noProof/>
          <w:lang w:eastAsia="sq-AL"/>
        </w:rPr>
        <w:drawing>
          <wp:inline distT="0" distB="0" distL="0" distR="0" wp14:anchorId="1A1A839C" wp14:editId="357028E2">
            <wp:extent cx="5977700" cy="2109470"/>
            <wp:effectExtent l="0" t="0" r="4445" b="5080"/>
            <wp:docPr id="131" name="Chart 1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5813B-C9D4-4F79-98A7-9E6645DB6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24" w:name="_Toc130455542"/>
      <w:bookmarkStart w:id="25" w:name="_Toc130455679"/>
    </w:p>
    <w:p w14:paraId="2F7FF55D" w14:textId="7AECFAEB" w:rsidR="00C90220" w:rsidRPr="008B25D3" w:rsidRDefault="008B25D3" w:rsidP="00A549DB">
      <w:pPr>
        <w:spacing w:after="240" w:line="276" w:lineRule="auto"/>
        <w:jc w:val="center"/>
        <w:rPr>
          <w:rFonts w:asciiTheme="majorHAnsi" w:eastAsia="Times New Roman" w:hAnsiTheme="majorHAnsi" w:cstheme="majorHAnsi"/>
          <w:color w:val="000000"/>
          <w:sz w:val="12"/>
          <w:szCs w:val="14"/>
          <w:lang w:val="sr-Latn-RS" w:eastAsia="sq-AL"/>
        </w:rPr>
      </w:pPr>
      <w:r>
        <w:rPr>
          <w:rFonts w:asciiTheme="majorHAnsi" w:eastAsia="Times New Roman" w:hAnsiTheme="majorHAnsi" w:cstheme="majorHAnsi"/>
          <w:i/>
          <w:color w:val="000000"/>
          <w:sz w:val="14"/>
          <w:szCs w:val="14"/>
          <w:lang w:eastAsia="sq-AL"/>
        </w:rPr>
        <w:t>Sl.</w:t>
      </w:r>
      <w:r w:rsidR="00867D09" w:rsidRPr="007325E6">
        <w:rPr>
          <w:rFonts w:asciiTheme="majorHAnsi" w:eastAsia="Times New Roman" w:hAnsiTheme="majorHAnsi" w:cstheme="majorHAnsi"/>
          <w:i/>
          <w:color w:val="000000"/>
          <w:sz w:val="14"/>
          <w:szCs w:val="14"/>
          <w:lang w:eastAsia="sq-AL"/>
        </w:rPr>
        <w:t>4</w:t>
      </w:r>
      <w:r>
        <w:rPr>
          <w:rFonts w:asciiTheme="majorHAnsi" w:eastAsia="Times New Roman" w:hAnsiTheme="majorHAnsi" w:cstheme="majorHAnsi"/>
          <w:i/>
          <w:color w:val="000000"/>
          <w:sz w:val="14"/>
          <w:szCs w:val="14"/>
          <w:lang w:eastAsia="sq-AL"/>
        </w:rPr>
        <w:t xml:space="preserve"> Ob</w:t>
      </w:r>
      <w:r>
        <w:rPr>
          <w:rFonts w:asciiTheme="majorHAnsi" w:eastAsia="Times New Roman" w:hAnsiTheme="majorHAnsi" w:cstheme="majorHAnsi"/>
          <w:i/>
          <w:color w:val="000000"/>
          <w:sz w:val="14"/>
          <w:szCs w:val="14"/>
          <w:lang w:val="sr-Latn-RS" w:eastAsia="sq-AL"/>
        </w:rPr>
        <w:t>javljeni opštinski akti</w:t>
      </w:r>
    </w:p>
    <w:p w14:paraId="2E5D1C20" w14:textId="249CE9D7" w:rsidR="00BB3D64" w:rsidRPr="009D6147" w:rsidRDefault="00525B7F" w:rsidP="00BB3D64">
      <w:pPr>
        <w:pStyle w:val="Style2"/>
        <w:rPr>
          <w:rFonts w:asciiTheme="majorHAnsi" w:eastAsia="Times New Roman" w:hAnsiTheme="majorHAnsi" w:cstheme="majorHAnsi"/>
          <w:lang w:eastAsia="en-GB"/>
        </w:rPr>
      </w:pPr>
      <w:bookmarkStart w:id="26" w:name="_Toc230183730"/>
      <w:r w:rsidRPr="00525B7F">
        <w:rPr>
          <w:rFonts w:asciiTheme="majorHAnsi" w:eastAsia="Times New Roman" w:hAnsiTheme="majorHAnsi" w:cstheme="majorHAnsi"/>
          <w:lang w:eastAsia="en-GB"/>
        </w:rPr>
        <w:t>ODLUKE SKUPŠTINE OPŠTINE</w:t>
      </w:r>
      <w:bookmarkEnd w:id="26"/>
      <w:r>
        <w:rPr>
          <w:rFonts w:asciiTheme="majorHAnsi" w:eastAsia="Times New Roman" w:hAnsiTheme="majorHAnsi" w:cstheme="majorHAnsi"/>
          <w:lang w:eastAsia="en-GB"/>
        </w:rPr>
        <w:t xml:space="preserve">  </w:t>
      </w:r>
    </w:p>
    <w:p w14:paraId="48A51717" w14:textId="4131320F" w:rsidR="00525B7F" w:rsidRPr="00A776E2" w:rsidRDefault="00525B7F" w:rsidP="00525B7F">
      <w:pPr>
        <w:spacing w:before="100" w:beforeAutospacing="1" w:after="100" w:afterAutospacing="1" w:line="240"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Na osnovu podataka iz praćenja zvaničnih veb stranica opština za period januar–decembar 2025. godine, objavljeno je ukupno 1.145 odluka Skupštine opštine iz 33 opštine, što čini 87% od ukupnog broja opština. U međuvremenu, 5 opština (13%) nije objavilo nijednu odluku tokom izveštajnog perioda.</w:t>
      </w:r>
    </w:p>
    <w:p w14:paraId="25AEE26D" w14:textId="5A773C94" w:rsidR="00525B7F" w:rsidRPr="00A776E2" w:rsidRDefault="00525B7F" w:rsidP="00525B7F">
      <w:pPr>
        <w:spacing w:before="100" w:beforeAutospacing="1" w:after="100" w:afterAutospacing="1" w:line="240"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U poređenju sa podacima iz Izveštaja o funkcionisanju opštine za 2025. godinu, prema kojima je usvojeno ukupno 1.424 odluke Skupštine opštine, praćenje zvaničnih veb stranica rezultira objavljivanjem samo 1.14</w:t>
      </w:r>
      <w:r w:rsidR="008620F0">
        <w:rPr>
          <w:rFonts w:asciiTheme="majorHAnsi" w:eastAsia="Times New Roman" w:hAnsiTheme="majorHAnsi" w:cstheme="majorHAnsi"/>
          <w:lang w:val="sr-Latn-RS" w:eastAsia="en-GB"/>
        </w:rPr>
        <w:t>7</w:t>
      </w:r>
      <w:r w:rsidRPr="00A776E2">
        <w:rPr>
          <w:rFonts w:asciiTheme="majorHAnsi" w:eastAsia="Times New Roman" w:hAnsiTheme="majorHAnsi" w:cstheme="majorHAnsi"/>
          <w:lang w:val="sr-Latn-RS" w:eastAsia="en-GB"/>
        </w:rPr>
        <w:t xml:space="preserve"> odluka.</w:t>
      </w:r>
    </w:p>
    <w:p w14:paraId="0AC4F782" w14:textId="77777777" w:rsidR="00525B7F" w:rsidRPr="00A776E2" w:rsidRDefault="00525B7F" w:rsidP="00525B7F">
      <w:pPr>
        <w:spacing w:before="100" w:beforeAutospacing="1" w:after="100" w:afterAutospacing="1" w:line="240"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Ova analiza zaključuje da nedostaje objavljivanje 279 odluka Skupštine opštine, što odražava prazninu u ispunjavanju zakonskih obaveza za transparentnost i objavljivanje akata donošenja odluka na lokalnom nivou.</w:t>
      </w:r>
    </w:p>
    <w:p w14:paraId="1C3B8BB3" w14:textId="6542E956" w:rsidR="00B97268" w:rsidRPr="00A776E2" w:rsidRDefault="00525B7F" w:rsidP="00525B7F">
      <w:pPr>
        <w:spacing w:before="100" w:beforeAutospacing="1" w:after="100" w:afterAutospacing="1" w:line="240"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Sledeća slika prikazuje podatke o broju odluka koje su objavile opštine u periodu januar–decembar 2025. godine.  </w:t>
      </w:r>
    </w:p>
    <w:p w14:paraId="12D40353" w14:textId="77777777" w:rsidR="00B97268" w:rsidRPr="009D6147" w:rsidRDefault="00B97268" w:rsidP="00BB3D64">
      <w:pPr>
        <w:pStyle w:val="Style2"/>
        <w:rPr>
          <w:rFonts w:asciiTheme="majorHAnsi" w:eastAsia="Times New Roman" w:hAnsiTheme="majorHAnsi" w:cstheme="majorHAnsi"/>
          <w:lang w:eastAsia="en-GB"/>
        </w:rPr>
      </w:pPr>
    </w:p>
    <w:bookmarkEnd w:id="24"/>
    <w:bookmarkEnd w:id="25"/>
    <w:p w14:paraId="2E5354EE" w14:textId="261AAAAD" w:rsidR="00867D09" w:rsidRPr="009D6147" w:rsidRDefault="00221BEB" w:rsidP="00A70BC5">
      <w:pPr>
        <w:spacing w:after="240" w:line="276" w:lineRule="auto"/>
        <w:rPr>
          <w:rFonts w:asciiTheme="majorHAnsi" w:hAnsiTheme="majorHAnsi" w:cstheme="majorHAnsi"/>
          <w:bCs/>
        </w:rPr>
      </w:pPr>
      <w:r w:rsidRPr="009D6147">
        <w:rPr>
          <w:rFonts w:asciiTheme="majorHAnsi" w:hAnsiTheme="majorHAnsi" w:cstheme="majorHAnsi"/>
          <w:noProof/>
          <w:sz w:val="18"/>
          <w:szCs w:val="18"/>
          <w:lang w:eastAsia="sq-AL"/>
        </w:rPr>
        <w:drawing>
          <wp:inline distT="0" distB="0" distL="0" distR="0" wp14:anchorId="5C27DA4B" wp14:editId="689C3ACD">
            <wp:extent cx="6020435" cy="1771200"/>
            <wp:effectExtent l="0" t="0" r="18415" b="635"/>
            <wp:docPr id="48" name="Chart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3CE8DC-9D9A-460F-A50E-93CDF5526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2D16F" w14:textId="00A9AD59" w:rsidR="00337EE8" w:rsidRPr="00B12033" w:rsidRDefault="008B25D3" w:rsidP="0062583A">
      <w:pPr>
        <w:spacing w:after="240" w:line="276" w:lineRule="auto"/>
        <w:jc w:val="center"/>
        <w:rPr>
          <w:rFonts w:asciiTheme="majorHAnsi" w:hAnsiTheme="majorHAnsi" w:cstheme="majorHAnsi"/>
          <w:bCs/>
          <w:color w:val="C00000"/>
          <w:sz w:val="20"/>
          <w:szCs w:val="20"/>
        </w:rPr>
      </w:pPr>
      <w:r>
        <w:rPr>
          <w:rFonts w:asciiTheme="majorHAnsi" w:hAnsiTheme="majorHAnsi" w:cstheme="majorHAnsi"/>
          <w:i/>
          <w:color w:val="C00000"/>
          <w:sz w:val="14"/>
          <w:szCs w:val="14"/>
        </w:rPr>
        <w:t>Sl</w:t>
      </w:r>
      <w:r w:rsidR="00F268DF" w:rsidRPr="00B12033">
        <w:rPr>
          <w:rFonts w:asciiTheme="majorHAnsi" w:hAnsiTheme="majorHAnsi" w:cstheme="majorHAnsi"/>
          <w:i/>
          <w:color w:val="C00000"/>
          <w:sz w:val="14"/>
          <w:szCs w:val="14"/>
        </w:rPr>
        <w:t xml:space="preserve"> </w:t>
      </w:r>
      <w:r w:rsidR="00867D09" w:rsidRPr="00B12033">
        <w:rPr>
          <w:rFonts w:asciiTheme="majorHAnsi" w:hAnsiTheme="majorHAnsi" w:cstheme="majorHAnsi"/>
          <w:i/>
          <w:color w:val="C00000"/>
          <w:sz w:val="14"/>
          <w:szCs w:val="14"/>
        </w:rPr>
        <w:t>5</w:t>
      </w:r>
      <w:r w:rsidR="0086716D" w:rsidRPr="00B12033">
        <w:rPr>
          <w:rFonts w:asciiTheme="majorHAnsi" w:hAnsiTheme="majorHAnsi" w:cstheme="majorHAnsi"/>
          <w:i/>
          <w:color w:val="C00000"/>
          <w:sz w:val="14"/>
          <w:szCs w:val="14"/>
        </w:rPr>
        <w:t xml:space="preserve"> </w:t>
      </w:r>
      <w:r>
        <w:rPr>
          <w:rFonts w:asciiTheme="majorHAnsi" w:hAnsiTheme="majorHAnsi" w:cstheme="majorHAnsi"/>
          <w:i/>
          <w:color w:val="C00000"/>
          <w:sz w:val="14"/>
          <w:szCs w:val="14"/>
        </w:rPr>
        <w:t>Broj objavljenih odluka Skupštine Opštine</w:t>
      </w:r>
    </w:p>
    <w:p w14:paraId="27F01FEB" w14:textId="5E9E47D4" w:rsidR="00961E5B" w:rsidRPr="009D6147" w:rsidRDefault="007D2BDB" w:rsidP="00BB3D64">
      <w:pPr>
        <w:pStyle w:val="Style2"/>
        <w:rPr>
          <w:rFonts w:asciiTheme="majorHAnsi" w:eastAsia="Times New Roman" w:hAnsiTheme="majorHAnsi" w:cstheme="majorHAnsi"/>
          <w:lang w:eastAsia="sq-AL"/>
        </w:rPr>
      </w:pPr>
      <w:r w:rsidRPr="009D6147">
        <w:rPr>
          <w:rFonts w:asciiTheme="majorHAnsi" w:eastAsia="Times New Roman" w:hAnsiTheme="majorHAnsi" w:cstheme="majorHAnsi"/>
          <w:sz w:val="28"/>
          <w:lang w:eastAsia="sq-AL"/>
        </w:rPr>
        <w:t xml:space="preserve"> </w:t>
      </w:r>
      <w:bookmarkStart w:id="27" w:name="_Toc230183731"/>
      <w:r w:rsidR="00525B7F" w:rsidRPr="00525B7F">
        <w:rPr>
          <w:rFonts w:asciiTheme="majorHAnsi" w:eastAsia="Times New Roman" w:hAnsiTheme="majorHAnsi" w:cstheme="majorHAnsi"/>
          <w:lang w:eastAsia="sq-AL"/>
        </w:rPr>
        <w:t>OBJAVLJE</w:t>
      </w:r>
      <w:r w:rsidR="00525B7F">
        <w:rPr>
          <w:rFonts w:asciiTheme="majorHAnsi" w:eastAsia="Times New Roman" w:hAnsiTheme="majorHAnsi" w:cstheme="majorHAnsi"/>
          <w:lang w:eastAsia="sq-AL"/>
        </w:rPr>
        <w:t>ne uredbe</w:t>
      </w:r>
      <w:bookmarkEnd w:id="27"/>
      <w:r w:rsidR="00525B7F" w:rsidRPr="00525B7F">
        <w:rPr>
          <w:rFonts w:asciiTheme="majorHAnsi" w:eastAsia="Times New Roman" w:hAnsiTheme="majorHAnsi" w:cstheme="majorHAnsi"/>
          <w:lang w:eastAsia="sq-AL"/>
        </w:rPr>
        <w:t xml:space="preserve"> </w:t>
      </w:r>
    </w:p>
    <w:p w14:paraId="06DF95E4" w14:textId="77777777" w:rsidR="00E11D4E" w:rsidRPr="00A776E2" w:rsidRDefault="00525B7F" w:rsidP="0062583A">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Tokom perioda januar-decembar 2025. godine, na zvaničnim veb stranicama opština objavljeno je ukupno 54 uredbi iz 28 opština. Takođe, prema podacima iz Izveštaja o funkcionisanju opština za 2025. godinu, skupštine opština su usvojile ukupno 54 </w:t>
      </w:r>
      <w:r w:rsidR="00E11D4E" w:rsidRPr="00A776E2">
        <w:rPr>
          <w:rFonts w:asciiTheme="majorHAnsi" w:eastAsia="Times New Roman" w:hAnsiTheme="majorHAnsi" w:cstheme="majorHAnsi"/>
          <w:lang w:val="sr-Latn-RS" w:eastAsia="en-GB"/>
        </w:rPr>
        <w:t>uredbi</w:t>
      </w:r>
      <w:r w:rsidRPr="00A776E2">
        <w:rPr>
          <w:rFonts w:asciiTheme="majorHAnsi" w:eastAsia="Times New Roman" w:hAnsiTheme="majorHAnsi" w:cstheme="majorHAnsi"/>
          <w:lang w:val="sr-Latn-RS" w:eastAsia="en-GB"/>
        </w:rPr>
        <w:t>. To rezultira činjenicom da su sv</w:t>
      </w:r>
      <w:r w:rsidR="00E11D4E" w:rsidRPr="00A776E2">
        <w:rPr>
          <w:rFonts w:asciiTheme="majorHAnsi" w:eastAsia="Times New Roman" w:hAnsiTheme="majorHAnsi" w:cstheme="majorHAnsi"/>
          <w:lang w:val="sr-Latn-RS" w:eastAsia="en-GB"/>
        </w:rPr>
        <w:t>e</w:t>
      </w:r>
      <w:r w:rsidRPr="00A776E2">
        <w:rPr>
          <w:rFonts w:asciiTheme="majorHAnsi" w:eastAsia="Times New Roman" w:hAnsiTheme="majorHAnsi" w:cstheme="majorHAnsi"/>
          <w:lang w:val="sr-Latn-RS" w:eastAsia="en-GB"/>
        </w:rPr>
        <w:t xml:space="preserve"> </w:t>
      </w:r>
      <w:r w:rsidR="00E11D4E" w:rsidRPr="00A776E2">
        <w:rPr>
          <w:rFonts w:asciiTheme="majorHAnsi" w:eastAsia="Times New Roman" w:hAnsiTheme="majorHAnsi" w:cstheme="majorHAnsi"/>
          <w:lang w:val="sr-Latn-RS" w:eastAsia="en-GB"/>
        </w:rPr>
        <w:t>uredbe</w:t>
      </w:r>
      <w:r w:rsidRPr="00A776E2">
        <w:rPr>
          <w:rFonts w:asciiTheme="majorHAnsi" w:eastAsia="Times New Roman" w:hAnsiTheme="majorHAnsi" w:cstheme="majorHAnsi"/>
          <w:lang w:val="sr-Latn-RS" w:eastAsia="en-GB"/>
        </w:rPr>
        <w:t xml:space="preserve"> koje su usvojile skupštine opština objavljen</w:t>
      </w:r>
      <w:r w:rsidR="00E11D4E" w:rsidRPr="00A776E2">
        <w:rPr>
          <w:rFonts w:asciiTheme="majorHAnsi" w:eastAsia="Times New Roman" w:hAnsiTheme="majorHAnsi" w:cstheme="majorHAnsi"/>
          <w:lang w:val="sr-Latn-RS" w:eastAsia="en-GB"/>
        </w:rPr>
        <w:t>e</w:t>
      </w:r>
      <w:r w:rsidRPr="00A776E2">
        <w:rPr>
          <w:rFonts w:asciiTheme="majorHAnsi" w:eastAsia="Times New Roman" w:hAnsiTheme="majorHAnsi" w:cstheme="majorHAnsi"/>
          <w:lang w:val="sr-Latn-RS" w:eastAsia="en-GB"/>
        </w:rPr>
        <w:t xml:space="preserve"> na zvaničnim veb stranicama opština. </w:t>
      </w:r>
    </w:p>
    <w:p w14:paraId="1545437E" w14:textId="73F4E4A5" w:rsidR="0062583A" w:rsidRPr="00A776E2" w:rsidRDefault="00525B7F" w:rsidP="00E11D4E">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Potpuno objavljivanje p</w:t>
      </w:r>
      <w:r w:rsidR="00E11D4E" w:rsidRPr="00A776E2">
        <w:rPr>
          <w:rFonts w:asciiTheme="majorHAnsi" w:eastAsia="Times New Roman" w:hAnsiTheme="majorHAnsi" w:cstheme="majorHAnsi"/>
          <w:lang w:val="sr-Latn-RS" w:eastAsia="en-GB"/>
        </w:rPr>
        <w:t>uredba</w:t>
      </w:r>
      <w:r w:rsidRPr="00A776E2">
        <w:rPr>
          <w:rFonts w:asciiTheme="majorHAnsi" w:eastAsia="Times New Roman" w:hAnsiTheme="majorHAnsi" w:cstheme="majorHAnsi"/>
          <w:lang w:val="sr-Latn-RS" w:eastAsia="en-GB"/>
        </w:rPr>
        <w:t xml:space="preserve"> od strane 28 opština predstavlja značajan napredak u ispunjavanju zakonskih obaveza u oblasti transparentnosti. Ovaj indikator je ocenjen kao u potpunosti ispunjen i predstavlja pozitivan indikator, koji treba održati i unaprediti i kod ostalih indikatora transparentnosti.</w:t>
      </w:r>
    </w:p>
    <w:p w14:paraId="18D06959" w14:textId="3613189C" w:rsidR="0062583A" w:rsidRPr="00A776E2" w:rsidRDefault="00E11D4E" w:rsidP="0062583A">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Sledi slika koja odražava broj uredbi koje su objavile opštine za period januar–decembar 2025. godine.  </w:t>
      </w:r>
    </w:p>
    <w:p w14:paraId="3899E829" w14:textId="5C4B856A" w:rsidR="0073351F" w:rsidRPr="009D6147" w:rsidRDefault="00021261" w:rsidP="00BB3D64">
      <w:pPr>
        <w:spacing w:after="240"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644B0B32" wp14:editId="45DF8E60">
            <wp:extent cx="6014085" cy="1598400"/>
            <wp:effectExtent l="0" t="0" r="5715" b="1905"/>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EDADA3-136C-42B3-BCAE-00C3E6484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9EB78" w14:textId="018B3979" w:rsidR="00FF109E" w:rsidRPr="00B12033" w:rsidRDefault="007D5DA2" w:rsidP="0062583A">
      <w:pPr>
        <w:spacing w:after="240" w:line="276" w:lineRule="auto"/>
        <w:jc w:val="center"/>
        <w:rPr>
          <w:rFonts w:asciiTheme="majorHAnsi" w:hAnsiTheme="majorHAnsi" w:cstheme="majorHAnsi"/>
          <w:color w:val="C00000"/>
          <w:sz w:val="14"/>
          <w:szCs w:val="14"/>
        </w:rPr>
      </w:pPr>
      <w:r>
        <w:rPr>
          <w:rFonts w:asciiTheme="majorHAnsi" w:hAnsiTheme="majorHAnsi" w:cstheme="majorHAnsi"/>
          <w:i/>
          <w:color w:val="C00000"/>
          <w:sz w:val="14"/>
          <w:szCs w:val="14"/>
        </w:rPr>
        <w:t xml:space="preserve">Sl </w:t>
      </w:r>
      <w:r w:rsidR="0073351F" w:rsidRPr="00B12033">
        <w:rPr>
          <w:rFonts w:asciiTheme="majorHAnsi" w:hAnsiTheme="majorHAnsi" w:cstheme="majorHAnsi"/>
          <w:i/>
          <w:color w:val="C00000"/>
          <w:sz w:val="14"/>
          <w:szCs w:val="14"/>
        </w:rPr>
        <w:t xml:space="preserve"> 6</w:t>
      </w:r>
      <w:r w:rsidR="00E62C4F" w:rsidRPr="00B12033">
        <w:rPr>
          <w:rFonts w:asciiTheme="majorHAnsi" w:hAnsiTheme="majorHAnsi" w:cstheme="majorHAnsi"/>
          <w:i/>
          <w:color w:val="C00000"/>
          <w:sz w:val="14"/>
          <w:szCs w:val="14"/>
        </w:rPr>
        <w:t xml:space="preserve"> </w:t>
      </w:r>
      <w:bookmarkStart w:id="28" w:name="_Toc130455680"/>
      <w:r>
        <w:rPr>
          <w:rFonts w:asciiTheme="majorHAnsi" w:hAnsiTheme="majorHAnsi" w:cstheme="majorHAnsi"/>
          <w:i/>
          <w:color w:val="C00000"/>
          <w:sz w:val="14"/>
          <w:szCs w:val="14"/>
        </w:rPr>
        <w:t xml:space="preserve"> Broj objavljenih uredbi sa  opštine</w:t>
      </w:r>
    </w:p>
    <w:p w14:paraId="5AF476CB" w14:textId="3FE6BD9B" w:rsidR="0062583A" w:rsidRPr="00A776E2" w:rsidRDefault="002603CC" w:rsidP="0062583A">
      <w:pPr>
        <w:spacing w:before="100" w:beforeAutospacing="1" w:after="100" w:afterAutospacing="1" w:line="276" w:lineRule="auto"/>
        <w:outlineLvl w:val="1"/>
        <w:rPr>
          <w:rFonts w:asciiTheme="majorHAnsi" w:eastAsia="Times New Roman" w:hAnsiTheme="majorHAnsi" w:cstheme="majorHAnsi"/>
          <w:b/>
          <w:bCs/>
          <w:color w:val="2F5496" w:themeColor="accent5" w:themeShade="BF"/>
          <w:lang w:val="sr-Latn-RS" w:eastAsia="en-GB"/>
        </w:rPr>
      </w:pPr>
      <w:bookmarkStart w:id="29" w:name="_Toc230183732"/>
      <w:bookmarkEnd w:id="28"/>
      <w:r w:rsidRPr="00A776E2">
        <w:rPr>
          <w:rFonts w:asciiTheme="majorHAnsi" w:eastAsia="Times New Roman" w:hAnsiTheme="majorHAnsi" w:cstheme="majorHAnsi"/>
          <w:b/>
          <w:bCs/>
          <w:color w:val="2F5496" w:themeColor="accent5" w:themeShade="BF"/>
          <w:lang w:val="sr-Latn-RS" w:eastAsia="en-GB"/>
        </w:rPr>
        <w:t>Zapisnici sa sednica Skupštine opštine</w:t>
      </w:r>
      <w:bookmarkEnd w:id="29"/>
      <w:r w:rsidRPr="00A776E2">
        <w:rPr>
          <w:rFonts w:asciiTheme="majorHAnsi" w:eastAsia="Times New Roman" w:hAnsiTheme="majorHAnsi" w:cstheme="majorHAnsi"/>
          <w:b/>
          <w:bCs/>
          <w:color w:val="2F5496" w:themeColor="accent5" w:themeShade="BF"/>
          <w:lang w:val="sr-Latn-RS" w:eastAsia="en-GB"/>
        </w:rPr>
        <w:t xml:space="preserve">     </w:t>
      </w:r>
    </w:p>
    <w:p w14:paraId="7D014BFB" w14:textId="77777777" w:rsidR="00E26EDF" w:rsidRPr="00A776E2" w:rsidRDefault="00E26EDF" w:rsidP="00E26ED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Na osnovu člana 12 Administrativnog uputstva br. 04/2023 o otvorenoj administraciji u opštinama, opštine su obavezne da objave zapisnike sa sednica Skupštine opštine i obaveznih odbora na svojim zvaničnim veb stranicama.</w:t>
      </w:r>
    </w:p>
    <w:p w14:paraId="665353FF" w14:textId="77777777" w:rsidR="00E26EDF" w:rsidRPr="00A776E2" w:rsidRDefault="00E26EDF" w:rsidP="00E26ED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lastRenderedPageBreak/>
        <w:t>Tokom perioda januar–decembar 2025. godine, objavljeno je ukupno 299 zapisnika sa sednica Skupštine opštine u 31 opštini (78,9%), dok 7 opština (21,1%) nije objavilo nijedan zapisnik sa sednica Skupštine opštine.</w:t>
      </w:r>
    </w:p>
    <w:p w14:paraId="193F544C" w14:textId="77777777" w:rsidR="00455D38" w:rsidRPr="00A776E2" w:rsidRDefault="00455D38" w:rsidP="00E26ED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Opštine koje nisu objavile nijedan zapisnik sa sednica Skupštine opštine su: Klokot, Novobrdo, Ranilug, Štrpce, Zubin Potok, Zvečan i Leposavić. </w:t>
      </w:r>
    </w:p>
    <w:p w14:paraId="59DBD3B3" w14:textId="4A4FC556" w:rsidR="00E26EDF" w:rsidRPr="00A776E2" w:rsidRDefault="00455D38" w:rsidP="00E26EDF">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U poređenju sa podacima iz Izveštaja o proceni transparentnosti za 2024. godinu, kada je objavljeno 328 zapisnika, tokom 2025. godine primećen je pad od 29 zapisnika. Međutim, primećen je porast broja opština koje </w:t>
      </w:r>
      <w:r w:rsidR="003C4F60" w:rsidRPr="00A776E2">
        <w:rPr>
          <w:rFonts w:asciiTheme="majorHAnsi" w:eastAsia="Times New Roman" w:hAnsiTheme="majorHAnsi" w:cstheme="majorHAnsi"/>
          <w:lang w:val="sr-Latn-RS" w:eastAsia="en-GB"/>
        </w:rPr>
        <w:t>su objavile zapisnike, za dve opštine više u poređenju sa prethodnom godinom.</w:t>
      </w:r>
    </w:p>
    <w:p w14:paraId="5389F4E3" w14:textId="77777777" w:rsidR="003C4F60" w:rsidRPr="00A776E2" w:rsidRDefault="00E26EDF" w:rsidP="003C4F60">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 </w:t>
      </w:r>
    </w:p>
    <w:p w14:paraId="586FBE2F" w14:textId="3641D952" w:rsidR="0062583A" w:rsidRPr="00A776E2" w:rsidRDefault="003114C8" w:rsidP="003C4F60">
      <w:pPr>
        <w:spacing w:before="100" w:beforeAutospacing="1" w:after="100" w:afterAutospacing="1" w:line="276" w:lineRule="auto"/>
        <w:rPr>
          <w:rFonts w:asciiTheme="majorHAnsi" w:eastAsia="Times New Roman" w:hAnsiTheme="majorHAnsi" w:cstheme="majorHAnsi"/>
          <w:b/>
          <w:bCs/>
          <w:color w:val="2F5496" w:themeColor="accent5" w:themeShade="BF"/>
          <w:lang w:val="sr-Latn-RS" w:eastAsia="en-GB"/>
        </w:rPr>
      </w:pPr>
      <w:r w:rsidRPr="00A776E2">
        <w:rPr>
          <w:rFonts w:asciiTheme="majorHAnsi" w:eastAsia="Times New Roman" w:hAnsiTheme="majorHAnsi" w:cstheme="majorHAnsi"/>
          <w:b/>
          <w:bCs/>
          <w:color w:val="2F5496" w:themeColor="accent5" w:themeShade="BF"/>
          <w:lang w:val="sr-Latn-RS" w:eastAsia="en-GB"/>
        </w:rPr>
        <w:t xml:space="preserve"> Zapisnici sa sednica Odbora za politiku i finansije</w:t>
      </w:r>
    </w:p>
    <w:p w14:paraId="1A90D063" w14:textId="1DCEB82F" w:rsidR="00A776E2" w:rsidRPr="00A776E2" w:rsidRDefault="00A776E2" w:rsidP="00A776E2">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Na osnovu  podataka praćenja zvaničnih veb stranica opština za period januar–decembar 2025. godine, objavljeno je ukupno 236 zapisnika sa sednica Odbora za politiku i finansije iz 27 opština (71%), dok 11 opština (29%) nije objavilo nijedan zapisnik ovog odbora.</w:t>
      </w:r>
    </w:p>
    <w:p w14:paraId="02109AB3" w14:textId="2C1B973C" w:rsidR="00A776E2" w:rsidRPr="00A776E2" w:rsidRDefault="00A776E2" w:rsidP="00A776E2">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Opštine koje nisu objavile nijedan zapisnik sa sednica Odbora za politiku i finansije su: Kosovo Polje, Đakovica, Gračanica, Junik, Klokot, Ranilug, Štrpce, Vitina, Zubin Potok, Zvečan i Leposavić.</w:t>
      </w:r>
    </w:p>
    <w:p w14:paraId="688BFE84" w14:textId="7A3B221D" w:rsidR="00A776E2" w:rsidRPr="00A776E2" w:rsidRDefault="00A776E2" w:rsidP="00A776E2">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U poređenju sa podacima Izveštaja o proceni transparentnosti za 2024. godinu, kada je objavljeno 322 zapisnika od strane 26 opština, tokom 2025. godine primećen je pad od 86 zapisnika. U međuvremenu, broj opština koje su objavile zapisnike povećao se za jednu opštinu više u odnosu na prethodnu godinu.</w:t>
      </w:r>
    </w:p>
    <w:p w14:paraId="51DFE644" w14:textId="398595F0" w:rsidR="0062583A" w:rsidRPr="00A776E2" w:rsidRDefault="00A776E2" w:rsidP="00A776E2">
      <w:pPr>
        <w:spacing w:before="100" w:beforeAutospacing="1" w:after="100" w:afterAutospacing="1" w:line="276" w:lineRule="auto"/>
        <w:rPr>
          <w:rFonts w:asciiTheme="majorHAnsi" w:eastAsia="Times New Roman" w:hAnsiTheme="majorHAnsi" w:cstheme="majorHAnsi"/>
          <w:lang w:val="sr-Latn-RS" w:eastAsia="en-GB"/>
        </w:rPr>
      </w:pPr>
      <w:r w:rsidRPr="00A776E2">
        <w:rPr>
          <w:rFonts w:asciiTheme="majorHAnsi" w:eastAsia="Times New Roman" w:hAnsiTheme="majorHAnsi" w:cstheme="majorHAnsi"/>
          <w:lang w:val="sr-Latn-RS" w:eastAsia="en-GB"/>
        </w:rPr>
        <w:t xml:space="preserve">   </w:t>
      </w:r>
    </w:p>
    <w:p w14:paraId="49BE7A65" w14:textId="591E03B8" w:rsidR="00B175B2" w:rsidRPr="00A776E2" w:rsidRDefault="00A776E2" w:rsidP="00B175B2">
      <w:pPr>
        <w:pStyle w:val="Style3"/>
        <w:rPr>
          <w:rFonts w:eastAsia="Times New Roman" w:cstheme="majorHAnsi"/>
          <w:sz w:val="22"/>
          <w:szCs w:val="22"/>
          <w:lang w:val="sr-Latn-RS"/>
        </w:rPr>
      </w:pPr>
      <w:bookmarkStart w:id="30" w:name="_Toc230183733"/>
      <w:r w:rsidRPr="00A776E2">
        <w:rPr>
          <w:rFonts w:eastAsia="Times New Roman" w:cstheme="majorHAnsi"/>
          <w:sz w:val="22"/>
          <w:szCs w:val="22"/>
          <w:lang w:val="sr-Latn-RS"/>
        </w:rPr>
        <w:t>Zapisnici sa sastanaka Odbora za zajednice</w:t>
      </w:r>
      <w:bookmarkEnd w:id="30"/>
      <w:r w:rsidRPr="00A776E2">
        <w:rPr>
          <w:rFonts w:eastAsia="Times New Roman" w:cstheme="majorHAnsi"/>
          <w:sz w:val="22"/>
          <w:szCs w:val="22"/>
          <w:lang w:val="sr-Latn-RS"/>
        </w:rPr>
        <w:t xml:space="preserve">   </w:t>
      </w:r>
    </w:p>
    <w:p w14:paraId="4D77FB99" w14:textId="77777777" w:rsidR="00A776E2" w:rsidRPr="00A776E2" w:rsidRDefault="00A776E2" w:rsidP="00A776E2">
      <w:pPr>
        <w:spacing w:before="100" w:beforeAutospacing="1" w:after="100" w:afterAutospacing="1" w:line="276" w:lineRule="auto"/>
        <w:rPr>
          <w:rFonts w:asciiTheme="majorHAnsi" w:hAnsiTheme="majorHAnsi" w:cstheme="majorHAnsi"/>
          <w:lang w:val="sr-Latn-RS"/>
        </w:rPr>
      </w:pPr>
      <w:r w:rsidRPr="00A776E2">
        <w:rPr>
          <w:rFonts w:asciiTheme="majorHAnsi" w:hAnsiTheme="majorHAnsi" w:cstheme="majorHAnsi"/>
          <w:lang w:val="sr-Latn-RS"/>
        </w:rPr>
        <w:t>Takođe, u vezi sa objavljivanjem zapisnika Odbora za zajednice, objavljen je 101 zapisnik iz 18 opština (48%), dok 20 opština (52%) nije objavilo nijedan zapisnik sa sastanaka Odbora za zajednice.</w:t>
      </w:r>
    </w:p>
    <w:p w14:paraId="0EFBF706" w14:textId="730DFE9E" w:rsidR="00A776E2" w:rsidRPr="00A776E2" w:rsidRDefault="00A776E2" w:rsidP="00A776E2">
      <w:pPr>
        <w:spacing w:before="100" w:beforeAutospacing="1" w:after="100" w:afterAutospacing="1" w:line="276" w:lineRule="auto"/>
        <w:rPr>
          <w:rFonts w:asciiTheme="majorHAnsi" w:hAnsiTheme="majorHAnsi" w:cstheme="majorHAnsi"/>
          <w:lang w:val="sr-Latn-RS"/>
        </w:rPr>
      </w:pPr>
      <w:r w:rsidRPr="00A776E2">
        <w:rPr>
          <w:rFonts w:asciiTheme="majorHAnsi" w:hAnsiTheme="majorHAnsi" w:cstheme="majorHAnsi"/>
          <w:lang w:val="sr-Latn-RS"/>
        </w:rPr>
        <w:t>Opštine koje nisu objavile nijedan zapisnik Odbora za zajednice su: Dečane, Kosovo Polje, Đakovica, Glogovac, Gračanica, Istok, Junik, Klina, Klokot, Obilić, Peć, Prizren, Ranilug, Štrpce, Srbica, Vitina, Zubin Potok, Zvečan, Leposavić.</w:t>
      </w:r>
    </w:p>
    <w:p w14:paraId="73405DDE" w14:textId="77777777" w:rsidR="00A776E2" w:rsidRPr="00A776E2" w:rsidRDefault="00A776E2" w:rsidP="00A776E2">
      <w:pPr>
        <w:spacing w:before="100" w:beforeAutospacing="1" w:after="100" w:afterAutospacing="1" w:line="276" w:lineRule="auto"/>
        <w:rPr>
          <w:rFonts w:asciiTheme="majorHAnsi" w:hAnsiTheme="majorHAnsi" w:cstheme="majorHAnsi"/>
          <w:lang w:val="sr-Latn-RS"/>
        </w:rPr>
      </w:pPr>
      <w:r w:rsidRPr="00A776E2">
        <w:rPr>
          <w:rFonts w:asciiTheme="majorHAnsi" w:hAnsiTheme="majorHAnsi" w:cstheme="majorHAnsi"/>
          <w:lang w:val="sr-Latn-RS"/>
        </w:rPr>
        <w:t>U poređenju sa podacima Izveštaja o proceni transparentnosti za 2024. godinu, u kojem je objavljeno 146 zapisnika, primećuje se smanjenje od 45 zapisnika tokom 2025. godine, dok se broj opština koje su objavile zapisnike tokom 2025. godine povećao, sa jednom opštinom više u odnosu na prethodnu godinu.</w:t>
      </w:r>
    </w:p>
    <w:p w14:paraId="14B78BB2" w14:textId="4C21B6F3" w:rsidR="00A776E2" w:rsidRPr="00A776E2" w:rsidRDefault="00A776E2" w:rsidP="00A776E2">
      <w:pPr>
        <w:spacing w:before="100" w:beforeAutospacing="1" w:after="100" w:afterAutospacing="1" w:line="276" w:lineRule="auto"/>
        <w:rPr>
          <w:rFonts w:asciiTheme="majorHAnsi" w:hAnsiTheme="majorHAnsi" w:cstheme="majorHAnsi"/>
          <w:lang w:val="sr-Latn-RS"/>
        </w:rPr>
      </w:pPr>
      <w:r w:rsidRPr="00A776E2">
        <w:rPr>
          <w:rFonts w:asciiTheme="majorHAnsi" w:hAnsiTheme="majorHAnsi" w:cstheme="majorHAnsi"/>
          <w:lang w:val="sr-Latn-RS"/>
        </w:rPr>
        <w:t>Sledi slika sa ukupnim brojem zapisnika sa sastanaka skupština opština, odbora za politiku i finansije, kao i sa sastanka organizacije „Zajednice za zajednice“.</w:t>
      </w:r>
    </w:p>
    <w:p w14:paraId="4CB42A3B" w14:textId="77777777" w:rsidR="00A776E2" w:rsidRDefault="00A776E2" w:rsidP="00A776E2">
      <w:pPr>
        <w:spacing w:before="100" w:beforeAutospacing="1" w:after="100" w:afterAutospacing="1" w:line="276" w:lineRule="auto"/>
        <w:rPr>
          <w:rFonts w:asciiTheme="majorHAnsi" w:hAnsiTheme="majorHAnsi" w:cstheme="majorHAnsi"/>
        </w:rPr>
      </w:pPr>
    </w:p>
    <w:p w14:paraId="4C893D85" w14:textId="16BBDCFF" w:rsidR="00480C1B" w:rsidRPr="00A776E2" w:rsidRDefault="00A776E2" w:rsidP="00A776E2">
      <w:pPr>
        <w:spacing w:before="100" w:beforeAutospacing="1" w:after="100" w:afterAutospacing="1" w:line="276" w:lineRule="auto"/>
        <w:rPr>
          <w:rFonts w:asciiTheme="majorHAnsi" w:hAnsiTheme="majorHAnsi" w:cstheme="majorHAnsi"/>
          <w:bCs/>
          <w:color w:val="1F497D"/>
        </w:rPr>
      </w:pPr>
      <w:r>
        <w:rPr>
          <w:rFonts w:asciiTheme="majorHAnsi" w:hAnsiTheme="majorHAnsi" w:cstheme="majorHAnsi"/>
        </w:rPr>
        <w:t xml:space="preserve"> </w:t>
      </w:r>
      <w:r w:rsidR="008F7075" w:rsidRPr="009D6147">
        <w:rPr>
          <w:rFonts w:asciiTheme="majorHAnsi" w:hAnsiTheme="majorHAnsi" w:cstheme="majorHAnsi"/>
          <w:noProof/>
          <w:lang w:eastAsia="sq-AL"/>
        </w:rPr>
        <w:drawing>
          <wp:inline distT="0" distB="0" distL="0" distR="0" wp14:anchorId="6E04D73D" wp14:editId="56B3015C">
            <wp:extent cx="5731510" cy="1903445"/>
            <wp:effectExtent l="0" t="0" r="2540" b="1905"/>
            <wp:docPr id="56" name="Chart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09DDA5-36A0-4F4B-8EA7-6B44A6D8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6672FC" w14:textId="78B7836B" w:rsidR="000E40FB" w:rsidRPr="009D7B73" w:rsidRDefault="007D5DA2" w:rsidP="00D83453">
      <w:pPr>
        <w:spacing w:line="276" w:lineRule="auto"/>
        <w:jc w:val="center"/>
        <w:rPr>
          <w:rFonts w:asciiTheme="majorHAnsi" w:eastAsia="Times New Roman" w:hAnsiTheme="majorHAnsi" w:cstheme="majorHAnsi"/>
          <w:kern w:val="20"/>
          <w:sz w:val="14"/>
          <w:szCs w:val="14"/>
          <w:lang w:val="sr-Latn-RS"/>
        </w:rPr>
      </w:pPr>
      <w:r>
        <w:rPr>
          <w:rFonts w:asciiTheme="majorHAnsi" w:hAnsiTheme="majorHAnsi" w:cstheme="majorHAnsi"/>
          <w:i/>
          <w:sz w:val="14"/>
          <w:szCs w:val="14"/>
        </w:rPr>
        <w:t>Sl</w:t>
      </w:r>
      <w:r w:rsidR="00BA4279" w:rsidRPr="00325C4E">
        <w:rPr>
          <w:rFonts w:asciiTheme="majorHAnsi" w:hAnsiTheme="majorHAnsi" w:cstheme="majorHAnsi"/>
          <w:i/>
          <w:sz w:val="14"/>
          <w:szCs w:val="14"/>
        </w:rPr>
        <w:t>.</w:t>
      </w:r>
      <w:r w:rsidR="0073351F" w:rsidRPr="00325C4E">
        <w:rPr>
          <w:rFonts w:asciiTheme="majorHAnsi" w:hAnsiTheme="majorHAnsi" w:cstheme="majorHAnsi"/>
          <w:i/>
          <w:sz w:val="14"/>
          <w:szCs w:val="14"/>
        </w:rPr>
        <w:t>7</w:t>
      </w:r>
      <w:r w:rsidR="00BA4279" w:rsidRPr="00325C4E">
        <w:rPr>
          <w:rFonts w:asciiTheme="majorHAnsi" w:hAnsiTheme="majorHAnsi" w:cstheme="majorHAnsi"/>
          <w:i/>
          <w:sz w:val="14"/>
          <w:szCs w:val="14"/>
        </w:rPr>
        <w:t xml:space="preserve"> </w:t>
      </w:r>
      <w:r w:rsidR="009D7B73">
        <w:rPr>
          <w:rFonts w:asciiTheme="majorHAnsi" w:hAnsiTheme="majorHAnsi" w:cstheme="majorHAnsi"/>
          <w:i/>
          <w:sz w:val="14"/>
          <w:szCs w:val="14"/>
        </w:rPr>
        <w:t xml:space="preserve"> </w:t>
      </w:r>
      <w:r w:rsidR="009D7B73" w:rsidRPr="009D7B73">
        <w:rPr>
          <w:rFonts w:asciiTheme="majorHAnsi" w:hAnsiTheme="majorHAnsi" w:cstheme="majorHAnsi"/>
          <w:i/>
          <w:sz w:val="14"/>
          <w:szCs w:val="14"/>
          <w:lang w:val="sr-Latn-RS"/>
        </w:rPr>
        <w:t xml:space="preserve">Zapisnici sa sednica skupštine opštine, odbora za politiku i finansije i odbora za zajednice    </w:t>
      </w:r>
      <w:bookmarkStart w:id="31" w:name="_Toc130455682"/>
    </w:p>
    <w:p w14:paraId="7ED5A78E" w14:textId="2AB35088" w:rsidR="000E40FB" w:rsidRPr="009D6147" w:rsidRDefault="000E40FB" w:rsidP="00D83453">
      <w:pPr>
        <w:pStyle w:val="Style2"/>
        <w:rPr>
          <w:rFonts w:asciiTheme="majorHAnsi" w:eastAsia="Times New Roman" w:hAnsiTheme="majorHAnsi" w:cstheme="majorHAnsi"/>
        </w:rPr>
      </w:pPr>
    </w:p>
    <w:p w14:paraId="6F53F3F4" w14:textId="79E8F0EB" w:rsidR="00D83453" w:rsidRPr="005901F4" w:rsidRDefault="00D83453" w:rsidP="00D83453">
      <w:pPr>
        <w:pStyle w:val="Style2"/>
        <w:rPr>
          <w:rFonts w:asciiTheme="majorHAnsi" w:eastAsia="Times New Roman" w:hAnsiTheme="majorHAnsi" w:cstheme="majorHAnsi"/>
          <w:sz w:val="22"/>
          <w:szCs w:val="22"/>
          <w:lang w:eastAsia="en-GB"/>
        </w:rPr>
      </w:pPr>
      <w:bookmarkStart w:id="32" w:name="_Toc230183734"/>
      <w:r w:rsidRPr="005901F4">
        <w:rPr>
          <w:rFonts w:asciiTheme="majorHAnsi" w:eastAsia="Times New Roman" w:hAnsiTheme="majorHAnsi" w:cstheme="majorHAnsi"/>
          <w:sz w:val="22"/>
          <w:szCs w:val="22"/>
          <w:lang w:eastAsia="en-GB"/>
        </w:rPr>
        <w:t>online</w:t>
      </w:r>
      <w:r w:rsidR="00A776E2" w:rsidRPr="005901F4">
        <w:rPr>
          <w:rFonts w:asciiTheme="majorHAnsi" w:eastAsia="Times New Roman" w:hAnsiTheme="majorHAnsi" w:cstheme="majorHAnsi"/>
          <w:sz w:val="22"/>
          <w:szCs w:val="22"/>
          <w:lang w:eastAsia="en-GB"/>
        </w:rPr>
        <w:t xml:space="preserve"> PRENOS SED</w:t>
      </w:r>
      <w:r w:rsidR="002003C9" w:rsidRPr="005901F4">
        <w:rPr>
          <w:rFonts w:asciiTheme="majorHAnsi" w:eastAsia="Times New Roman" w:hAnsiTheme="majorHAnsi" w:cstheme="majorHAnsi"/>
          <w:sz w:val="22"/>
          <w:szCs w:val="22"/>
          <w:lang w:eastAsia="en-GB"/>
        </w:rPr>
        <w:t>nica</w:t>
      </w:r>
      <w:r w:rsidR="00A776E2" w:rsidRPr="005901F4">
        <w:rPr>
          <w:rFonts w:asciiTheme="majorHAnsi" w:eastAsia="Times New Roman" w:hAnsiTheme="majorHAnsi" w:cstheme="majorHAnsi"/>
          <w:sz w:val="22"/>
          <w:szCs w:val="22"/>
          <w:lang w:eastAsia="en-GB"/>
        </w:rPr>
        <w:t xml:space="preserve"> </w:t>
      </w:r>
      <w:r w:rsidR="002003C9" w:rsidRPr="005901F4">
        <w:rPr>
          <w:rFonts w:asciiTheme="majorHAnsi" w:eastAsia="Times New Roman" w:hAnsiTheme="majorHAnsi" w:cstheme="majorHAnsi"/>
          <w:sz w:val="22"/>
          <w:szCs w:val="22"/>
          <w:lang w:eastAsia="en-GB"/>
        </w:rPr>
        <w:t xml:space="preserve">skupština </w:t>
      </w:r>
      <w:r w:rsidR="00A776E2" w:rsidRPr="005901F4">
        <w:rPr>
          <w:rFonts w:asciiTheme="majorHAnsi" w:eastAsia="Times New Roman" w:hAnsiTheme="majorHAnsi" w:cstheme="majorHAnsi"/>
          <w:sz w:val="22"/>
          <w:szCs w:val="22"/>
          <w:lang w:eastAsia="en-GB"/>
        </w:rPr>
        <w:t>OPŠTIN</w:t>
      </w:r>
      <w:r w:rsidR="002003C9" w:rsidRPr="005901F4">
        <w:rPr>
          <w:rFonts w:asciiTheme="majorHAnsi" w:eastAsia="Times New Roman" w:hAnsiTheme="majorHAnsi" w:cstheme="majorHAnsi"/>
          <w:sz w:val="22"/>
          <w:szCs w:val="22"/>
          <w:lang w:eastAsia="en-GB"/>
        </w:rPr>
        <w:t>a</w:t>
      </w:r>
      <w:r w:rsidR="00A776E2" w:rsidRPr="005901F4">
        <w:rPr>
          <w:rFonts w:asciiTheme="majorHAnsi" w:eastAsia="Times New Roman" w:hAnsiTheme="majorHAnsi" w:cstheme="majorHAnsi"/>
          <w:sz w:val="22"/>
          <w:szCs w:val="22"/>
          <w:lang w:eastAsia="en-GB"/>
        </w:rPr>
        <w:t xml:space="preserve"> SKUPŠTINA</w:t>
      </w:r>
      <w:bookmarkEnd w:id="32"/>
    </w:p>
    <w:p w14:paraId="2ABB87DF" w14:textId="31AC2696" w:rsidR="002003C9" w:rsidRPr="009D7B73" w:rsidRDefault="002003C9" w:rsidP="0062583A">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Na osnovu člana 6 Administrativnog uputstva br. 04/2023 o otvorenoj administraciji u opštinama, opštine su obavezne da emituju sednice Skupštine opštine putem svojih zvaničnih veb stranica, koristeći neophodnu opremu za emitovanje. Opštinski organi su takođe obavezni da obezbede aktivan pristup sistemu teleprisustva, kako bi se stvorili uslovi za praćenje i procenu procesa od strane mehanizama za praćenje MALS-a, zainteresovanih strana i drugih institucija, putem ovlašćenog opštinskog osoblja.</w:t>
      </w:r>
    </w:p>
    <w:p w14:paraId="104AC3B3" w14:textId="63F5A5C6" w:rsidR="002003C9" w:rsidRPr="009D7B73" w:rsidRDefault="002003C9" w:rsidP="002003C9">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Prema podacima praćenja zvaničnih veb stranica opština za period januar–decembar 2025. godine, ukupno 167 onlajn sednica Skupštine opštine emitovano je u 22 opštine (58%), dok 16 opština (42%) nije emitovalo nijedan onlajn sastanak.</w:t>
      </w:r>
    </w:p>
    <w:p w14:paraId="53822793" w14:textId="7FA36390" w:rsidR="002003C9" w:rsidRPr="009D7B73" w:rsidRDefault="002003C9" w:rsidP="002003C9">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U poređenju sa podacima Izveštaja o proceni transparentnosti opština za period januar–decembar 2024. godine, kada je 255 onlajn sastanaka emitovano iz 24 opština, dok 14 opština nije emitovalo nijedan sastanak, primećen je pad u 2025. godini. Ukupno je tokom 2025. godine emitovano 88 sastanaka manje. Takođe, broj opština koje su sprovodile onlajn prenose smanjen je za dve opštine u poređenju sa prethodnom godinom.</w:t>
      </w:r>
    </w:p>
    <w:p w14:paraId="1160F6DB" w14:textId="43350460" w:rsidR="002003C9" w:rsidRPr="009D7B73" w:rsidRDefault="002003C9" w:rsidP="002003C9">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Na sledećoj slici prikazani su podaci o opštinama koje su emitovale onlajn sednice Skupštine opštine.</w:t>
      </w:r>
    </w:p>
    <w:bookmarkEnd w:id="31"/>
    <w:p w14:paraId="7C86B9F8" w14:textId="318D050A" w:rsidR="00CE7872" w:rsidRPr="009D6147" w:rsidRDefault="00CE7872" w:rsidP="00A70BC5">
      <w:pPr>
        <w:spacing w:after="240" w:line="276" w:lineRule="auto"/>
        <w:rPr>
          <w:rFonts w:asciiTheme="majorHAnsi" w:hAnsiTheme="majorHAnsi" w:cstheme="majorHAnsi"/>
        </w:rPr>
      </w:pPr>
      <w:r w:rsidRPr="009D6147">
        <w:rPr>
          <w:rFonts w:asciiTheme="majorHAnsi" w:hAnsiTheme="majorHAnsi" w:cstheme="majorHAnsi"/>
          <w:noProof/>
          <w:lang w:eastAsia="sq-AL"/>
        </w:rPr>
        <w:lastRenderedPageBreak/>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a16="http://schemas.microsoft.com/office/drawing/2014/main" id="{47C0AEFB-F6DC-4E56-A928-EF99E2AA44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0AEFB-F6DC-4E56-A928-EF99E2AA44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Chart 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0AEFB-F6DC-4E56-A928-EF99E2AA440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6026150" cy="2051685"/>
                        </a:xfrm>
                        <a:prstGeom prst="rect">
                          <a:avLst/>
                        </a:prstGeom>
                      </pic:spPr>
                    </pic:pic>
                  </a:graphicData>
                </a:graphic>
              </wp:inline>
            </w:drawing>
          </mc:Fallback>
        </mc:AlternateContent>
      </w:r>
    </w:p>
    <w:p w14:paraId="067C28EF" w14:textId="7A1BD717" w:rsidR="000E40FB" w:rsidRPr="009D7B73" w:rsidRDefault="007D5DA2" w:rsidP="00325C4E">
      <w:pPr>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rPr>
        <w:t>Sl.</w:t>
      </w:r>
      <w:r w:rsidR="00FA5DBE" w:rsidRPr="00325C4E">
        <w:rPr>
          <w:rFonts w:asciiTheme="majorHAnsi" w:hAnsiTheme="majorHAnsi" w:cstheme="majorHAnsi"/>
          <w:i/>
          <w:sz w:val="14"/>
          <w:szCs w:val="14"/>
        </w:rPr>
        <w:t xml:space="preserve"> </w:t>
      </w:r>
      <w:r w:rsidR="0073351F" w:rsidRPr="00325C4E">
        <w:rPr>
          <w:rFonts w:asciiTheme="majorHAnsi" w:hAnsiTheme="majorHAnsi" w:cstheme="majorHAnsi"/>
          <w:i/>
          <w:sz w:val="14"/>
          <w:szCs w:val="14"/>
        </w:rPr>
        <w:t>8</w:t>
      </w:r>
      <w:r w:rsidR="00276220" w:rsidRPr="00325C4E">
        <w:rPr>
          <w:rFonts w:asciiTheme="majorHAnsi" w:hAnsiTheme="majorHAnsi" w:cstheme="majorHAnsi"/>
          <w:i/>
          <w:sz w:val="14"/>
          <w:szCs w:val="14"/>
        </w:rPr>
        <w:t xml:space="preserve"> </w:t>
      </w:r>
      <w:r w:rsidR="009D7B73" w:rsidRPr="009D7B73">
        <w:rPr>
          <w:rFonts w:asciiTheme="majorHAnsi" w:hAnsiTheme="majorHAnsi" w:cstheme="majorHAnsi"/>
          <w:i/>
          <w:sz w:val="14"/>
          <w:szCs w:val="14"/>
          <w:lang w:val="sr-Latn-RS"/>
        </w:rPr>
        <w:t xml:space="preserve">Sednice skupštine opštine prenošene </w:t>
      </w:r>
      <w:r w:rsidR="00FA5DBE" w:rsidRPr="009D7B73">
        <w:rPr>
          <w:rFonts w:asciiTheme="majorHAnsi" w:hAnsiTheme="majorHAnsi" w:cstheme="majorHAnsi"/>
          <w:i/>
          <w:sz w:val="14"/>
          <w:szCs w:val="14"/>
          <w:lang w:val="sr-Latn-RS"/>
        </w:rPr>
        <w:t>online</w:t>
      </w:r>
      <w:bookmarkStart w:id="33" w:name="_Toc56692984"/>
      <w:bookmarkStart w:id="34" w:name="_Toc81401210"/>
      <w:bookmarkStart w:id="35" w:name="_Toc85812815"/>
      <w:bookmarkStart w:id="36" w:name="_Toc130455683"/>
    </w:p>
    <w:p w14:paraId="402F0FA3" w14:textId="660EB75E" w:rsidR="00984234" w:rsidRPr="009D6147" w:rsidRDefault="009D7B73" w:rsidP="00EA21F2">
      <w:pPr>
        <w:pStyle w:val="Style2"/>
        <w:rPr>
          <w:rFonts w:asciiTheme="majorHAnsi" w:hAnsiTheme="majorHAnsi" w:cstheme="majorHAnsi"/>
        </w:rPr>
      </w:pPr>
      <w:bookmarkStart w:id="37" w:name="_Toc230183735"/>
      <w:r w:rsidRPr="009D7B73">
        <w:rPr>
          <w:rFonts w:asciiTheme="majorHAnsi" w:hAnsiTheme="majorHAnsi" w:cstheme="majorHAnsi"/>
        </w:rPr>
        <w:t>OBJAVLJIVANJE PLANA RADA SKUPŠTINE OPŠTINE</w:t>
      </w:r>
      <w:bookmarkEnd w:id="37"/>
      <w:r>
        <w:rPr>
          <w:rFonts w:asciiTheme="majorHAnsi" w:hAnsiTheme="majorHAnsi" w:cstheme="majorHAnsi"/>
        </w:rPr>
        <w:t xml:space="preserve">          </w:t>
      </w:r>
      <w:bookmarkEnd w:id="33"/>
      <w:bookmarkEnd w:id="34"/>
      <w:bookmarkEnd w:id="35"/>
      <w:bookmarkEnd w:id="36"/>
    </w:p>
    <w:p w14:paraId="4F277998" w14:textId="5B5280EC" w:rsidR="009D7B73" w:rsidRPr="009D7B73" w:rsidRDefault="009D7B73" w:rsidP="009D7B73">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Opštine imaju zakonsku obavezu da obezbede direktan pristup javnim dokumentima putem zvaničnih veb stranica, uključujući Plan rada Skupštine opštine, strategije i druge odobrene dokumente politike.</w:t>
      </w:r>
    </w:p>
    <w:p w14:paraId="7CBF15A5" w14:textId="77777777" w:rsidR="009D7B73" w:rsidRPr="009D7B73" w:rsidRDefault="009D7B73" w:rsidP="009D7B73">
      <w:pPr>
        <w:spacing w:before="100" w:beforeAutospacing="1" w:after="100" w:afterAutospacing="1" w:line="276" w:lineRule="auto"/>
        <w:rPr>
          <w:rFonts w:asciiTheme="majorHAnsi" w:eastAsia="Times New Roman" w:hAnsiTheme="majorHAnsi" w:cstheme="majorHAnsi"/>
          <w:lang w:val="sr-Latn-RS" w:eastAsia="en-GB"/>
        </w:rPr>
      </w:pPr>
      <w:r w:rsidRPr="009D7B73">
        <w:rPr>
          <w:rFonts w:asciiTheme="majorHAnsi" w:eastAsia="Times New Roman" w:hAnsiTheme="majorHAnsi" w:cstheme="majorHAnsi"/>
          <w:lang w:val="sr-Latn-RS" w:eastAsia="en-GB"/>
        </w:rPr>
        <w:t>Tokom perioda januar–decembar 2025. godine, 17 opština (45%) je objavilo Plan rada Skupštine opštine, dok 21 opština (55%) nije objavila ovaj dokument.</w:t>
      </w:r>
    </w:p>
    <w:p w14:paraId="3F647DC7" w14:textId="77777777" w:rsidR="009D7B73" w:rsidRDefault="009D7B73" w:rsidP="009D7B73">
      <w:pPr>
        <w:spacing w:before="100" w:beforeAutospacing="1" w:after="100" w:afterAutospacing="1" w:line="276" w:lineRule="auto"/>
        <w:rPr>
          <w:rFonts w:asciiTheme="majorHAnsi" w:eastAsia="Times New Roman" w:hAnsiTheme="majorHAnsi" w:cstheme="majorHAnsi"/>
          <w:lang w:eastAsia="en-GB"/>
        </w:rPr>
      </w:pPr>
    </w:p>
    <w:p w14:paraId="07BC009D" w14:textId="77777777" w:rsidR="00B4138A" w:rsidRPr="00B4138A" w:rsidRDefault="009D7B73" w:rsidP="009D7B73">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 xml:space="preserve">U poređenju sa podacima za 2024. godinu, </w:t>
      </w:r>
      <w:r w:rsidR="00B4138A" w:rsidRPr="00B4138A">
        <w:rPr>
          <w:rFonts w:asciiTheme="majorHAnsi" w:eastAsia="Times New Roman" w:hAnsiTheme="majorHAnsi" w:cstheme="majorHAnsi"/>
          <w:lang w:val="sr-Latn-RS" w:eastAsia="en-GB"/>
        </w:rPr>
        <w:t>konstatuje se</w:t>
      </w:r>
      <w:r w:rsidRPr="00B4138A">
        <w:rPr>
          <w:rFonts w:asciiTheme="majorHAnsi" w:eastAsia="Times New Roman" w:hAnsiTheme="majorHAnsi" w:cstheme="majorHAnsi"/>
          <w:lang w:val="sr-Latn-RS" w:eastAsia="en-GB"/>
        </w:rPr>
        <w:t xml:space="preserve"> pad u objavljivanj</w:t>
      </w:r>
      <w:r w:rsidR="00B4138A" w:rsidRPr="00B4138A">
        <w:rPr>
          <w:rFonts w:asciiTheme="majorHAnsi" w:eastAsia="Times New Roman" w:hAnsiTheme="majorHAnsi" w:cstheme="majorHAnsi"/>
          <w:lang w:val="sr-Latn-RS" w:eastAsia="en-GB"/>
        </w:rPr>
        <w:t>a</w:t>
      </w:r>
      <w:r w:rsidRPr="00B4138A">
        <w:rPr>
          <w:rFonts w:asciiTheme="majorHAnsi" w:eastAsia="Times New Roman" w:hAnsiTheme="majorHAnsi" w:cstheme="majorHAnsi"/>
          <w:lang w:val="sr-Latn-RS" w:eastAsia="en-GB"/>
        </w:rPr>
        <w:t xml:space="preserve"> Plana rada Skupštine opštine, naime 10 opština manje u 2025. godini. </w:t>
      </w:r>
    </w:p>
    <w:p w14:paraId="0704B9A4" w14:textId="77777777" w:rsidR="009D7B73" w:rsidRPr="00B4138A" w:rsidRDefault="009D7B73" w:rsidP="009D7B73">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Sledeća slika prikazuje podatke za opštine koje su objavile Plan rada Skupštine opštine.</w:t>
      </w:r>
    </w:p>
    <w:p w14:paraId="60027417" w14:textId="61C5B5F1" w:rsidR="00325C4E" w:rsidRDefault="00984234" w:rsidP="00325C4E">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noProof/>
          <w:lang w:eastAsia="sq-AL"/>
        </w:rPr>
        <w:drawing>
          <wp:inline distT="0" distB="0" distL="0" distR="0" wp14:anchorId="10DBC188" wp14:editId="1FF0A22A">
            <wp:extent cx="5925185" cy="1706400"/>
            <wp:effectExtent l="0" t="0" r="18415" b="8255"/>
            <wp:docPr id="43" name="Chart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A10BEA-6573-46D9-9D89-0EEAD08A8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EB388" w14:textId="4FD478D4" w:rsidR="00984234" w:rsidRPr="00B4138A" w:rsidRDefault="007D5DA2" w:rsidP="00325C4E">
      <w:pPr>
        <w:spacing w:before="100" w:beforeAutospacing="1" w:after="100" w:afterAutospacing="1" w:line="276" w:lineRule="auto"/>
        <w:jc w:val="center"/>
        <w:rPr>
          <w:rFonts w:asciiTheme="majorHAnsi" w:eastAsia="Times New Roman" w:hAnsiTheme="majorHAnsi" w:cstheme="majorHAnsi"/>
          <w:lang w:val="sr-Latn-RS" w:eastAsia="en-GB"/>
        </w:rPr>
      </w:pPr>
      <w:r>
        <w:rPr>
          <w:rFonts w:asciiTheme="majorHAnsi" w:hAnsiTheme="majorHAnsi" w:cstheme="majorHAnsi"/>
          <w:i/>
          <w:sz w:val="14"/>
          <w:szCs w:val="14"/>
          <w:lang w:val="sr-Latn-RS"/>
        </w:rPr>
        <w:t>Sl</w:t>
      </w:r>
      <w:r w:rsidR="00984234" w:rsidRPr="00B4138A">
        <w:rPr>
          <w:rFonts w:asciiTheme="majorHAnsi" w:hAnsiTheme="majorHAnsi" w:cstheme="majorHAnsi"/>
          <w:i/>
          <w:sz w:val="14"/>
          <w:szCs w:val="14"/>
          <w:lang w:val="sr-Latn-RS"/>
        </w:rPr>
        <w:t xml:space="preserve"> 9. </w:t>
      </w:r>
      <w:r w:rsidR="00B4138A" w:rsidRPr="00B4138A">
        <w:rPr>
          <w:rFonts w:asciiTheme="majorHAnsi" w:hAnsiTheme="majorHAnsi" w:cstheme="majorHAnsi"/>
          <w:i/>
          <w:sz w:val="14"/>
          <w:szCs w:val="14"/>
          <w:lang w:val="sr-Latn-RS"/>
        </w:rPr>
        <w:t xml:space="preserve"> Objavljivanje plana rada skupštine opštine    </w:t>
      </w:r>
    </w:p>
    <w:p w14:paraId="4FDECC39" w14:textId="37B3D16B" w:rsidR="00B4138A" w:rsidRPr="00B4138A" w:rsidRDefault="00B4138A" w:rsidP="00B4138A">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 xml:space="preserve">Što se tiče izveštavanja Skupštine opštine, tokom 2025. godine, </w:t>
      </w:r>
      <w:r w:rsidR="008620F0">
        <w:rPr>
          <w:rFonts w:asciiTheme="majorHAnsi" w:eastAsia="Times New Roman" w:hAnsiTheme="majorHAnsi" w:cstheme="majorHAnsi"/>
          <w:lang w:val="sr-Latn-RS" w:eastAsia="en-GB"/>
        </w:rPr>
        <w:t>21</w:t>
      </w:r>
      <w:r w:rsidRPr="00B4138A">
        <w:rPr>
          <w:rFonts w:asciiTheme="majorHAnsi" w:eastAsia="Times New Roman" w:hAnsiTheme="majorHAnsi" w:cstheme="majorHAnsi"/>
          <w:lang w:val="sr-Latn-RS" w:eastAsia="en-GB"/>
        </w:rPr>
        <w:t xml:space="preserve"> opština je objavilo izveštaj Skupštine, dok još </w:t>
      </w:r>
      <w:r w:rsidR="008620F0">
        <w:rPr>
          <w:rFonts w:asciiTheme="majorHAnsi" w:eastAsia="Times New Roman" w:hAnsiTheme="majorHAnsi" w:cstheme="majorHAnsi"/>
          <w:lang w:val="sr-Latn-RS" w:eastAsia="en-GB"/>
        </w:rPr>
        <w:t>17</w:t>
      </w:r>
      <w:r w:rsidRPr="00B4138A">
        <w:rPr>
          <w:rFonts w:asciiTheme="majorHAnsi" w:eastAsia="Times New Roman" w:hAnsiTheme="majorHAnsi" w:cstheme="majorHAnsi"/>
          <w:lang w:val="sr-Latn-RS" w:eastAsia="en-GB"/>
        </w:rPr>
        <w:t xml:space="preserve"> opština nije objavilo ovaj dokument.</w:t>
      </w:r>
    </w:p>
    <w:p w14:paraId="314D8D23" w14:textId="416BF05B" w:rsidR="00B4138A" w:rsidRPr="00B4138A" w:rsidRDefault="00B4138A" w:rsidP="00B4138A">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w:t>
      </w:r>
    </w:p>
    <w:p w14:paraId="0696C067" w14:textId="24F14346" w:rsidR="00B4138A" w:rsidRPr="00B4138A" w:rsidRDefault="00B4138A" w:rsidP="00B4138A">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lastRenderedPageBreak/>
        <w:t>U nastavku je prikazana slika  podataka o opštinama koje su objavile Izveštaj Skupštine opštine.</w:t>
      </w:r>
    </w:p>
    <w:p w14:paraId="5AC6AEE5" w14:textId="1FEB1BF8" w:rsidR="00B4138A" w:rsidRDefault="008620F0" w:rsidP="00B4138A">
      <w:pPr>
        <w:spacing w:before="100" w:beforeAutospacing="1" w:after="100" w:afterAutospacing="1" w:line="276" w:lineRule="auto"/>
        <w:rPr>
          <w:rFonts w:asciiTheme="majorHAnsi" w:eastAsia="Times New Roman" w:hAnsiTheme="majorHAnsi" w:cstheme="majorHAnsi"/>
          <w:lang w:eastAsia="en-GB"/>
        </w:rPr>
      </w:pPr>
      <w:r>
        <w:rPr>
          <w:noProof/>
          <w:lang w:eastAsia="sq-AL"/>
        </w:rPr>
        <w:drawing>
          <wp:inline distT="0" distB="0" distL="0" distR="0" wp14:anchorId="199CCDEA" wp14:editId="724AFA29">
            <wp:extent cx="5731510" cy="1961447"/>
            <wp:effectExtent l="0" t="0" r="2540" b="1270"/>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BB0A8-0463-42E1-924E-211AFA9E8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BC5CBD" w14:textId="1EAE4DCB" w:rsidR="00984234" w:rsidRPr="009D6147" w:rsidRDefault="00984234" w:rsidP="00984234">
      <w:pPr>
        <w:spacing w:before="100" w:beforeAutospacing="1" w:after="100" w:afterAutospacing="1" w:line="276" w:lineRule="auto"/>
        <w:rPr>
          <w:rFonts w:asciiTheme="majorHAnsi" w:eastAsia="Times New Roman" w:hAnsiTheme="majorHAnsi" w:cstheme="majorHAnsi"/>
          <w:lang w:eastAsia="en-GB"/>
        </w:rPr>
      </w:pPr>
    </w:p>
    <w:p w14:paraId="19442348" w14:textId="65CDA3DD" w:rsidR="00984234" w:rsidRPr="00B4138A" w:rsidRDefault="007D5DA2" w:rsidP="004461DD">
      <w:pPr>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984234" w:rsidRPr="00B4138A">
        <w:rPr>
          <w:rFonts w:asciiTheme="majorHAnsi" w:hAnsiTheme="majorHAnsi" w:cstheme="majorHAnsi"/>
          <w:i/>
          <w:sz w:val="14"/>
          <w:szCs w:val="14"/>
          <w:lang w:val="sr-Latn-RS"/>
        </w:rPr>
        <w:t xml:space="preserve"> 10 . </w:t>
      </w:r>
      <w:r w:rsidR="00B4138A" w:rsidRPr="00B4138A">
        <w:rPr>
          <w:rFonts w:asciiTheme="majorHAnsi" w:hAnsiTheme="majorHAnsi" w:cstheme="majorHAnsi"/>
          <w:i/>
          <w:sz w:val="14"/>
          <w:szCs w:val="14"/>
          <w:lang w:val="sr-Latn-RS"/>
        </w:rPr>
        <w:t xml:space="preserve"> Objavljivanje izveštaja skupštine opštine       </w:t>
      </w:r>
    </w:p>
    <w:p w14:paraId="09CEBDBE" w14:textId="1E02CDA1" w:rsidR="002C1755" w:rsidRPr="009D6147" w:rsidRDefault="002C1755" w:rsidP="00A70BC5">
      <w:pPr>
        <w:spacing w:after="0" w:line="276" w:lineRule="auto"/>
        <w:rPr>
          <w:rFonts w:asciiTheme="majorHAnsi" w:hAnsiTheme="majorHAnsi" w:cstheme="majorHAnsi"/>
          <w:b/>
          <w:color w:val="2F5496" w:themeColor="accent5" w:themeShade="BF"/>
          <w:sz w:val="24"/>
        </w:rPr>
      </w:pPr>
    </w:p>
    <w:p w14:paraId="7D22B95E" w14:textId="5990B936" w:rsidR="006257DA" w:rsidRPr="00B4138A" w:rsidRDefault="00B4138A" w:rsidP="004F395D">
      <w:pPr>
        <w:pStyle w:val="Style3"/>
        <w:rPr>
          <w:rFonts w:eastAsia="Times New Roman" w:cstheme="majorHAnsi"/>
          <w:sz w:val="22"/>
          <w:szCs w:val="22"/>
          <w:lang w:val="sr-Latn-RS" w:eastAsia="en-GB"/>
        </w:rPr>
      </w:pPr>
      <w:bookmarkStart w:id="38" w:name="_Toc230183736"/>
      <w:r w:rsidRPr="00B4138A">
        <w:rPr>
          <w:rFonts w:eastAsia="Times New Roman" w:cstheme="majorHAnsi"/>
          <w:sz w:val="22"/>
          <w:szCs w:val="22"/>
          <w:lang w:val="sr-Latn-RS" w:eastAsia="en-GB"/>
        </w:rPr>
        <w:t>Strateški planovi i dokumenti</w:t>
      </w:r>
      <w:bookmarkEnd w:id="38"/>
      <w:r w:rsidRPr="00B4138A">
        <w:rPr>
          <w:rFonts w:eastAsia="Times New Roman" w:cstheme="majorHAnsi"/>
          <w:sz w:val="22"/>
          <w:szCs w:val="22"/>
          <w:lang w:val="sr-Latn-RS" w:eastAsia="en-GB"/>
        </w:rPr>
        <w:t xml:space="preserve">            </w:t>
      </w:r>
      <w:r w:rsidR="006257DA" w:rsidRPr="00B4138A">
        <w:rPr>
          <w:rFonts w:eastAsia="Times New Roman" w:cstheme="majorHAnsi"/>
          <w:sz w:val="22"/>
          <w:szCs w:val="22"/>
          <w:lang w:val="sr-Latn-RS" w:eastAsia="en-GB"/>
        </w:rPr>
        <w:t xml:space="preserve"> </w:t>
      </w:r>
    </w:p>
    <w:p w14:paraId="15BEC731" w14:textId="365467DA" w:rsidR="00B4138A" w:rsidRDefault="00B4138A" w:rsidP="004F395D">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Na osnovu Administrativnog uputstva br. 04/2023 o otvorenoj administraciji, opštine imaju zakonsku obavezu da obezbede transparentnost i javni pristup strateškim i planskim dokumentima u relevantnim oblastima putem zvaničnih veb stranica. Ovi dokumenti predstavljaju jedan od glavnih instrumenata odgovornosti i javnog informisanja na lokalnom nivou.</w:t>
      </w:r>
    </w:p>
    <w:p w14:paraId="0717B0FF" w14:textId="77777777" w:rsidR="00B4138A" w:rsidRDefault="00B4138A" w:rsidP="004F395D">
      <w:pPr>
        <w:spacing w:before="100" w:beforeAutospacing="1" w:after="100" w:afterAutospacing="1" w:line="276" w:lineRule="auto"/>
        <w:rPr>
          <w:rFonts w:asciiTheme="majorHAnsi" w:eastAsia="Times New Roman" w:hAnsiTheme="majorHAnsi" w:cstheme="majorHAnsi"/>
          <w:lang w:val="sr-Latn-RS" w:eastAsia="en-GB"/>
        </w:rPr>
      </w:pPr>
      <w:r>
        <w:rPr>
          <w:rFonts w:asciiTheme="majorHAnsi" w:eastAsia="Times New Roman" w:hAnsiTheme="majorHAnsi" w:cstheme="majorHAnsi"/>
          <w:lang w:val="sr-Latn-RS" w:eastAsia="en-GB"/>
        </w:rPr>
        <w:t>Provereni</w:t>
      </w:r>
      <w:r w:rsidRPr="00B4138A">
        <w:rPr>
          <w:rFonts w:asciiTheme="majorHAnsi" w:eastAsia="Times New Roman" w:hAnsiTheme="majorHAnsi" w:cstheme="majorHAnsi"/>
          <w:lang w:val="sr-Latn-RS" w:eastAsia="en-GB"/>
        </w:rPr>
        <w:t xml:space="preserve"> podaci za period januar–decembar 2025. godine pokazuju da je strateške planove i dokumente u relevantnim oblastima objavilo 19 opština (50%), dok još 19 opština (50%) nije objavilo nikakve planove ili strateške dokumente tokom ovog perioda. Međutim, ovi podaci se odnose samo na 2025. godinu i treba ih posmatrati u kontekstu činjenice da izrada strateških planova i dokumenata zavisi od specifičnih potreba i planiranja svake opštine. Neke opštine su možda izradile i objavile ove dokumente u prethodnim godinama, dok drugima možda nisu bili potrebni novi dokumenti tokom izveštajne godine. </w:t>
      </w:r>
    </w:p>
    <w:p w14:paraId="5F20EBE9" w14:textId="0CADEADC" w:rsidR="00B4138A" w:rsidRPr="00B4138A" w:rsidRDefault="00B4138A" w:rsidP="004F395D">
      <w:pPr>
        <w:spacing w:before="100" w:beforeAutospacing="1" w:after="100" w:afterAutospacing="1" w:line="276" w:lineRule="auto"/>
        <w:rPr>
          <w:rFonts w:asciiTheme="majorHAnsi" w:eastAsia="Times New Roman" w:hAnsiTheme="majorHAnsi" w:cstheme="majorHAnsi"/>
          <w:lang w:val="sr-Latn-RS" w:eastAsia="en-GB"/>
        </w:rPr>
      </w:pPr>
      <w:r w:rsidRPr="00B4138A">
        <w:rPr>
          <w:rFonts w:asciiTheme="majorHAnsi" w:eastAsia="Times New Roman" w:hAnsiTheme="majorHAnsi" w:cstheme="majorHAnsi"/>
          <w:lang w:val="sr-Latn-RS" w:eastAsia="en-GB"/>
        </w:rPr>
        <w:t>Sledeća slika prikazuje podatke o broju opština koje su objavile strateške planove i dokumente u relevantnim oblastima tokom perioda januar–decembar 2025. godine.</w:t>
      </w:r>
    </w:p>
    <w:p w14:paraId="52FE0DB3" w14:textId="77777777" w:rsidR="00B4138A" w:rsidRDefault="00B4138A" w:rsidP="004F395D">
      <w:pPr>
        <w:spacing w:before="100" w:beforeAutospacing="1" w:after="100" w:afterAutospacing="1" w:line="276" w:lineRule="auto"/>
        <w:rPr>
          <w:rFonts w:asciiTheme="majorHAnsi" w:eastAsia="Times New Roman" w:hAnsiTheme="majorHAnsi" w:cstheme="majorHAnsi"/>
          <w:lang w:eastAsia="en-GB"/>
        </w:rPr>
      </w:pPr>
    </w:p>
    <w:p w14:paraId="4BC2DE32" w14:textId="77777777" w:rsidR="00B4138A" w:rsidRDefault="00B4138A" w:rsidP="004F395D">
      <w:pPr>
        <w:spacing w:before="100" w:beforeAutospacing="1" w:after="100" w:afterAutospacing="1" w:line="276" w:lineRule="auto"/>
        <w:rPr>
          <w:rFonts w:asciiTheme="majorHAnsi" w:eastAsia="Times New Roman" w:hAnsiTheme="majorHAnsi" w:cstheme="majorHAnsi"/>
          <w:lang w:eastAsia="en-GB"/>
        </w:rPr>
      </w:pPr>
    </w:p>
    <w:p w14:paraId="3FA00B3E" w14:textId="1F554AAF" w:rsidR="00DF3E0F" w:rsidRPr="00B4138A" w:rsidRDefault="00283C50" w:rsidP="00B4138A">
      <w:pPr>
        <w:spacing w:before="100" w:beforeAutospacing="1" w:after="100" w:afterAutospacing="1" w:line="276" w:lineRule="auto"/>
        <w:rPr>
          <w:rFonts w:asciiTheme="majorHAnsi" w:eastAsia="Times New Roman" w:hAnsiTheme="majorHAnsi" w:cstheme="majorHAnsi"/>
          <w:lang w:eastAsia="en-GB"/>
        </w:rPr>
      </w:pPr>
      <w:r w:rsidRPr="00325C4E">
        <w:rPr>
          <w:rFonts w:asciiTheme="majorHAnsi" w:hAnsiTheme="majorHAnsi" w:cstheme="majorHAnsi"/>
          <w:noProof/>
          <w:sz w:val="16"/>
          <w:szCs w:val="16"/>
          <w:lang w:eastAsia="sq-AL"/>
        </w:rPr>
        <w:lastRenderedPageBreak/>
        <w:drawing>
          <wp:inline distT="0" distB="0" distL="0" distR="0" wp14:anchorId="2AECAFD3" wp14:editId="33750822">
            <wp:extent cx="6014085" cy="1782147"/>
            <wp:effectExtent l="0" t="0" r="5715" b="8890"/>
            <wp:docPr id="41" name="Chart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D37E32-777B-4959-8D46-400AD9D64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39" w:name="_Toc130455684"/>
    </w:p>
    <w:p w14:paraId="45DA62A9" w14:textId="20E12E1E" w:rsidR="00FD3CAC" w:rsidRPr="00B4138A" w:rsidRDefault="007D5DA2" w:rsidP="00EA21F2">
      <w:pPr>
        <w:spacing w:line="276" w:lineRule="auto"/>
        <w:jc w:val="center"/>
        <w:rPr>
          <w:rFonts w:asciiTheme="majorHAnsi" w:hAnsiTheme="majorHAnsi" w:cstheme="majorHAnsi"/>
          <w:color w:val="00B0F0"/>
          <w:sz w:val="20"/>
          <w:szCs w:val="20"/>
          <w:lang w:val="sr-Latn-RS"/>
        </w:rPr>
      </w:pPr>
      <w:r>
        <w:rPr>
          <w:rFonts w:asciiTheme="majorHAnsi" w:hAnsiTheme="majorHAnsi" w:cstheme="majorHAnsi"/>
          <w:i/>
          <w:sz w:val="14"/>
          <w:szCs w:val="14"/>
        </w:rPr>
        <w:t>Sl.</w:t>
      </w:r>
      <w:r w:rsidR="00042A3B" w:rsidRPr="00325C4E">
        <w:rPr>
          <w:rFonts w:asciiTheme="majorHAnsi" w:hAnsiTheme="majorHAnsi" w:cstheme="majorHAnsi"/>
          <w:i/>
          <w:sz w:val="14"/>
          <w:szCs w:val="14"/>
        </w:rPr>
        <w:t xml:space="preserve"> 11.</w:t>
      </w:r>
      <w:r w:rsidR="00E61B1D" w:rsidRPr="00325C4E">
        <w:rPr>
          <w:rFonts w:asciiTheme="majorHAnsi" w:hAnsiTheme="majorHAnsi" w:cstheme="majorHAnsi"/>
          <w:i/>
          <w:sz w:val="14"/>
          <w:szCs w:val="14"/>
        </w:rPr>
        <w:t xml:space="preserve">  </w:t>
      </w:r>
      <w:r w:rsidR="00B4138A">
        <w:rPr>
          <w:rFonts w:asciiTheme="majorHAnsi" w:hAnsiTheme="majorHAnsi" w:cstheme="majorHAnsi"/>
          <w:i/>
          <w:sz w:val="14"/>
          <w:szCs w:val="14"/>
        </w:rPr>
        <w:t xml:space="preserve"> </w:t>
      </w:r>
      <w:r w:rsidR="00B4138A" w:rsidRPr="00B4138A">
        <w:rPr>
          <w:rFonts w:asciiTheme="majorHAnsi" w:hAnsiTheme="majorHAnsi" w:cstheme="majorHAnsi"/>
          <w:i/>
          <w:sz w:val="14"/>
          <w:szCs w:val="14"/>
          <w:lang w:val="sr-Latn-RS"/>
        </w:rPr>
        <w:t xml:space="preserve">Strateški planovi i dokumenti   </w:t>
      </w:r>
      <w:bookmarkStart w:id="40" w:name="_Toc130455685"/>
      <w:bookmarkEnd w:id="39"/>
    </w:p>
    <w:p w14:paraId="1C77251E" w14:textId="77777777" w:rsidR="00325C4E" w:rsidRDefault="00325C4E" w:rsidP="006257DA">
      <w:pPr>
        <w:pStyle w:val="Style3"/>
        <w:rPr>
          <w:rFonts w:cstheme="majorHAnsi"/>
        </w:rPr>
      </w:pPr>
      <w:bookmarkStart w:id="41" w:name="_Toc227827170"/>
    </w:p>
    <w:p w14:paraId="76C11608" w14:textId="5CCEFB7B" w:rsidR="002B0561" w:rsidRPr="00B4138A" w:rsidRDefault="00B4138A" w:rsidP="006257DA">
      <w:pPr>
        <w:pStyle w:val="Style3"/>
        <w:rPr>
          <w:rFonts w:cstheme="majorHAnsi"/>
          <w:lang w:val="sr-Latn-RS"/>
        </w:rPr>
      </w:pPr>
      <w:bookmarkStart w:id="42" w:name="_Toc230183737"/>
      <w:r w:rsidRPr="00B4138A">
        <w:rPr>
          <w:rFonts w:cstheme="majorHAnsi"/>
          <w:lang w:val="sr-Latn-RS"/>
        </w:rPr>
        <w:t>Zonalne mape</w:t>
      </w:r>
      <w:bookmarkEnd w:id="42"/>
      <w:r w:rsidRPr="00B4138A">
        <w:rPr>
          <w:rFonts w:cstheme="majorHAnsi"/>
          <w:lang w:val="sr-Latn-RS"/>
        </w:rPr>
        <w:t xml:space="preserve">      </w:t>
      </w:r>
      <w:bookmarkEnd w:id="40"/>
      <w:bookmarkEnd w:id="41"/>
    </w:p>
    <w:p w14:paraId="100C031D" w14:textId="77777777" w:rsidR="00325C4E" w:rsidRPr="00B4138A" w:rsidRDefault="00325C4E" w:rsidP="006257DA">
      <w:pPr>
        <w:pStyle w:val="Style3"/>
        <w:rPr>
          <w:rFonts w:cstheme="majorHAnsi"/>
          <w:lang w:val="sr-Latn-RS"/>
        </w:rPr>
      </w:pPr>
    </w:p>
    <w:p w14:paraId="1BB25FBA" w14:textId="23CAE7E2" w:rsidR="00B4138A" w:rsidRPr="00B4138A" w:rsidRDefault="00B4138A" w:rsidP="00B4138A">
      <w:pPr>
        <w:spacing w:after="240" w:line="276" w:lineRule="auto"/>
        <w:rPr>
          <w:rFonts w:asciiTheme="majorHAnsi" w:eastAsia="Times New Roman" w:hAnsiTheme="majorHAnsi" w:cstheme="majorHAnsi"/>
          <w:bCs/>
          <w:kern w:val="20"/>
          <w:lang w:val="sr-Latn-RS"/>
        </w:rPr>
      </w:pPr>
      <w:r w:rsidRPr="00B4138A">
        <w:rPr>
          <w:rFonts w:asciiTheme="majorHAnsi" w:eastAsia="Times New Roman" w:hAnsiTheme="majorHAnsi" w:cstheme="majorHAnsi"/>
          <w:bCs/>
          <w:kern w:val="20"/>
          <w:lang w:val="sr-Latn-RS"/>
        </w:rPr>
        <w:t>Prema podacima praćenja zvaničnih veb stranica opština za period januar-decembar 2025. godine, od 38 opština, 19 opština ili 50% je objavilo Zonalne mape, dok 19 opština ili 50% još uvek nije ispunilo ovu zakonsku obavezu.</w:t>
      </w:r>
    </w:p>
    <w:p w14:paraId="019CF01E" w14:textId="77777777" w:rsidR="00B4138A" w:rsidRPr="00B4138A" w:rsidRDefault="00B4138A" w:rsidP="00B4138A">
      <w:pPr>
        <w:spacing w:after="240" w:line="276" w:lineRule="auto"/>
        <w:rPr>
          <w:rFonts w:asciiTheme="majorHAnsi" w:eastAsia="Times New Roman" w:hAnsiTheme="majorHAnsi" w:cstheme="majorHAnsi"/>
          <w:bCs/>
          <w:kern w:val="20"/>
          <w:lang w:val="sr-Latn-RS"/>
        </w:rPr>
      </w:pPr>
      <w:r w:rsidRPr="00B4138A">
        <w:rPr>
          <w:rFonts w:asciiTheme="majorHAnsi" w:eastAsia="Times New Roman" w:hAnsiTheme="majorHAnsi" w:cstheme="majorHAnsi"/>
          <w:bCs/>
          <w:kern w:val="20"/>
          <w:lang w:val="sr-Latn-RS"/>
        </w:rPr>
        <w:t>Sledi slika koja prikazuje broj opština koje su objavile Zonalne mape.</w:t>
      </w:r>
    </w:p>
    <w:p w14:paraId="3000A51C" w14:textId="77777777" w:rsidR="00B4138A" w:rsidRDefault="00B4138A" w:rsidP="00B4138A">
      <w:pPr>
        <w:spacing w:after="240" w:line="276" w:lineRule="auto"/>
        <w:rPr>
          <w:rFonts w:asciiTheme="majorHAnsi" w:eastAsia="Times New Roman" w:hAnsiTheme="majorHAnsi" w:cstheme="majorHAnsi"/>
          <w:bCs/>
          <w:kern w:val="20"/>
        </w:rPr>
      </w:pPr>
    </w:p>
    <w:p w14:paraId="6877203F" w14:textId="3A2E923B" w:rsidR="00025A7B" w:rsidRPr="009D6147" w:rsidRDefault="00B4138A" w:rsidP="00B4138A">
      <w:pPr>
        <w:spacing w:after="240" w:line="276" w:lineRule="auto"/>
        <w:rPr>
          <w:rFonts w:asciiTheme="majorHAnsi" w:eastAsia="Times New Roman" w:hAnsiTheme="majorHAnsi" w:cstheme="majorHAnsi"/>
          <w:bCs/>
          <w:kern w:val="20"/>
        </w:rPr>
      </w:pPr>
      <w:r>
        <w:rPr>
          <w:rFonts w:asciiTheme="majorHAnsi" w:eastAsia="Times New Roman" w:hAnsiTheme="majorHAnsi" w:cstheme="majorHAnsi"/>
          <w:bCs/>
          <w:kern w:val="20"/>
        </w:rPr>
        <w:t xml:space="preserve">   </w:t>
      </w:r>
      <w:bookmarkStart w:id="43" w:name="_Toc130455686"/>
    </w:p>
    <w:p w14:paraId="1EB27634" w14:textId="2389C66B" w:rsidR="00DD1F9B" w:rsidRPr="009D6147" w:rsidRDefault="006E6AAC" w:rsidP="00A70BC5">
      <w:pPr>
        <w:spacing w:after="240" w:line="276" w:lineRule="auto"/>
        <w:rPr>
          <w:rFonts w:asciiTheme="majorHAnsi" w:eastAsia="Times New Roman" w:hAnsiTheme="majorHAnsi" w:cstheme="majorHAnsi"/>
          <w:kern w:val="20"/>
        </w:rPr>
      </w:pPr>
      <w:r w:rsidRPr="009D6147">
        <w:rPr>
          <w:rFonts w:asciiTheme="majorHAnsi" w:hAnsiTheme="majorHAnsi" w:cstheme="majorHAnsi"/>
          <w:noProof/>
          <w:lang w:eastAsia="sq-AL"/>
        </w:rPr>
        <w:drawing>
          <wp:inline distT="0" distB="0" distL="0" distR="0" wp14:anchorId="778DAFF7" wp14:editId="216A59A0">
            <wp:extent cx="5943600" cy="1609530"/>
            <wp:effectExtent l="0" t="0" r="0" b="10160"/>
            <wp:docPr id="42" name="Chart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F83101-BD9B-49C5-BD5B-598E4D94B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6D674E" w14:textId="1DC1ECF3" w:rsidR="007D4ABB" w:rsidRPr="007D5DA2" w:rsidRDefault="007D5DA2" w:rsidP="007D5DA2">
      <w:pPr>
        <w:spacing w:after="240" w:line="276" w:lineRule="auto"/>
        <w:jc w:val="center"/>
        <w:rPr>
          <w:rFonts w:asciiTheme="majorHAnsi" w:eastAsia="Times New Roman" w:hAnsiTheme="majorHAnsi" w:cstheme="majorHAnsi"/>
          <w:i/>
          <w:sz w:val="14"/>
          <w:szCs w:val="14"/>
          <w:lang w:val="sr-Latn-RS"/>
        </w:rPr>
      </w:pPr>
      <w:bookmarkStart w:id="44" w:name="_Toc130455687"/>
      <w:bookmarkEnd w:id="43"/>
      <w:r>
        <w:rPr>
          <w:rFonts w:asciiTheme="majorHAnsi" w:eastAsia="Times New Roman" w:hAnsiTheme="majorHAnsi" w:cstheme="majorHAnsi"/>
          <w:i/>
          <w:sz w:val="14"/>
          <w:szCs w:val="14"/>
          <w:lang w:val="sr-Latn-RS"/>
        </w:rPr>
        <w:t>Sl.</w:t>
      </w:r>
      <w:r w:rsidR="00042A3B" w:rsidRPr="00B4138A">
        <w:rPr>
          <w:rFonts w:asciiTheme="majorHAnsi" w:eastAsia="Times New Roman" w:hAnsiTheme="majorHAnsi" w:cstheme="majorHAnsi"/>
          <w:i/>
          <w:sz w:val="14"/>
          <w:szCs w:val="14"/>
          <w:lang w:val="sr-Latn-RS"/>
        </w:rPr>
        <w:t>12</w:t>
      </w:r>
      <w:r w:rsidR="007D4ABB" w:rsidRPr="00B4138A">
        <w:rPr>
          <w:rFonts w:asciiTheme="majorHAnsi" w:eastAsia="Times New Roman" w:hAnsiTheme="majorHAnsi" w:cstheme="majorHAnsi"/>
          <w:i/>
          <w:sz w:val="14"/>
          <w:szCs w:val="14"/>
          <w:lang w:val="sr-Latn-RS"/>
        </w:rPr>
        <w:t>.</w:t>
      </w:r>
      <w:r w:rsidR="00B4138A" w:rsidRPr="00B4138A">
        <w:rPr>
          <w:rFonts w:asciiTheme="majorHAnsi" w:eastAsia="Times New Roman" w:hAnsiTheme="majorHAnsi" w:cstheme="majorHAnsi"/>
          <w:i/>
          <w:sz w:val="14"/>
          <w:szCs w:val="14"/>
          <w:lang w:val="sr-Latn-RS"/>
        </w:rPr>
        <w:t xml:space="preserve">  Objavljivanje zonskih mapa </w:t>
      </w:r>
      <w:r w:rsidR="007D4ABB" w:rsidRPr="00B4138A">
        <w:rPr>
          <w:rFonts w:asciiTheme="majorHAnsi" w:eastAsia="Times New Roman" w:hAnsiTheme="majorHAnsi" w:cstheme="majorHAnsi"/>
          <w:i/>
          <w:sz w:val="14"/>
          <w:szCs w:val="14"/>
          <w:lang w:val="sr-Latn-RS"/>
        </w:rPr>
        <w:t xml:space="preserve"> </w:t>
      </w:r>
      <w:bookmarkEnd w:id="44"/>
    </w:p>
    <w:p w14:paraId="20DE29F4" w14:textId="05FC4225" w:rsidR="00280BB6" w:rsidRPr="009D6147" w:rsidRDefault="00280BB6" w:rsidP="00A70BC5">
      <w:pPr>
        <w:spacing w:line="276" w:lineRule="auto"/>
        <w:rPr>
          <w:rFonts w:asciiTheme="majorHAnsi" w:hAnsiTheme="majorHAnsi" w:cstheme="majorHAnsi"/>
          <w:b/>
          <w:color w:val="2F5496" w:themeColor="accent5" w:themeShade="BF"/>
        </w:rPr>
      </w:pPr>
    </w:p>
    <w:p w14:paraId="6A143EA2" w14:textId="6B328AED" w:rsidR="00280BB6" w:rsidRPr="00AD7362" w:rsidRDefault="00AD7362" w:rsidP="004F395D">
      <w:pPr>
        <w:pStyle w:val="Style3"/>
        <w:spacing w:line="276" w:lineRule="auto"/>
        <w:rPr>
          <w:rFonts w:cstheme="majorHAnsi"/>
          <w:sz w:val="22"/>
          <w:szCs w:val="22"/>
          <w:lang w:val="sr-Latn-RS"/>
        </w:rPr>
      </w:pPr>
      <w:bookmarkStart w:id="45" w:name="_Toc230183738"/>
      <w:r w:rsidRPr="00AD7362">
        <w:rPr>
          <w:rFonts w:cstheme="majorHAnsi"/>
          <w:sz w:val="22"/>
          <w:szCs w:val="22"/>
          <w:lang w:val="sr-Latn-RS"/>
        </w:rPr>
        <w:t>Akcioni plan transparentnosti</w:t>
      </w:r>
      <w:bookmarkEnd w:id="45"/>
      <w:r w:rsidRPr="00AD7362">
        <w:rPr>
          <w:rFonts w:cstheme="majorHAnsi"/>
          <w:sz w:val="22"/>
          <w:szCs w:val="22"/>
          <w:lang w:val="sr-Latn-RS"/>
        </w:rPr>
        <w:t xml:space="preserve">             </w:t>
      </w:r>
    </w:p>
    <w:p w14:paraId="136E70D6" w14:textId="65927CFE" w:rsidR="00AD7362"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Pr>
          <w:rFonts w:asciiTheme="majorHAnsi" w:eastAsia="Times New Roman" w:hAnsiTheme="majorHAnsi" w:cstheme="majorHAnsi"/>
          <w:lang w:eastAsia="en-GB"/>
        </w:rPr>
        <w:t xml:space="preserve"> </w:t>
      </w:r>
      <w:r w:rsidRPr="00AD7362">
        <w:rPr>
          <w:rFonts w:asciiTheme="majorHAnsi" w:eastAsia="Times New Roman" w:hAnsiTheme="majorHAnsi" w:cstheme="majorHAnsi"/>
          <w:lang w:val="sr-Latn-RS" w:eastAsia="en-GB"/>
        </w:rPr>
        <w:t xml:space="preserve">Administrativno uputstvo br. 04/2023 o otvorenoj administraciji u opštinama utvrđuje zakonsku obavezu opština da izrade četvorogodišnji (4) Akcioni plan transparentnosti. Ovaj plan obuhvata niz akcija usmerenih na unapređenje transparentnosti i odgovornosti, uključujući: objavljivanje i transparentnost sastanaka skupštine opštine i odbora, organizovanje javnih i konsultativnih sastanaka </w:t>
      </w:r>
      <w:r w:rsidRPr="00AD7362">
        <w:rPr>
          <w:rFonts w:asciiTheme="majorHAnsi" w:eastAsia="Times New Roman" w:hAnsiTheme="majorHAnsi" w:cstheme="majorHAnsi"/>
          <w:lang w:val="sr-Latn-RS" w:eastAsia="en-GB"/>
        </w:rPr>
        <w:lastRenderedPageBreak/>
        <w:t>za projekte, transparentnost u planiranju i trošenju opštinskog budžeta, pristup javnim uslugama, transparentne postupke javnih nabavki i zapošljavanja, ažuriranje aktivnosti na zvaničnim veb stranicama i jačanje učešća građana u procesima donošenja odluka.</w:t>
      </w:r>
    </w:p>
    <w:p w14:paraId="53D7ECBC" w14:textId="3AC83CDC" w:rsidR="00AD7362"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Akcioni plan za transparentnost opština ima za cilj da obezbedi lak i potpun javni pristup praćenju i sprovođenju opštinskih politika, kroz brzo informisanje, objavljivanje dostupnih podataka, objavljivanje normativnih akata i dokumenata od javnog interesa, kao i povećano učešće građana u procesima donošenja odluka. Glavni cilj Akcionog plana za transparentnost opština jeste da obezbedi otvoreno upravljanje za građane, sveobuhvatno učešće u procesima planiranja i razvoja politika, kao i transparentno i odgovorno upravljanje.</w:t>
      </w:r>
    </w:p>
    <w:p w14:paraId="7D26401D" w14:textId="1AE72CCB" w:rsidR="004F395D"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 xml:space="preserve">                      </w:t>
      </w:r>
    </w:p>
    <w:p w14:paraId="58C8FBBC" w14:textId="0F618748" w:rsidR="004F395D"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Plan takođe ima za cilj da</w:t>
      </w:r>
      <w:r w:rsidR="004F395D" w:rsidRPr="00AD7362">
        <w:rPr>
          <w:rFonts w:asciiTheme="majorHAnsi" w:eastAsia="Times New Roman" w:hAnsiTheme="majorHAnsi" w:cstheme="majorHAnsi"/>
          <w:lang w:val="sr-Latn-RS" w:eastAsia="en-GB"/>
        </w:rPr>
        <w:t>:</w:t>
      </w:r>
    </w:p>
    <w:p w14:paraId="130E260A" w14:textId="77777777" w:rsidR="00AD7362" w:rsidRPr="00AD7362" w:rsidRDefault="00AD7362" w:rsidP="00AD7362">
      <w:pPr>
        <w:numPr>
          <w:ilvl w:val="0"/>
          <w:numId w:val="39"/>
        </w:num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obezbeđivanje jasnog i organizovanog okvira za planiranje, definisanje uloga i odgovornosti za transparentnost opština;</w:t>
      </w:r>
    </w:p>
    <w:p w14:paraId="20D6011C" w14:textId="6C4D1708" w:rsidR="00AD7362" w:rsidRPr="00AD7362" w:rsidRDefault="00AD7362" w:rsidP="00AD7362">
      <w:pPr>
        <w:numPr>
          <w:ilvl w:val="0"/>
          <w:numId w:val="39"/>
        </w:num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jačanje mehanizama lokalne demokratije i povećanje javnog interesovanja za javna pitanja;</w:t>
      </w:r>
    </w:p>
    <w:p w14:paraId="4CF560D8" w14:textId="24175379" w:rsidR="00AD7362" w:rsidRPr="00AD7362" w:rsidRDefault="00AD7362" w:rsidP="00AD7362">
      <w:pPr>
        <w:numPr>
          <w:ilvl w:val="0"/>
          <w:numId w:val="39"/>
        </w:num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unapređenje mehanizama informisanja i podsticanje građana da aktivno učestvuju u donošenju odluka;</w:t>
      </w:r>
    </w:p>
    <w:p w14:paraId="5AFD7A8E" w14:textId="0779FDFD" w:rsidR="00AD7362" w:rsidRPr="00AD7362" w:rsidRDefault="00AD7362" w:rsidP="00AD7362">
      <w:pPr>
        <w:numPr>
          <w:ilvl w:val="0"/>
          <w:numId w:val="39"/>
        </w:num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stvaranje efikasnog sistema upravljanja, gde se donošenje odluka zasniva na tačnim podacima i informacijama.</w:t>
      </w:r>
    </w:p>
    <w:p w14:paraId="252BE3FB" w14:textId="77777777" w:rsidR="00AD7362" w:rsidRPr="005901F4" w:rsidRDefault="00AD7362" w:rsidP="00AD7362">
      <w:pPr>
        <w:spacing w:before="100" w:beforeAutospacing="1" w:after="100" w:afterAutospacing="1" w:line="276" w:lineRule="auto"/>
        <w:ind w:left="720"/>
        <w:rPr>
          <w:rFonts w:asciiTheme="majorHAnsi" w:eastAsia="Times New Roman" w:hAnsiTheme="majorHAnsi" w:cstheme="majorHAnsi"/>
          <w:lang w:val="sr-Latn-RS" w:eastAsia="en-GB"/>
        </w:rPr>
      </w:pPr>
    </w:p>
    <w:p w14:paraId="3C8EAD22" w14:textId="4894D142" w:rsidR="00AD7362"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 xml:space="preserve">Podaci praćenja za izveštajni period pokazuju da je 23 opštine (60%) objavilo Akcioni plan transparentnosti, dok 15 opština (40%) nije objavilo ovaj plan. </w:t>
      </w:r>
    </w:p>
    <w:p w14:paraId="26E0EB6E" w14:textId="43B2C725" w:rsidR="00AD7362" w:rsidRPr="00AD7362"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r w:rsidRPr="00AD7362">
        <w:rPr>
          <w:rFonts w:asciiTheme="majorHAnsi" w:eastAsia="Times New Roman" w:hAnsiTheme="majorHAnsi" w:cstheme="majorHAnsi"/>
          <w:lang w:val="sr-Latn-RS" w:eastAsia="en-GB"/>
        </w:rPr>
        <w:t>Sledi slika koja prikazuje broj opština koje su objavile Akcioni plan transparentnosti.</w:t>
      </w:r>
    </w:p>
    <w:p w14:paraId="34308032" w14:textId="77777777" w:rsidR="00AD7362" w:rsidRPr="005901F4" w:rsidRDefault="00AD7362" w:rsidP="004F395D">
      <w:pPr>
        <w:spacing w:before="100" w:beforeAutospacing="1" w:after="100" w:afterAutospacing="1" w:line="276" w:lineRule="auto"/>
        <w:rPr>
          <w:rFonts w:asciiTheme="majorHAnsi" w:eastAsia="Times New Roman" w:hAnsiTheme="majorHAnsi" w:cstheme="majorHAnsi"/>
          <w:lang w:val="sr-Latn-RS" w:eastAsia="en-GB"/>
        </w:rPr>
      </w:pPr>
    </w:p>
    <w:p w14:paraId="4A9FFF7B" w14:textId="1DB497CE" w:rsidR="00233A97" w:rsidRPr="009D6147" w:rsidRDefault="004F395D" w:rsidP="004F395D">
      <w:pPr>
        <w:spacing w:before="100" w:beforeAutospacing="1" w:after="100" w:afterAutospacing="1" w:line="276" w:lineRule="auto"/>
        <w:rPr>
          <w:rFonts w:asciiTheme="majorHAnsi" w:eastAsia="Times New Roman" w:hAnsiTheme="majorHAnsi" w:cstheme="majorHAnsi"/>
          <w:lang w:val="en-GB" w:eastAsia="en-GB"/>
        </w:rPr>
      </w:pPr>
      <w:r w:rsidRPr="009D6147">
        <w:rPr>
          <w:rFonts w:asciiTheme="majorHAnsi" w:hAnsiTheme="majorHAnsi" w:cstheme="majorHAnsi"/>
          <w:noProof/>
          <w:lang w:eastAsia="sq-AL"/>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a16="http://schemas.microsoft.com/office/drawing/2014/main" id="{8DDD648F-C6BA-4B69-A08D-32D774F24C3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D648F-C6BA-4B69-A08D-32D774F24C3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D648F-C6BA-4B69-A08D-32D774F24C3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5731510" cy="1553210"/>
                        </a:xfrm>
                        <a:prstGeom prst="rect">
                          <a:avLst/>
                        </a:prstGeom>
                      </pic:spPr>
                    </pic:pic>
                  </a:graphicData>
                </a:graphic>
              </wp:inline>
            </w:drawing>
          </mc:Fallback>
        </mc:AlternateContent>
      </w:r>
    </w:p>
    <w:p w14:paraId="7718E1DB" w14:textId="7D15A793" w:rsidR="00524F9B" w:rsidRPr="00AD7362" w:rsidRDefault="007D5DA2" w:rsidP="006257DA">
      <w:pPr>
        <w:pStyle w:val="ListParagraph"/>
        <w:tabs>
          <w:tab w:val="left" w:pos="900"/>
        </w:tabs>
        <w:autoSpaceDE w:val="0"/>
        <w:autoSpaceDN w:val="0"/>
        <w:adjustRightInd w:val="0"/>
        <w:spacing w:after="240" w:line="276" w:lineRule="auto"/>
        <w:ind w:left="540"/>
        <w:jc w:val="center"/>
        <w:rPr>
          <w:rFonts w:asciiTheme="majorHAnsi" w:eastAsia="Times New Roman" w:hAnsiTheme="majorHAnsi" w:cstheme="majorHAnsi"/>
          <w:i/>
          <w:color w:val="000000" w:themeColor="text1"/>
          <w:sz w:val="14"/>
          <w:szCs w:val="14"/>
          <w:lang w:val="sr-Latn-RS"/>
        </w:rPr>
      </w:pPr>
      <w:r>
        <w:rPr>
          <w:rFonts w:asciiTheme="majorHAnsi" w:eastAsia="Times New Roman" w:hAnsiTheme="majorHAnsi" w:cstheme="majorHAnsi"/>
          <w:i/>
          <w:color w:val="000000" w:themeColor="text1"/>
          <w:sz w:val="14"/>
          <w:szCs w:val="14"/>
          <w:lang w:val="sr-Latn-RS"/>
        </w:rPr>
        <w:t>Sl.</w:t>
      </w:r>
      <w:r w:rsidR="002E0F9F" w:rsidRPr="00AD7362">
        <w:rPr>
          <w:rFonts w:asciiTheme="majorHAnsi" w:eastAsia="Times New Roman" w:hAnsiTheme="majorHAnsi" w:cstheme="majorHAnsi"/>
          <w:i/>
          <w:color w:val="000000" w:themeColor="text1"/>
          <w:sz w:val="14"/>
          <w:szCs w:val="14"/>
          <w:lang w:val="sr-Latn-RS"/>
        </w:rPr>
        <w:t xml:space="preserve"> </w:t>
      </w:r>
      <w:r w:rsidR="00BF0C04" w:rsidRPr="00AD7362">
        <w:rPr>
          <w:rFonts w:asciiTheme="majorHAnsi" w:eastAsia="Times New Roman" w:hAnsiTheme="majorHAnsi" w:cstheme="majorHAnsi"/>
          <w:i/>
          <w:color w:val="000000" w:themeColor="text1"/>
          <w:sz w:val="14"/>
          <w:szCs w:val="14"/>
          <w:lang w:val="sr-Latn-RS"/>
        </w:rPr>
        <w:t>13</w:t>
      </w:r>
      <w:r w:rsidR="002E0F9F" w:rsidRPr="00AD7362">
        <w:rPr>
          <w:rFonts w:asciiTheme="majorHAnsi" w:eastAsia="Times New Roman" w:hAnsiTheme="majorHAnsi" w:cstheme="majorHAnsi"/>
          <w:i/>
          <w:color w:val="000000" w:themeColor="text1"/>
          <w:sz w:val="14"/>
          <w:szCs w:val="14"/>
          <w:lang w:val="sr-Latn-RS"/>
        </w:rPr>
        <w:t xml:space="preserve">. </w:t>
      </w:r>
      <w:r w:rsidR="00AD7362" w:rsidRPr="00AD7362">
        <w:rPr>
          <w:rFonts w:asciiTheme="majorHAnsi" w:eastAsia="Times New Roman" w:hAnsiTheme="majorHAnsi" w:cstheme="majorHAnsi"/>
          <w:i/>
          <w:color w:val="000000" w:themeColor="text1"/>
          <w:sz w:val="14"/>
          <w:szCs w:val="14"/>
          <w:lang w:val="sr-Latn-RS"/>
        </w:rPr>
        <w:t xml:space="preserve"> Akcioni plan opštinske transparentnosti  </w:t>
      </w:r>
    </w:p>
    <w:p w14:paraId="46150BE5" w14:textId="715A40AD" w:rsidR="004F395D" w:rsidRPr="004F395D" w:rsidRDefault="00D9422C" w:rsidP="004F395D">
      <w:pPr>
        <w:spacing w:before="100" w:beforeAutospacing="1" w:after="100" w:afterAutospacing="1" w:line="276" w:lineRule="auto"/>
        <w:outlineLvl w:val="1"/>
        <w:rPr>
          <w:rFonts w:asciiTheme="majorHAnsi" w:eastAsia="Times New Roman" w:hAnsiTheme="majorHAnsi" w:cstheme="majorHAnsi"/>
          <w:b/>
          <w:bCs/>
          <w:lang w:eastAsia="en-GB"/>
        </w:rPr>
      </w:pPr>
      <w:bookmarkStart w:id="46" w:name="_Toc230183739"/>
      <w:r w:rsidRPr="00D9422C">
        <w:rPr>
          <w:rFonts w:asciiTheme="majorHAnsi" w:eastAsia="Times New Roman" w:hAnsiTheme="majorHAnsi" w:cstheme="majorHAnsi"/>
          <w:b/>
          <w:bCs/>
          <w:lang w:eastAsia="en-GB"/>
        </w:rPr>
        <w:t>PROPISI O TRANSPARENTNOSTI OPŠTINA</w:t>
      </w:r>
      <w:bookmarkEnd w:id="46"/>
      <w:r>
        <w:rPr>
          <w:rFonts w:asciiTheme="majorHAnsi" w:eastAsia="Times New Roman" w:hAnsiTheme="majorHAnsi" w:cstheme="majorHAnsi"/>
          <w:b/>
          <w:bCs/>
          <w:lang w:eastAsia="en-GB"/>
        </w:rPr>
        <w:t xml:space="preserve">               </w:t>
      </w:r>
    </w:p>
    <w:p w14:paraId="4E25EE7F" w14:textId="64CA9118" w:rsidR="00D9422C" w:rsidRPr="00D9422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D9422C">
        <w:rPr>
          <w:rFonts w:asciiTheme="majorHAnsi" w:eastAsia="Times New Roman" w:hAnsiTheme="majorHAnsi" w:cstheme="majorHAnsi"/>
          <w:lang w:val="sr-Latn-RS" w:eastAsia="en-GB"/>
        </w:rPr>
        <w:lastRenderedPageBreak/>
        <w:t>Na osnovu Zakona br. 03/L-040 o lokalnoj samoupravi, član 68, stav 68.4, Skupština opštine usvaja opštinski propis kojim se promoviše transparentnost zakonodavnih, izvršnih i upravnih tela opštine, povećavajući učešće javnosti u procesima donošenja odluka na lokalnom nivou i olakšavajući građanima pristup zvaničnim dokumentima opštine.</w:t>
      </w:r>
    </w:p>
    <w:p w14:paraId="203B5162" w14:textId="77777777" w:rsidR="00D9422C" w:rsidRPr="00D9422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D9422C">
        <w:rPr>
          <w:rFonts w:asciiTheme="majorHAnsi" w:eastAsia="Times New Roman" w:hAnsiTheme="majorHAnsi" w:cstheme="majorHAnsi"/>
          <w:lang w:val="sr-Latn-RS" w:eastAsia="en-GB"/>
        </w:rPr>
        <w:t>Podaci sa zvaničnih veb stranica opština pokazuju da je za period januar–decembar 2025. godine 22 opštine (58%) objavilo Propis o transparentnosti, dok 16 opština (42%) nije objavilo ovaj propis.</w:t>
      </w:r>
    </w:p>
    <w:p w14:paraId="2BACFFC2" w14:textId="3325C489" w:rsidR="00D9422C" w:rsidRPr="00D9422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D9422C">
        <w:rPr>
          <w:rFonts w:asciiTheme="majorHAnsi" w:eastAsia="Times New Roman" w:hAnsiTheme="majorHAnsi" w:cstheme="majorHAnsi"/>
          <w:lang w:val="sr-Latn-RS" w:eastAsia="en-GB"/>
        </w:rPr>
        <w:t>U nastavku je prikazan broj opština koje su objavile Propis o transparentnosti.</w:t>
      </w:r>
    </w:p>
    <w:p w14:paraId="307617F9" w14:textId="4A2D227B" w:rsidR="004F395D" w:rsidRPr="004F395D" w:rsidRDefault="00D9422C" w:rsidP="00D9422C">
      <w:pPr>
        <w:spacing w:before="100" w:beforeAutospacing="1" w:after="100" w:afterAutospacing="1" w:line="276"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                 </w:t>
      </w:r>
    </w:p>
    <w:p w14:paraId="77712EEB" w14:textId="048C16F4" w:rsidR="00B73E46" w:rsidRPr="009D6147" w:rsidRDefault="00280BB6" w:rsidP="00A70BC5">
      <w:pPr>
        <w:spacing w:after="0" w:line="276" w:lineRule="auto"/>
        <w:rPr>
          <w:rFonts w:asciiTheme="majorHAnsi" w:hAnsiTheme="majorHAnsi" w:cstheme="majorHAnsi"/>
        </w:rPr>
      </w:pPr>
      <w:r w:rsidRPr="009D6147">
        <w:rPr>
          <w:rFonts w:asciiTheme="majorHAnsi" w:hAnsiTheme="majorHAnsi" w:cstheme="majorHAnsi"/>
          <w:noProof/>
          <w:lang w:eastAsia="sq-AL"/>
        </w:rPr>
        <w:drawing>
          <wp:inline distT="0" distB="0" distL="0" distR="0" wp14:anchorId="0D5948A3" wp14:editId="4E3BAEAB">
            <wp:extent cx="5731510" cy="1720800"/>
            <wp:effectExtent l="0" t="0" r="2540" b="13335"/>
            <wp:docPr id="54" name="Chart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982C57-F45D-455C-BCED-C9EB77796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53E8B3" w14:textId="77777777" w:rsidR="006257DA" w:rsidRPr="00224BE6" w:rsidRDefault="006257DA" w:rsidP="006257DA">
      <w:pPr>
        <w:spacing w:after="0" w:line="276" w:lineRule="auto"/>
        <w:rPr>
          <w:rFonts w:asciiTheme="majorHAnsi" w:hAnsiTheme="majorHAnsi" w:cstheme="majorHAnsi"/>
          <w:sz w:val="20"/>
          <w:szCs w:val="20"/>
        </w:rPr>
      </w:pPr>
    </w:p>
    <w:p w14:paraId="2B4AE7EF" w14:textId="2A37BC0A" w:rsidR="00222E8C" w:rsidRPr="00D9422C" w:rsidRDefault="007D5DA2" w:rsidP="006257DA">
      <w:pPr>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rPr>
        <w:t>Sl</w:t>
      </w:r>
      <w:r w:rsidR="00927A52" w:rsidRPr="00224BE6">
        <w:rPr>
          <w:rFonts w:asciiTheme="majorHAnsi" w:hAnsiTheme="majorHAnsi" w:cstheme="majorHAnsi"/>
          <w:i/>
          <w:sz w:val="14"/>
          <w:szCs w:val="14"/>
        </w:rPr>
        <w:t>.</w:t>
      </w:r>
      <w:r w:rsidR="00BF0C04" w:rsidRPr="00224BE6">
        <w:rPr>
          <w:rFonts w:asciiTheme="majorHAnsi" w:hAnsiTheme="majorHAnsi" w:cstheme="majorHAnsi"/>
          <w:i/>
          <w:sz w:val="14"/>
          <w:szCs w:val="14"/>
        </w:rPr>
        <w:t>14</w:t>
      </w:r>
      <w:r w:rsidR="00927A52" w:rsidRPr="00224BE6">
        <w:rPr>
          <w:rFonts w:asciiTheme="majorHAnsi" w:hAnsiTheme="majorHAnsi" w:cstheme="majorHAnsi"/>
          <w:i/>
          <w:sz w:val="14"/>
          <w:szCs w:val="14"/>
        </w:rPr>
        <w:t xml:space="preserve"> </w:t>
      </w:r>
      <w:r w:rsidR="00D9422C">
        <w:rPr>
          <w:rFonts w:asciiTheme="majorHAnsi" w:hAnsiTheme="majorHAnsi" w:cstheme="majorHAnsi"/>
          <w:i/>
          <w:sz w:val="14"/>
          <w:szCs w:val="14"/>
        </w:rPr>
        <w:t xml:space="preserve">   </w:t>
      </w:r>
      <w:r w:rsidR="00D9422C" w:rsidRPr="00D9422C">
        <w:rPr>
          <w:rFonts w:asciiTheme="majorHAnsi" w:hAnsiTheme="majorHAnsi" w:cstheme="majorHAnsi"/>
          <w:i/>
          <w:sz w:val="14"/>
          <w:szCs w:val="14"/>
          <w:lang w:val="sr-Latn-RS"/>
        </w:rPr>
        <w:t xml:space="preserve">Objavljivanje uredbe o transparentnosti u opštinama         </w:t>
      </w:r>
      <w:r w:rsidR="00927A52" w:rsidRPr="00D9422C">
        <w:rPr>
          <w:rFonts w:asciiTheme="majorHAnsi" w:hAnsiTheme="majorHAnsi" w:cstheme="majorHAnsi"/>
          <w:i/>
          <w:sz w:val="14"/>
          <w:szCs w:val="14"/>
          <w:lang w:val="sr-Latn-RS"/>
        </w:rPr>
        <w:t xml:space="preserve"> </w:t>
      </w:r>
      <w:bookmarkStart w:id="47" w:name="_Toc163220245"/>
      <w:bookmarkStart w:id="48" w:name="_Toc56692985"/>
      <w:bookmarkStart w:id="49" w:name="_Toc81401211"/>
      <w:bookmarkStart w:id="50" w:name="_Toc85812816"/>
    </w:p>
    <w:p w14:paraId="0F466134" w14:textId="1E9E75B4" w:rsidR="002923CE" w:rsidRPr="00FA527C" w:rsidRDefault="007D5DA2" w:rsidP="004F395D">
      <w:pPr>
        <w:pStyle w:val="Style3"/>
        <w:spacing w:line="276" w:lineRule="auto"/>
        <w:rPr>
          <w:rFonts w:eastAsia="Times New Roman" w:cstheme="majorHAnsi"/>
          <w:sz w:val="22"/>
          <w:szCs w:val="22"/>
          <w:lang w:val="sr-Latn-RS" w:eastAsia="en-GB"/>
        </w:rPr>
      </w:pPr>
      <w:bookmarkStart w:id="51" w:name="_Toc230183740"/>
      <w:r>
        <w:rPr>
          <w:rFonts w:eastAsia="Times New Roman" w:cstheme="majorHAnsi"/>
          <w:sz w:val="22"/>
          <w:szCs w:val="22"/>
          <w:lang w:val="sr-Latn-RS" w:eastAsia="en-GB"/>
        </w:rPr>
        <w:t xml:space="preserve">Plan </w:t>
      </w:r>
      <w:r w:rsidR="002923CE" w:rsidRPr="00FA527C">
        <w:rPr>
          <w:rFonts w:eastAsia="Times New Roman" w:cstheme="majorHAnsi"/>
          <w:sz w:val="22"/>
          <w:szCs w:val="22"/>
          <w:lang w:val="sr-Latn-RS" w:eastAsia="en-GB"/>
        </w:rPr>
        <w:t xml:space="preserve"> </w:t>
      </w:r>
      <w:r w:rsidR="00FA527C" w:rsidRPr="00FA527C">
        <w:rPr>
          <w:rFonts w:eastAsia="Times New Roman" w:cstheme="majorHAnsi"/>
          <w:sz w:val="22"/>
          <w:szCs w:val="22"/>
          <w:lang w:val="sr-Latn-RS" w:eastAsia="en-GB"/>
        </w:rPr>
        <w:t>i</w:t>
      </w:r>
      <w:r w:rsidR="002923CE" w:rsidRPr="00FA527C">
        <w:rPr>
          <w:rFonts w:eastAsia="Times New Roman" w:cstheme="majorHAnsi"/>
          <w:sz w:val="22"/>
          <w:szCs w:val="22"/>
          <w:lang w:val="sr-Latn-RS" w:eastAsia="en-GB"/>
        </w:rPr>
        <w:t>ntegritet</w:t>
      </w:r>
      <w:r w:rsidR="00D9422C" w:rsidRPr="00FA527C">
        <w:rPr>
          <w:rFonts w:eastAsia="Times New Roman" w:cstheme="majorHAnsi"/>
          <w:sz w:val="22"/>
          <w:szCs w:val="22"/>
          <w:lang w:val="sr-Latn-RS" w:eastAsia="en-GB"/>
        </w:rPr>
        <w:t>a</w:t>
      </w:r>
      <w:bookmarkEnd w:id="51"/>
    </w:p>
    <w:p w14:paraId="70DEB672" w14:textId="03792CC3" w:rsidR="00D9422C" w:rsidRPr="00FA527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Plan integriteta predstavlja suštinski instrument za obezbeđivanje transparentnosti, odgovornosti i dobrog upravljanja u javnim institucijama. Kroz ovaj plan, institucije identifikuju i procenjuju potencijalne rizike od korupcije, definišu preventivne mere i mehanizme kontrole, i jačaju institucionalni integritet i poverenje javnosti. Na ovaj način, Plan integriteta direktno doprinosi sprečavanju i borbi protiv korupcije, kao i sprovođenju principa vladavine prava.</w:t>
      </w:r>
    </w:p>
    <w:p w14:paraId="2B0A20E3" w14:textId="77777777" w:rsidR="00D9422C" w:rsidRPr="00FA527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Na osnovu Zakona br. 08/L-017 o Agenciji za sprečavanje korupcije, kao i podzakonskih akata i uputstava koje je izdala ova agencija, javne institucije, uključujući opštine, obavezne su da izrade i sprovedu Plan integriteta kao deo mehanizama za sprečavanje korupcije.</w:t>
      </w:r>
    </w:p>
    <w:p w14:paraId="3E9C667A" w14:textId="77777777" w:rsidR="00D9422C" w:rsidRPr="00FA527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U tom kontekstu, u skladu sa relevantnim odredbama ovog zakona i uputstvima za sprovođenje, opštine su obavezne da usvoje Plan integriteta i objave ga na svojim zvaničnim veb stranicama, kako bi se obezbedila transparentnost i javni pristup zvaničnim dokumentima.</w:t>
      </w:r>
    </w:p>
    <w:p w14:paraId="646EA33C" w14:textId="77777777" w:rsidR="00FA527C" w:rsidRPr="00FA527C" w:rsidRDefault="00D9422C" w:rsidP="00D9422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 xml:space="preserve">U nastavku je prikazan broj opština koje su objavile Plan integriteta.    </w:t>
      </w:r>
    </w:p>
    <w:p w14:paraId="1DF5176F" w14:textId="329D3C41" w:rsidR="00572118" w:rsidRPr="009D6147" w:rsidRDefault="00280BB6" w:rsidP="00280BB6">
      <w:pPr>
        <w:spacing w:before="100" w:beforeAutospacing="1" w:after="100" w:afterAutospacing="1" w:line="276" w:lineRule="auto"/>
        <w:rPr>
          <w:rFonts w:asciiTheme="majorHAnsi" w:eastAsia="Times New Roman" w:hAnsiTheme="majorHAnsi" w:cstheme="majorHAnsi"/>
          <w:lang w:eastAsia="en-GB"/>
        </w:rPr>
      </w:pPr>
      <w:r w:rsidRPr="009D6147">
        <w:rPr>
          <w:rFonts w:asciiTheme="majorHAnsi" w:hAnsiTheme="majorHAnsi" w:cstheme="majorHAnsi"/>
          <w:b/>
          <w:bCs/>
          <w:noProof/>
          <w:lang w:eastAsia="sq-AL"/>
        </w:rPr>
        <w:lastRenderedPageBreak/>
        <w:drawing>
          <wp:inline distT="0" distB="0" distL="0" distR="0" wp14:anchorId="32DA6796" wp14:editId="62A8AC5D">
            <wp:extent cx="5946775" cy="1628192"/>
            <wp:effectExtent l="0" t="0" r="15875" b="10160"/>
            <wp:docPr id="59" name="Chart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6A4D21-9193-4029-B754-E456028A2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20FA0" w14:textId="216508C7" w:rsidR="00051CD5" w:rsidRPr="00224BE6" w:rsidRDefault="007D5DA2" w:rsidP="004F395D">
      <w:pPr>
        <w:spacing w:after="240" w:line="276" w:lineRule="auto"/>
        <w:jc w:val="center"/>
        <w:rPr>
          <w:rFonts w:asciiTheme="majorHAnsi" w:hAnsiTheme="majorHAnsi" w:cstheme="majorHAnsi"/>
          <w:i/>
          <w:sz w:val="14"/>
          <w:szCs w:val="14"/>
        </w:rPr>
      </w:pPr>
      <w:r>
        <w:rPr>
          <w:rFonts w:asciiTheme="majorHAnsi" w:hAnsiTheme="majorHAnsi" w:cstheme="majorHAnsi"/>
          <w:i/>
          <w:sz w:val="14"/>
          <w:szCs w:val="14"/>
        </w:rPr>
        <w:t>Sl</w:t>
      </w:r>
      <w:r w:rsidR="002923CE" w:rsidRPr="00224BE6">
        <w:rPr>
          <w:rFonts w:asciiTheme="majorHAnsi" w:hAnsiTheme="majorHAnsi" w:cstheme="majorHAnsi"/>
          <w:i/>
          <w:sz w:val="14"/>
          <w:szCs w:val="14"/>
        </w:rPr>
        <w:t>.1</w:t>
      </w:r>
      <w:r w:rsidR="006A4783" w:rsidRPr="00224BE6">
        <w:rPr>
          <w:rFonts w:asciiTheme="majorHAnsi" w:hAnsiTheme="majorHAnsi" w:cstheme="majorHAnsi"/>
          <w:i/>
          <w:sz w:val="14"/>
          <w:szCs w:val="14"/>
        </w:rPr>
        <w:t>5</w:t>
      </w:r>
      <w:r w:rsidR="002923CE" w:rsidRPr="00224BE6">
        <w:rPr>
          <w:rFonts w:asciiTheme="majorHAnsi" w:hAnsiTheme="majorHAnsi" w:cstheme="majorHAnsi"/>
          <w:i/>
          <w:sz w:val="14"/>
          <w:szCs w:val="14"/>
        </w:rPr>
        <w:t xml:space="preserve"> </w:t>
      </w:r>
      <w:r w:rsidR="00FA527C">
        <w:rPr>
          <w:rFonts w:asciiTheme="majorHAnsi" w:hAnsiTheme="majorHAnsi" w:cstheme="majorHAnsi"/>
          <w:i/>
          <w:sz w:val="14"/>
          <w:szCs w:val="14"/>
        </w:rPr>
        <w:t xml:space="preserve"> </w:t>
      </w:r>
      <w:r w:rsidR="00FA527C" w:rsidRPr="00FA527C">
        <w:rPr>
          <w:rFonts w:asciiTheme="majorHAnsi" w:hAnsiTheme="majorHAnsi" w:cstheme="majorHAnsi"/>
          <w:i/>
          <w:sz w:val="14"/>
          <w:szCs w:val="14"/>
          <w:lang w:val="sr-Latn-RS"/>
        </w:rPr>
        <w:t>Objavljivanje Plana integriteta</w:t>
      </w:r>
      <w:r w:rsidR="00FA527C">
        <w:rPr>
          <w:rFonts w:asciiTheme="majorHAnsi" w:hAnsiTheme="majorHAnsi" w:cstheme="majorHAnsi"/>
          <w:i/>
          <w:sz w:val="14"/>
          <w:szCs w:val="14"/>
        </w:rPr>
        <w:t xml:space="preserve">      </w:t>
      </w:r>
      <w:r w:rsidR="002923CE" w:rsidRPr="00224BE6">
        <w:rPr>
          <w:rFonts w:asciiTheme="majorHAnsi" w:hAnsiTheme="majorHAnsi" w:cstheme="majorHAnsi"/>
          <w:i/>
          <w:sz w:val="14"/>
          <w:szCs w:val="14"/>
        </w:rPr>
        <w:t xml:space="preserve"> </w:t>
      </w:r>
    </w:p>
    <w:p w14:paraId="78E939EE" w14:textId="2BFF782B" w:rsidR="00051CD5" w:rsidRPr="00224BE6" w:rsidRDefault="00026ECD" w:rsidP="00A70BC5">
      <w:pPr>
        <w:pStyle w:val="Style2"/>
        <w:spacing w:line="276" w:lineRule="auto"/>
        <w:rPr>
          <w:rFonts w:asciiTheme="majorHAnsi" w:hAnsiTheme="majorHAnsi" w:cstheme="majorHAnsi"/>
          <w:sz w:val="22"/>
          <w:szCs w:val="24"/>
        </w:rPr>
      </w:pPr>
      <w:bookmarkStart w:id="52" w:name="_Toc230183741"/>
      <w:bookmarkEnd w:id="47"/>
      <w:r w:rsidRPr="00026ECD">
        <w:rPr>
          <w:rFonts w:asciiTheme="majorHAnsi" w:hAnsiTheme="majorHAnsi" w:cstheme="majorHAnsi"/>
          <w:sz w:val="22"/>
          <w:szCs w:val="24"/>
        </w:rPr>
        <w:t>TRANSPARENTNOST GRADONAČELNIKA</w:t>
      </w:r>
      <w:bookmarkEnd w:id="52"/>
      <w:r w:rsidRPr="00026ECD">
        <w:rPr>
          <w:rFonts w:asciiTheme="majorHAnsi" w:hAnsiTheme="majorHAnsi" w:cstheme="majorHAnsi"/>
          <w:sz w:val="22"/>
          <w:szCs w:val="24"/>
        </w:rPr>
        <w:t xml:space="preserve"> </w:t>
      </w:r>
    </w:p>
    <w:p w14:paraId="197A6166" w14:textId="6E47D591" w:rsidR="00FA527C" w:rsidRPr="00FA527C" w:rsidRDefault="00FA527C" w:rsidP="00FA527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Na osnovu Administrativnog uputstva br. 04/2023 o otvorenoj administraciji u opštinama, gradonačelnik obezbeđuje transparentnost u svom procesu donošenja odluka i u radu opštinske administracije. Gradonačelnik je odgovoran za sprovođenje zakona o objavljivanju izvršnih akata i zvaničnih dokumenata, u skladu sa Zakonom br. 06/L-082 o zaštiti ličnih podataka i Zakonom br. 06/L-081 o pristupu javnim dokumentima.</w:t>
      </w:r>
    </w:p>
    <w:p w14:paraId="06F74FF0" w14:textId="77777777" w:rsidR="00FA527C" w:rsidRPr="00FA527C" w:rsidRDefault="00FA527C" w:rsidP="00FA527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U periodu januar–decembar 2025. godine objavljeno je ukupno 3.934 odluke gradonačelnika iz 27 opština (71%), dok 11 opština (29%) nije objavilo nijednu odluku gradonačelnika.</w:t>
      </w:r>
    </w:p>
    <w:p w14:paraId="432D47E2" w14:textId="77777777" w:rsidR="00FA527C" w:rsidRPr="00FA527C" w:rsidRDefault="00FA527C" w:rsidP="00FA527C">
      <w:pPr>
        <w:spacing w:before="100" w:beforeAutospacing="1" w:after="100" w:afterAutospacing="1" w:line="276" w:lineRule="auto"/>
        <w:rPr>
          <w:rFonts w:asciiTheme="majorHAnsi" w:eastAsia="Times New Roman" w:hAnsiTheme="majorHAnsi" w:cstheme="majorHAnsi"/>
          <w:lang w:val="sr-Latn-RS" w:eastAsia="en-GB"/>
        </w:rPr>
      </w:pPr>
      <w:r w:rsidRPr="00FA527C">
        <w:rPr>
          <w:rFonts w:asciiTheme="majorHAnsi" w:eastAsia="Times New Roman" w:hAnsiTheme="majorHAnsi" w:cstheme="majorHAnsi"/>
          <w:lang w:val="sr-Latn-RS" w:eastAsia="en-GB"/>
        </w:rPr>
        <w:t>U nastavku je prikazan broj odluka gradonačelnika.</w:t>
      </w:r>
    </w:p>
    <w:p w14:paraId="105C3CF1" w14:textId="77777777" w:rsidR="00FA527C" w:rsidRDefault="00FA527C" w:rsidP="00FA527C">
      <w:pPr>
        <w:spacing w:before="100" w:beforeAutospacing="1" w:after="100" w:afterAutospacing="1" w:line="276" w:lineRule="auto"/>
        <w:rPr>
          <w:rFonts w:asciiTheme="majorHAnsi" w:eastAsia="Times New Roman" w:hAnsiTheme="majorHAnsi" w:cstheme="majorHAnsi"/>
          <w:lang w:eastAsia="en-GB"/>
        </w:rPr>
      </w:pPr>
    </w:p>
    <w:p w14:paraId="0252FF60" w14:textId="04F1C152" w:rsidR="003F2D54" w:rsidRPr="009D6147" w:rsidRDefault="00AC7AA3" w:rsidP="00A70BC5">
      <w:pPr>
        <w:spacing w:line="276" w:lineRule="auto"/>
        <w:rPr>
          <w:rFonts w:asciiTheme="majorHAnsi" w:hAnsiTheme="majorHAnsi" w:cstheme="majorHAnsi"/>
        </w:rPr>
      </w:pPr>
      <w:r w:rsidRPr="009D6147">
        <w:rPr>
          <w:rFonts w:asciiTheme="majorHAnsi" w:hAnsiTheme="majorHAnsi" w:cstheme="majorHAnsi"/>
          <w:b/>
          <w:bCs/>
          <w:noProof/>
          <w:lang w:eastAsia="sq-AL"/>
        </w:rPr>
        <w:drawing>
          <wp:inline distT="0" distB="0" distL="0" distR="0" wp14:anchorId="49920FC6" wp14:editId="6F738CE8">
            <wp:extent cx="6020435" cy="1562878"/>
            <wp:effectExtent l="0" t="0" r="18415" b="1841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6166F4-5CA0-4FA5-A0BA-03935353C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78F8CD" w14:textId="76141FA7" w:rsidR="007D4ABB" w:rsidRPr="00FA527C" w:rsidRDefault="007D5DA2" w:rsidP="006A4783">
      <w:pPr>
        <w:spacing w:line="276" w:lineRule="auto"/>
        <w:jc w:val="center"/>
        <w:rPr>
          <w:rFonts w:asciiTheme="majorHAnsi" w:hAnsiTheme="majorHAnsi" w:cstheme="majorHAnsi"/>
          <w:i/>
          <w:iCs/>
          <w:sz w:val="14"/>
          <w:szCs w:val="14"/>
          <w:lang w:val="sr-Latn-RS"/>
        </w:rPr>
      </w:pPr>
      <w:r>
        <w:rPr>
          <w:rFonts w:asciiTheme="majorHAnsi" w:hAnsiTheme="majorHAnsi" w:cstheme="majorHAnsi"/>
          <w:i/>
          <w:sz w:val="14"/>
          <w:szCs w:val="14"/>
          <w:lang w:val="sr-Latn-RS"/>
        </w:rPr>
        <w:t>Sl.</w:t>
      </w:r>
      <w:r w:rsidR="00A85CE9" w:rsidRPr="00FA527C">
        <w:rPr>
          <w:rFonts w:asciiTheme="majorHAnsi" w:hAnsiTheme="majorHAnsi" w:cstheme="majorHAnsi"/>
          <w:i/>
          <w:sz w:val="14"/>
          <w:szCs w:val="14"/>
          <w:lang w:val="sr-Latn-RS"/>
        </w:rPr>
        <w:t xml:space="preserve"> 1</w:t>
      </w:r>
      <w:r w:rsidR="006A4783" w:rsidRPr="00FA527C">
        <w:rPr>
          <w:rFonts w:asciiTheme="majorHAnsi" w:hAnsiTheme="majorHAnsi" w:cstheme="majorHAnsi"/>
          <w:i/>
          <w:sz w:val="14"/>
          <w:szCs w:val="14"/>
          <w:lang w:val="sr-Latn-RS"/>
        </w:rPr>
        <w:t>6</w:t>
      </w:r>
      <w:r w:rsidR="00FA527C" w:rsidRPr="00FA527C">
        <w:rPr>
          <w:rFonts w:asciiTheme="majorHAnsi" w:hAnsiTheme="majorHAnsi" w:cstheme="majorHAnsi"/>
          <w:i/>
          <w:sz w:val="14"/>
          <w:szCs w:val="14"/>
          <w:lang w:val="sr-Latn-RS"/>
        </w:rPr>
        <w:t xml:space="preserve"> Objavljivanje odluka gradonačelnika  </w:t>
      </w:r>
      <w:r w:rsidR="007D4ABB" w:rsidRPr="00FA527C">
        <w:rPr>
          <w:rFonts w:asciiTheme="majorHAnsi" w:hAnsiTheme="majorHAnsi" w:cstheme="majorHAnsi"/>
          <w:i/>
          <w:iCs/>
          <w:sz w:val="14"/>
          <w:szCs w:val="14"/>
          <w:lang w:val="sr-Latn-RS"/>
        </w:rPr>
        <w:t xml:space="preserve"> </w:t>
      </w:r>
    </w:p>
    <w:p w14:paraId="0BA66FAF" w14:textId="77777777" w:rsidR="00594BD1" w:rsidRPr="009D6147" w:rsidRDefault="00594BD1" w:rsidP="00A70BC5">
      <w:pPr>
        <w:spacing w:line="276" w:lineRule="auto"/>
        <w:rPr>
          <w:rFonts w:asciiTheme="majorHAnsi" w:hAnsiTheme="majorHAnsi" w:cstheme="majorHAnsi"/>
          <w:i/>
          <w:iCs/>
          <w:sz w:val="16"/>
          <w:szCs w:val="16"/>
        </w:rPr>
      </w:pPr>
    </w:p>
    <w:p w14:paraId="15F8B8BD" w14:textId="57C70712" w:rsidR="00F146C3" w:rsidRPr="00224BE6" w:rsidRDefault="00FA527C" w:rsidP="006A4783">
      <w:pPr>
        <w:pStyle w:val="Style2"/>
        <w:rPr>
          <w:rFonts w:asciiTheme="majorHAnsi" w:hAnsiTheme="majorHAnsi" w:cstheme="majorHAnsi"/>
          <w:sz w:val="22"/>
          <w:szCs w:val="24"/>
        </w:rPr>
      </w:pPr>
      <w:bookmarkStart w:id="53" w:name="_Toc230183742"/>
      <w:r w:rsidRPr="00FA527C">
        <w:rPr>
          <w:rFonts w:asciiTheme="majorHAnsi" w:hAnsiTheme="majorHAnsi" w:cstheme="majorHAnsi"/>
          <w:sz w:val="22"/>
          <w:szCs w:val="24"/>
        </w:rPr>
        <w:t>OBJAVLJIVANJE GODIŠNJEG PLANA GRADONAČELNIKA</w:t>
      </w:r>
      <w:bookmarkEnd w:id="53"/>
      <w:r>
        <w:rPr>
          <w:rFonts w:asciiTheme="majorHAnsi" w:hAnsiTheme="majorHAnsi" w:cstheme="majorHAnsi"/>
          <w:sz w:val="22"/>
          <w:szCs w:val="24"/>
        </w:rPr>
        <w:t xml:space="preserve">          </w:t>
      </w:r>
    </w:p>
    <w:p w14:paraId="01D3E94E" w14:textId="620D2EC1" w:rsidR="00F146C3" w:rsidRPr="009D6147" w:rsidRDefault="00F146C3" w:rsidP="00A70BC5">
      <w:pPr>
        <w:spacing w:line="276" w:lineRule="auto"/>
        <w:rPr>
          <w:rFonts w:asciiTheme="majorHAnsi" w:hAnsiTheme="majorHAnsi" w:cstheme="majorHAnsi"/>
          <w:i/>
          <w:iCs/>
          <w:sz w:val="16"/>
          <w:szCs w:val="16"/>
        </w:rPr>
      </w:pPr>
    </w:p>
    <w:p w14:paraId="3F6F36BB" w14:textId="4E04E7E3" w:rsidR="00E86C66" w:rsidRPr="00D12A0E" w:rsidRDefault="00E86C66" w:rsidP="00E86C66">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Administrativno uputstvo (MALS) br. 04/2023 o otvorenoj administraciji u opštinama propisuje da su opštine obavezne da objave sva zvanična dokumenta, uključujući i Godišnji plan rada gradonačelnika i uprava.</w:t>
      </w:r>
    </w:p>
    <w:p w14:paraId="289383FE" w14:textId="25D09A35" w:rsidR="00E86C66" w:rsidRPr="00D12A0E" w:rsidRDefault="00E86C66" w:rsidP="00E86C66">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lastRenderedPageBreak/>
        <w:t xml:space="preserve">Plan rada gradonačelnika za period januar-decembar 2025. </w:t>
      </w:r>
      <w:r w:rsidR="00D12A0E" w:rsidRPr="00D12A0E">
        <w:rPr>
          <w:rFonts w:asciiTheme="majorHAnsi" w:eastAsia="Times New Roman" w:hAnsiTheme="majorHAnsi" w:cstheme="majorHAnsi"/>
          <w:lang w:val="sr-Latn-RS" w:eastAsia="en-GB"/>
        </w:rPr>
        <w:t>g</w:t>
      </w:r>
      <w:r w:rsidRPr="00D12A0E">
        <w:rPr>
          <w:rFonts w:asciiTheme="majorHAnsi" w:eastAsia="Times New Roman" w:hAnsiTheme="majorHAnsi" w:cstheme="majorHAnsi"/>
          <w:lang w:val="sr-Latn-RS" w:eastAsia="en-GB"/>
        </w:rPr>
        <w:t>odine, je objavilo 20 opština (53%), dok 18 opština (47%) nije objavilo nijedan Plan rada gradonačelnika.</w:t>
      </w:r>
    </w:p>
    <w:p w14:paraId="3E3B7BDE" w14:textId="77777777" w:rsidR="00E86C66" w:rsidRPr="00D12A0E" w:rsidRDefault="00E86C66" w:rsidP="00E86C66">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Pozivajući se na podatke iz Izveštaja o proceni transparentnosti za 2024. godinu, gde je objavljeno 24 plana rada gradonačelnika, primećuje se smanjenje od četiri (4) opštine u 2025. godini u poređenju sa prethodnom godinom.</w:t>
      </w:r>
    </w:p>
    <w:p w14:paraId="00037D68" w14:textId="4EB8AEC8" w:rsidR="00E86C66" w:rsidRPr="00D12A0E" w:rsidRDefault="00E86C66" w:rsidP="00E86C66">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U nastavku je tabela koja prikazuje broj opština koje su objavile Plan rada gradonačelnika.</w:t>
      </w:r>
    </w:p>
    <w:p w14:paraId="43199ED1" w14:textId="2D40CCAD" w:rsidR="006D764B" w:rsidRPr="006D764B" w:rsidRDefault="00E86C66" w:rsidP="00E86C66">
      <w:pPr>
        <w:spacing w:before="100" w:beforeAutospacing="1" w:after="100" w:afterAutospacing="1" w:line="276"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   </w:t>
      </w:r>
    </w:p>
    <w:p w14:paraId="34529DC7" w14:textId="53920566" w:rsidR="00EA21F2" w:rsidRPr="009D6147" w:rsidRDefault="00EA21F2" w:rsidP="00A70BC5">
      <w:pPr>
        <w:spacing w:line="276" w:lineRule="auto"/>
        <w:rPr>
          <w:rFonts w:asciiTheme="majorHAnsi" w:hAnsiTheme="majorHAnsi" w:cstheme="majorHAnsi"/>
          <w:noProof/>
        </w:rPr>
      </w:pPr>
      <w:r w:rsidRPr="009D6147">
        <w:rPr>
          <w:rFonts w:asciiTheme="majorHAnsi" w:hAnsiTheme="majorHAnsi" w:cstheme="majorHAnsi"/>
          <w:noProof/>
          <w:lang w:eastAsia="sq-AL"/>
        </w:rPr>
        <w:drawing>
          <wp:inline distT="0" distB="0" distL="0" distR="0" wp14:anchorId="7DE30B6C" wp14:editId="42E21EDF">
            <wp:extent cx="5731510" cy="1879240"/>
            <wp:effectExtent l="0" t="0" r="2540" b="698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EE2B83-4AE9-4BF7-ADDB-02C900D1C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95FC97" w14:textId="1003DFCD" w:rsidR="001322CD" w:rsidRPr="00D12A0E" w:rsidRDefault="007D5DA2" w:rsidP="006A4783">
      <w:pPr>
        <w:spacing w:line="276" w:lineRule="auto"/>
        <w:jc w:val="center"/>
        <w:rPr>
          <w:rFonts w:asciiTheme="majorHAnsi" w:hAnsiTheme="majorHAnsi" w:cstheme="majorHAnsi"/>
          <w:i/>
          <w:sz w:val="14"/>
          <w:szCs w:val="14"/>
          <w:lang w:val="sr-Latn-RS"/>
        </w:rPr>
      </w:pPr>
      <w:r>
        <w:rPr>
          <w:rFonts w:asciiTheme="majorHAnsi" w:hAnsiTheme="majorHAnsi" w:cstheme="majorHAnsi"/>
          <w:i/>
          <w:sz w:val="14"/>
          <w:szCs w:val="14"/>
        </w:rPr>
        <w:t>Sl</w:t>
      </w:r>
      <w:r w:rsidR="00A85CE9" w:rsidRPr="00224BE6">
        <w:rPr>
          <w:rFonts w:asciiTheme="majorHAnsi" w:hAnsiTheme="majorHAnsi" w:cstheme="majorHAnsi"/>
          <w:i/>
          <w:sz w:val="14"/>
          <w:szCs w:val="14"/>
        </w:rPr>
        <w:t>. 1</w:t>
      </w:r>
      <w:r w:rsidR="006A4783" w:rsidRPr="00224BE6">
        <w:rPr>
          <w:rFonts w:asciiTheme="majorHAnsi" w:hAnsiTheme="majorHAnsi" w:cstheme="majorHAnsi"/>
          <w:i/>
          <w:sz w:val="14"/>
          <w:szCs w:val="14"/>
        </w:rPr>
        <w:t>7</w:t>
      </w:r>
      <w:r w:rsidR="00A85CE9" w:rsidRPr="00224BE6">
        <w:rPr>
          <w:rFonts w:asciiTheme="majorHAnsi" w:hAnsiTheme="majorHAnsi" w:cstheme="majorHAnsi"/>
          <w:i/>
          <w:iCs/>
          <w:sz w:val="14"/>
          <w:szCs w:val="14"/>
        </w:rPr>
        <w:t xml:space="preserve"> </w:t>
      </w:r>
      <w:r w:rsidR="00D12A0E">
        <w:rPr>
          <w:rFonts w:asciiTheme="majorHAnsi" w:hAnsiTheme="majorHAnsi" w:cstheme="majorHAnsi"/>
          <w:i/>
          <w:iCs/>
          <w:sz w:val="14"/>
          <w:szCs w:val="14"/>
        </w:rPr>
        <w:t xml:space="preserve"> </w:t>
      </w:r>
      <w:r w:rsidR="00D12A0E" w:rsidRPr="00D12A0E">
        <w:rPr>
          <w:rFonts w:asciiTheme="majorHAnsi" w:hAnsiTheme="majorHAnsi" w:cstheme="majorHAnsi"/>
          <w:i/>
          <w:iCs/>
          <w:sz w:val="14"/>
          <w:szCs w:val="14"/>
          <w:lang w:val="sr-Latn-RS"/>
        </w:rPr>
        <w:t xml:space="preserve">Objavljivanje godišnjeg plana rada gradonačelnika   </w:t>
      </w:r>
    </w:p>
    <w:p w14:paraId="4EB3926B" w14:textId="77777777" w:rsidR="00051CD5" w:rsidRPr="009D6147" w:rsidRDefault="00051CD5" w:rsidP="006A4783">
      <w:pPr>
        <w:spacing w:line="276" w:lineRule="auto"/>
        <w:jc w:val="center"/>
        <w:rPr>
          <w:rFonts w:asciiTheme="majorHAnsi" w:hAnsiTheme="majorHAnsi" w:cstheme="majorHAnsi"/>
          <w:i/>
          <w:iCs/>
          <w:sz w:val="16"/>
          <w:szCs w:val="16"/>
        </w:rPr>
      </w:pPr>
    </w:p>
    <w:p w14:paraId="1B03269E" w14:textId="44801132" w:rsidR="006A4783" w:rsidRPr="00224BE6" w:rsidRDefault="00D12A0E" w:rsidP="006A4783">
      <w:pPr>
        <w:pStyle w:val="Style2"/>
        <w:rPr>
          <w:rFonts w:asciiTheme="majorHAnsi" w:hAnsiTheme="majorHAnsi" w:cstheme="majorHAnsi"/>
          <w:sz w:val="22"/>
          <w:szCs w:val="24"/>
        </w:rPr>
      </w:pPr>
      <w:r>
        <w:rPr>
          <w:rFonts w:asciiTheme="majorHAnsi" w:hAnsiTheme="majorHAnsi" w:cstheme="majorHAnsi"/>
          <w:sz w:val="22"/>
          <w:szCs w:val="24"/>
        </w:rPr>
        <w:t xml:space="preserve"> </w:t>
      </w:r>
      <w:bookmarkStart w:id="54" w:name="_Toc230183743"/>
      <w:r w:rsidRPr="00D12A0E">
        <w:rPr>
          <w:rFonts w:asciiTheme="majorHAnsi" w:hAnsiTheme="majorHAnsi" w:cstheme="majorHAnsi"/>
          <w:sz w:val="22"/>
          <w:szCs w:val="24"/>
        </w:rPr>
        <w:t xml:space="preserve">OBJAVLJIVANJE IZVEŠTAJA </w:t>
      </w:r>
      <w:r>
        <w:rPr>
          <w:rFonts w:asciiTheme="majorHAnsi" w:hAnsiTheme="majorHAnsi" w:cstheme="majorHAnsi"/>
          <w:sz w:val="22"/>
          <w:szCs w:val="24"/>
        </w:rPr>
        <w:t>gradonačelnika</w:t>
      </w:r>
      <w:bookmarkEnd w:id="54"/>
      <w:r>
        <w:rPr>
          <w:rFonts w:asciiTheme="majorHAnsi" w:hAnsiTheme="majorHAnsi" w:cstheme="majorHAnsi"/>
          <w:sz w:val="22"/>
          <w:szCs w:val="24"/>
        </w:rPr>
        <w:t xml:space="preserve">                </w:t>
      </w:r>
    </w:p>
    <w:p w14:paraId="74AA4E87" w14:textId="77777777" w:rsidR="00D12A0E" w:rsidRPr="00D12A0E" w:rsidRDefault="00D12A0E" w:rsidP="006769E2">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Zakon br. 03/L-040 o lokalnoj samoupravi, član 58, propisuje da je gradonačelnik dužan da podnese izveštaj Skupštini opštine najmanje jednom u šest meseci, ili kad god to Skupština opštine zatraži, o ekonomskoj i finansijskoj situaciji opštine, kao i o sprovođenju njenih investicionih planova.</w:t>
      </w:r>
    </w:p>
    <w:p w14:paraId="3E5B99E9" w14:textId="77777777" w:rsidR="00D12A0E" w:rsidRPr="00D12A0E"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Na osnovu Administrativnog uputstva br. 04/2023 o otvorenoj administraciji u opštinama, izveštaji gradonačelnika moraju biti objavljeni na zvaničnoj veb stranici opštine, zajedno sa drugim obaveznim dokumentima.</w:t>
      </w:r>
    </w:p>
    <w:p w14:paraId="5B2C445A" w14:textId="77777777" w:rsidR="00D12A0E" w:rsidRPr="00D12A0E"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Rezultati pokazuju da je 22 opštine (58%) objavilo izveštaj gradonačelnika, dok 15 opština (42%) nije objavilo nikakve izveštaje na svojim zvaničnim veb stranicama.</w:t>
      </w:r>
    </w:p>
    <w:p w14:paraId="4C472030" w14:textId="77777777" w:rsidR="00D12A0E" w:rsidRPr="00D12A0E"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U poređenju sa 2024. godinom, kada je 27 opština objavilo izveštaj gradonačelnika, u 2025. godini je primećen pad od četiri (4) opštine.</w:t>
      </w:r>
    </w:p>
    <w:p w14:paraId="6B0A1D49" w14:textId="5FAAB611" w:rsidR="00D12A0E" w:rsidRPr="00D12A0E"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D12A0E">
        <w:rPr>
          <w:rFonts w:asciiTheme="majorHAnsi" w:eastAsia="Times New Roman" w:hAnsiTheme="majorHAnsi" w:cstheme="majorHAnsi"/>
          <w:lang w:val="sr-Latn-RS" w:eastAsia="en-GB"/>
        </w:rPr>
        <w:t>Sledi tabela koja prikazuje broj opština koje su objavile izveštaj gradonačelnika.</w:t>
      </w:r>
    </w:p>
    <w:p w14:paraId="1FD89B75" w14:textId="78FDDD2F" w:rsidR="005F3BD8" w:rsidRPr="009D6147" w:rsidRDefault="005F3BD8" w:rsidP="00A70BC5">
      <w:pPr>
        <w:spacing w:line="276" w:lineRule="auto"/>
        <w:contextualSpacing/>
        <w:rPr>
          <w:rFonts w:asciiTheme="majorHAnsi" w:hAnsiTheme="majorHAnsi" w:cstheme="majorHAnsi"/>
          <w:noProof/>
          <w:lang w:eastAsia="sq-AL"/>
        </w:rPr>
      </w:pPr>
      <w:r w:rsidRPr="009D6147">
        <w:rPr>
          <w:rFonts w:asciiTheme="majorHAnsi" w:hAnsiTheme="majorHAnsi" w:cstheme="majorHAnsi"/>
          <w:noProof/>
          <w:lang w:eastAsia="sq-AL"/>
        </w:rPr>
        <w:lastRenderedPageBreak/>
        <w:drawing>
          <wp:inline distT="0" distB="0" distL="0" distR="0" wp14:anchorId="3E1B5BFF" wp14:editId="3B4BD3F8">
            <wp:extent cx="5888990" cy="1693506"/>
            <wp:effectExtent l="0" t="0" r="16510" b="254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6FF51-5B63-4E2D-A18B-6E96850FA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1885A3" w14:textId="0B110D0E" w:rsidR="00A85CE9" w:rsidRPr="009D6147" w:rsidRDefault="00A85CE9" w:rsidP="006A4783">
      <w:pPr>
        <w:spacing w:line="276" w:lineRule="auto"/>
        <w:contextualSpacing/>
        <w:rPr>
          <w:rFonts w:asciiTheme="majorHAnsi" w:eastAsia="Times New Roman" w:hAnsiTheme="majorHAnsi" w:cstheme="majorHAnsi"/>
          <w:i/>
          <w:color w:val="000000"/>
          <w:sz w:val="16"/>
          <w:szCs w:val="16"/>
          <w:lang w:eastAsia="sq-AL"/>
        </w:rPr>
      </w:pPr>
      <w:r w:rsidRPr="009D6147">
        <w:rPr>
          <w:rFonts w:asciiTheme="majorHAnsi" w:eastAsia="Times New Roman" w:hAnsiTheme="majorHAnsi" w:cstheme="majorHAnsi"/>
          <w:i/>
          <w:color w:val="000000"/>
          <w:sz w:val="16"/>
          <w:szCs w:val="16"/>
          <w:lang w:eastAsia="sq-AL"/>
        </w:rPr>
        <w:t xml:space="preserve">   </w:t>
      </w:r>
    </w:p>
    <w:p w14:paraId="38CB8E3D" w14:textId="6F236A59" w:rsidR="0064001C" w:rsidRPr="00224BE6" w:rsidRDefault="007D5DA2" w:rsidP="006A4783">
      <w:pPr>
        <w:spacing w:line="276" w:lineRule="auto"/>
        <w:contextualSpacing/>
        <w:jc w:val="center"/>
        <w:rPr>
          <w:rFonts w:asciiTheme="majorHAnsi" w:hAnsiTheme="majorHAnsi" w:cstheme="majorHAnsi"/>
          <w:color w:val="000000"/>
          <w:sz w:val="20"/>
          <w:szCs w:val="20"/>
        </w:rPr>
      </w:pPr>
      <w:r>
        <w:rPr>
          <w:rFonts w:asciiTheme="majorHAnsi" w:eastAsia="Times New Roman" w:hAnsiTheme="majorHAnsi" w:cstheme="majorHAnsi"/>
          <w:i/>
          <w:color w:val="000000"/>
          <w:sz w:val="14"/>
          <w:szCs w:val="14"/>
          <w:lang w:eastAsia="sq-AL"/>
        </w:rPr>
        <w:t>Sl</w:t>
      </w:r>
      <w:r w:rsidR="00A85CE9" w:rsidRPr="00224BE6">
        <w:rPr>
          <w:rFonts w:asciiTheme="majorHAnsi" w:eastAsia="Times New Roman" w:hAnsiTheme="majorHAnsi" w:cstheme="majorHAnsi"/>
          <w:i/>
          <w:color w:val="000000"/>
          <w:sz w:val="14"/>
          <w:szCs w:val="14"/>
          <w:lang w:eastAsia="sq-AL"/>
        </w:rPr>
        <w:t>. 1</w:t>
      </w:r>
      <w:r w:rsidR="006A4783" w:rsidRPr="00224BE6">
        <w:rPr>
          <w:rFonts w:asciiTheme="majorHAnsi" w:eastAsia="Times New Roman" w:hAnsiTheme="majorHAnsi" w:cstheme="majorHAnsi"/>
          <w:i/>
          <w:color w:val="000000"/>
          <w:sz w:val="14"/>
          <w:szCs w:val="14"/>
          <w:lang w:eastAsia="sq-AL"/>
        </w:rPr>
        <w:t>8</w:t>
      </w:r>
      <w:r w:rsidR="0064001C" w:rsidRPr="00224BE6">
        <w:rPr>
          <w:rFonts w:asciiTheme="majorHAnsi" w:eastAsia="Times New Roman" w:hAnsiTheme="majorHAnsi" w:cstheme="majorHAnsi"/>
          <w:i/>
          <w:color w:val="000000"/>
          <w:sz w:val="14"/>
          <w:szCs w:val="14"/>
          <w:lang w:eastAsia="sq-AL"/>
        </w:rPr>
        <w:t xml:space="preserve"> </w:t>
      </w:r>
      <w:r w:rsidR="00D12A0E" w:rsidRPr="00D12A0E">
        <w:rPr>
          <w:rFonts w:asciiTheme="majorHAnsi" w:eastAsia="Times New Roman" w:hAnsiTheme="majorHAnsi" w:cstheme="majorHAnsi"/>
          <w:i/>
          <w:color w:val="000000"/>
          <w:sz w:val="14"/>
          <w:szCs w:val="14"/>
          <w:lang w:val="sr-Latn-RS" w:eastAsia="sq-AL"/>
        </w:rPr>
        <w:t>Objavljivanje izveštaja gradonačelnika</w:t>
      </w:r>
      <w:r w:rsidR="00D12A0E">
        <w:rPr>
          <w:rFonts w:asciiTheme="majorHAnsi" w:eastAsia="Times New Roman" w:hAnsiTheme="majorHAnsi" w:cstheme="majorHAnsi"/>
          <w:i/>
          <w:color w:val="000000"/>
          <w:sz w:val="14"/>
          <w:szCs w:val="14"/>
          <w:lang w:eastAsia="sq-AL"/>
        </w:rPr>
        <w:t xml:space="preserve">    </w:t>
      </w:r>
    </w:p>
    <w:p w14:paraId="741C93B2" w14:textId="77777777" w:rsidR="00B70CE7" w:rsidRPr="009D6147" w:rsidRDefault="00B70CE7" w:rsidP="00A70BC5">
      <w:pPr>
        <w:spacing w:after="0" w:line="276" w:lineRule="auto"/>
        <w:rPr>
          <w:rFonts w:asciiTheme="majorHAnsi" w:eastAsia="Times New Roman" w:hAnsiTheme="majorHAnsi" w:cstheme="majorHAnsi"/>
          <w:i/>
          <w:color w:val="000000"/>
          <w:lang w:eastAsia="sq-AL"/>
        </w:rPr>
      </w:pPr>
    </w:p>
    <w:p w14:paraId="4C6F1976" w14:textId="46C683EC" w:rsidR="007D4ABB" w:rsidRPr="009D6147" w:rsidRDefault="00D12A0E" w:rsidP="006A4783">
      <w:pPr>
        <w:spacing w:line="276" w:lineRule="auto"/>
        <w:rPr>
          <w:rFonts w:asciiTheme="majorHAnsi" w:hAnsiTheme="majorHAnsi" w:cstheme="majorHAnsi"/>
          <w:b/>
          <w:color w:val="2F5496" w:themeColor="accent5" w:themeShade="BF"/>
        </w:rPr>
      </w:pPr>
      <w:bookmarkStart w:id="55" w:name="_Toc56692986"/>
      <w:bookmarkStart w:id="56" w:name="_Toc81401212"/>
      <w:bookmarkEnd w:id="48"/>
      <w:bookmarkEnd w:id="49"/>
      <w:bookmarkEnd w:id="50"/>
      <w:r>
        <w:rPr>
          <w:rFonts w:asciiTheme="majorHAnsi" w:hAnsiTheme="majorHAnsi" w:cstheme="majorHAnsi"/>
          <w:b/>
          <w:color w:val="2F5496" w:themeColor="accent5" w:themeShade="BF"/>
        </w:rPr>
        <w:t xml:space="preserve"> </w:t>
      </w:r>
      <w:r w:rsidRPr="00D12A0E">
        <w:rPr>
          <w:rFonts w:asciiTheme="majorHAnsi" w:hAnsiTheme="majorHAnsi" w:cstheme="majorHAnsi"/>
          <w:b/>
          <w:color w:val="2F5496" w:themeColor="accent5" w:themeShade="BF"/>
        </w:rPr>
        <w:t>SASTANCI</w:t>
      </w:r>
      <w:r>
        <w:rPr>
          <w:rFonts w:asciiTheme="majorHAnsi" w:hAnsiTheme="majorHAnsi" w:cstheme="majorHAnsi"/>
          <w:b/>
          <w:color w:val="2F5496" w:themeColor="accent5" w:themeShade="BF"/>
        </w:rPr>
        <w:t xml:space="preserve"> GRADONAČELNIKA        </w:t>
      </w:r>
      <w:r w:rsidR="007D4ABB" w:rsidRPr="009D6147">
        <w:rPr>
          <w:rFonts w:asciiTheme="majorHAnsi" w:hAnsiTheme="majorHAnsi" w:cstheme="majorHAnsi"/>
          <w:b/>
          <w:color w:val="2F5496" w:themeColor="accent5" w:themeShade="BF"/>
        </w:rPr>
        <w:t xml:space="preserve"> </w:t>
      </w:r>
    </w:p>
    <w:p w14:paraId="2FDF5312" w14:textId="4F27882B" w:rsidR="00D12A0E" w:rsidRPr="00834C7B"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Opština svake godine održava najmanje dva javna sastanka sa građanima o pitanjima od opšteg interesa. Jedan od javnih sastanaka održava se u prvoj polovini godine, dok se drugi sastanak održava u drugoj polovini godine. Ovim javnim sastancima moraju prisustvovati najviši zvaničnici opštinskih organa, kao što su: gradonačelnik, predsednik Skupštine opštine, direktori</w:t>
      </w:r>
      <w:r w:rsidR="00834C7B" w:rsidRPr="00834C7B">
        <w:rPr>
          <w:rFonts w:asciiTheme="majorHAnsi" w:eastAsia="Times New Roman" w:hAnsiTheme="majorHAnsi" w:cstheme="majorHAnsi"/>
          <w:lang w:val="sr-Latn-RS" w:eastAsia="en-GB"/>
        </w:rPr>
        <w:t xml:space="preserve"> uprava</w:t>
      </w:r>
      <w:r w:rsidRPr="00834C7B">
        <w:rPr>
          <w:rFonts w:asciiTheme="majorHAnsi" w:eastAsia="Times New Roman" w:hAnsiTheme="majorHAnsi" w:cstheme="majorHAnsi"/>
          <w:lang w:val="sr-Latn-RS" w:eastAsia="en-GB"/>
        </w:rPr>
        <w:t xml:space="preserve">, predsednici odbora i službenici nadležni za pitanja koja se </w:t>
      </w:r>
      <w:r w:rsidR="00834C7B" w:rsidRPr="00834C7B">
        <w:rPr>
          <w:rFonts w:asciiTheme="majorHAnsi" w:eastAsia="Times New Roman" w:hAnsiTheme="majorHAnsi" w:cstheme="majorHAnsi"/>
          <w:lang w:val="sr-Latn-RS" w:eastAsia="en-GB"/>
        </w:rPr>
        <w:t>tretiraju</w:t>
      </w:r>
      <w:r w:rsidRPr="00834C7B">
        <w:rPr>
          <w:rFonts w:asciiTheme="majorHAnsi" w:eastAsia="Times New Roman" w:hAnsiTheme="majorHAnsi" w:cstheme="majorHAnsi"/>
          <w:lang w:val="sr-Latn-RS" w:eastAsia="en-GB"/>
        </w:rPr>
        <w:t xml:space="preserve"> u javnoj raspravi. Javnim sastancima predsedava i rukovodi gradonačelnik ili njegov predstavnik. Gradonačelnik je ovlašćen da utvrdi dnevni red i postupak za vođenje rasprava.</w:t>
      </w:r>
    </w:p>
    <w:p w14:paraId="25829C14" w14:textId="77777777" w:rsidR="00D12A0E" w:rsidRPr="00834C7B"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Podaci iz praćenja zvaničnih veb stranica za period januar–decembar 2025. godine pokazuju da su obaveštenja za sastanke sa građanima objavile 24 opštine (64%), dok 14 opština (36%) nije objavilo nijedno obaveštenje za sastanke sa građanima.</w:t>
      </w:r>
    </w:p>
    <w:p w14:paraId="111C1570" w14:textId="77777777" w:rsidR="00D12A0E" w:rsidRPr="00834C7B" w:rsidRDefault="00D12A0E" w:rsidP="00D12A0E">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Ukupno:</w:t>
      </w:r>
    </w:p>
    <w:p w14:paraId="75C4402F" w14:textId="742022D4" w:rsidR="006769E2" w:rsidRPr="00834C7B" w:rsidRDefault="006769E2" w:rsidP="006769E2">
      <w:pPr>
        <w:numPr>
          <w:ilvl w:val="0"/>
          <w:numId w:val="40"/>
        </w:num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 xml:space="preserve">24 </w:t>
      </w:r>
      <w:r w:rsidR="00834C7B" w:rsidRPr="00834C7B">
        <w:rPr>
          <w:rFonts w:asciiTheme="majorHAnsi" w:eastAsia="Times New Roman" w:hAnsiTheme="majorHAnsi" w:cstheme="majorHAnsi"/>
          <w:lang w:val="sr-Latn-RS" w:eastAsia="en-GB"/>
        </w:rPr>
        <w:t>opština</w:t>
      </w:r>
      <w:r w:rsidRPr="00834C7B">
        <w:rPr>
          <w:rFonts w:asciiTheme="majorHAnsi" w:eastAsia="Times New Roman" w:hAnsiTheme="majorHAnsi" w:cstheme="majorHAnsi"/>
          <w:lang w:val="sr-Latn-RS" w:eastAsia="en-GB"/>
        </w:rPr>
        <w:t xml:space="preserve"> (64%) </w:t>
      </w:r>
      <w:r w:rsidR="00834C7B" w:rsidRPr="00834C7B">
        <w:rPr>
          <w:rFonts w:asciiTheme="majorHAnsi" w:eastAsia="Times New Roman" w:hAnsiTheme="majorHAnsi" w:cstheme="majorHAnsi"/>
          <w:lang w:val="sr-Latn-RS" w:eastAsia="en-GB"/>
        </w:rPr>
        <w:t xml:space="preserve"> objavili su ukupno 44 saopštenja o sastanku</w:t>
      </w:r>
      <w:r w:rsidRPr="00834C7B">
        <w:rPr>
          <w:rFonts w:asciiTheme="majorHAnsi" w:eastAsia="Times New Roman" w:hAnsiTheme="majorHAnsi" w:cstheme="majorHAnsi"/>
          <w:lang w:val="sr-Latn-RS" w:eastAsia="en-GB"/>
        </w:rPr>
        <w:t xml:space="preserve">; </w:t>
      </w:r>
    </w:p>
    <w:p w14:paraId="04DF418A" w14:textId="580C0B01" w:rsidR="006769E2" w:rsidRPr="00834C7B" w:rsidRDefault="006769E2" w:rsidP="006769E2">
      <w:pPr>
        <w:numPr>
          <w:ilvl w:val="0"/>
          <w:numId w:val="40"/>
        </w:num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 xml:space="preserve">14 </w:t>
      </w:r>
      <w:r w:rsidR="00834C7B" w:rsidRPr="00834C7B">
        <w:rPr>
          <w:rFonts w:asciiTheme="majorHAnsi" w:eastAsia="Times New Roman" w:hAnsiTheme="majorHAnsi" w:cstheme="majorHAnsi"/>
          <w:lang w:val="sr-Latn-RS" w:eastAsia="en-GB"/>
        </w:rPr>
        <w:t>opština</w:t>
      </w:r>
      <w:r w:rsidRPr="00834C7B">
        <w:rPr>
          <w:rFonts w:asciiTheme="majorHAnsi" w:eastAsia="Times New Roman" w:hAnsiTheme="majorHAnsi" w:cstheme="majorHAnsi"/>
          <w:lang w:val="sr-Latn-RS" w:eastAsia="en-GB"/>
        </w:rPr>
        <w:t xml:space="preserve"> (36%) </w:t>
      </w:r>
      <w:r w:rsidR="00834C7B" w:rsidRPr="00834C7B">
        <w:rPr>
          <w:rFonts w:asciiTheme="majorHAnsi" w:eastAsia="Times New Roman" w:hAnsiTheme="majorHAnsi" w:cstheme="majorHAnsi"/>
          <w:lang w:val="sr-Latn-RS" w:eastAsia="en-GB"/>
        </w:rPr>
        <w:t xml:space="preserve"> nisu objavili nikakva saopštenja</w:t>
      </w:r>
      <w:r w:rsidRPr="00834C7B">
        <w:rPr>
          <w:rFonts w:asciiTheme="majorHAnsi" w:eastAsia="Times New Roman" w:hAnsiTheme="majorHAnsi" w:cstheme="majorHAnsi"/>
          <w:lang w:val="sr-Latn-RS" w:eastAsia="en-GB"/>
        </w:rPr>
        <w:t xml:space="preserve">. </w:t>
      </w:r>
    </w:p>
    <w:p w14:paraId="03E2055B" w14:textId="73A20310" w:rsidR="006769E2" w:rsidRPr="00834C7B" w:rsidRDefault="00834C7B" w:rsidP="006769E2">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 xml:space="preserve"> Proces praćenja pokazuje da</w:t>
      </w:r>
      <w:r w:rsidR="006769E2" w:rsidRPr="00834C7B">
        <w:rPr>
          <w:rFonts w:asciiTheme="majorHAnsi" w:eastAsia="Times New Roman" w:hAnsiTheme="majorHAnsi" w:cstheme="majorHAnsi"/>
          <w:lang w:val="sr-Latn-RS" w:eastAsia="en-GB"/>
        </w:rPr>
        <w:t>:</w:t>
      </w:r>
    </w:p>
    <w:p w14:paraId="10F42CB5" w14:textId="5690D40C" w:rsidR="006769E2" w:rsidRPr="00834C7B"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 xml:space="preserve">21 </w:t>
      </w:r>
      <w:r w:rsidR="00834C7B" w:rsidRPr="00834C7B">
        <w:rPr>
          <w:rFonts w:asciiTheme="majorHAnsi" w:eastAsia="Times New Roman" w:hAnsiTheme="majorHAnsi" w:cstheme="majorHAnsi"/>
          <w:lang w:val="sr-Latn-RS" w:eastAsia="en-GB"/>
        </w:rPr>
        <w:t>opština je objavila obaveštenja za dva sastanka</w:t>
      </w:r>
      <w:r w:rsidRPr="00834C7B">
        <w:rPr>
          <w:rFonts w:asciiTheme="majorHAnsi" w:eastAsia="Times New Roman" w:hAnsiTheme="majorHAnsi" w:cstheme="majorHAnsi"/>
          <w:lang w:val="sr-Latn-RS" w:eastAsia="en-GB"/>
        </w:rPr>
        <w:t xml:space="preserve">; </w:t>
      </w:r>
    </w:p>
    <w:p w14:paraId="0263DB86" w14:textId="3A92D239" w:rsidR="006769E2" w:rsidRPr="00834C7B"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3</w:t>
      </w:r>
      <w:r w:rsidR="00834C7B" w:rsidRPr="00834C7B">
        <w:rPr>
          <w:lang w:val="sr-Latn-RS"/>
        </w:rPr>
        <w:t xml:space="preserve"> o</w:t>
      </w:r>
      <w:r w:rsidR="00834C7B" w:rsidRPr="00834C7B">
        <w:rPr>
          <w:rFonts w:asciiTheme="majorHAnsi" w:eastAsia="Times New Roman" w:hAnsiTheme="majorHAnsi" w:cstheme="majorHAnsi"/>
          <w:lang w:val="sr-Latn-RS" w:eastAsia="en-GB"/>
        </w:rPr>
        <w:t>pština je objavila samo jedan sastanak</w:t>
      </w:r>
      <w:r w:rsidRPr="00834C7B">
        <w:rPr>
          <w:rFonts w:asciiTheme="majorHAnsi" w:eastAsia="Times New Roman" w:hAnsiTheme="majorHAnsi" w:cstheme="majorHAnsi"/>
          <w:lang w:val="sr-Latn-RS" w:eastAsia="en-GB"/>
        </w:rPr>
        <w:t xml:space="preserve">; </w:t>
      </w:r>
    </w:p>
    <w:p w14:paraId="4BE946E5" w14:textId="2875E17B" w:rsidR="006769E2" w:rsidRPr="00834C7B" w:rsidRDefault="006769E2" w:rsidP="006769E2">
      <w:pPr>
        <w:numPr>
          <w:ilvl w:val="0"/>
          <w:numId w:val="41"/>
        </w:num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14</w:t>
      </w:r>
      <w:r w:rsidR="00834C7B" w:rsidRPr="00834C7B">
        <w:rPr>
          <w:rFonts w:asciiTheme="majorHAnsi" w:eastAsia="Times New Roman" w:hAnsiTheme="majorHAnsi" w:cstheme="majorHAnsi"/>
          <w:lang w:val="sr-Latn-RS" w:eastAsia="en-GB"/>
        </w:rPr>
        <w:t xml:space="preserve"> opština nije objavila nikakva obaveštenja za sastanke sa građanima.</w:t>
      </w:r>
    </w:p>
    <w:p w14:paraId="30CD1B74" w14:textId="615541A6" w:rsidR="00834C7B" w:rsidRPr="00834C7B" w:rsidRDefault="00834C7B" w:rsidP="00834C7B">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Opštine koje nisu objavile nikakva obaveštenja za sastanke gradonačelnika sa građanima su: Kosovo Polje, Gračanica,</w:t>
      </w:r>
      <w:r>
        <w:rPr>
          <w:rFonts w:asciiTheme="majorHAnsi" w:eastAsia="Times New Roman" w:hAnsiTheme="majorHAnsi" w:cstheme="majorHAnsi"/>
          <w:lang w:val="sr-Latn-RS" w:eastAsia="en-GB"/>
        </w:rPr>
        <w:t xml:space="preserve"> Elez </w:t>
      </w:r>
      <w:r w:rsidRPr="00834C7B">
        <w:rPr>
          <w:rFonts w:asciiTheme="majorHAnsi" w:eastAsia="Times New Roman" w:hAnsiTheme="majorHAnsi" w:cstheme="majorHAnsi"/>
          <w:lang w:val="sr-Latn-RS" w:eastAsia="en-GB"/>
        </w:rPr>
        <w:t xml:space="preserve">Han, Junik, Klina, Novobrdo, Parteš, Ranilug, Štrpce, Zubin Potok, Zvečan, Leposavić, </w:t>
      </w:r>
      <w:r>
        <w:rPr>
          <w:rFonts w:asciiTheme="majorHAnsi" w:eastAsia="Times New Roman" w:hAnsiTheme="majorHAnsi" w:cstheme="majorHAnsi"/>
          <w:lang w:val="sr-Latn-RS" w:eastAsia="en-GB"/>
        </w:rPr>
        <w:t>Severna</w:t>
      </w:r>
      <w:r w:rsidRPr="00834C7B">
        <w:rPr>
          <w:rFonts w:asciiTheme="majorHAnsi" w:eastAsia="Times New Roman" w:hAnsiTheme="majorHAnsi" w:cstheme="majorHAnsi"/>
          <w:lang w:val="sr-Latn-RS" w:eastAsia="en-GB"/>
        </w:rPr>
        <w:t xml:space="preserve"> Mitrovica i Mamuša.</w:t>
      </w:r>
    </w:p>
    <w:p w14:paraId="47A2F4A7" w14:textId="77777777" w:rsidR="00834C7B" w:rsidRPr="00834C7B" w:rsidRDefault="00834C7B" w:rsidP="00834C7B">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Prema podacima iz Izveštaja o funkcionisanju kosovskih opština, svih 38 opština je ispunilo zakonsku obavezu da održi najmanje dva sastanka sa građanima.</w:t>
      </w:r>
    </w:p>
    <w:p w14:paraId="51907765" w14:textId="77777777" w:rsidR="00834C7B" w:rsidRPr="00834C7B" w:rsidRDefault="00834C7B" w:rsidP="00834C7B">
      <w:pPr>
        <w:spacing w:before="100" w:beforeAutospacing="1" w:after="100" w:afterAutospacing="1" w:line="276" w:lineRule="auto"/>
        <w:rPr>
          <w:rFonts w:asciiTheme="majorHAnsi" w:eastAsia="Times New Roman" w:hAnsiTheme="majorHAnsi" w:cstheme="majorHAnsi"/>
          <w:lang w:val="sr-Latn-RS" w:eastAsia="en-GB"/>
        </w:rPr>
      </w:pPr>
    </w:p>
    <w:p w14:paraId="7CF5040C" w14:textId="77777777" w:rsidR="005664AA" w:rsidRDefault="00834C7B" w:rsidP="00834C7B">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lastRenderedPageBreak/>
        <w:t xml:space="preserve">Ova neslaganja između održavanja sastanaka i objavljivanja obaveštenja pokazuju da, iako su opštine ispunile zakonsku obavezu da organizuju sastanke, transparentnost i informisanje građana nisu obezbeđeni na jedinstven način. Nedostatak objavljivanja prethodnih obaveštenja ograničava mogućnosti građana za informisanje i aktivno učešće, negativno utičući na njihovo učešće i kvalitet procesa donošenja odluka na lokalnom nivou. </w:t>
      </w:r>
    </w:p>
    <w:p w14:paraId="63808EA7" w14:textId="09BB994E" w:rsidR="00834C7B" w:rsidRDefault="00834C7B" w:rsidP="00834C7B">
      <w:pPr>
        <w:spacing w:before="100" w:beforeAutospacing="1" w:after="100" w:afterAutospacing="1" w:line="276" w:lineRule="auto"/>
        <w:rPr>
          <w:rFonts w:asciiTheme="majorHAnsi" w:eastAsia="Times New Roman" w:hAnsiTheme="majorHAnsi" w:cstheme="majorHAnsi"/>
          <w:lang w:val="sr-Latn-RS" w:eastAsia="en-GB"/>
        </w:rPr>
      </w:pPr>
      <w:r w:rsidRPr="00834C7B">
        <w:rPr>
          <w:rFonts w:asciiTheme="majorHAnsi" w:eastAsia="Times New Roman" w:hAnsiTheme="majorHAnsi" w:cstheme="majorHAnsi"/>
          <w:lang w:val="sr-Latn-RS" w:eastAsia="en-GB"/>
        </w:rPr>
        <w:t>U sledećoj tabeli su prikazani podaci za opštine koje su objavile obaveštenja o sastancima između gradonačelnika i građana za period januar–decembar 2025. godine.</w:t>
      </w:r>
    </w:p>
    <w:p w14:paraId="3620355B" w14:textId="4D0535EF" w:rsidR="006C1F9D" w:rsidRPr="009D6147" w:rsidRDefault="00C7140E" w:rsidP="00F2395A">
      <w:pPr>
        <w:spacing w:after="0" w:line="276" w:lineRule="auto"/>
        <w:rPr>
          <w:rFonts w:asciiTheme="majorHAnsi" w:eastAsia="Times New Roman" w:hAnsiTheme="majorHAnsi" w:cstheme="majorHAnsi"/>
          <w:color w:val="000000"/>
          <w:lang w:eastAsia="sq-AL"/>
        </w:rPr>
      </w:pPr>
      <w:r w:rsidRPr="009D6147">
        <w:rPr>
          <w:rFonts w:asciiTheme="majorHAnsi" w:hAnsiTheme="majorHAnsi" w:cstheme="majorHAnsi"/>
          <w:noProof/>
          <w:lang w:eastAsia="sq-AL"/>
        </w:rPr>
        <w:drawing>
          <wp:inline distT="0" distB="0" distL="0" distR="0" wp14:anchorId="4ADF1A97" wp14:editId="5C88423D">
            <wp:extent cx="6062400" cy="1814195"/>
            <wp:effectExtent l="0" t="0" r="14605" b="14605"/>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362A15-B144-4D51-9804-E27347D35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57" w:name="_Hlk227592583"/>
    </w:p>
    <w:p w14:paraId="72779748" w14:textId="476CB245" w:rsidR="0071735D" w:rsidRPr="00FC328A" w:rsidRDefault="007D5DA2" w:rsidP="006A4783">
      <w:pPr>
        <w:autoSpaceDE w:val="0"/>
        <w:autoSpaceDN w:val="0"/>
        <w:adjustRightInd w:val="0"/>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9E74E5">
        <w:rPr>
          <w:rFonts w:asciiTheme="majorHAnsi" w:hAnsiTheme="majorHAnsi" w:cstheme="majorHAnsi"/>
          <w:i/>
          <w:sz w:val="14"/>
          <w:szCs w:val="14"/>
          <w:lang w:val="sr-Latn-RS"/>
        </w:rPr>
        <w:t>.</w:t>
      </w:r>
      <w:r w:rsidR="00F87B93" w:rsidRPr="00FC328A">
        <w:rPr>
          <w:rFonts w:asciiTheme="majorHAnsi" w:hAnsiTheme="majorHAnsi" w:cstheme="majorHAnsi"/>
          <w:i/>
          <w:sz w:val="14"/>
          <w:szCs w:val="14"/>
          <w:lang w:val="sr-Latn-RS"/>
        </w:rPr>
        <w:t xml:space="preserve"> </w:t>
      </w:r>
      <w:r w:rsidR="00261961" w:rsidRPr="00FC328A">
        <w:rPr>
          <w:rFonts w:asciiTheme="majorHAnsi" w:hAnsiTheme="majorHAnsi" w:cstheme="majorHAnsi"/>
          <w:i/>
          <w:sz w:val="14"/>
          <w:szCs w:val="14"/>
          <w:lang w:val="sr-Latn-RS"/>
        </w:rPr>
        <w:t>1</w:t>
      </w:r>
      <w:r w:rsidR="006A4783" w:rsidRPr="00FC328A">
        <w:rPr>
          <w:rFonts w:asciiTheme="majorHAnsi" w:hAnsiTheme="majorHAnsi" w:cstheme="majorHAnsi"/>
          <w:i/>
          <w:sz w:val="14"/>
          <w:szCs w:val="14"/>
          <w:lang w:val="sr-Latn-RS"/>
        </w:rPr>
        <w:t>9</w:t>
      </w:r>
      <w:r w:rsidR="00F87B93" w:rsidRPr="00FC328A">
        <w:rPr>
          <w:rFonts w:asciiTheme="majorHAnsi" w:hAnsiTheme="majorHAnsi" w:cstheme="majorHAnsi"/>
          <w:i/>
          <w:sz w:val="14"/>
          <w:szCs w:val="14"/>
          <w:lang w:val="sr-Latn-RS"/>
        </w:rPr>
        <w:t xml:space="preserve">. </w:t>
      </w:r>
      <w:bookmarkEnd w:id="57"/>
      <w:r w:rsidR="00FC328A" w:rsidRPr="00FC328A">
        <w:rPr>
          <w:rFonts w:asciiTheme="majorHAnsi" w:hAnsiTheme="majorHAnsi" w:cstheme="majorHAnsi"/>
          <w:i/>
          <w:sz w:val="14"/>
          <w:szCs w:val="14"/>
          <w:lang w:val="sr-Latn-RS"/>
        </w:rPr>
        <w:t xml:space="preserve">  Broj obaveštenja za sastanke gradonačelnika             </w:t>
      </w:r>
    </w:p>
    <w:p w14:paraId="16BD7D4A" w14:textId="77777777" w:rsidR="00420BCC" w:rsidRPr="00FC328A" w:rsidRDefault="00420BCC" w:rsidP="00A70BC5">
      <w:pPr>
        <w:spacing w:before="100" w:beforeAutospacing="1" w:after="100" w:afterAutospacing="1" w:line="276" w:lineRule="auto"/>
        <w:rPr>
          <w:rFonts w:asciiTheme="majorHAnsi" w:eastAsia="Times New Roman" w:hAnsiTheme="majorHAnsi" w:cstheme="majorHAnsi"/>
          <w:lang w:val="sr-Latn-RS" w:eastAsia="en-GB"/>
        </w:rPr>
      </w:pPr>
    </w:p>
    <w:p w14:paraId="115DD8C3" w14:textId="3F3187F5" w:rsidR="00891A1F" w:rsidRPr="00FC328A" w:rsidRDefault="00FC328A" w:rsidP="006769E2">
      <w:pPr>
        <w:pStyle w:val="Style3"/>
        <w:spacing w:line="276" w:lineRule="auto"/>
        <w:rPr>
          <w:rFonts w:cstheme="majorHAnsi"/>
          <w:sz w:val="22"/>
          <w:szCs w:val="22"/>
          <w:lang w:val="sr-Latn-RS"/>
        </w:rPr>
      </w:pPr>
      <w:bookmarkStart w:id="58" w:name="_Toc230183744"/>
      <w:r w:rsidRPr="00FC328A">
        <w:rPr>
          <w:rFonts w:cstheme="majorHAnsi"/>
          <w:sz w:val="22"/>
          <w:szCs w:val="22"/>
          <w:lang w:val="sr-Latn-RS"/>
        </w:rPr>
        <w:t>Objavljivanje spiska nepokretne imovine opštine</w:t>
      </w:r>
      <w:bookmarkEnd w:id="58"/>
      <w:r w:rsidRPr="00FC328A">
        <w:rPr>
          <w:rFonts w:cstheme="majorHAnsi"/>
          <w:sz w:val="22"/>
          <w:szCs w:val="22"/>
          <w:lang w:val="sr-Latn-RS"/>
        </w:rPr>
        <w:t xml:space="preserve">          </w:t>
      </w:r>
      <w:r w:rsidR="00891A1F" w:rsidRPr="00FC328A">
        <w:rPr>
          <w:rFonts w:cstheme="majorHAnsi"/>
          <w:sz w:val="22"/>
          <w:szCs w:val="22"/>
          <w:lang w:val="sr-Latn-RS"/>
        </w:rPr>
        <w:t xml:space="preserve"> </w:t>
      </w:r>
    </w:p>
    <w:p w14:paraId="05892808" w14:textId="62F404BB" w:rsidR="00FC328A" w:rsidRPr="00FC328A" w:rsidRDefault="00FC328A" w:rsidP="006769E2">
      <w:pPr>
        <w:spacing w:before="100" w:beforeAutospacing="1" w:after="100" w:afterAutospacing="1" w:line="276" w:lineRule="auto"/>
        <w:rPr>
          <w:rFonts w:asciiTheme="majorHAnsi" w:eastAsia="Times New Roman" w:hAnsiTheme="majorHAnsi" w:cstheme="majorHAnsi"/>
          <w:lang w:val="sr-Latn-RS" w:eastAsia="en-GB"/>
        </w:rPr>
      </w:pPr>
      <w:r w:rsidRPr="00FC328A">
        <w:rPr>
          <w:rFonts w:asciiTheme="majorHAnsi" w:eastAsia="Times New Roman" w:hAnsiTheme="majorHAnsi" w:cstheme="majorHAnsi"/>
          <w:lang w:eastAsia="en-GB"/>
        </w:rPr>
        <w:t>Na osnovu Zakona br. 06/L-092 o d</w:t>
      </w:r>
      <w:r>
        <w:rPr>
          <w:rFonts w:asciiTheme="majorHAnsi" w:eastAsia="Times New Roman" w:hAnsiTheme="majorHAnsi" w:cstheme="majorHAnsi"/>
          <w:lang w:eastAsia="en-GB"/>
        </w:rPr>
        <w:t>avanju na korišćenje</w:t>
      </w:r>
      <w:r w:rsidRPr="00FC328A">
        <w:rPr>
          <w:rFonts w:asciiTheme="majorHAnsi" w:eastAsia="Times New Roman" w:hAnsiTheme="majorHAnsi" w:cstheme="majorHAnsi"/>
          <w:lang w:eastAsia="en-GB"/>
        </w:rPr>
        <w:t xml:space="preserve"> i razmeni nepokretne imovine opštine, radi obezbeđivanja potpune transparentnosti, opština je obavezna da do 31. decembra objavi opštu listu </w:t>
      </w:r>
      <w:r w:rsidRPr="00FC328A">
        <w:rPr>
          <w:rFonts w:asciiTheme="majorHAnsi" w:eastAsia="Times New Roman" w:hAnsiTheme="majorHAnsi" w:cstheme="majorHAnsi"/>
          <w:lang w:val="sr-Latn-RS" w:eastAsia="en-GB"/>
        </w:rPr>
        <w:t>nepokretne imovine opštine, kao i posebnu listu imovine planirane za davanje na korišćenje za narednu godinu, obrazlažući javni interes i ekonomski razvoj opštine. Lista nepokretne imovine za davanje na korišćenje mora da sadrži sledeće podatke: katastarske podatke o imovini, njenu namenu i odredište, datum objavljivanja obaveštenja, kao i vremenski period za davanje na korišćenje nepokretne imovine opštine.</w:t>
      </w:r>
    </w:p>
    <w:p w14:paraId="335B4A19" w14:textId="0BCEF1D0" w:rsidR="006769E2" w:rsidRPr="00FC328A" w:rsidRDefault="00FC328A" w:rsidP="006769E2">
      <w:pPr>
        <w:spacing w:before="100" w:beforeAutospacing="1" w:after="100" w:afterAutospacing="1" w:line="276" w:lineRule="auto"/>
        <w:rPr>
          <w:rFonts w:asciiTheme="majorHAnsi" w:eastAsia="Times New Roman" w:hAnsiTheme="majorHAnsi" w:cstheme="majorHAnsi"/>
          <w:lang w:val="sr-Latn-RS" w:eastAsia="en-GB"/>
        </w:rPr>
      </w:pPr>
      <w:r w:rsidRPr="00FC328A">
        <w:rPr>
          <w:rFonts w:asciiTheme="majorHAnsi" w:eastAsia="Times New Roman" w:hAnsiTheme="majorHAnsi" w:cstheme="majorHAnsi"/>
          <w:lang w:val="sr-Latn-RS" w:eastAsia="en-GB"/>
        </w:rPr>
        <w:t xml:space="preserve">      </w:t>
      </w:r>
    </w:p>
    <w:p w14:paraId="50367E11" w14:textId="3E557F63" w:rsidR="006769E2" w:rsidRPr="00FC328A" w:rsidRDefault="00FC328A" w:rsidP="006769E2">
      <w:pPr>
        <w:spacing w:before="100" w:beforeAutospacing="1" w:after="100" w:afterAutospacing="1" w:line="276" w:lineRule="auto"/>
        <w:rPr>
          <w:rFonts w:asciiTheme="majorHAnsi" w:eastAsia="Times New Roman" w:hAnsiTheme="majorHAnsi" w:cstheme="majorHAnsi"/>
          <w:lang w:val="sr-Latn-RS" w:eastAsia="en-GB"/>
        </w:rPr>
      </w:pPr>
      <w:r w:rsidRPr="00FC328A">
        <w:rPr>
          <w:rFonts w:asciiTheme="majorHAnsi" w:eastAsia="Times New Roman" w:hAnsiTheme="majorHAnsi" w:cstheme="majorHAnsi"/>
          <w:lang w:val="sr-Latn-RS" w:eastAsia="en-GB"/>
        </w:rPr>
        <w:t xml:space="preserve"> Ove odredbe podrazumevaju obavezu opština da: </w:t>
      </w:r>
    </w:p>
    <w:p w14:paraId="0184A8C4" w14:textId="4FA1D49B" w:rsidR="00FC328A" w:rsidRPr="00FC328A" w:rsidRDefault="00FC328A" w:rsidP="00FC328A">
      <w:pPr>
        <w:numPr>
          <w:ilvl w:val="0"/>
          <w:numId w:val="42"/>
        </w:numPr>
        <w:spacing w:before="100" w:beforeAutospacing="1" w:after="100" w:afterAutospacing="1" w:line="276" w:lineRule="auto"/>
        <w:rPr>
          <w:rFonts w:asciiTheme="majorHAnsi" w:eastAsia="Times New Roman" w:hAnsiTheme="majorHAnsi" w:cstheme="majorHAnsi"/>
          <w:lang w:val="sr-Latn-RS" w:eastAsia="en-GB"/>
        </w:rPr>
      </w:pPr>
      <w:r w:rsidRPr="00FC328A">
        <w:rPr>
          <w:rFonts w:asciiTheme="majorHAnsi" w:eastAsia="Times New Roman" w:hAnsiTheme="majorHAnsi" w:cstheme="majorHAnsi"/>
          <w:lang w:val="sr-Latn-RS" w:eastAsia="en-GB"/>
        </w:rPr>
        <w:t xml:space="preserve"> da unapred objavi spisak opštinske imovine planirane za davanje na  korišćenje, i</w:t>
      </w:r>
    </w:p>
    <w:p w14:paraId="7E58E590" w14:textId="69C7F435" w:rsidR="006F5A72" w:rsidRPr="00301E71" w:rsidRDefault="00FC328A" w:rsidP="00FC328A">
      <w:pPr>
        <w:numPr>
          <w:ilvl w:val="0"/>
          <w:numId w:val="42"/>
        </w:numPr>
        <w:spacing w:before="100" w:beforeAutospacing="1" w:after="100" w:afterAutospacing="1" w:line="276" w:lineRule="auto"/>
        <w:rPr>
          <w:rFonts w:asciiTheme="majorHAnsi" w:eastAsia="Times New Roman" w:hAnsiTheme="majorHAnsi" w:cstheme="majorHAnsi"/>
          <w:lang w:val="sr-Latn-RS" w:eastAsia="en-GB"/>
        </w:rPr>
      </w:pPr>
      <w:r w:rsidRPr="00FC328A">
        <w:rPr>
          <w:rFonts w:asciiTheme="majorHAnsi" w:eastAsia="Times New Roman" w:hAnsiTheme="majorHAnsi" w:cstheme="majorHAnsi"/>
          <w:lang w:val="sr-Latn-RS" w:eastAsia="en-GB"/>
        </w:rPr>
        <w:t xml:space="preserve">da kontinuirano objavljuje spisak opštinske imovine date na korišćenje. </w:t>
      </w:r>
      <w:r w:rsidR="006769E2" w:rsidRPr="00FC328A">
        <w:rPr>
          <w:rFonts w:asciiTheme="majorHAnsi" w:eastAsia="Times New Roman" w:hAnsiTheme="majorHAnsi" w:cstheme="majorHAnsi"/>
          <w:lang w:val="sr-Latn-RS" w:eastAsia="en-GB"/>
        </w:rPr>
        <w:t xml:space="preserve"> </w:t>
      </w:r>
    </w:p>
    <w:p w14:paraId="624F2AB9" w14:textId="6B2D8BB2" w:rsidR="006769E2" w:rsidRPr="00301E71" w:rsidRDefault="00FC328A" w:rsidP="006F5A7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 xml:space="preserve"> Međutim, podaci praćenja zvaničnih veb stranica opština za period januar–decembar 2025. godine pokazuju da ova obaveza nije ispunjena ujednačeno: </w:t>
      </w:r>
    </w:p>
    <w:p w14:paraId="1226F305" w14:textId="6211A69B" w:rsidR="006769E2" w:rsidRPr="00301E71" w:rsidRDefault="00FC328A" w:rsidP="006F5A72">
      <w:pPr>
        <w:spacing w:before="100" w:beforeAutospacing="1" w:after="100" w:afterAutospacing="1" w:line="240"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b/>
          <w:bCs/>
          <w:lang w:val="sr-Latn-RS" w:eastAsia="en-GB"/>
        </w:rPr>
        <w:t xml:space="preserve"> Za spisak opštinske imovine planirane za davanje na korišćenje: </w:t>
      </w:r>
    </w:p>
    <w:p w14:paraId="7B45CB4C" w14:textId="64D3CD69" w:rsidR="006769E2" w:rsidRPr="00301E71" w:rsidRDefault="006769E2" w:rsidP="006F5A72">
      <w:pPr>
        <w:numPr>
          <w:ilvl w:val="0"/>
          <w:numId w:val="43"/>
        </w:numPr>
        <w:spacing w:before="100" w:beforeAutospacing="1" w:after="100" w:afterAutospacing="1" w:line="240"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lastRenderedPageBreak/>
        <w:t>2</w:t>
      </w:r>
      <w:r w:rsidR="0048239B">
        <w:rPr>
          <w:rFonts w:asciiTheme="majorHAnsi" w:eastAsia="Times New Roman" w:hAnsiTheme="majorHAnsi" w:cstheme="majorHAnsi"/>
          <w:lang w:val="sr-Latn-RS" w:eastAsia="en-GB"/>
        </w:rPr>
        <w:t>1</w:t>
      </w:r>
      <w:r w:rsidRPr="00301E71">
        <w:rPr>
          <w:rFonts w:asciiTheme="majorHAnsi" w:eastAsia="Times New Roman" w:hAnsiTheme="majorHAnsi" w:cstheme="majorHAnsi"/>
          <w:lang w:val="sr-Latn-RS" w:eastAsia="en-GB"/>
        </w:rPr>
        <w:t xml:space="preserve"> </w:t>
      </w:r>
      <w:r w:rsidR="00FC328A" w:rsidRPr="00301E71">
        <w:rPr>
          <w:rFonts w:asciiTheme="majorHAnsi" w:eastAsia="Times New Roman" w:hAnsiTheme="majorHAnsi" w:cstheme="majorHAnsi"/>
          <w:lang w:val="sr-Latn-RS" w:eastAsia="en-GB"/>
        </w:rPr>
        <w:t>opština</w:t>
      </w:r>
      <w:r w:rsidRPr="00301E71">
        <w:rPr>
          <w:rFonts w:asciiTheme="majorHAnsi" w:eastAsia="Times New Roman" w:hAnsiTheme="majorHAnsi" w:cstheme="majorHAnsi"/>
          <w:lang w:val="sr-Latn-RS" w:eastAsia="en-GB"/>
        </w:rPr>
        <w:t xml:space="preserve"> (53%) </w:t>
      </w:r>
      <w:r w:rsidR="00FC328A" w:rsidRPr="00301E71">
        <w:rPr>
          <w:rFonts w:asciiTheme="majorHAnsi" w:eastAsia="Times New Roman" w:hAnsiTheme="majorHAnsi" w:cstheme="majorHAnsi"/>
          <w:lang w:val="sr-Latn-RS" w:eastAsia="en-GB"/>
        </w:rPr>
        <w:t>objavilo su ovu listu, u skladu sa zakonskim zahtevima;</w:t>
      </w:r>
      <w:r w:rsidRPr="00301E71">
        <w:rPr>
          <w:rFonts w:asciiTheme="majorHAnsi" w:eastAsia="Times New Roman" w:hAnsiTheme="majorHAnsi" w:cstheme="majorHAnsi"/>
          <w:lang w:val="sr-Latn-RS" w:eastAsia="en-GB"/>
        </w:rPr>
        <w:t xml:space="preserve"> </w:t>
      </w:r>
    </w:p>
    <w:p w14:paraId="3F952390" w14:textId="2EC7C62D" w:rsidR="006769E2" w:rsidRPr="00301E71" w:rsidRDefault="006769E2" w:rsidP="006F5A72">
      <w:pPr>
        <w:numPr>
          <w:ilvl w:val="0"/>
          <w:numId w:val="43"/>
        </w:numPr>
        <w:spacing w:before="100" w:beforeAutospacing="1" w:after="100" w:afterAutospacing="1" w:line="240"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1</w:t>
      </w:r>
      <w:r w:rsidR="0048239B">
        <w:rPr>
          <w:rFonts w:asciiTheme="majorHAnsi" w:eastAsia="Times New Roman" w:hAnsiTheme="majorHAnsi" w:cstheme="majorHAnsi"/>
          <w:lang w:val="sr-Latn-RS" w:eastAsia="en-GB"/>
        </w:rPr>
        <w:t>7</w:t>
      </w:r>
      <w:r w:rsidRPr="00301E71">
        <w:rPr>
          <w:rFonts w:asciiTheme="majorHAnsi" w:eastAsia="Times New Roman" w:hAnsiTheme="majorHAnsi" w:cstheme="majorHAnsi"/>
          <w:lang w:val="sr-Latn-RS" w:eastAsia="en-GB"/>
        </w:rPr>
        <w:t xml:space="preserve"> </w:t>
      </w:r>
      <w:r w:rsidR="00FC328A" w:rsidRPr="00301E71">
        <w:rPr>
          <w:rFonts w:asciiTheme="majorHAnsi" w:eastAsia="Times New Roman" w:hAnsiTheme="majorHAnsi" w:cstheme="majorHAnsi"/>
          <w:lang w:val="sr-Latn-RS" w:eastAsia="en-GB"/>
        </w:rPr>
        <w:t>opština</w:t>
      </w:r>
      <w:r w:rsidRPr="00301E71">
        <w:rPr>
          <w:rFonts w:asciiTheme="majorHAnsi" w:eastAsia="Times New Roman" w:hAnsiTheme="majorHAnsi" w:cstheme="majorHAnsi"/>
          <w:lang w:val="sr-Latn-RS" w:eastAsia="en-GB"/>
        </w:rPr>
        <w:t xml:space="preserve"> (47%) n</w:t>
      </w:r>
      <w:r w:rsidR="00FC328A" w:rsidRPr="00301E71">
        <w:rPr>
          <w:rFonts w:asciiTheme="majorHAnsi" w:eastAsia="Times New Roman" w:hAnsiTheme="majorHAnsi" w:cstheme="majorHAnsi"/>
          <w:lang w:val="sr-Latn-RS" w:eastAsia="en-GB"/>
        </w:rPr>
        <w:t>isu objavile</w:t>
      </w:r>
      <w:r w:rsidRPr="00301E71">
        <w:rPr>
          <w:rFonts w:asciiTheme="majorHAnsi" w:eastAsia="Times New Roman" w:hAnsiTheme="majorHAnsi" w:cstheme="majorHAnsi"/>
          <w:lang w:val="sr-Latn-RS" w:eastAsia="en-GB"/>
        </w:rPr>
        <w:t xml:space="preserve">. </w:t>
      </w:r>
    </w:p>
    <w:p w14:paraId="57821604" w14:textId="60CD22CD" w:rsidR="006769E2" w:rsidRPr="00301E71" w:rsidRDefault="00FC328A" w:rsidP="006769E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b/>
          <w:bCs/>
          <w:lang w:val="sr-Latn-RS" w:eastAsia="en-GB"/>
        </w:rPr>
        <w:t>Za spisak opštinske imovine date na korišćenje</w:t>
      </w:r>
      <w:r w:rsidR="006769E2" w:rsidRPr="00301E71">
        <w:rPr>
          <w:rFonts w:asciiTheme="majorHAnsi" w:eastAsia="Times New Roman" w:hAnsiTheme="majorHAnsi" w:cstheme="majorHAnsi"/>
          <w:b/>
          <w:bCs/>
          <w:lang w:val="sr-Latn-RS" w:eastAsia="en-GB"/>
        </w:rPr>
        <w:t>:</w:t>
      </w:r>
    </w:p>
    <w:p w14:paraId="349374F7" w14:textId="09A0671E" w:rsidR="006769E2" w:rsidRPr="00301E71" w:rsidRDefault="006769E2" w:rsidP="006769E2">
      <w:pPr>
        <w:numPr>
          <w:ilvl w:val="0"/>
          <w:numId w:val="44"/>
        </w:num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 xml:space="preserve">18 </w:t>
      </w:r>
      <w:r w:rsidR="00416BA0" w:rsidRPr="00301E71">
        <w:rPr>
          <w:rFonts w:asciiTheme="majorHAnsi" w:eastAsia="Times New Roman" w:hAnsiTheme="majorHAnsi" w:cstheme="majorHAnsi"/>
          <w:lang w:val="sr-Latn-RS" w:eastAsia="en-GB"/>
        </w:rPr>
        <w:t>opština</w:t>
      </w:r>
      <w:r w:rsidRPr="00301E71">
        <w:rPr>
          <w:rFonts w:asciiTheme="majorHAnsi" w:eastAsia="Times New Roman" w:hAnsiTheme="majorHAnsi" w:cstheme="majorHAnsi"/>
          <w:lang w:val="sr-Latn-RS" w:eastAsia="en-GB"/>
        </w:rPr>
        <w:t xml:space="preserve"> (47%) </w:t>
      </w:r>
      <w:r w:rsidR="00416BA0" w:rsidRPr="00301E71">
        <w:rPr>
          <w:rFonts w:asciiTheme="majorHAnsi" w:eastAsia="Times New Roman" w:hAnsiTheme="majorHAnsi" w:cstheme="majorHAnsi"/>
          <w:lang w:val="sr-Latn-RS" w:eastAsia="en-GB"/>
        </w:rPr>
        <w:t>objavilo su ovu listu</w:t>
      </w:r>
      <w:r w:rsidRPr="00301E71">
        <w:rPr>
          <w:rFonts w:asciiTheme="majorHAnsi" w:eastAsia="Times New Roman" w:hAnsiTheme="majorHAnsi" w:cstheme="majorHAnsi"/>
          <w:lang w:val="sr-Latn-RS" w:eastAsia="en-GB"/>
        </w:rPr>
        <w:t xml:space="preserve">; </w:t>
      </w:r>
    </w:p>
    <w:p w14:paraId="02607FB2" w14:textId="087ED051" w:rsidR="006F5A72" w:rsidRPr="00301E71" w:rsidRDefault="006769E2" w:rsidP="006769E2">
      <w:pPr>
        <w:numPr>
          <w:ilvl w:val="0"/>
          <w:numId w:val="44"/>
        </w:num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 xml:space="preserve">20 </w:t>
      </w:r>
      <w:r w:rsidR="00416BA0" w:rsidRPr="00301E71">
        <w:rPr>
          <w:rFonts w:asciiTheme="majorHAnsi" w:eastAsia="Times New Roman" w:hAnsiTheme="majorHAnsi" w:cstheme="majorHAnsi"/>
          <w:lang w:val="sr-Latn-RS" w:eastAsia="en-GB"/>
        </w:rPr>
        <w:t>opština</w:t>
      </w:r>
      <w:r w:rsidRPr="00301E71">
        <w:rPr>
          <w:rFonts w:asciiTheme="majorHAnsi" w:eastAsia="Times New Roman" w:hAnsiTheme="majorHAnsi" w:cstheme="majorHAnsi"/>
          <w:lang w:val="sr-Latn-RS" w:eastAsia="en-GB"/>
        </w:rPr>
        <w:t xml:space="preserve"> (53%) </w:t>
      </w:r>
      <w:r w:rsidR="00416BA0" w:rsidRPr="00301E71">
        <w:rPr>
          <w:rFonts w:asciiTheme="majorHAnsi" w:eastAsia="Times New Roman" w:hAnsiTheme="majorHAnsi" w:cstheme="majorHAnsi"/>
          <w:lang w:val="sr-Latn-RS" w:eastAsia="en-GB"/>
        </w:rPr>
        <w:t>nisu objavile</w:t>
      </w:r>
      <w:r w:rsidRPr="00301E71">
        <w:rPr>
          <w:rFonts w:asciiTheme="majorHAnsi" w:eastAsia="Times New Roman" w:hAnsiTheme="majorHAnsi" w:cstheme="majorHAnsi"/>
          <w:lang w:val="sr-Latn-RS" w:eastAsia="en-GB"/>
        </w:rPr>
        <w:t xml:space="preserve">. </w:t>
      </w:r>
    </w:p>
    <w:p w14:paraId="1406F6F2" w14:textId="361A364A" w:rsidR="006769E2" w:rsidRPr="00301E71" w:rsidRDefault="00416BA0" w:rsidP="00E271C1">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U sledećoj tabeli prikazani su podaci opština u vezi sa objavljivanjem spiska opštinske imovine planiran</w:t>
      </w:r>
      <w:r w:rsidR="00526D9D" w:rsidRPr="00301E71">
        <w:rPr>
          <w:rFonts w:asciiTheme="majorHAnsi" w:eastAsia="Times New Roman" w:hAnsiTheme="majorHAnsi" w:cstheme="majorHAnsi"/>
          <w:lang w:val="sr-Latn-RS" w:eastAsia="en-GB"/>
        </w:rPr>
        <w:t>e</w:t>
      </w:r>
      <w:r w:rsidRPr="00301E71">
        <w:rPr>
          <w:rFonts w:asciiTheme="majorHAnsi" w:eastAsia="Times New Roman" w:hAnsiTheme="majorHAnsi" w:cstheme="majorHAnsi"/>
          <w:lang w:val="sr-Latn-RS" w:eastAsia="en-GB"/>
        </w:rPr>
        <w:t xml:space="preserve"> za </w:t>
      </w:r>
      <w:r w:rsidR="00526D9D" w:rsidRPr="00301E71">
        <w:rPr>
          <w:rFonts w:asciiTheme="majorHAnsi" w:eastAsia="Times New Roman" w:hAnsiTheme="majorHAnsi" w:cstheme="majorHAnsi"/>
          <w:lang w:val="sr-Latn-RS" w:eastAsia="en-GB"/>
        </w:rPr>
        <w:t>davanje na</w:t>
      </w:r>
      <w:r w:rsidRPr="00301E71">
        <w:rPr>
          <w:rFonts w:asciiTheme="majorHAnsi" w:eastAsia="Times New Roman" w:hAnsiTheme="majorHAnsi" w:cstheme="majorHAnsi"/>
          <w:lang w:val="sr-Latn-RS" w:eastAsia="en-GB"/>
        </w:rPr>
        <w:t>korišćenje i spiska opštinsk</w:t>
      </w:r>
      <w:r w:rsidR="00526D9D" w:rsidRPr="00301E71">
        <w:rPr>
          <w:rFonts w:asciiTheme="majorHAnsi" w:eastAsia="Times New Roman" w:hAnsiTheme="majorHAnsi" w:cstheme="majorHAnsi"/>
          <w:lang w:val="sr-Latn-RS" w:eastAsia="en-GB"/>
        </w:rPr>
        <w:t>e imovine date</w:t>
      </w:r>
      <w:r w:rsidRPr="00301E71">
        <w:rPr>
          <w:rFonts w:asciiTheme="majorHAnsi" w:eastAsia="Times New Roman" w:hAnsiTheme="majorHAnsi" w:cstheme="majorHAnsi"/>
          <w:lang w:val="sr-Latn-RS" w:eastAsia="en-GB"/>
        </w:rPr>
        <w:t xml:space="preserve"> </w:t>
      </w:r>
      <w:r w:rsidR="00526D9D" w:rsidRPr="00301E71">
        <w:rPr>
          <w:rFonts w:asciiTheme="majorHAnsi" w:eastAsia="Times New Roman" w:hAnsiTheme="majorHAnsi" w:cstheme="majorHAnsi"/>
          <w:lang w:val="sr-Latn-RS" w:eastAsia="en-GB"/>
        </w:rPr>
        <w:t>na korišćenje</w:t>
      </w:r>
      <w:r w:rsidR="006769E2" w:rsidRPr="00301E71">
        <w:rPr>
          <w:rFonts w:asciiTheme="majorHAnsi" w:eastAsia="Times New Roman" w:hAnsiTheme="majorHAnsi" w:cstheme="majorHAnsi"/>
          <w:lang w:val="sr-Latn-RS" w:eastAsia="en-GB"/>
        </w:rPr>
        <w:t>.</w:t>
      </w:r>
    </w:p>
    <w:p w14:paraId="06781327" w14:textId="3DBADB3A" w:rsidR="004314AE" w:rsidRPr="00301E71" w:rsidRDefault="00216A28" w:rsidP="00A70BC5">
      <w:pPr>
        <w:spacing w:line="276" w:lineRule="auto"/>
        <w:rPr>
          <w:rFonts w:asciiTheme="majorHAnsi" w:hAnsiTheme="majorHAnsi" w:cstheme="majorHAnsi"/>
          <w:b/>
          <w:color w:val="2F5496" w:themeColor="accent5" w:themeShade="BF"/>
          <w:sz w:val="24"/>
          <w:lang w:val="sr-Latn-RS"/>
        </w:rPr>
      </w:pPr>
      <w:r w:rsidRPr="00301E71">
        <w:rPr>
          <w:rFonts w:asciiTheme="majorHAnsi" w:hAnsiTheme="majorHAnsi" w:cstheme="majorHAnsi"/>
          <w:b/>
          <w:bCs/>
          <w:noProof/>
          <w:lang w:eastAsia="sq-AL"/>
        </w:rPr>
        <w:drawing>
          <wp:inline distT="0" distB="0" distL="0" distR="0" wp14:anchorId="4479241A" wp14:editId="62E9A47C">
            <wp:extent cx="5824220" cy="1898780"/>
            <wp:effectExtent l="0" t="0" r="5080" b="6350"/>
            <wp:docPr id="63" name="Chart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3AEFAF-FC9B-4EE9-AECA-4214A83C9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3FACFE" w14:textId="493A7D28" w:rsidR="00321592" w:rsidRPr="00301E71" w:rsidRDefault="009E74E5" w:rsidP="00F2395A">
      <w:pPr>
        <w:pStyle w:val="Heading2"/>
        <w:spacing w:line="276" w:lineRule="auto"/>
        <w:jc w:val="center"/>
        <w:rPr>
          <w:rFonts w:asciiTheme="majorHAnsi" w:eastAsia="Times New Roman" w:hAnsiTheme="majorHAnsi" w:cstheme="majorHAnsi"/>
          <w:b w:val="0"/>
          <w:bCs w:val="0"/>
          <w:color w:val="auto"/>
          <w:sz w:val="14"/>
          <w:szCs w:val="14"/>
          <w:lang w:val="sr-Latn-RS" w:eastAsia="en-GB"/>
        </w:rPr>
      </w:pPr>
      <w:bookmarkStart w:id="59" w:name="_Toc230183446"/>
      <w:bookmarkStart w:id="60" w:name="_Toc230183745"/>
      <w:bookmarkStart w:id="61" w:name="_Toc227827178"/>
      <w:r>
        <w:rPr>
          <w:rFonts w:asciiTheme="majorHAnsi" w:hAnsiTheme="majorHAnsi" w:cstheme="majorHAnsi"/>
          <w:b w:val="0"/>
          <w:bCs w:val="0"/>
          <w:i/>
          <w:color w:val="auto"/>
          <w:sz w:val="14"/>
          <w:szCs w:val="14"/>
          <w:lang w:val="sr-Latn-RS"/>
        </w:rPr>
        <w:t>Sl.</w:t>
      </w:r>
      <w:r w:rsidR="00BC02E9" w:rsidRPr="00E271C1">
        <w:rPr>
          <w:rFonts w:asciiTheme="majorHAnsi" w:hAnsiTheme="majorHAnsi" w:cstheme="majorHAnsi"/>
          <w:b w:val="0"/>
          <w:bCs w:val="0"/>
          <w:i/>
          <w:color w:val="auto"/>
          <w:sz w:val="14"/>
          <w:szCs w:val="14"/>
        </w:rPr>
        <w:t xml:space="preserve"> </w:t>
      </w:r>
      <w:r w:rsidR="00891A1F" w:rsidRPr="00E271C1">
        <w:rPr>
          <w:rFonts w:asciiTheme="majorHAnsi" w:hAnsiTheme="majorHAnsi" w:cstheme="majorHAnsi"/>
          <w:b w:val="0"/>
          <w:bCs w:val="0"/>
          <w:i/>
          <w:color w:val="auto"/>
          <w:sz w:val="14"/>
          <w:szCs w:val="14"/>
        </w:rPr>
        <w:t>20</w:t>
      </w:r>
      <w:r w:rsidR="00301E71">
        <w:rPr>
          <w:rFonts w:asciiTheme="majorHAnsi" w:hAnsiTheme="majorHAnsi" w:cstheme="majorHAnsi"/>
          <w:b w:val="0"/>
          <w:bCs w:val="0"/>
          <w:i/>
          <w:color w:val="auto"/>
          <w:sz w:val="14"/>
          <w:szCs w:val="14"/>
        </w:rPr>
        <w:t xml:space="preserve">  </w:t>
      </w:r>
      <w:r w:rsidR="00301E71" w:rsidRPr="00301E71">
        <w:rPr>
          <w:rFonts w:asciiTheme="majorHAnsi" w:hAnsiTheme="majorHAnsi" w:cstheme="majorHAnsi"/>
          <w:b w:val="0"/>
          <w:bCs w:val="0"/>
          <w:i/>
          <w:color w:val="auto"/>
          <w:sz w:val="14"/>
          <w:szCs w:val="14"/>
          <w:lang w:val="sr-Latn-RS"/>
        </w:rPr>
        <w:t>Spisak opštinske imovine planirane za davanje korišćenje i spisak opštinske imovine date na korišćenje</w:t>
      </w:r>
      <w:bookmarkEnd w:id="59"/>
      <w:bookmarkEnd w:id="60"/>
      <w:r w:rsidR="00301E71" w:rsidRPr="00301E71">
        <w:rPr>
          <w:rFonts w:asciiTheme="majorHAnsi" w:hAnsiTheme="majorHAnsi" w:cstheme="majorHAnsi"/>
          <w:b w:val="0"/>
          <w:bCs w:val="0"/>
          <w:i/>
          <w:color w:val="auto"/>
          <w:sz w:val="14"/>
          <w:szCs w:val="14"/>
          <w:lang w:val="sr-Latn-RS"/>
        </w:rPr>
        <w:t xml:space="preserve">  </w:t>
      </w:r>
      <w:r w:rsidR="00BC02E9" w:rsidRPr="00301E71">
        <w:rPr>
          <w:rFonts w:asciiTheme="majorHAnsi" w:hAnsiTheme="majorHAnsi" w:cstheme="majorHAnsi"/>
          <w:b w:val="0"/>
          <w:bCs w:val="0"/>
          <w:i/>
          <w:color w:val="auto"/>
          <w:sz w:val="14"/>
          <w:szCs w:val="14"/>
          <w:lang w:val="sr-Latn-RS"/>
        </w:rPr>
        <w:t xml:space="preserve"> </w:t>
      </w:r>
      <w:bookmarkEnd w:id="61"/>
    </w:p>
    <w:p w14:paraId="65DC84FF" w14:textId="57E71AA7" w:rsidR="006F5A72" w:rsidRPr="00301E71" w:rsidRDefault="006F5A72" w:rsidP="006F5A72">
      <w:pPr>
        <w:rPr>
          <w:rFonts w:asciiTheme="majorHAnsi" w:hAnsiTheme="majorHAnsi" w:cstheme="majorHAnsi"/>
          <w:lang w:val="sr-Latn-RS" w:eastAsia="en-GB"/>
        </w:rPr>
      </w:pPr>
    </w:p>
    <w:p w14:paraId="57F667B6" w14:textId="77777777" w:rsidR="006F5A72" w:rsidRPr="009D6147" w:rsidRDefault="006F5A72" w:rsidP="006F5A72">
      <w:pPr>
        <w:rPr>
          <w:rFonts w:asciiTheme="majorHAnsi" w:hAnsiTheme="majorHAnsi" w:cstheme="majorHAnsi"/>
          <w:lang w:eastAsia="en-GB"/>
        </w:rPr>
      </w:pPr>
    </w:p>
    <w:p w14:paraId="2443E3A6" w14:textId="68176909" w:rsidR="00216A28" w:rsidRPr="00301E71" w:rsidRDefault="00301E71" w:rsidP="006F5A72">
      <w:pPr>
        <w:pStyle w:val="Style3"/>
        <w:spacing w:line="276" w:lineRule="auto"/>
        <w:rPr>
          <w:rFonts w:eastAsia="Times New Roman" w:cstheme="majorHAnsi"/>
          <w:sz w:val="22"/>
          <w:szCs w:val="22"/>
          <w:lang w:val="sr-Latn-RS" w:eastAsia="en-GB"/>
        </w:rPr>
      </w:pPr>
      <w:r w:rsidRPr="005901F4">
        <w:rPr>
          <w:rFonts w:eastAsia="Times New Roman" w:cstheme="majorHAnsi"/>
          <w:sz w:val="22"/>
          <w:szCs w:val="22"/>
          <w:lang w:val="sr-Latn-RS" w:eastAsia="en-GB"/>
        </w:rPr>
        <w:t xml:space="preserve"> </w:t>
      </w:r>
      <w:bookmarkStart w:id="62" w:name="_Toc230183746"/>
      <w:r w:rsidRPr="00301E71">
        <w:rPr>
          <w:rFonts w:eastAsia="Times New Roman" w:cstheme="majorHAnsi"/>
          <w:sz w:val="22"/>
          <w:szCs w:val="22"/>
          <w:lang w:val="sr-Latn-RS" w:eastAsia="en-GB"/>
        </w:rPr>
        <w:t>Izveštaj o pristupu javnim dokumentima</w:t>
      </w:r>
      <w:bookmarkEnd w:id="62"/>
      <w:r w:rsidRPr="00301E71">
        <w:rPr>
          <w:rFonts w:eastAsia="Times New Roman" w:cstheme="majorHAnsi"/>
          <w:sz w:val="22"/>
          <w:szCs w:val="22"/>
          <w:lang w:val="sr-Latn-RS" w:eastAsia="en-GB"/>
        </w:rPr>
        <w:t xml:space="preserve"> </w:t>
      </w:r>
    </w:p>
    <w:p w14:paraId="0EB96F66" w14:textId="34054BAC" w:rsidR="00301E71" w:rsidRPr="00301E71" w:rsidRDefault="00301E71" w:rsidP="006F5A7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 xml:space="preserve"> Član 31. Zakona br. 06/L-081 o pristupu javnim dokumentima predviđa da su, radi obezbeđivanja transparentnosti u radu javnih institucija i u vezi sa pristupom javnim dokumentima, ove institucije, preko službenika zaduženog za pristup javnim dokumentima, dužne da sastave godišnji izveštaj, najkasnije do kraja januara tekuće godine. Ovaj izveštaj mora da sadrži broj slučajeva u kojima je pristup javnim dokumentima odobren, broj slučajeva u kojima je pristup odbijen, kao i razloge za odbijanje, za period do 31. decembra prethodne godine.</w:t>
      </w:r>
    </w:p>
    <w:p w14:paraId="4A34E7F1" w14:textId="7C168306" w:rsidR="00301E71" w:rsidRPr="00301E71" w:rsidRDefault="00301E71" w:rsidP="006F5A7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Podaci praćenja zvaničnih veb stranica opština za period januar-decembar 2025. godine pokazuju da je 18 opština (48%) objavilo izveštaj o pristupu javnim dokumentima, dok 20 opština (52%) nije objavilo ovaj izveštaj na svojim zvaničnim veb stranicama.</w:t>
      </w:r>
    </w:p>
    <w:p w14:paraId="6453C0C1" w14:textId="77777777" w:rsidR="00301E71" w:rsidRPr="00301E71" w:rsidRDefault="00301E71" w:rsidP="006F5A7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 xml:space="preserve"> U poređenju sa 2024. godinom, kada je 25 opština objavilo izveštaj, a 13 opština nije, u 2025. godini došlo je do pada broja opština koje su objavile godišnji izveštaj. Ovo ukazuje na niži nivo transparentnosti opština u objavljivanju izveštaja o pristupu javnim dokumentima. </w:t>
      </w:r>
    </w:p>
    <w:p w14:paraId="42864A0D" w14:textId="1936BF40" w:rsidR="006F5A72" w:rsidRPr="00301E71" w:rsidRDefault="00301E71" w:rsidP="006F5A72">
      <w:pPr>
        <w:spacing w:before="100" w:beforeAutospacing="1" w:after="100" w:afterAutospacing="1" w:line="276" w:lineRule="auto"/>
        <w:rPr>
          <w:rFonts w:asciiTheme="majorHAnsi" w:eastAsia="Times New Roman" w:hAnsiTheme="majorHAnsi" w:cstheme="majorHAnsi"/>
          <w:lang w:val="sr-Latn-RS" w:eastAsia="en-GB"/>
        </w:rPr>
      </w:pPr>
      <w:r w:rsidRPr="00301E71">
        <w:rPr>
          <w:rFonts w:asciiTheme="majorHAnsi" w:eastAsia="Times New Roman" w:hAnsiTheme="majorHAnsi" w:cstheme="majorHAnsi"/>
          <w:lang w:val="sr-Latn-RS" w:eastAsia="en-GB"/>
        </w:rPr>
        <w:t>U nastavku je prikazan broj opština koje su objavile izveštaj o pristupu javnim dokumentima.</w:t>
      </w:r>
    </w:p>
    <w:p w14:paraId="570DC5E3" w14:textId="64321F53" w:rsidR="000A7D95" w:rsidRPr="009D6147" w:rsidRDefault="007F504A" w:rsidP="00216A28">
      <w:pPr>
        <w:spacing w:before="1" w:line="276" w:lineRule="auto"/>
        <w:ind w:right="1435"/>
        <w:rPr>
          <w:rFonts w:asciiTheme="majorHAnsi" w:hAnsiTheme="majorHAnsi" w:cstheme="majorHAnsi"/>
        </w:rPr>
      </w:pPr>
      <w:r w:rsidRPr="009D6147">
        <w:rPr>
          <w:rFonts w:asciiTheme="majorHAnsi" w:hAnsiTheme="majorHAnsi" w:cstheme="majorHAnsi"/>
          <w:noProof/>
          <w:lang w:eastAsia="sq-AL"/>
        </w:rPr>
        <w:lastRenderedPageBreak/>
        <w:drawing>
          <wp:inline distT="0" distB="0" distL="0" distR="0" wp14:anchorId="46C60DC5" wp14:editId="3133EBA1">
            <wp:extent cx="5802630" cy="1660849"/>
            <wp:effectExtent l="0" t="0" r="7620" b="15875"/>
            <wp:docPr id="35" name="Chart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CF05DA-5BF8-415D-89D5-2CFC454CC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63" w:name="_Toc56692987"/>
      <w:bookmarkStart w:id="64" w:name="_Toc81401213"/>
      <w:bookmarkEnd w:id="55"/>
      <w:bookmarkEnd w:id="56"/>
    </w:p>
    <w:p w14:paraId="05F5C061" w14:textId="406ECF0D" w:rsidR="004461DD" w:rsidRPr="00D579C8" w:rsidRDefault="009E74E5" w:rsidP="006F5A72">
      <w:pPr>
        <w:spacing w:line="276" w:lineRule="auto"/>
        <w:jc w:val="center"/>
        <w:rPr>
          <w:rFonts w:asciiTheme="majorHAnsi" w:eastAsia="Times New Roman" w:hAnsiTheme="majorHAnsi" w:cstheme="majorHAnsi"/>
          <w:b/>
          <w:i/>
          <w:sz w:val="16"/>
          <w:szCs w:val="16"/>
          <w:lang w:val="sr-Latn-RS"/>
        </w:rPr>
      </w:pPr>
      <w:r>
        <w:rPr>
          <w:rFonts w:asciiTheme="majorHAnsi" w:eastAsia="Times New Roman" w:hAnsiTheme="majorHAnsi" w:cstheme="majorHAnsi"/>
          <w:i/>
          <w:sz w:val="16"/>
          <w:szCs w:val="16"/>
        </w:rPr>
        <w:t>Sl</w:t>
      </w:r>
      <w:r w:rsidR="00261961" w:rsidRPr="009D6147">
        <w:rPr>
          <w:rFonts w:asciiTheme="majorHAnsi" w:eastAsia="Times New Roman" w:hAnsiTheme="majorHAnsi" w:cstheme="majorHAnsi"/>
          <w:i/>
          <w:sz w:val="16"/>
          <w:szCs w:val="16"/>
        </w:rPr>
        <w:t>.</w:t>
      </w:r>
      <w:r w:rsidR="00216A28" w:rsidRPr="009D6147">
        <w:rPr>
          <w:rFonts w:asciiTheme="majorHAnsi" w:eastAsia="Times New Roman" w:hAnsiTheme="majorHAnsi" w:cstheme="majorHAnsi"/>
          <w:i/>
          <w:sz w:val="16"/>
          <w:szCs w:val="16"/>
        </w:rPr>
        <w:t>21</w:t>
      </w:r>
      <w:r w:rsidR="0071735D" w:rsidRPr="00D579C8">
        <w:rPr>
          <w:rFonts w:asciiTheme="majorHAnsi" w:eastAsia="Times New Roman" w:hAnsiTheme="majorHAnsi" w:cstheme="majorHAnsi"/>
          <w:i/>
          <w:sz w:val="16"/>
          <w:szCs w:val="16"/>
          <w:lang w:val="sr-Latn-RS"/>
        </w:rPr>
        <w:t xml:space="preserve">. </w:t>
      </w:r>
      <w:r w:rsidR="00301E71" w:rsidRPr="00D579C8">
        <w:rPr>
          <w:rFonts w:asciiTheme="majorHAnsi" w:eastAsia="Times New Roman" w:hAnsiTheme="majorHAnsi" w:cstheme="majorHAnsi"/>
          <w:i/>
          <w:sz w:val="16"/>
          <w:szCs w:val="16"/>
          <w:lang w:val="sr-Latn-RS"/>
        </w:rPr>
        <w:t xml:space="preserve">Izveštaj o pristupu javnim dokumentima   </w:t>
      </w:r>
    </w:p>
    <w:p w14:paraId="7239BA4D" w14:textId="70483FDD" w:rsidR="00E0466F" w:rsidRPr="00D579C8" w:rsidRDefault="00301E71" w:rsidP="00642BCD">
      <w:pPr>
        <w:pStyle w:val="Style2"/>
        <w:rPr>
          <w:rFonts w:asciiTheme="majorHAnsi" w:hAnsiTheme="majorHAnsi" w:cstheme="majorHAnsi"/>
          <w:lang w:val="sr-Latn-RS"/>
        </w:rPr>
      </w:pPr>
      <w:bookmarkStart w:id="65" w:name="_Toc85812822"/>
      <w:bookmarkStart w:id="66" w:name="_Toc163220246"/>
      <w:r w:rsidRPr="00D579C8">
        <w:rPr>
          <w:rFonts w:asciiTheme="majorHAnsi" w:hAnsiTheme="majorHAnsi" w:cstheme="majorHAnsi"/>
          <w:lang w:val="sr-Latn-RS"/>
        </w:rPr>
        <w:t xml:space="preserve">  </w:t>
      </w:r>
      <w:bookmarkStart w:id="67" w:name="_Toc230183747"/>
      <w:r w:rsidRPr="00D579C8">
        <w:rPr>
          <w:rFonts w:asciiTheme="majorHAnsi" w:hAnsiTheme="majorHAnsi" w:cstheme="majorHAnsi"/>
          <w:lang w:val="sr-Latn-RS"/>
        </w:rPr>
        <w:t>FINANSIJSKA TRANSPARENTNOST</w:t>
      </w:r>
      <w:bookmarkEnd w:id="67"/>
      <w:r w:rsidRPr="00D579C8">
        <w:rPr>
          <w:rFonts w:asciiTheme="majorHAnsi" w:hAnsiTheme="majorHAnsi" w:cstheme="majorHAnsi"/>
          <w:lang w:val="sr-Latn-RS"/>
        </w:rPr>
        <w:t xml:space="preserve">              </w:t>
      </w:r>
      <w:r w:rsidR="00321158" w:rsidRPr="00D579C8">
        <w:rPr>
          <w:rFonts w:asciiTheme="majorHAnsi" w:hAnsiTheme="majorHAnsi" w:cstheme="majorHAnsi"/>
          <w:lang w:val="sr-Latn-RS"/>
        </w:rPr>
        <w:t xml:space="preserve"> </w:t>
      </w:r>
      <w:bookmarkEnd w:id="63"/>
      <w:bookmarkEnd w:id="64"/>
      <w:bookmarkEnd w:id="65"/>
      <w:bookmarkEnd w:id="66"/>
    </w:p>
    <w:p w14:paraId="2BAD211F" w14:textId="77777777" w:rsidR="00E0466F" w:rsidRPr="00D579C8" w:rsidRDefault="00E0466F" w:rsidP="00A70BC5">
      <w:pPr>
        <w:spacing w:line="276" w:lineRule="auto"/>
        <w:rPr>
          <w:rFonts w:asciiTheme="majorHAnsi" w:hAnsiTheme="majorHAnsi" w:cstheme="majorHAnsi"/>
          <w:color w:val="000000" w:themeColor="text1"/>
          <w:sz w:val="24"/>
          <w:szCs w:val="24"/>
          <w:lang w:val="sr-Latn-RS"/>
        </w:rPr>
      </w:pPr>
    </w:p>
    <w:p w14:paraId="345FB357" w14:textId="77777777" w:rsidR="00301E71" w:rsidRPr="00D579C8" w:rsidRDefault="00301E71" w:rsidP="00A70BC5">
      <w:pPr>
        <w:spacing w:line="276" w:lineRule="auto"/>
        <w:rPr>
          <w:rFonts w:asciiTheme="majorHAnsi" w:hAnsiTheme="majorHAnsi" w:cstheme="majorHAnsi"/>
          <w:color w:val="000000" w:themeColor="text1"/>
          <w:lang w:val="sr-Latn-RS"/>
        </w:rPr>
      </w:pPr>
      <w:r w:rsidRPr="00D579C8">
        <w:rPr>
          <w:rFonts w:asciiTheme="majorHAnsi" w:hAnsiTheme="majorHAnsi" w:cstheme="majorHAnsi"/>
          <w:color w:val="000000" w:themeColor="text1"/>
          <w:lang w:val="sr-Latn-RS"/>
        </w:rPr>
        <w:t>Finansijska transparentnost je jedan od glavnih kriterijuma dobre uprave koji utiče na povećanje odgovornosti opštinskih organa prema građanima. Značaj transparentnosti utiče na mnoge aspekte, uključujući ekonomsku i finansijsku održivost, dobro upravljanje, kao i opšti sistem državne uprave. Kroz ovaj princip omogućava se otvaranje administracije prema društvu, informacije o njenom radu mogu se vršiti na različite načine i u različitim obimima, princip koji može biti ograničen samo u određenim slučajevima u zakonodavstvu svake zemlje. Finansijska transparentnost čini administraciju dostupnom spolja. Iz tog razloga, zvanične veb stranice javnih institucija su osnovne i najprimenljivije platforme za komunikaciju informacija građanima, pružanje informacija o njihovom delokrugu delovanja, finansijskom upravljanju, aktivnostima javnih nabavki, kao i pristup javnim dokumentima.</w:t>
      </w:r>
    </w:p>
    <w:p w14:paraId="2BDC738F" w14:textId="4A5EBF1F" w:rsidR="00E25C16" w:rsidRPr="00D579C8" w:rsidRDefault="00D579C8" w:rsidP="00A70BC5">
      <w:pPr>
        <w:spacing w:line="276" w:lineRule="auto"/>
        <w:rPr>
          <w:rFonts w:asciiTheme="majorHAnsi" w:eastAsia="Times New Roman" w:hAnsiTheme="majorHAnsi" w:cstheme="majorHAnsi"/>
          <w:color w:val="000000" w:themeColor="text1"/>
          <w:lang w:val="sr-Latn-RS"/>
        </w:rPr>
      </w:pPr>
      <w:r w:rsidRPr="00D579C8">
        <w:rPr>
          <w:rFonts w:asciiTheme="majorHAnsi" w:hAnsiTheme="majorHAnsi" w:cstheme="majorHAnsi"/>
          <w:color w:val="000000" w:themeColor="text1"/>
          <w:lang w:val="sr-Latn-RS"/>
        </w:rPr>
        <w:t>Opštine su obavezne da javno objave finansijska dokumenta kao što su godišnji budžetski planovi, srednjoročni okviri rashoda, obaveštenja o budžetskim raspravama, kvartalni finansijski izveštaji, godišnji finansijski izveštaji, revizorski izveštaji, liste kapitalnih investicija itd.</w:t>
      </w:r>
    </w:p>
    <w:p w14:paraId="0B9C07C1" w14:textId="2FD6D776" w:rsidR="00343940" w:rsidRPr="00D579C8" w:rsidRDefault="00D579C8" w:rsidP="00A70BC5">
      <w:pPr>
        <w:spacing w:line="276" w:lineRule="auto"/>
        <w:rPr>
          <w:rFonts w:asciiTheme="majorHAnsi" w:hAnsiTheme="majorHAnsi" w:cstheme="majorHAnsi"/>
          <w:lang w:val="sr-Latn-RS"/>
        </w:rPr>
      </w:pPr>
      <w:r w:rsidRPr="00D579C8">
        <w:rPr>
          <w:rFonts w:asciiTheme="majorHAnsi" w:hAnsiTheme="majorHAnsi" w:cstheme="majorHAnsi"/>
          <w:lang w:val="sr-Latn-RS"/>
        </w:rPr>
        <w:t xml:space="preserve">   </w:t>
      </w:r>
    </w:p>
    <w:p w14:paraId="49DF76B1" w14:textId="77777777" w:rsidR="00E271C1" w:rsidRPr="00E271C1" w:rsidRDefault="00E271C1" w:rsidP="00A70BC5">
      <w:pPr>
        <w:spacing w:line="276" w:lineRule="auto"/>
        <w:rPr>
          <w:rFonts w:asciiTheme="majorHAnsi" w:hAnsiTheme="majorHAnsi" w:cstheme="majorHAnsi"/>
        </w:rPr>
      </w:pPr>
    </w:p>
    <w:p w14:paraId="7BE240FD" w14:textId="08497884" w:rsidR="00F5429A" w:rsidRPr="009D6147" w:rsidRDefault="00D579C8" w:rsidP="006F5A72">
      <w:pPr>
        <w:pStyle w:val="Style2"/>
        <w:rPr>
          <w:rFonts w:asciiTheme="majorHAnsi" w:hAnsiTheme="majorHAnsi" w:cstheme="majorHAnsi"/>
          <w:sz w:val="22"/>
          <w:szCs w:val="22"/>
        </w:rPr>
      </w:pPr>
      <w:bookmarkStart w:id="68" w:name="_Toc230183748"/>
      <w:r w:rsidRPr="00D579C8">
        <w:rPr>
          <w:rFonts w:asciiTheme="majorHAnsi" w:hAnsiTheme="majorHAnsi" w:cstheme="majorHAnsi"/>
          <w:sz w:val="22"/>
          <w:szCs w:val="22"/>
        </w:rPr>
        <w:t>OBJAVLJIVANJE BUDŽETSKOG PLANA</w:t>
      </w:r>
      <w:bookmarkEnd w:id="68"/>
      <w:r>
        <w:rPr>
          <w:rFonts w:asciiTheme="majorHAnsi" w:hAnsiTheme="majorHAnsi" w:cstheme="majorHAnsi"/>
          <w:sz w:val="22"/>
          <w:szCs w:val="22"/>
        </w:rPr>
        <w:t xml:space="preserve">                     </w:t>
      </w:r>
    </w:p>
    <w:p w14:paraId="6671629B" w14:textId="743018DA" w:rsidR="00D579C8" w:rsidRPr="00EB5E82" w:rsidRDefault="00D579C8" w:rsidP="00D579C8">
      <w:pPr>
        <w:spacing w:before="100" w:beforeAutospacing="1" w:after="100" w:afterAutospacing="1" w:line="276" w:lineRule="auto"/>
        <w:rPr>
          <w:rFonts w:asciiTheme="majorHAnsi" w:eastAsia="Times New Roman" w:hAnsiTheme="majorHAnsi" w:cstheme="majorHAnsi"/>
          <w:lang w:val="sr-Latn-RS" w:eastAsia="en-GB"/>
        </w:rPr>
      </w:pPr>
      <w:r w:rsidRPr="00EB5E82">
        <w:rPr>
          <w:rFonts w:asciiTheme="majorHAnsi" w:eastAsia="Times New Roman" w:hAnsiTheme="majorHAnsi" w:cstheme="majorHAnsi"/>
          <w:lang w:val="sr-Latn-RS" w:eastAsia="en-GB"/>
        </w:rPr>
        <w:t>Planiranje budžeta u opštinama je ključni uslov za odgovornost i za sprečavanje lošeg upravljanja javnim novcem. Objavljivanje budžetskog plana jedan je od osnovnih kriterijuma dobre uprave, koji direktno utiče na povećanje transparentnosti i odgovornosti opštinskih organa prema građanima.</w:t>
      </w:r>
    </w:p>
    <w:p w14:paraId="62AC5375" w14:textId="3D4D2275" w:rsidR="00D579C8" w:rsidRPr="00EB5E82" w:rsidRDefault="00D579C8" w:rsidP="00D579C8">
      <w:pPr>
        <w:spacing w:before="100" w:beforeAutospacing="1" w:after="100" w:afterAutospacing="1" w:line="276" w:lineRule="auto"/>
        <w:rPr>
          <w:rFonts w:asciiTheme="majorHAnsi" w:eastAsia="Times New Roman" w:hAnsiTheme="majorHAnsi" w:cstheme="majorHAnsi"/>
          <w:lang w:val="sr-Latn-RS" w:eastAsia="en-GB"/>
        </w:rPr>
      </w:pPr>
      <w:r w:rsidRPr="00EB5E82">
        <w:rPr>
          <w:rFonts w:asciiTheme="majorHAnsi" w:eastAsia="Times New Roman" w:hAnsiTheme="majorHAnsi" w:cstheme="majorHAnsi"/>
          <w:lang w:val="sr-Latn-RS" w:eastAsia="en-GB"/>
        </w:rPr>
        <w:t>U periodu januar–decembar 2025. godine, 27 opština je objavilo budžetski plan, dok 11 opština nije ispunilo ovu zakonsku obavezu.</w:t>
      </w:r>
    </w:p>
    <w:p w14:paraId="4E00F071" w14:textId="2A1146F5" w:rsidR="006F5A72" w:rsidRPr="00EB5E82" w:rsidRDefault="006F5A72" w:rsidP="006F5A72">
      <w:pPr>
        <w:numPr>
          <w:ilvl w:val="0"/>
          <w:numId w:val="45"/>
        </w:numPr>
        <w:spacing w:before="100" w:beforeAutospacing="1" w:after="100" w:afterAutospacing="1" w:line="276" w:lineRule="auto"/>
        <w:rPr>
          <w:rFonts w:asciiTheme="majorHAnsi" w:eastAsia="Times New Roman" w:hAnsiTheme="majorHAnsi" w:cstheme="majorHAnsi"/>
          <w:lang w:val="sr-Latn-RS" w:eastAsia="en-GB"/>
        </w:rPr>
      </w:pPr>
      <w:r w:rsidRPr="00EB5E82">
        <w:rPr>
          <w:rFonts w:asciiTheme="majorHAnsi" w:eastAsia="Times New Roman" w:hAnsiTheme="majorHAnsi" w:cstheme="majorHAnsi"/>
          <w:lang w:val="sr-Latn-RS" w:eastAsia="en-GB"/>
        </w:rPr>
        <w:t xml:space="preserve">27 </w:t>
      </w:r>
      <w:r w:rsidR="00D579C8" w:rsidRPr="00EB5E82">
        <w:rPr>
          <w:rFonts w:asciiTheme="majorHAnsi" w:eastAsia="Times New Roman" w:hAnsiTheme="majorHAnsi" w:cstheme="majorHAnsi"/>
          <w:lang w:val="sr-Latn-RS" w:eastAsia="en-GB"/>
        </w:rPr>
        <w:t>opština</w:t>
      </w:r>
      <w:r w:rsidRPr="00EB5E82">
        <w:rPr>
          <w:rFonts w:asciiTheme="majorHAnsi" w:eastAsia="Times New Roman" w:hAnsiTheme="majorHAnsi" w:cstheme="majorHAnsi"/>
          <w:lang w:val="sr-Latn-RS" w:eastAsia="en-GB"/>
        </w:rPr>
        <w:t xml:space="preserve"> (71%) </w:t>
      </w:r>
      <w:r w:rsidR="00D579C8" w:rsidRPr="00EB5E82">
        <w:rPr>
          <w:rFonts w:asciiTheme="majorHAnsi" w:eastAsia="Times New Roman" w:hAnsiTheme="majorHAnsi" w:cstheme="majorHAnsi"/>
          <w:lang w:val="sr-Latn-RS" w:eastAsia="en-GB"/>
        </w:rPr>
        <w:t>je objavilo  budžetski plan</w:t>
      </w:r>
      <w:r w:rsidRPr="00EB5E82">
        <w:rPr>
          <w:rFonts w:asciiTheme="majorHAnsi" w:eastAsia="Times New Roman" w:hAnsiTheme="majorHAnsi" w:cstheme="majorHAnsi"/>
          <w:lang w:val="sr-Latn-RS" w:eastAsia="en-GB"/>
        </w:rPr>
        <w:t xml:space="preserve">; </w:t>
      </w:r>
    </w:p>
    <w:p w14:paraId="1514FC57" w14:textId="20745591" w:rsidR="006F5A72" w:rsidRPr="00EB5E82" w:rsidRDefault="006F5A72" w:rsidP="006F5A72">
      <w:pPr>
        <w:numPr>
          <w:ilvl w:val="0"/>
          <w:numId w:val="45"/>
        </w:numPr>
        <w:spacing w:before="100" w:beforeAutospacing="1" w:after="100" w:afterAutospacing="1" w:line="276" w:lineRule="auto"/>
        <w:rPr>
          <w:rFonts w:asciiTheme="majorHAnsi" w:eastAsia="Times New Roman" w:hAnsiTheme="majorHAnsi" w:cstheme="majorHAnsi"/>
          <w:lang w:val="sr-Latn-RS" w:eastAsia="en-GB"/>
        </w:rPr>
      </w:pPr>
      <w:r w:rsidRPr="00EB5E82">
        <w:rPr>
          <w:rFonts w:asciiTheme="majorHAnsi" w:eastAsia="Times New Roman" w:hAnsiTheme="majorHAnsi" w:cstheme="majorHAnsi"/>
          <w:lang w:val="sr-Latn-RS" w:eastAsia="en-GB"/>
        </w:rPr>
        <w:t xml:space="preserve">11 </w:t>
      </w:r>
      <w:r w:rsidR="00D579C8" w:rsidRPr="00EB5E82">
        <w:rPr>
          <w:rFonts w:asciiTheme="majorHAnsi" w:eastAsia="Times New Roman" w:hAnsiTheme="majorHAnsi" w:cstheme="majorHAnsi"/>
          <w:lang w:val="sr-Latn-RS" w:eastAsia="en-GB"/>
        </w:rPr>
        <w:t>opština</w:t>
      </w:r>
      <w:r w:rsidRPr="00EB5E82">
        <w:rPr>
          <w:rFonts w:asciiTheme="majorHAnsi" w:eastAsia="Times New Roman" w:hAnsiTheme="majorHAnsi" w:cstheme="majorHAnsi"/>
          <w:lang w:val="sr-Latn-RS" w:eastAsia="en-GB"/>
        </w:rPr>
        <w:t xml:space="preserve"> (29%) </w:t>
      </w:r>
      <w:r w:rsidR="00D579C8" w:rsidRPr="00EB5E82">
        <w:rPr>
          <w:rFonts w:asciiTheme="majorHAnsi" w:eastAsia="Times New Roman" w:hAnsiTheme="majorHAnsi" w:cstheme="majorHAnsi"/>
          <w:lang w:val="sr-Latn-RS" w:eastAsia="en-GB"/>
        </w:rPr>
        <w:t>nije objavilo  budžetski plan</w:t>
      </w:r>
      <w:r w:rsidRPr="00EB5E82">
        <w:rPr>
          <w:rFonts w:asciiTheme="majorHAnsi" w:eastAsia="Times New Roman" w:hAnsiTheme="majorHAnsi" w:cstheme="majorHAnsi"/>
          <w:lang w:val="sr-Latn-RS" w:eastAsia="en-GB"/>
        </w:rPr>
        <w:t xml:space="preserve">. </w:t>
      </w:r>
    </w:p>
    <w:p w14:paraId="4F226891" w14:textId="77777777" w:rsidR="00EB5E82" w:rsidRPr="00EB5E82" w:rsidRDefault="00EB5E82" w:rsidP="006F5A72">
      <w:pPr>
        <w:spacing w:before="100" w:beforeAutospacing="1" w:after="100" w:afterAutospacing="1" w:line="276" w:lineRule="auto"/>
        <w:rPr>
          <w:rFonts w:asciiTheme="majorHAnsi" w:hAnsiTheme="majorHAnsi" w:cstheme="majorHAnsi"/>
          <w:lang w:val="sr-Latn-RS"/>
        </w:rPr>
      </w:pPr>
      <w:r w:rsidRPr="00EB5E82">
        <w:rPr>
          <w:rFonts w:asciiTheme="majorHAnsi" w:hAnsiTheme="majorHAnsi" w:cstheme="majorHAnsi"/>
          <w:lang w:val="sr-Latn-RS"/>
        </w:rPr>
        <w:lastRenderedPageBreak/>
        <w:t>U poređenju sa 2024. godinom, kada je 30 opština objavilo Plan budžeta, a 8 opština nije ispunilo ovu obavezu, u 2025. godini primećen je pad od tri opštine u objavljivanju Plana budžeta.</w:t>
      </w:r>
    </w:p>
    <w:p w14:paraId="423B777E" w14:textId="17C17848" w:rsidR="006F5A72" w:rsidRPr="00EB5E82" w:rsidRDefault="00EB5E82" w:rsidP="00EB5E82">
      <w:pPr>
        <w:spacing w:before="100" w:beforeAutospacing="1" w:after="100" w:afterAutospacing="1" w:line="276" w:lineRule="auto"/>
        <w:rPr>
          <w:rFonts w:asciiTheme="majorHAnsi" w:hAnsiTheme="majorHAnsi" w:cstheme="majorHAnsi"/>
          <w:lang w:val="sr-Latn-RS"/>
        </w:rPr>
      </w:pPr>
      <w:r w:rsidRPr="00EB5E82">
        <w:rPr>
          <w:rFonts w:asciiTheme="majorHAnsi" w:hAnsiTheme="majorHAnsi" w:cstheme="majorHAnsi"/>
          <w:lang w:val="sr-Latn-RS"/>
        </w:rPr>
        <w:t xml:space="preserve"> U nastavku je tabela koja prikazuje broj opština koje su objavile Plan budžeta.</w:t>
      </w:r>
    </w:p>
    <w:p w14:paraId="0B499A9A" w14:textId="3CA3A62E" w:rsidR="00015A8A" w:rsidRPr="009D6147" w:rsidRDefault="00015A8A" w:rsidP="00A70BC5">
      <w:pPr>
        <w:spacing w:after="240" w:line="276" w:lineRule="auto"/>
        <w:rPr>
          <w:rFonts w:asciiTheme="majorHAnsi" w:hAnsiTheme="majorHAnsi" w:cstheme="majorHAnsi"/>
          <w:noProof/>
        </w:rPr>
      </w:pPr>
      <w:r w:rsidRPr="009D6147">
        <w:rPr>
          <w:rFonts w:asciiTheme="majorHAnsi" w:hAnsiTheme="majorHAnsi" w:cstheme="majorHAnsi"/>
          <w:noProof/>
          <w:lang w:eastAsia="sq-AL"/>
        </w:rPr>
        <w:drawing>
          <wp:inline distT="0" distB="0" distL="0" distR="0" wp14:anchorId="6EF5283C" wp14:editId="785EC04D">
            <wp:extent cx="5889600" cy="1943735"/>
            <wp:effectExtent l="0" t="0" r="16510" b="18415"/>
            <wp:docPr id="58" name="Chart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26E079-9835-4BCB-96F8-FDC146227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D7066A" w14:textId="0B6FD1C7" w:rsidR="00CE04E0" w:rsidRPr="00EB5E82" w:rsidRDefault="009E74E5" w:rsidP="00642BCD">
      <w:pPr>
        <w:spacing w:line="276" w:lineRule="auto"/>
        <w:jc w:val="center"/>
        <w:rPr>
          <w:rFonts w:asciiTheme="majorHAnsi" w:hAnsiTheme="majorHAnsi" w:cstheme="majorHAnsi"/>
          <w:sz w:val="24"/>
          <w:lang w:val="sr-Latn-RS"/>
        </w:rPr>
      </w:pPr>
      <w:r>
        <w:rPr>
          <w:rFonts w:asciiTheme="majorHAnsi" w:hAnsiTheme="majorHAnsi" w:cstheme="majorHAnsi"/>
          <w:i/>
          <w:sz w:val="16"/>
          <w:szCs w:val="16"/>
          <w:lang w:val="sr-Latn-RS"/>
        </w:rPr>
        <w:t>Sl.</w:t>
      </w:r>
      <w:r w:rsidR="00913CFE" w:rsidRPr="00EB5E82">
        <w:rPr>
          <w:rFonts w:asciiTheme="majorHAnsi" w:hAnsiTheme="majorHAnsi" w:cstheme="majorHAnsi"/>
          <w:i/>
          <w:sz w:val="16"/>
          <w:szCs w:val="16"/>
          <w:lang w:val="sr-Latn-RS"/>
        </w:rPr>
        <w:t xml:space="preserve"> 2</w:t>
      </w:r>
      <w:r w:rsidR="00642BCD" w:rsidRPr="00EB5E82">
        <w:rPr>
          <w:rFonts w:asciiTheme="majorHAnsi" w:hAnsiTheme="majorHAnsi" w:cstheme="majorHAnsi"/>
          <w:i/>
          <w:sz w:val="16"/>
          <w:szCs w:val="16"/>
          <w:lang w:val="sr-Latn-RS"/>
        </w:rPr>
        <w:t>2.</w:t>
      </w:r>
      <w:r w:rsidR="00261961" w:rsidRPr="00EB5E82">
        <w:rPr>
          <w:rFonts w:asciiTheme="majorHAnsi" w:hAnsiTheme="majorHAnsi" w:cstheme="majorHAnsi"/>
          <w:i/>
          <w:sz w:val="16"/>
          <w:szCs w:val="16"/>
          <w:lang w:val="sr-Latn-RS"/>
        </w:rPr>
        <w:t xml:space="preserve"> </w:t>
      </w:r>
      <w:r w:rsidR="00EB5E82" w:rsidRPr="00EB5E82">
        <w:rPr>
          <w:rFonts w:asciiTheme="majorHAnsi" w:hAnsiTheme="majorHAnsi" w:cstheme="majorHAnsi"/>
          <w:i/>
          <w:sz w:val="16"/>
          <w:szCs w:val="16"/>
          <w:lang w:val="sr-Latn-RS"/>
        </w:rPr>
        <w:t xml:space="preserve">Objavljivanje budžeta za 2025. godinu    </w:t>
      </w:r>
    </w:p>
    <w:p w14:paraId="72211571" w14:textId="68D28ACB" w:rsidR="00642BCD" w:rsidRPr="009D6147" w:rsidRDefault="00EB5E82" w:rsidP="0070449E">
      <w:pPr>
        <w:pStyle w:val="Style2"/>
        <w:spacing w:line="276" w:lineRule="auto"/>
        <w:rPr>
          <w:rFonts w:asciiTheme="majorHAnsi" w:hAnsiTheme="majorHAnsi" w:cstheme="majorHAnsi"/>
          <w:sz w:val="22"/>
          <w:szCs w:val="22"/>
        </w:rPr>
      </w:pPr>
      <w:bookmarkStart w:id="69" w:name="_Toc230183749"/>
      <w:r w:rsidRPr="00EB5E82">
        <w:rPr>
          <w:rFonts w:asciiTheme="majorHAnsi" w:hAnsiTheme="majorHAnsi" w:cstheme="majorHAnsi"/>
          <w:sz w:val="22"/>
          <w:szCs w:val="22"/>
        </w:rPr>
        <w:t>SREDNJOROČNI BUDŽETSKI OKVIR</w:t>
      </w:r>
      <w:bookmarkEnd w:id="69"/>
      <w:r>
        <w:rPr>
          <w:rFonts w:asciiTheme="majorHAnsi" w:hAnsiTheme="majorHAnsi" w:cstheme="majorHAnsi"/>
          <w:sz w:val="22"/>
          <w:szCs w:val="22"/>
        </w:rPr>
        <w:t xml:space="preserve">           </w:t>
      </w:r>
    </w:p>
    <w:p w14:paraId="2E6DAAE4" w14:textId="77777777" w:rsidR="0070449E" w:rsidRPr="009D6147" w:rsidRDefault="0070449E" w:rsidP="0070449E">
      <w:pPr>
        <w:pStyle w:val="Style2"/>
        <w:spacing w:line="276" w:lineRule="auto"/>
        <w:rPr>
          <w:rFonts w:asciiTheme="majorHAnsi" w:hAnsiTheme="majorHAnsi" w:cstheme="majorHAnsi"/>
          <w:sz w:val="22"/>
          <w:szCs w:val="22"/>
        </w:rPr>
      </w:pPr>
    </w:p>
    <w:p w14:paraId="5836A3AA" w14:textId="77777777" w:rsidR="00780540" w:rsidRPr="00676904" w:rsidRDefault="00780540" w:rsidP="00A70BC5">
      <w:pPr>
        <w:spacing w:line="276" w:lineRule="auto"/>
        <w:rPr>
          <w:rFonts w:asciiTheme="majorHAnsi" w:hAnsiTheme="majorHAnsi" w:cstheme="majorHAnsi"/>
          <w:lang w:val="sr-Latn-RS"/>
        </w:rPr>
      </w:pPr>
      <w:r w:rsidRPr="00676904">
        <w:rPr>
          <w:rFonts w:asciiTheme="majorHAnsi" w:hAnsiTheme="majorHAnsi" w:cstheme="majorHAnsi"/>
          <w:lang w:val="sr-Latn-RS"/>
        </w:rPr>
        <w:t>Srednjoročni budžetski okvir je glavni finansijski dokument u kome se izrađuje godišnji budžet za narednu godinu. Srednjoročni budžetski okvir postavlja prioritete, na osnovu sveobuhvatne analize i planiranja budžeta za narednu godinu.</w:t>
      </w:r>
    </w:p>
    <w:p w14:paraId="0EB3EB10" w14:textId="4942E296" w:rsidR="00050692" w:rsidRPr="00676904" w:rsidRDefault="00780540" w:rsidP="00A70BC5">
      <w:pPr>
        <w:spacing w:line="276" w:lineRule="auto"/>
        <w:rPr>
          <w:rFonts w:asciiTheme="majorHAnsi" w:hAnsiTheme="majorHAnsi" w:cstheme="majorHAnsi"/>
          <w:lang w:val="sr-Latn-RS"/>
        </w:rPr>
      </w:pPr>
      <w:r w:rsidRPr="00676904">
        <w:rPr>
          <w:rFonts w:asciiTheme="majorHAnsi" w:hAnsiTheme="majorHAnsi" w:cstheme="majorHAnsi"/>
          <w:lang w:val="sr-Latn-RS"/>
        </w:rPr>
        <w:t>Tokom izveštajnog perioda za 2025. godinu, 28 opština ili 74% objavilo je Srednjoročni budžetski okvir (SBO), dok ga 10 opština ili 26% nije objavilo.</w:t>
      </w:r>
    </w:p>
    <w:p w14:paraId="2B3648FA" w14:textId="46335CE8" w:rsidR="00780540" w:rsidRPr="00676904" w:rsidRDefault="00780540" w:rsidP="00780540">
      <w:pPr>
        <w:spacing w:before="100" w:beforeAutospacing="1" w:after="100" w:afterAutospacing="1" w:line="276" w:lineRule="auto"/>
        <w:rPr>
          <w:rFonts w:asciiTheme="majorHAnsi" w:eastAsia="Times New Roman" w:hAnsiTheme="majorHAnsi" w:cstheme="majorHAnsi"/>
          <w:lang w:val="sr-Latn-RS" w:eastAsia="en-GB"/>
        </w:rPr>
      </w:pPr>
      <w:r w:rsidRPr="00676904">
        <w:rPr>
          <w:rFonts w:asciiTheme="majorHAnsi" w:eastAsia="Times New Roman" w:hAnsiTheme="majorHAnsi" w:cstheme="majorHAnsi"/>
          <w:lang w:val="sr-Latn-RS" w:eastAsia="en-GB"/>
        </w:rPr>
        <w:t xml:space="preserve">U poređenju sa podacima Izveštaja o transparentnosti za 2024. godinu, kada je 31 opština objavila </w:t>
      </w:r>
      <w:r w:rsidR="00676904" w:rsidRPr="00676904">
        <w:rPr>
          <w:rFonts w:asciiTheme="majorHAnsi" w:hAnsiTheme="majorHAnsi" w:cstheme="majorHAnsi"/>
          <w:lang w:val="sr-Latn-RS"/>
        </w:rPr>
        <w:t>(SBO)</w:t>
      </w:r>
      <w:r w:rsidRPr="00676904">
        <w:rPr>
          <w:rFonts w:asciiTheme="majorHAnsi" w:eastAsia="Times New Roman" w:hAnsiTheme="majorHAnsi" w:cstheme="majorHAnsi"/>
          <w:lang w:val="sr-Latn-RS" w:eastAsia="en-GB"/>
        </w:rPr>
        <w:t xml:space="preserve">, a 7 opština nije, u 2025. godini primećen je pad broja opština koje su objavile ovaj dokument za 3 opštine. Ovo ukazuje na smanjenje nivoa objavljivanja </w:t>
      </w:r>
      <w:r w:rsidR="00676904" w:rsidRPr="00676904">
        <w:rPr>
          <w:rFonts w:asciiTheme="majorHAnsi" w:hAnsiTheme="majorHAnsi" w:cstheme="majorHAnsi"/>
          <w:lang w:val="sr-Latn-RS"/>
        </w:rPr>
        <w:t>(SBO),</w:t>
      </w:r>
      <w:r w:rsidRPr="00676904">
        <w:rPr>
          <w:rFonts w:asciiTheme="majorHAnsi" w:eastAsia="Times New Roman" w:hAnsiTheme="majorHAnsi" w:cstheme="majorHAnsi"/>
          <w:lang w:val="sr-Latn-RS" w:eastAsia="en-GB"/>
        </w:rPr>
        <w:t>u poređenju sa prethodnom godinom.</w:t>
      </w:r>
    </w:p>
    <w:p w14:paraId="1E7A1C6D" w14:textId="77777777" w:rsidR="00676904" w:rsidRPr="00676904" w:rsidRDefault="00780540" w:rsidP="00780540">
      <w:pPr>
        <w:spacing w:before="100" w:beforeAutospacing="1" w:after="100" w:afterAutospacing="1" w:line="276" w:lineRule="auto"/>
        <w:rPr>
          <w:rFonts w:asciiTheme="majorHAnsi" w:eastAsia="Times New Roman" w:hAnsiTheme="majorHAnsi" w:cstheme="majorHAnsi"/>
          <w:lang w:val="sr-Latn-RS" w:eastAsia="en-GB"/>
        </w:rPr>
      </w:pPr>
      <w:r w:rsidRPr="00676904">
        <w:rPr>
          <w:rFonts w:asciiTheme="majorHAnsi" w:eastAsia="Times New Roman" w:hAnsiTheme="majorHAnsi" w:cstheme="majorHAnsi"/>
          <w:lang w:val="sr-Latn-RS" w:eastAsia="en-GB"/>
        </w:rPr>
        <w:t>Broj opština koje su objavile Srednjoročni budžetski okvir tokom ovog perioda prikazan je u tabelarnom obliku.</w:t>
      </w:r>
    </w:p>
    <w:p w14:paraId="2CFFF41C" w14:textId="3B7FF896" w:rsidR="00962FB2" w:rsidRPr="009D6147" w:rsidRDefault="00780540" w:rsidP="00676904">
      <w:pPr>
        <w:spacing w:before="100" w:beforeAutospacing="1" w:after="100" w:afterAutospacing="1" w:line="276" w:lineRule="auto"/>
        <w:rPr>
          <w:rFonts w:asciiTheme="majorHAnsi" w:hAnsiTheme="majorHAnsi" w:cstheme="majorHAnsi"/>
        </w:rPr>
      </w:pPr>
      <w:r>
        <w:rPr>
          <w:rFonts w:asciiTheme="majorHAnsi" w:eastAsia="Times New Roman" w:hAnsiTheme="majorHAnsi" w:cstheme="majorHAnsi"/>
          <w:lang w:eastAsia="en-GB"/>
        </w:rPr>
        <w:t xml:space="preserve">   </w:t>
      </w:r>
    </w:p>
    <w:p w14:paraId="705815D7" w14:textId="082F776C" w:rsidR="000C5105" w:rsidRPr="009D6147" w:rsidRDefault="000C5105" w:rsidP="00A70BC5">
      <w:pPr>
        <w:spacing w:line="276" w:lineRule="auto"/>
        <w:rPr>
          <w:rFonts w:asciiTheme="majorHAnsi" w:hAnsiTheme="majorHAnsi" w:cstheme="majorHAnsi"/>
          <w:i/>
          <w:sz w:val="16"/>
          <w:szCs w:val="16"/>
        </w:rPr>
      </w:pPr>
      <w:r w:rsidRPr="009D6147">
        <w:rPr>
          <w:rFonts w:asciiTheme="majorHAnsi" w:hAnsiTheme="majorHAnsi" w:cstheme="majorHAnsi"/>
          <w:noProof/>
          <w:lang w:eastAsia="sq-AL"/>
        </w:rPr>
        <w:lastRenderedPageBreak/>
        <w:drawing>
          <wp:inline distT="0" distB="0" distL="0" distR="0" wp14:anchorId="7A03EF1F" wp14:editId="4D7353F5">
            <wp:extent cx="5781040" cy="1754156"/>
            <wp:effectExtent l="0" t="0" r="10160" b="17780"/>
            <wp:docPr id="61" name="Chart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8E91AF-67E7-4D24-8B9F-23AC11E7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449DA7" w14:textId="20ED779E" w:rsidR="00962FB2" w:rsidRPr="003257B7" w:rsidRDefault="009E74E5" w:rsidP="00642BCD">
      <w:pPr>
        <w:spacing w:line="276" w:lineRule="auto"/>
        <w:jc w:val="center"/>
        <w:rPr>
          <w:rFonts w:asciiTheme="majorHAnsi" w:hAnsiTheme="majorHAnsi" w:cstheme="majorHAnsi"/>
          <w:i/>
          <w:sz w:val="14"/>
          <w:szCs w:val="14"/>
          <w:lang w:val="sr-Latn-RS"/>
        </w:rPr>
      </w:pPr>
      <w:r>
        <w:rPr>
          <w:rFonts w:asciiTheme="majorHAnsi" w:hAnsiTheme="majorHAnsi" w:cstheme="majorHAnsi"/>
          <w:i/>
          <w:sz w:val="14"/>
          <w:szCs w:val="14"/>
        </w:rPr>
        <w:t xml:space="preserve">Sl. </w:t>
      </w:r>
      <w:r w:rsidR="00913CFE" w:rsidRPr="00E271C1">
        <w:rPr>
          <w:rFonts w:asciiTheme="majorHAnsi" w:hAnsiTheme="majorHAnsi" w:cstheme="majorHAnsi"/>
          <w:i/>
          <w:sz w:val="14"/>
          <w:szCs w:val="14"/>
        </w:rPr>
        <w:t>2</w:t>
      </w:r>
      <w:r w:rsidR="00642BCD" w:rsidRPr="00E271C1">
        <w:rPr>
          <w:rFonts w:asciiTheme="majorHAnsi" w:hAnsiTheme="majorHAnsi" w:cstheme="majorHAnsi"/>
          <w:i/>
          <w:sz w:val="14"/>
          <w:szCs w:val="14"/>
        </w:rPr>
        <w:t>3</w:t>
      </w:r>
      <w:r w:rsidR="00962FB2" w:rsidRPr="00E271C1">
        <w:rPr>
          <w:rFonts w:asciiTheme="majorHAnsi" w:hAnsiTheme="majorHAnsi" w:cstheme="majorHAnsi"/>
          <w:i/>
          <w:sz w:val="14"/>
          <w:szCs w:val="14"/>
        </w:rPr>
        <w:t xml:space="preserve">.  </w:t>
      </w:r>
      <w:r w:rsidR="00676904" w:rsidRPr="003257B7">
        <w:rPr>
          <w:rFonts w:asciiTheme="majorHAnsi" w:hAnsiTheme="majorHAnsi" w:cstheme="majorHAnsi"/>
          <w:i/>
          <w:sz w:val="14"/>
          <w:szCs w:val="14"/>
          <w:lang w:val="sr-Latn-RS"/>
        </w:rPr>
        <w:t xml:space="preserve">Objavljivanje   SBO </w:t>
      </w:r>
    </w:p>
    <w:p w14:paraId="497A21DA" w14:textId="77777777" w:rsidR="00B53303" w:rsidRPr="003257B7" w:rsidRDefault="00B53303" w:rsidP="0070449E">
      <w:pPr>
        <w:pStyle w:val="Style3"/>
        <w:rPr>
          <w:rFonts w:cstheme="majorHAnsi"/>
          <w:sz w:val="22"/>
          <w:szCs w:val="22"/>
          <w:lang w:val="sr-Latn-RS"/>
        </w:rPr>
      </w:pPr>
    </w:p>
    <w:p w14:paraId="6D7182A2" w14:textId="4A2F3730" w:rsidR="007D4ABB" w:rsidRPr="003257B7" w:rsidRDefault="00676904" w:rsidP="0070449E">
      <w:pPr>
        <w:pStyle w:val="Style3"/>
        <w:rPr>
          <w:rFonts w:cstheme="majorHAnsi"/>
          <w:sz w:val="22"/>
          <w:szCs w:val="22"/>
          <w:lang w:val="sr-Latn-RS"/>
        </w:rPr>
      </w:pPr>
      <w:bookmarkStart w:id="70" w:name="_Toc230183750"/>
      <w:r w:rsidRPr="003257B7">
        <w:rPr>
          <w:rFonts w:cstheme="majorHAnsi"/>
          <w:sz w:val="22"/>
          <w:szCs w:val="22"/>
          <w:lang w:val="sr-Latn-RS"/>
        </w:rPr>
        <w:t>OBJAVLJIVANJE PERIODIČNIH IZVEŠTAJA</w:t>
      </w:r>
      <w:bookmarkEnd w:id="70"/>
      <w:r w:rsidRPr="003257B7">
        <w:rPr>
          <w:rFonts w:cstheme="majorHAnsi"/>
          <w:sz w:val="22"/>
          <w:szCs w:val="22"/>
          <w:lang w:val="sr-Latn-RS"/>
        </w:rPr>
        <w:t xml:space="preserve">          </w:t>
      </w:r>
    </w:p>
    <w:p w14:paraId="467B7D76" w14:textId="145C4519" w:rsidR="003257B7" w:rsidRPr="003257B7" w:rsidRDefault="003257B7" w:rsidP="0070449E">
      <w:pPr>
        <w:spacing w:before="100" w:beforeAutospacing="1" w:after="100" w:afterAutospacing="1" w:line="276" w:lineRule="auto"/>
        <w:rPr>
          <w:rFonts w:asciiTheme="majorHAnsi" w:eastAsia="Times New Roman" w:hAnsiTheme="majorHAnsi" w:cstheme="majorHAnsi"/>
          <w:lang w:val="sr-Latn-RS" w:eastAsia="en-GB"/>
        </w:rPr>
      </w:pPr>
      <w:r w:rsidRPr="003257B7">
        <w:rPr>
          <w:rFonts w:asciiTheme="majorHAnsi" w:eastAsia="Times New Roman" w:hAnsiTheme="majorHAnsi" w:cstheme="majorHAnsi"/>
          <w:lang w:val="sr-Latn-RS" w:eastAsia="en-GB"/>
        </w:rPr>
        <w:t>Pored dokumenata za planiranje budžeta, zakonodavstva na snazi obavezuje opštine da javno objave svoje finansijske aktivnosti. Objavljivanje periodičnih finansijskih izveštaja takođe olakšava druge aspekte spoljne kontrole, omogućavajući procenu efikasnosti rada skupština opština, poštovanje zakonitosti, efikasno upravljanje finansijama, kao i ukupni učinak izvršne vlasti opštine. Član 45.4 Zakona o upravljanju javnim finansijama i odgovornosti predviđa da je gradonačelnik, pored obaveze pripreme finansijskih izveštaja, dužan i da ih objavi na zvaničnoj veb stranici opštine.</w:t>
      </w:r>
    </w:p>
    <w:p w14:paraId="5047AB76" w14:textId="77777777" w:rsidR="003257B7" w:rsidRPr="003257B7"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3257B7">
        <w:rPr>
          <w:rFonts w:asciiTheme="majorHAnsi" w:eastAsia="Times New Roman" w:hAnsiTheme="majorHAnsi" w:cstheme="majorHAnsi"/>
          <w:lang w:val="sr-Latn-RS" w:eastAsia="en-GB"/>
        </w:rPr>
        <w:t>Tokom izveštajnog perioda januar-decembar 2025. godine, 28 opština (74%) je objavilo periodične finansijske izveštaje, dok 10 opština (26%) nije objavilo ove izveštaje.</w:t>
      </w:r>
    </w:p>
    <w:p w14:paraId="6889BE1C" w14:textId="77777777" w:rsidR="003257B7" w:rsidRPr="003257B7"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p>
    <w:p w14:paraId="074F15C3" w14:textId="77777777" w:rsidR="003257B7" w:rsidRPr="003257B7"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3257B7">
        <w:rPr>
          <w:rFonts w:asciiTheme="majorHAnsi" w:eastAsia="Times New Roman" w:hAnsiTheme="majorHAnsi" w:cstheme="majorHAnsi"/>
          <w:lang w:val="sr-Latn-RS" w:eastAsia="en-GB"/>
        </w:rPr>
        <w:t>U poređenju sa podacima Izveštaja o proceni transparentnosti za 2024. godinu, primećen je blagi pad u 2025. godini, gde je broj opština koje su objavile periodične finansijske izveštaje manji za dve (2) opštine (sa 30 na 28). Ovo ukazuje na blagi pad nivoa finansijskog izveštavanja po opštinama.</w:t>
      </w:r>
    </w:p>
    <w:p w14:paraId="185B6BF1" w14:textId="10F9EDF4" w:rsidR="003257B7" w:rsidRPr="003257B7"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3257B7">
        <w:rPr>
          <w:rFonts w:asciiTheme="majorHAnsi" w:eastAsia="Times New Roman" w:hAnsiTheme="majorHAnsi" w:cstheme="majorHAnsi"/>
          <w:lang w:val="sr-Latn-RS" w:eastAsia="en-GB"/>
        </w:rPr>
        <w:t xml:space="preserve"> U nastavku je tabela koja prikazuje broj opština koje su objavile periodične finansijske izveštaje.  </w:t>
      </w:r>
    </w:p>
    <w:p w14:paraId="6DBE9646" w14:textId="5F2A64D5" w:rsidR="0070449E" w:rsidRPr="00E271C1" w:rsidRDefault="003257B7" w:rsidP="003257B7">
      <w:pPr>
        <w:spacing w:before="100" w:beforeAutospacing="1" w:after="100" w:afterAutospacing="1" w:line="276"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    </w:t>
      </w:r>
    </w:p>
    <w:p w14:paraId="29B364DD" w14:textId="395ADC34" w:rsidR="000C5105" w:rsidRPr="009D6147" w:rsidRDefault="000C5105" w:rsidP="00A70BC5">
      <w:pPr>
        <w:spacing w:after="240" w:line="276" w:lineRule="auto"/>
        <w:rPr>
          <w:rFonts w:asciiTheme="majorHAnsi" w:hAnsiTheme="majorHAnsi" w:cstheme="majorHAnsi"/>
        </w:rPr>
      </w:pPr>
      <w:r w:rsidRPr="009D6147">
        <w:rPr>
          <w:rFonts w:asciiTheme="majorHAnsi" w:hAnsiTheme="majorHAnsi" w:cstheme="majorHAnsi"/>
          <w:noProof/>
          <w:lang w:eastAsia="sq-AL"/>
        </w:rPr>
        <w:lastRenderedPageBreak/>
        <w:drawing>
          <wp:inline distT="0" distB="0" distL="0" distR="0" wp14:anchorId="25FDA177" wp14:editId="691D874F">
            <wp:extent cx="5918400" cy="1880870"/>
            <wp:effectExtent l="0" t="0" r="6350" b="5080"/>
            <wp:docPr id="62" name="Chart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AC2C9B-3343-4D3D-A1A2-72674CC1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791C6E" w14:textId="27FEEEE1" w:rsidR="005671EB" w:rsidRPr="003257B7" w:rsidRDefault="009E74E5" w:rsidP="00051CD5">
      <w:pPr>
        <w:spacing w:after="240" w:line="276" w:lineRule="auto"/>
        <w:jc w:val="center"/>
        <w:rPr>
          <w:rFonts w:asciiTheme="majorHAnsi" w:hAnsiTheme="majorHAnsi" w:cstheme="majorHAnsi"/>
          <w:iCs/>
          <w:sz w:val="14"/>
          <w:szCs w:val="14"/>
          <w:lang w:val="sr-Latn-RS"/>
        </w:rPr>
      </w:pPr>
      <w:r>
        <w:rPr>
          <w:rFonts w:asciiTheme="majorHAnsi" w:hAnsiTheme="majorHAnsi" w:cstheme="majorHAnsi"/>
          <w:i/>
          <w:sz w:val="14"/>
          <w:szCs w:val="14"/>
        </w:rPr>
        <w:t>Sl</w:t>
      </w:r>
      <w:r w:rsidR="001827D4" w:rsidRPr="00654DAB">
        <w:rPr>
          <w:rFonts w:asciiTheme="majorHAnsi" w:hAnsiTheme="majorHAnsi" w:cstheme="majorHAnsi"/>
          <w:i/>
          <w:sz w:val="14"/>
          <w:szCs w:val="14"/>
        </w:rPr>
        <w:t>.2</w:t>
      </w:r>
      <w:r w:rsidR="005671EB" w:rsidRPr="00654DAB">
        <w:rPr>
          <w:rFonts w:asciiTheme="majorHAnsi" w:hAnsiTheme="majorHAnsi" w:cstheme="majorHAnsi"/>
          <w:i/>
          <w:sz w:val="14"/>
          <w:szCs w:val="14"/>
        </w:rPr>
        <w:t>4</w:t>
      </w:r>
      <w:r w:rsidR="006E6D40" w:rsidRPr="003257B7">
        <w:rPr>
          <w:rFonts w:asciiTheme="majorHAnsi" w:hAnsiTheme="majorHAnsi" w:cstheme="majorHAnsi"/>
          <w:iCs/>
          <w:sz w:val="14"/>
          <w:szCs w:val="14"/>
          <w:lang w:val="sr-Latn-RS"/>
        </w:rPr>
        <w:t>.</w:t>
      </w:r>
      <w:r w:rsidR="00F24AFC" w:rsidRPr="003257B7">
        <w:rPr>
          <w:rFonts w:asciiTheme="majorHAnsi" w:hAnsiTheme="majorHAnsi" w:cstheme="majorHAnsi"/>
          <w:iCs/>
          <w:sz w:val="14"/>
          <w:szCs w:val="14"/>
          <w:lang w:val="sr-Latn-RS"/>
        </w:rPr>
        <w:t xml:space="preserve"> </w:t>
      </w:r>
      <w:r w:rsidR="003257B7" w:rsidRPr="003257B7">
        <w:rPr>
          <w:rFonts w:asciiTheme="majorHAnsi" w:hAnsiTheme="majorHAnsi" w:cstheme="majorHAnsi"/>
          <w:iCs/>
          <w:sz w:val="14"/>
          <w:szCs w:val="14"/>
          <w:lang w:val="sr-Latn-RS"/>
        </w:rPr>
        <w:t xml:space="preserve"> Objavljivanje periodičnih finansijskih izveštaja              </w:t>
      </w:r>
    </w:p>
    <w:p w14:paraId="2607AD39" w14:textId="77777777" w:rsidR="007A53C4" w:rsidRPr="00CC662E" w:rsidRDefault="007A53C4" w:rsidP="00051CD5">
      <w:pPr>
        <w:spacing w:after="240" w:line="276" w:lineRule="auto"/>
        <w:jc w:val="center"/>
        <w:rPr>
          <w:rFonts w:asciiTheme="majorHAnsi" w:hAnsiTheme="majorHAnsi" w:cstheme="majorHAnsi"/>
          <w:i/>
          <w:lang w:val="sr-Latn-RS"/>
        </w:rPr>
      </w:pPr>
    </w:p>
    <w:p w14:paraId="0D59B2A6" w14:textId="3D05E7A5" w:rsidR="00034627" w:rsidRPr="00CC662E" w:rsidRDefault="003257B7" w:rsidP="001D0A4C">
      <w:pPr>
        <w:pStyle w:val="Style3"/>
        <w:spacing w:line="276" w:lineRule="auto"/>
        <w:rPr>
          <w:rFonts w:cstheme="majorHAnsi"/>
          <w:sz w:val="22"/>
          <w:szCs w:val="22"/>
          <w:lang w:val="sr-Latn-RS"/>
        </w:rPr>
      </w:pPr>
      <w:bookmarkStart w:id="71" w:name="_Toc230183751"/>
      <w:r w:rsidRPr="00CC662E">
        <w:rPr>
          <w:rFonts w:cstheme="majorHAnsi"/>
          <w:sz w:val="22"/>
          <w:szCs w:val="22"/>
          <w:lang w:val="sr-Latn-RS"/>
        </w:rPr>
        <w:t>Godišnji finansijski izveštaj</w:t>
      </w:r>
      <w:bookmarkEnd w:id="71"/>
      <w:r w:rsidRPr="00CC662E">
        <w:rPr>
          <w:rFonts w:cstheme="majorHAnsi"/>
          <w:sz w:val="22"/>
          <w:szCs w:val="22"/>
          <w:lang w:val="sr-Latn-RS"/>
        </w:rPr>
        <w:t xml:space="preserve">      </w:t>
      </w:r>
    </w:p>
    <w:p w14:paraId="478061BB" w14:textId="08B624DB" w:rsidR="003257B7" w:rsidRPr="00CC662E"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CC662E">
        <w:rPr>
          <w:rFonts w:asciiTheme="majorHAnsi" w:eastAsia="Times New Roman" w:hAnsiTheme="majorHAnsi" w:cstheme="majorHAnsi"/>
          <w:lang w:val="sr-Latn-RS" w:eastAsia="en-GB"/>
        </w:rPr>
        <w:t>Godišnji finansijski izveštaj tokom 2025. godine objavilo je 25 opština (66%), dok 13 opština (34%) nije objavilo ovaj izveštaj.</w:t>
      </w:r>
    </w:p>
    <w:p w14:paraId="3ADAEF7B" w14:textId="4EB09EBA" w:rsidR="003257B7" w:rsidRPr="00CC662E"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CC662E">
        <w:rPr>
          <w:rFonts w:asciiTheme="majorHAnsi" w:eastAsia="Times New Roman" w:hAnsiTheme="majorHAnsi" w:cstheme="majorHAnsi"/>
          <w:lang w:val="sr-Latn-RS" w:eastAsia="en-GB"/>
        </w:rPr>
        <w:t>U poređenju sa podacima Izveštaja o proceni transparentnosti za 2024. godinu, primećen je blagi pad u 2025. godini, gde je broj opština koje su objavile godišnji finansijski izveštaj manji za 3 opštine (sa 28 na 25). Ovo ukazuje na blagi pad u nivou objavljivanja godišnjeg finansijskog izveštaja po opštinama.</w:t>
      </w:r>
    </w:p>
    <w:p w14:paraId="37F5855A" w14:textId="77777777" w:rsidR="00CC662E" w:rsidRPr="00CC662E" w:rsidRDefault="003257B7" w:rsidP="003257B7">
      <w:pPr>
        <w:spacing w:before="100" w:beforeAutospacing="1" w:after="100" w:afterAutospacing="1" w:line="276" w:lineRule="auto"/>
        <w:rPr>
          <w:rFonts w:asciiTheme="majorHAnsi" w:eastAsia="Times New Roman" w:hAnsiTheme="majorHAnsi" w:cstheme="majorHAnsi"/>
          <w:lang w:val="sr-Latn-RS" w:eastAsia="en-GB"/>
        </w:rPr>
      </w:pPr>
      <w:r w:rsidRPr="00CC662E">
        <w:rPr>
          <w:rFonts w:asciiTheme="majorHAnsi" w:eastAsia="Times New Roman" w:hAnsiTheme="majorHAnsi" w:cstheme="majorHAnsi"/>
          <w:lang w:val="sr-Latn-RS" w:eastAsia="en-GB"/>
        </w:rPr>
        <w:t xml:space="preserve">U tabelarnom obliku prikazan je broj opština koje su objavile godišnji finansijski izveštaj.   </w:t>
      </w:r>
    </w:p>
    <w:p w14:paraId="6A8DA0B1" w14:textId="1E92DAB5" w:rsidR="00015A8A" w:rsidRPr="009D6147" w:rsidRDefault="00015A8A" w:rsidP="00A70BC5">
      <w:pPr>
        <w:spacing w:line="276" w:lineRule="auto"/>
        <w:rPr>
          <w:rFonts w:asciiTheme="majorHAnsi" w:hAnsiTheme="majorHAnsi" w:cstheme="majorHAnsi"/>
        </w:rPr>
      </w:pPr>
      <w:r w:rsidRPr="009D6147">
        <w:rPr>
          <w:rFonts w:asciiTheme="majorHAnsi" w:hAnsiTheme="majorHAnsi" w:cstheme="majorHAnsi"/>
          <w:noProof/>
          <w:sz w:val="16"/>
          <w:szCs w:val="16"/>
          <w:lang w:eastAsia="sq-AL"/>
        </w:rPr>
        <w:drawing>
          <wp:inline distT="0" distB="0" distL="0" distR="0" wp14:anchorId="3A1E56D4" wp14:editId="7DDE7E17">
            <wp:extent cx="5845810" cy="1702836"/>
            <wp:effectExtent l="0" t="0" r="2540" b="12065"/>
            <wp:docPr id="60" name="Chart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230E00-81E9-47A5-86BD-F592886F6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E3178F" w14:textId="4F066D3C" w:rsidR="00E0466F" w:rsidRPr="009E74E5" w:rsidRDefault="009E74E5" w:rsidP="009E74E5">
      <w:pPr>
        <w:spacing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1827D4" w:rsidRPr="00CC662E">
        <w:rPr>
          <w:rFonts w:asciiTheme="majorHAnsi" w:hAnsiTheme="majorHAnsi" w:cstheme="majorHAnsi"/>
          <w:i/>
          <w:sz w:val="14"/>
          <w:szCs w:val="14"/>
          <w:lang w:val="sr-Latn-RS"/>
        </w:rPr>
        <w:t xml:space="preserve"> 2</w:t>
      </w:r>
      <w:r w:rsidR="005671EB" w:rsidRPr="00CC662E">
        <w:rPr>
          <w:rFonts w:asciiTheme="majorHAnsi" w:hAnsiTheme="majorHAnsi" w:cstheme="majorHAnsi"/>
          <w:i/>
          <w:sz w:val="14"/>
          <w:szCs w:val="14"/>
          <w:lang w:val="sr-Latn-RS"/>
        </w:rPr>
        <w:t>5</w:t>
      </w:r>
      <w:r w:rsidR="007D4ABB" w:rsidRPr="00CC662E">
        <w:rPr>
          <w:rFonts w:asciiTheme="majorHAnsi" w:hAnsiTheme="majorHAnsi" w:cstheme="majorHAnsi"/>
          <w:i/>
          <w:sz w:val="14"/>
          <w:szCs w:val="14"/>
          <w:lang w:val="sr-Latn-RS"/>
        </w:rPr>
        <w:t xml:space="preserve"> </w:t>
      </w:r>
      <w:r w:rsidR="00CC662E" w:rsidRPr="00CC662E">
        <w:rPr>
          <w:rFonts w:asciiTheme="majorHAnsi" w:hAnsiTheme="majorHAnsi" w:cstheme="majorHAnsi"/>
          <w:i/>
          <w:sz w:val="14"/>
          <w:szCs w:val="14"/>
          <w:lang w:val="sr-Latn-RS"/>
        </w:rPr>
        <w:t xml:space="preserve">  Objavljivanje godišnjeg finansijskog izveštaja </w:t>
      </w:r>
    </w:p>
    <w:p w14:paraId="19A993DC" w14:textId="0A8F2BE1" w:rsidR="008D4D88" w:rsidRPr="006D35F5" w:rsidRDefault="00CC662E" w:rsidP="004D17CD">
      <w:pPr>
        <w:pStyle w:val="Style3"/>
        <w:spacing w:line="276" w:lineRule="auto"/>
        <w:jc w:val="center"/>
        <w:rPr>
          <w:rFonts w:cstheme="majorHAnsi"/>
          <w:sz w:val="22"/>
          <w:szCs w:val="22"/>
          <w:lang w:val="sr-Latn-RS"/>
        </w:rPr>
      </w:pPr>
      <w:r>
        <w:rPr>
          <w:rFonts w:cstheme="majorHAnsi"/>
          <w:sz w:val="22"/>
          <w:szCs w:val="22"/>
        </w:rPr>
        <w:t xml:space="preserve">  </w:t>
      </w:r>
      <w:bookmarkStart w:id="72" w:name="_Toc230183752"/>
      <w:r w:rsidRPr="006D35F5">
        <w:rPr>
          <w:rFonts w:cstheme="majorHAnsi"/>
          <w:sz w:val="22"/>
          <w:szCs w:val="22"/>
          <w:lang w:val="sr-Latn-RS"/>
        </w:rPr>
        <w:t>Objavljivanje obaveštenja za budžetske sastanke/saslušanja</w:t>
      </w:r>
      <w:bookmarkEnd w:id="72"/>
      <w:r w:rsidRPr="006D35F5">
        <w:rPr>
          <w:rFonts w:cstheme="majorHAnsi"/>
          <w:sz w:val="22"/>
          <w:szCs w:val="22"/>
          <w:lang w:val="sr-Latn-RS"/>
        </w:rPr>
        <w:t xml:space="preserve">  </w:t>
      </w:r>
    </w:p>
    <w:p w14:paraId="216714BE" w14:textId="7AF3123F" w:rsidR="00CC662E"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Opština je obavezna da održi budžetske sastanke sa građanima, u skladu sa Zakonom o upravljanju javnim finansijama i odgovornosti. Budžetske rasprave se sprovode kroz oblike i tehnike javnih konsultacija, uključujući javne pozive, poštovanje zakonskih rokova, vođenje zapisnika i izradu relevantnih izveštaja, u skladu sa odredbama Administrativnog uputstva br. 04/2023 o otvorenoj</w:t>
      </w:r>
      <w:r w:rsidRPr="00CC662E">
        <w:rPr>
          <w:rFonts w:asciiTheme="majorHAnsi" w:eastAsia="Times New Roman" w:hAnsiTheme="majorHAnsi" w:cstheme="majorHAnsi"/>
          <w:lang w:eastAsia="en-GB"/>
        </w:rPr>
        <w:t xml:space="preserve"> </w:t>
      </w:r>
      <w:r w:rsidRPr="006D35F5">
        <w:rPr>
          <w:rFonts w:asciiTheme="majorHAnsi" w:eastAsia="Times New Roman" w:hAnsiTheme="majorHAnsi" w:cstheme="majorHAnsi"/>
          <w:lang w:val="sr-Latn-RS" w:eastAsia="en-GB"/>
        </w:rPr>
        <w:t xml:space="preserve">administraciji u opštinama. Obaveštenje o budžetskim raspravama, zajedno sa predlogom budžeta i </w:t>
      </w:r>
      <w:r w:rsidRPr="006D35F5">
        <w:rPr>
          <w:rFonts w:asciiTheme="majorHAnsi" w:eastAsia="Times New Roman" w:hAnsiTheme="majorHAnsi" w:cstheme="majorHAnsi"/>
          <w:lang w:val="sr-Latn-RS" w:eastAsia="en-GB"/>
        </w:rPr>
        <w:lastRenderedPageBreak/>
        <w:t>obrazloženjima, objavljuje se najmanje dve (2) nedelje pre sastanka, u skladu sa članom 5, stav 2 ovog Administrativnog uputstva.</w:t>
      </w:r>
    </w:p>
    <w:p w14:paraId="5A0FEC7A" w14:textId="08824959" w:rsidR="00CC662E"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Nadležni opštinski organi su dužni da planiraju kalendar budžetskih rasprava za opštinski nacrt budžeta i Srednjoročni budžetski okvir (SBO), kao i da organizuju budžetske rasprave u skladu sa Zakonom o upravljanju javnim finansijama i odgovornosti.</w:t>
      </w:r>
    </w:p>
    <w:p w14:paraId="51DF2DD0" w14:textId="1DECF279" w:rsidR="004D17CD"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 xml:space="preserve">Tokom 2025. godine, 19 opština (50%) je objavilo obaveštenja o budžetskim raspravama, dok 19 opština (50%) nije ispunilo ovu zakonsku obavezu. U međuvremenu, 23 opštine su objavile izveštaje sa budžetskih rasprava, dok 15 opština nije objavilo ove izveštaje.    </w:t>
      </w:r>
    </w:p>
    <w:p w14:paraId="4ACAFAF9" w14:textId="77777777" w:rsidR="00CC662E"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Podaci praćenja pokazuju neslaganje između broja obaveštenja i broja izveštaja o budžetskim raspravama, pri čemu je broj izveštaja veći od broja obaveštenja. Ovo neslaganje ukazuje na to da proces nije sproveden na potpun i sistematičan način, što stvara praznine u lancu transparentnosti i učešća javnosti. U nekim slučajevima je primećeno objavljivanje planova budžetskih rasprava, što je pozitivna praksa; međutim, ovo se ne smatra dovoljnim u odsustvu pojedinačnih obaveštenja za svaku budžetsku raspravu.</w:t>
      </w:r>
    </w:p>
    <w:p w14:paraId="07CE692D" w14:textId="35853122" w:rsidR="00CC662E" w:rsidRPr="006D35F5" w:rsidRDefault="006D35F5"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Prema Administrativnom uputstvu o otvorenoj administraciji, svaku budžetsku raspravu mora pratiti detaljno javno obaveštenje na zvaničnoj veb stranici opštine, javnim platformama i društvenim mrežama, kako bi se obezbedilo potpuno informisanje i efikasno učešće građana u procesu donošenja odluka o javnim finansijama. Broj opština koje su objavile obaveštenja za budžetske sastanke/rasprave prikazan je u tabelarnom obliku.</w:t>
      </w:r>
    </w:p>
    <w:p w14:paraId="2CF46CB8" w14:textId="77777777" w:rsidR="00CC662E"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p>
    <w:p w14:paraId="1968D74D" w14:textId="3E1CCE8E" w:rsidR="004D17CD" w:rsidRPr="006D35F5" w:rsidRDefault="00CC662E" w:rsidP="004D17CD">
      <w:pPr>
        <w:spacing w:before="100" w:beforeAutospacing="1" w:after="100" w:afterAutospacing="1" w:line="276" w:lineRule="auto"/>
        <w:rPr>
          <w:rFonts w:asciiTheme="majorHAnsi" w:eastAsia="Times New Roman" w:hAnsiTheme="majorHAnsi" w:cstheme="majorHAnsi"/>
          <w:lang w:val="sr-Latn-RS" w:eastAsia="en-GB"/>
        </w:rPr>
      </w:pPr>
      <w:r w:rsidRPr="006D35F5">
        <w:rPr>
          <w:rFonts w:asciiTheme="majorHAnsi" w:eastAsia="Times New Roman" w:hAnsiTheme="majorHAnsi" w:cstheme="majorHAnsi"/>
          <w:lang w:val="sr-Latn-RS" w:eastAsia="en-GB"/>
        </w:rPr>
        <w:t xml:space="preserve">    </w:t>
      </w:r>
    </w:p>
    <w:p w14:paraId="5549DAAE" w14:textId="6DD9B57E" w:rsidR="009C0A31" w:rsidRPr="009D6147" w:rsidRDefault="004C637A" w:rsidP="00A70BC5">
      <w:pPr>
        <w:spacing w:line="276" w:lineRule="auto"/>
        <w:rPr>
          <w:rFonts w:asciiTheme="majorHAnsi" w:hAnsiTheme="majorHAnsi" w:cstheme="majorHAnsi"/>
        </w:rPr>
      </w:pPr>
      <w:r w:rsidRPr="009D6147">
        <w:rPr>
          <w:rFonts w:asciiTheme="majorHAnsi" w:hAnsiTheme="majorHAnsi" w:cstheme="majorHAnsi"/>
          <w:noProof/>
          <w:sz w:val="20"/>
          <w:szCs w:val="20"/>
          <w:lang w:eastAsia="sq-AL"/>
        </w:rPr>
        <w:drawing>
          <wp:inline distT="0" distB="0" distL="0" distR="0" wp14:anchorId="5037015E" wp14:editId="10B4B13C">
            <wp:extent cx="5759450" cy="2405162"/>
            <wp:effectExtent l="0" t="0" r="12700" b="14605"/>
            <wp:docPr id="130" name="Chart 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3DC2EF-561C-4841-AE47-95CAE6749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D37FE" w14:textId="132FB58D" w:rsidR="00E0466F" w:rsidRPr="006D35F5" w:rsidRDefault="009E74E5" w:rsidP="005671EB">
      <w:pPr>
        <w:autoSpaceDE w:val="0"/>
        <w:autoSpaceDN w:val="0"/>
        <w:adjustRightInd w:val="0"/>
        <w:spacing w:after="240" w:line="276" w:lineRule="auto"/>
        <w:jc w:val="center"/>
        <w:rPr>
          <w:rFonts w:asciiTheme="majorHAnsi" w:hAnsiTheme="majorHAnsi" w:cstheme="majorHAnsi"/>
          <w:sz w:val="16"/>
          <w:szCs w:val="16"/>
          <w:lang w:val="sr-Latn-RS"/>
        </w:rPr>
      </w:pPr>
      <w:bookmarkStart w:id="73" w:name="_Toc130455701"/>
      <w:r>
        <w:rPr>
          <w:rFonts w:asciiTheme="majorHAnsi" w:hAnsiTheme="majorHAnsi" w:cstheme="majorHAnsi"/>
          <w:i/>
          <w:sz w:val="16"/>
          <w:szCs w:val="16"/>
        </w:rPr>
        <w:t>Sl</w:t>
      </w:r>
      <w:r w:rsidR="00E715E7" w:rsidRPr="009D6147">
        <w:rPr>
          <w:rFonts w:asciiTheme="majorHAnsi" w:hAnsiTheme="majorHAnsi" w:cstheme="majorHAnsi"/>
          <w:i/>
          <w:sz w:val="16"/>
          <w:szCs w:val="16"/>
        </w:rPr>
        <w:t>.</w:t>
      </w:r>
      <w:r w:rsidR="00646D22" w:rsidRPr="009D6147">
        <w:rPr>
          <w:rFonts w:asciiTheme="majorHAnsi" w:hAnsiTheme="majorHAnsi" w:cstheme="majorHAnsi"/>
          <w:i/>
          <w:sz w:val="16"/>
          <w:szCs w:val="16"/>
        </w:rPr>
        <w:t xml:space="preserve"> </w:t>
      </w:r>
      <w:r w:rsidR="001827D4" w:rsidRPr="009D6147">
        <w:rPr>
          <w:rFonts w:asciiTheme="majorHAnsi" w:hAnsiTheme="majorHAnsi" w:cstheme="majorHAnsi"/>
          <w:i/>
          <w:sz w:val="16"/>
          <w:szCs w:val="16"/>
        </w:rPr>
        <w:t>2</w:t>
      </w:r>
      <w:r w:rsidR="005671EB" w:rsidRPr="009D6147">
        <w:rPr>
          <w:rFonts w:asciiTheme="majorHAnsi" w:hAnsiTheme="majorHAnsi" w:cstheme="majorHAnsi"/>
          <w:i/>
          <w:sz w:val="16"/>
          <w:szCs w:val="16"/>
        </w:rPr>
        <w:t>6</w:t>
      </w:r>
      <w:r w:rsidR="006D35F5">
        <w:rPr>
          <w:rFonts w:asciiTheme="majorHAnsi" w:hAnsiTheme="majorHAnsi" w:cstheme="majorHAnsi"/>
          <w:i/>
          <w:sz w:val="16"/>
          <w:szCs w:val="16"/>
        </w:rPr>
        <w:t xml:space="preserve">  </w:t>
      </w:r>
      <w:r w:rsidR="006D35F5" w:rsidRPr="006D35F5">
        <w:rPr>
          <w:rFonts w:asciiTheme="majorHAnsi" w:hAnsiTheme="majorHAnsi" w:cstheme="majorHAnsi"/>
          <w:i/>
          <w:sz w:val="16"/>
          <w:szCs w:val="16"/>
          <w:lang w:val="sr-Latn-RS"/>
        </w:rPr>
        <w:t xml:space="preserve">Objavljivanje obaveštenja za budžetske sastanke </w:t>
      </w:r>
      <w:r w:rsidR="006E6D40" w:rsidRPr="006D35F5">
        <w:rPr>
          <w:rFonts w:asciiTheme="majorHAnsi" w:hAnsiTheme="majorHAnsi" w:cstheme="majorHAnsi"/>
          <w:i/>
          <w:sz w:val="16"/>
          <w:szCs w:val="16"/>
          <w:lang w:val="sr-Latn-RS"/>
        </w:rPr>
        <w:t xml:space="preserve"> </w:t>
      </w:r>
      <w:bookmarkStart w:id="74" w:name="_Toc56692989"/>
      <w:bookmarkStart w:id="75" w:name="_Toc81401215"/>
      <w:bookmarkStart w:id="76" w:name="_Toc85812824"/>
      <w:bookmarkEnd w:id="73"/>
    </w:p>
    <w:p w14:paraId="3217181C" w14:textId="77777777" w:rsidR="003A6511" w:rsidRPr="006D35F5" w:rsidRDefault="003A6511" w:rsidP="00A70BC5">
      <w:pPr>
        <w:spacing w:line="276" w:lineRule="auto"/>
        <w:rPr>
          <w:rFonts w:asciiTheme="majorHAnsi" w:hAnsiTheme="majorHAnsi" w:cstheme="majorHAnsi"/>
          <w:b/>
          <w:color w:val="2F5496" w:themeColor="accent5" w:themeShade="BF"/>
          <w:lang w:val="sr-Latn-RS"/>
        </w:rPr>
      </w:pPr>
    </w:p>
    <w:p w14:paraId="7479EBEE" w14:textId="6329D406" w:rsidR="00E0466F" w:rsidRPr="009D6147" w:rsidRDefault="006D35F5" w:rsidP="00A70BC5">
      <w:pPr>
        <w:spacing w:line="276" w:lineRule="auto"/>
        <w:rPr>
          <w:rFonts w:asciiTheme="majorHAnsi" w:hAnsiTheme="majorHAnsi" w:cstheme="majorHAnsi"/>
          <w:b/>
          <w:color w:val="2F5496" w:themeColor="accent5" w:themeShade="BF"/>
        </w:rPr>
      </w:pPr>
      <w:r>
        <w:rPr>
          <w:rFonts w:asciiTheme="majorHAnsi" w:hAnsiTheme="majorHAnsi" w:cstheme="majorHAnsi"/>
          <w:b/>
          <w:color w:val="2F5496" w:themeColor="accent5" w:themeShade="BF"/>
        </w:rPr>
        <w:lastRenderedPageBreak/>
        <w:t xml:space="preserve"> </w:t>
      </w:r>
      <w:r w:rsidRPr="006D35F5">
        <w:rPr>
          <w:rFonts w:asciiTheme="majorHAnsi" w:hAnsiTheme="majorHAnsi" w:cstheme="majorHAnsi"/>
          <w:b/>
          <w:color w:val="2F5496" w:themeColor="accent5" w:themeShade="BF"/>
        </w:rPr>
        <w:t>IZVEŠTAJ SPOLJNOG REVIZORA</w:t>
      </w:r>
      <w:r>
        <w:rPr>
          <w:rFonts w:asciiTheme="majorHAnsi" w:hAnsiTheme="majorHAnsi" w:cstheme="majorHAnsi"/>
          <w:b/>
          <w:color w:val="2F5496" w:themeColor="accent5" w:themeShade="BF"/>
        </w:rPr>
        <w:t xml:space="preserve">  </w:t>
      </w:r>
    </w:p>
    <w:p w14:paraId="47BF3A53" w14:textId="1979FA07" w:rsidR="006D35F5" w:rsidRPr="006D35F5" w:rsidRDefault="006D35F5" w:rsidP="006D35F5">
      <w:pPr>
        <w:autoSpaceDE w:val="0"/>
        <w:autoSpaceDN w:val="0"/>
        <w:adjustRightInd w:val="0"/>
        <w:spacing w:after="240" w:line="276" w:lineRule="auto"/>
        <w:jc w:val="left"/>
        <w:rPr>
          <w:rFonts w:asciiTheme="majorHAnsi" w:hAnsiTheme="majorHAnsi" w:cstheme="majorHAnsi"/>
          <w:lang w:val="sr-Latn-RS"/>
        </w:rPr>
      </w:pPr>
      <w:r w:rsidRPr="006D35F5">
        <w:rPr>
          <w:rFonts w:asciiTheme="majorHAnsi" w:hAnsiTheme="majorHAnsi" w:cstheme="majorHAnsi"/>
          <w:lang w:val="sr-Latn-RS"/>
        </w:rPr>
        <w:t>Na osnovu člana 27, stav 27.2 Zakona br. 03/L-040 o lokalnoj samoupravi, svi izveštaji revizora i odgovori lokalnih vlasti se objavljuju javno. Objavljivanje izveštaja revizora je još jedan važan pokazatelj, jer u ovom obliku pruža javnosti podatke o tome kako je upravljano javnim novcem kojim upravljaju opštine.</w:t>
      </w:r>
    </w:p>
    <w:p w14:paraId="7C1AFD5B" w14:textId="3C8DD8B6" w:rsidR="006D35F5" w:rsidRPr="006D35F5" w:rsidRDefault="006D35F5" w:rsidP="006D35F5">
      <w:pPr>
        <w:autoSpaceDE w:val="0"/>
        <w:autoSpaceDN w:val="0"/>
        <w:adjustRightInd w:val="0"/>
        <w:spacing w:after="240" w:line="276" w:lineRule="auto"/>
        <w:jc w:val="left"/>
        <w:rPr>
          <w:rFonts w:asciiTheme="majorHAnsi" w:hAnsiTheme="majorHAnsi" w:cstheme="majorHAnsi"/>
          <w:lang w:val="sr-Latn-RS"/>
        </w:rPr>
      </w:pPr>
      <w:r w:rsidRPr="006D35F5">
        <w:rPr>
          <w:rFonts w:asciiTheme="majorHAnsi" w:hAnsiTheme="majorHAnsi" w:cstheme="majorHAnsi"/>
          <w:lang w:val="sr-Latn-RS"/>
        </w:rPr>
        <w:t>Tokom 2025. godine, 1</w:t>
      </w:r>
      <w:r w:rsidR="00EC7174">
        <w:rPr>
          <w:rFonts w:asciiTheme="majorHAnsi" w:hAnsiTheme="majorHAnsi" w:cstheme="majorHAnsi"/>
          <w:lang w:val="sr-Latn-RS"/>
        </w:rPr>
        <w:t>7</w:t>
      </w:r>
      <w:r w:rsidRPr="006D35F5">
        <w:rPr>
          <w:rFonts w:asciiTheme="majorHAnsi" w:hAnsiTheme="majorHAnsi" w:cstheme="majorHAnsi"/>
          <w:lang w:val="sr-Latn-RS"/>
        </w:rPr>
        <w:t xml:space="preserve"> opština ili 43% opština objavilo je Izveštaj spoljnog revizora, dok 2</w:t>
      </w:r>
      <w:r w:rsidR="00EC7174">
        <w:rPr>
          <w:rFonts w:asciiTheme="majorHAnsi" w:hAnsiTheme="majorHAnsi" w:cstheme="majorHAnsi"/>
          <w:lang w:val="sr-Latn-RS"/>
        </w:rPr>
        <w:t>1</w:t>
      </w:r>
      <w:r w:rsidRPr="006D35F5">
        <w:rPr>
          <w:rFonts w:asciiTheme="majorHAnsi" w:hAnsiTheme="majorHAnsi" w:cstheme="majorHAnsi"/>
          <w:lang w:val="sr-Latn-RS"/>
        </w:rPr>
        <w:t xml:space="preserve"> opštine ili 57% nije ispunilo zakonsku obavezu utvrđenu članom 27, stav 27.2 Zakona br. 03/L-040 o lokalnoj samoupravi.</w:t>
      </w:r>
    </w:p>
    <w:p w14:paraId="45D1B783" w14:textId="1C664D8B" w:rsidR="006D35F5" w:rsidRPr="006D35F5" w:rsidRDefault="006D35F5" w:rsidP="006D35F5">
      <w:pPr>
        <w:autoSpaceDE w:val="0"/>
        <w:autoSpaceDN w:val="0"/>
        <w:adjustRightInd w:val="0"/>
        <w:spacing w:after="240" w:line="276" w:lineRule="auto"/>
        <w:jc w:val="left"/>
        <w:rPr>
          <w:rFonts w:asciiTheme="majorHAnsi" w:hAnsiTheme="majorHAnsi" w:cstheme="majorHAnsi"/>
          <w:lang w:val="sr-Latn-RS"/>
        </w:rPr>
      </w:pPr>
      <w:r w:rsidRPr="006D35F5">
        <w:rPr>
          <w:rFonts w:asciiTheme="majorHAnsi" w:hAnsiTheme="majorHAnsi" w:cstheme="majorHAnsi"/>
          <w:lang w:val="sr-Latn-RS"/>
        </w:rPr>
        <w:t>U tabelarnom obliku, prikazan je broj opština koje su objavile Izveštaj spoljnog revizora.</w:t>
      </w:r>
    </w:p>
    <w:p w14:paraId="0CD2758B" w14:textId="46BD3559" w:rsidR="00C723A4" w:rsidRPr="00654DAB" w:rsidRDefault="003A6511" w:rsidP="005671EB">
      <w:pPr>
        <w:autoSpaceDE w:val="0"/>
        <w:autoSpaceDN w:val="0"/>
        <w:adjustRightInd w:val="0"/>
        <w:spacing w:after="240" w:line="276" w:lineRule="auto"/>
        <w:jc w:val="center"/>
        <w:rPr>
          <w:rFonts w:asciiTheme="majorHAnsi" w:hAnsiTheme="majorHAnsi" w:cstheme="majorHAnsi"/>
          <w:color w:val="C00000"/>
          <w:sz w:val="20"/>
          <w:szCs w:val="20"/>
        </w:rPr>
      </w:pPr>
      <w:r w:rsidRPr="00654DAB">
        <w:rPr>
          <w:rFonts w:asciiTheme="majorHAnsi" w:hAnsiTheme="majorHAnsi" w:cstheme="majorHAnsi"/>
          <w:noProof/>
          <w:sz w:val="20"/>
          <w:szCs w:val="20"/>
          <w:lang w:eastAsia="sq-AL"/>
        </w:rPr>
        <w:drawing>
          <wp:inline distT="0" distB="0" distL="0" distR="0" wp14:anchorId="091431B1" wp14:editId="7FB144B1">
            <wp:extent cx="5731510" cy="1900505"/>
            <wp:effectExtent l="0" t="0" r="2540" b="5080"/>
            <wp:docPr id="132" name="Chart 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101599-2ABA-4860-9120-039779F89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F41DA8" w14:textId="0FC43FD5" w:rsidR="00E0466F" w:rsidRPr="00536AD5" w:rsidRDefault="00D23469" w:rsidP="005671EB">
      <w:pPr>
        <w:autoSpaceDE w:val="0"/>
        <w:autoSpaceDN w:val="0"/>
        <w:adjustRightInd w:val="0"/>
        <w:spacing w:after="240" w:line="276" w:lineRule="auto"/>
        <w:jc w:val="center"/>
        <w:rPr>
          <w:rFonts w:asciiTheme="majorHAnsi" w:hAnsiTheme="majorHAnsi" w:cstheme="majorHAnsi"/>
          <w:szCs w:val="20"/>
          <w:lang w:val="sr-Latn-RS"/>
        </w:rPr>
      </w:pPr>
      <w:r>
        <w:rPr>
          <w:rFonts w:asciiTheme="majorHAnsi" w:hAnsiTheme="majorHAnsi" w:cstheme="majorHAnsi"/>
          <w:i/>
          <w:sz w:val="14"/>
          <w:szCs w:val="14"/>
        </w:rPr>
        <w:t>Sl</w:t>
      </w:r>
      <w:r w:rsidR="001827D4" w:rsidRPr="00654DAB">
        <w:rPr>
          <w:rFonts w:asciiTheme="majorHAnsi" w:hAnsiTheme="majorHAnsi" w:cstheme="majorHAnsi"/>
          <w:i/>
          <w:sz w:val="14"/>
          <w:szCs w:val="14"/>
        </w:rPr>
        <w:t>.</w:t>
      </w:r>
      <w:r w:rsidR="001827D4" w:rsidRPr="00536AD5">
        <w:rPr>
          <w:rFonts w:asciiTheme="majorHAnsi" w:hAnsiTheme="majorHAnsi" w:cstheme="majorHAnsi"/>
          <w:i/>
          <w:sz w:val="14"/>
          <w:szCs w:val="14"/>
          <w:lang w:val="sr-Latn-RS"/>
        </w:rPr>
        <w:t>2</w:t>
      </w:r>
      <w:r w:rsidR="005671EB" w:rsidRPr="00536AD5">
        <w:rPr>
          <w:rFonts w:asciiTheme="majorHAnsi" w:hAnsiTheme="majorHAnsi" w:cstheme="majorHAnsi"/>
          <w:i/>
          <w:sz w:val="14"/>
          <w:szCs w:val="14"/>
          <w:lang w:val="sr-Latn-RS"/>
        </w:rPr>
        <w:t>7</w:t>
      </w:r>
      <w:r w:rsidR="00A37463" w:rsidRPr="00536AD5">
        <w:rPr>
          <w:rFonts w:asciiTheme="majorHAnsi" w:hAnsiTheme="majorHAnsi" w:cstheme="majorHAnsi"/>
          <w:i/>
          <w:sz w:val="14"/>
          <w:szCs w:val="14"/>
          <w:lang w:val="sr-Latn-RS"/>
        </w:rPr>
        <w:t xml:space="preserve"> </w:t>
      </w:r>
      <w:r w:rsidR="006D35F5" w:rsidRPr="00536AD5">
        <w:rPr>
          <w:rFonts w:asciiTheme="majorHAnsi" w:hAnsiTheme="majorHAnsi" w:cstheme="majorHAnsi"/>
          <w:i/>
          <w:sz w:val="14"/>
          <w:szCs w:val="14"/>
          <w:lang w:val="sr-Latn-RS"/>
        </w:rPr>
        <w:t>Izveštaj spoljnog revizora</w:t>
      </w:r>
      <w:r w:rsidR="00A37463" w:rsidRPr="00536AD5">
        <w:rPr>
          <w:rFonts w:asciiTheme="majorHAnsi" w:hAnsiTheme="majorHAnsi" w:cstheme="majorHAnsi"/>
          <w:i/>
          <w:sz w:val="14"/>
          <w:szCs w:val="14"/>
          <w:lang w:val="sr-Latn-RS"/>
        </w:rPr>
        <w:t xml:space="preserve"> </w:t>
      </w:r>
      <w:r w:rsidR="006D35F5" w:rsidRPr="00536AD5">
        <w:rPr>
          <w:rFonts w:asciiTheme="majorHAnsi" w:hAnsiTheme="majorHAnsi" w:cstheme="majorHAnsi"/>
          <w:i/>
          <w:sz w:val="14"/>
          <w:szCs w:val="14"/>
          <w:lang w:val="sr-Latn-RS"/>
        </w:rPr>
        <w:t xml:space="preserve">  </w:t>
      </w:r>
    </w:p>
    <w:p w14:paraId="32C09734" w14:textId="77777777" w:rsidR="008E4619" w:rsidRPr="00536AD5" w:rsidRDefault="008E4619" w:rsidP="00A70BC5">
      <w:pPr>
        <w:spacing w:line="276" w:lineRule="auto"/>
        <w:rPr>
          <w:rFonts w:asciiTheme="majorHAnsi" w:hAnsiTheme="majorHAnsi" w:cstheme="majorHAnsi"/>
          <w:i/>
          <w:sz w:val="20"/>
          <w:szCs w:val="18"/>
          <w:lang w:val="sr-Latn-RS"/>
        </w:rPr>
      </w:pPr>
    </w:p>
    <w:p w14:paraId="31ED3EFA" w14:textId="2E0FDE49" w:rsidR="001827D4" w:rsidRPr="00536AD5" w:rsidRDefault="006D35F5" w:rsidP="005671EB">
      <w:pPr>
        <w:spacing w:line="276" w:lineRule="auto"/>
        <w:jc w:val="left"/>
        <w:rPr>
          <w:rFonts w:asciiTheme="majorHAnsi" w:hAnsiTheme="majorHAnsi" w:cstheme="majorHAnsi"/>
          <w:b/>
          <w:color w:val="2F5496" w:themeColor="accent5" w:themeShade="BF"/>
          <w:sz w:val="24"/>
          <w:lang w:val="sr-Latn-RS"/>
        </w:rPr>
      </w:pPr>
      <w:r w:rsidRPr="00536AD5">
        <w:rPr>
          <w:rFonts w:asciiTheme="majorHAnsi" w:hAnsiTheme="majorHAnsi" w:cstheme="majorHAnsi"/>
          <w:b/>
          <w:color w:val="2F5496" w:themeColor="accent5" w:themeShade="BF"/>
          <w:sz w:val="24"/>
          <w:lang w:val="sr-Latn-RS"/>
        </w:rPr>
        <w:t xml:space="preserve">Spisak kapitalnih investicija        </w:t>
      </w:r>
    </w:p>
    <w:p w14:paraId="575CD6FC" w14:textId="77777777" w:rsidR="006D35F5" w:rsidRPr="00536AD5" w:rsidRDefault="006D35F5" w:rsidP="004D17CD">
      <w:pPr>
        <w:spacing w:line="276" w:lineRule="auto"/>
        <w:rPr>
          <w:rFonts w:asciiTheme="majorHAnsi" w:hAnsiTheme="majorHAnsi" w:cstheme="majorHAnsi"/>
          <w:lang w:val="sr-Latn-RS"/>
        </w:rPr>
      </w:pPr>
      <w:r w:rsidRPr="00536AD5">
        <w:rPr>
          <w:rFonts w:asciiTheme="majorHAnsi" w:hAnsiTheme="majorHAnsi" w:cstheme="majorHAnsi"/>
          <w:lang w:val="sr-Latn-RS"/>
        </w:rPr>
        <w:t xml:space="preserve">Lista kapitalnih investicija je finansijski dokument i određuje kapitalne izdatke koji su neophodni za sprovođenje odluka i planova utvrđenih u opštinama. Lista kapitalnih investicija određuje vreme implementacije, troškove, izvore finansiranja i druge detaljne informacije. Objavljivanje Liste kapitalnih investicija je deo finansijske transparentnosti i određuje najveći prioritet obezbeđivanja sredstava, kao i budžetsku raspodelu neophodnu za redovno finansiranje kapitalnog projekta tokom pripreme i usvajanja Konsolidovanog budžeta Kosova. </w:t>
      </w:r>
    </w:p>
    <w:p w14:paraId="56CAEB2E" w14:textId="35AD6086" w:rsidR="006D35F5" w:rsidRPr="00536AD5" w:rsidRDefault="006D35F5" w:rsidP="004D17CD">
      <w:pPr>
        <w:spacing w:line="276" w:lineRule="auto"/>
        <w:rPr>
          <w:rFonts w:asciiTheme="majorHAnsi" w:hAnsiTheme="majorHAnsi" w:cstheme="majorHAnsi"/>
          <w:lang w:val="sr-Latn-RS"/>
        </w:rPr>
      </w:pPr>
      <w:r w:rsidRPr="00536AD5">
        <w:rPr>
          <w:rFonts w:asciiTheme="majorHAnsi" w:hAnsiTheme="majorHAnsi" w:cstheme="majorHAnsi"/>
          <w:lang w:val="sr-Latn-RS"/>
        </w:rPr>
        <w:t>Što se tiče kategorije kapitalnih investicija, tokom perioda 2025. godine, 15 opština ili 40% je objavilo listu kapitalnih investicija, dok 23 opštine ili 60% nisu ispunile ovu zakonsku obavezu.</w:t>
      </w:r>
    </w:p>
    <w:p w14:paraId="2B13E7B9" w14:textId="57D90F2A" w:rsidR="006D35F5" w:rsidRPr="00536AD5" w:rsidRDefault="006D35F5" w:rsidP="004D17CD">
      <w:pPr>
        <w:spacing w:line="276" w:lineRule="auto"/>
        <w:rPr>
          <w:rFonts w:asciiTheme="majorHAnsi" w:hAnsiTheme="majorHAnsi" w:cstheme="majorHAnsi"/>
          <w:lang w:val="sr-Latn-RS"/>
        </w:rPr>
      </w:pPr>
      <w:r w:rsidRPr="00536AD5">
        <w:rPr>
          <w:rFonts w:asciiTheme="majorHAnsi" w:hAnsiTheme="majorHAnsi" w:cstheme="majorHAnsi"/>
          <w:lang w:val="sr-Latn-RS"/>
        </w:rPr>
        <w:t>U poređenju sa podacima iz Izveštaja o transparentnosti za 2024. godinu, u 2025. godini došlo je do smanjenja broja opština koje su objavile spisak kapitalnih investicija za 7 manje, sa 22 na 15 opština. Ovo odražava smanjenje nivoa transparentnosti opština u ovoj kategoriji tokom 2025. godine.</w:t>
      </w:r>
    </w:p>
    <w:p w14:paraId="7595BFEA" w14:textId="6390D2D6" w:rsidR="007D4ABB" w:rsidRPr="00536AD5" w:rsidRDefault="006D35F5" w:rsidP="004D17CD">
      <w:pPr>
        <w:spacing w:line="276" w:lineRule="auto"/>
        <w:rPr>
          <w:rFonts w:asciiTheme="majorHAnsi" w:hAnsiTheme="majorHAnsi" w:cstheme="majorHAnsi"/>
          <w:lang w:val="sr-Latn-RS"/>
        </w:rPr>
      </w:pPr>
      <w:r w:rsidRPr="00536AD5">
        <w:rPr>
          <w:rFonts w:asciiTheme="majorHAnsi" w:hAnsiTheme="majorHAnsi" w:cstheme="majorHAnsi"/>
          <w:lang w:val="sr-Latn-RS"/>
        </w:rPr>
        <w:t xml:space="preserve">Broj opština koje su objavile Listu kapitalnih investicija prikazan je u tabelarnom obliku.  </w:t>
      </w:r>
    </w:p>
    <w:p w14:paraId="3460D805" w14:textId="52CE8224" w:rsidR="000B2571" w:rsidRPr="00536AD5" w:rsidRDefault="003A6511" w:rsidP="00A70BC5">
      <w:pPr>
        <w:autoSpaceDE w:val="0"/>
        <w:autoSpaceDN w:val="0"/>
        <w:adjustRightInd w:val="0"/>
        <w:spacing w:after="240" w:line="276" w:lineRule="auto"/>
        <w:rPr>
          <w:rFonts w:asciiTheme="majorHAnsi" w:hAnsiTheme="majorHAnsi" w:cstheme="majorHAnsi"/>
          <w:color w:val="C00000"/>
          <w:lang w:val="sr-Latn-RS"/>
        </w:rPr>
      </w:pPr>
      <w:r w:rsidRPr="00536AD5">
        <w:rPr>
          <w:rFonts w:asciiTheme="majorHAnsi" w:hAnsiTheme="majorHAnsi" w:cstheme="majorHAnsi"/>
          <w:noProof/>
          <w:lang w:eastAsia="sq-AL"/>
        </w:rPr>
        <w:lastRenderedPageBreak/>
        <w:drawing>
          <wp:inline distT="0" distB="0" distL="0" distR="0" wp14:anchorId="3C6494A8" wp14:editId="55A75D73">
            <wp:extent cx="5990400" cy="1814195"/>
            <wp:effectExtent l="0" t="0" r="10795" b="14605"/>
            <wp:docPr id="133" name="Chart 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6FA4ED-3054-4DE1-98A3-09582091E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3F4044" w14:textId="238CD15D" w:rsidR="00A70FDB" w:rsidRPr="00536AD5" w:rsidRDefault="00D23469" w:rsidP="004D17CD">
      <w:pPr>
        <w:autoSpaceDE w:val="0"/>
        <w:autoSpaceDN w:val="0"/>
        <w:adjustRightInd w:val="0"/>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1827D4" w:rsidRPr="00536AD5">
        <w:rPr>
          <w:rFonts w:asciiTheme="majorHAnsi" w:hAnsiTheme="majorHAnsi" w:cstheme="majorHAnsi"/>
          <w:i/>
          <w:sz w:val="14"/>
          <w:szCs w:val="14"/>
          <w:lang w:val="sr-Latn-RS"/>
        </w:rPr>
        <w:t>2</w:t>
      </w:r>
      <w:r w:rsidR="005671EB" w:rsidRPr="00536AD5">
        <w:rPr>
          <w:rFonts w:asciiTheme="majorHAnsi" w:hAnsiTheme="majorHAnsi" w:cstheme="majorHAnsi"/>
          <w:i/>
          <w:sz w:val="14"/>
          <w:szCs w:val="14"/>
          <w:lang w:val="sr-Latn-RS"/>
        </w:rPr>
        <w:t>8</w:t>
      </w:r>
      <w:r w:rsidR="006A4954" w:rsidRPr="00536AD5">
        <w:rPr>
          <w:rFonts w:asciiTheme="majorHAnsi" w:hAnsiTheme="majorHAnsi" w:cstheme="majorHAnsi"/>
          <w:i/>
          <w:sz w:val="14"/>
          <w:szCs w:val="14"/>
          <w:lang w:val="sr-Latn-RS"/>
        </w:rPr>
        <w:t xml:space="preserve"> </w:t>
      </w:r>
      <w:r w:rsidR="006D35F5" w:rsidRPr="00536AD5">
        <w:rPr>
          <w:rFonts w:asciiTheme="majorHAnsi" w:hAnsiTheme="majorHAnsi" w:cstheme="majorHAnsi"/>
          <w:i/>
          <w:sz w:val="14"/>
          <w:szCs w:val="14"/>
          <w:lang w:val="sr-Latn-RS"/>
        </w:rPr>
        <w:t xml:space="preserve">Objavljivanje spiska kapitalnih investicija  </w:t>
      </w:r>
    </w:p>
    <w:p w14:paraId="53A5D9E3" w14:textId="1152346C" w:rsidR="00A70FDB" w:rsidRPr="00536AD5" w:rsidRDefault="00A70FDB" w:rsidP="004D17CD">
      <w:pPr>
        <w:autoSpaceDE w:val="0"/>
        <w:autoSpaceDN w:val="0"/>
        <w:adjustRightInd w:val="0"/>
        <w:spacing w:after="240" w:line="276" w:lineRule="auto"/>
        <w:rPr>
          <w:rFonts w:asciiTheme="majorHAnsi" w:hAnsiTheme="majorHAnsi" w:cstheme="majorHAnsi"/>
          <w:i/>
          <w:color w:val="1F3864" w:themeColor="accent5" w:themeShade="80"/>
          <w:lang w:val="sr-Latn-RS"/>
        </w:rPr>
      </w:pPr>
    </w:p>
    <w:p w14:paraId="19B1BFD2" w14:textId="30801584" w:rsidR="00A70FDB" w:rsidRPr="009D6147" w:rsidRDefault="006D35F5" w:rsidP="004D17CD">
      <w:pPr>
        <w:pStyle w:val="Style2"/>
        <w:spacing w:line="276" w:lineRule="auto"/>
        <w:rPr>
          <w:rFonts w:asciiTheme="majorHAnsi" w:hAnsiTheme="majorHAnsi" w:cstheme="majorHAnsi"/>
          <w:color w:val="1F3864" w:themeColor="accent5" w:themeShade="80"/>
          <w:sz w:val="22"/>
          <w:szCs w:val="22"/>
        </w:rPr>
      </w:pPr>
      <w:bookmarkStart w:id="77" w:name="_Toc230183753"/>
      <w:r w:rsidRPr="006D35F5">
        <w:rPr>
          <w:rFonts w:asciiTheme="majorHAnsi" w:hAnsiTheme="majorHAnsi" w:cstheme="majorHAnsi"/>
          <w:color w:val="1F3864" w:themeColor="accent5" w:themeShade="80"/>
          <w:sz w:val="22"/>
          <w:szCs w:val="22"/>
        </w:rPr>
        <w:t>Participativno budžetiranje</w:t>
      </w:r>
      <w:bookmarkEnd w:id="77"/>
      <w:r>
        <w:rPr>
          <w:rFonts w:asciiTheme="majorHAnsi" w:hAnsiTheme="majorHAnsi" w:cstheme="majorHAnsi"/>
          <w:color w:val="1F3864" w:themeColor="accent5" w:themeShade="80"/>
          <w:sz w:val="22"/>
          <w:szCs w:val="22"/>
        </w:rPr>
        <w:t xml:space="preserve"> </w:t>
      </w:r>
      <w:r w:rsidR="00A70FDB" w:rsidRPr="009D6147">
        <w:rPr>
          <w:rFonts w:asciiTheme="majorHAnsi" w:hAnsiTheme="majorHAnsi" w:cstheme="majorHAnsi"/>
          <w:color w:val="1F3864" w:themeColor="accent5" w:themeShade="80"/>
          <w:sz w:val="22"/>
          <w:szCs w:val="22"/>
        </w:rPr>
        <w:t xml:space="preserve"> </w:t>
      </w:r>
    </w:p>
    <w:p w14:paraId="44F99741" w14:textId="4454CBB0" w:rsidR="00855F73" w:rsidRPr="00536AD5" w:rsidRDefault="00855F73" w:rsidP="00855F73">
      <w:pPr>
        <w:spacing w:before="100" w:beforeAutospacing="1" w:after="100" w:afterAutospacing="1" w:line="276" w:lineRule="auto"/>
        <w:rPr>
          <w:rFonts w:asciiTheme="majorHAnsi" w:eastAsia="Times New Roman" w:hAnsiTheme="majorHAnsi" w:cstheme="majorHAnsi"/>
          <w:lang w:val="sr-Latn-RS" w:eastAsia="en-GB"/>
        </w:rPr>
      </w:pPr>
      <w:r w:rsidRPr="00536AD5">
        <w:rPr>
          <w:rFonts w:asciiTheme="majorHAnsi" w:eastAsia="Times New Roman" w:hAnsiTheme="majorHAnsi" w:cstheme="majorHAnsi"/>
          <w:lang w:val="sr-Latn-RS" w:eastAsia="en-GB"/>
        </w:rPr>
        <w:t>Na osnovu člana 31 Administrativnog uputstva br. 04/2023 o otvorenoj administraciji u opštinama, kako bi se povećalo učešće građana u procesima donošenja odluka, posebno u procesu budžetiranja, opštine mogu primeniti metodologiju participativnog budžetiranja.</w:t>
      </w:r>
    </w:p>
    <w:p w14:paraId="09442543" w14:textId="77777777" w:rsidR="00855F73" w:rsidRPr="00536AD5" w:rsidRDefault="00855F73" w:rsidP="00855F73">
      <w:pPr>
        <w:spacing w:before="100" w:beforeAutospacing="1" w:after="100" w:afterAutospacing="1" w:line="276" w:lineRule="auto"/>
        <w:rPr>
          <w:rFonts w:asciiTheme="majorHAnsi" w:eastAsia="Times New Roman" w:hAnsiTheme="majorHAnsi" w:cstheme="majorHAnsi"/>
          <w:lang w:val="sr-Latn-RS" w:eastAsia="en-GB"/>
        </w:rPr>
      </w:pPr>
      <w:r w:rsidRPr="00536AD5">
        <w:rPr>
          <w:rFonts w:asciiTheme="majorHAnsi" w:eastAsia="Times New Roman" w:hAnsiTheme="majorHAnsi" w:cstheme="majorHAnsi"/>
          <w:lang w:val="sr-Latn-RS" w:eastAsia="en-GB"/>
        </w:rPr>
        <w:t>U tom smislu, gradonačelnik ima ključnu ulogu u pokretanju i upravljanju procesom participativnog budžetiranja, u saradnji sa Skupštinom opštine i sa širokim spektrom zainteresovanih strana, uključujući građane, lokalne aktiviste, predstavnike civilnog društva, neformalne grupe građana, poslovne organizacije, marginalizovane grupe, lokalna veća i druge zainteresovane strane.</w:t>
      </w:r>
    </w:p>
    <w:p w14:paraId="0534A3BF" w14:textId="0D5C879C" w:rsidR="00855F73" w:rsidRPr="00536AD5" w:rsidRDefault="00855F73" w:rsidP="00855F73">
      <w:pPr>
        <w:spacing w:before="100" w:beforeAutospacing="1" w:after="100" w:afterAutospacing="1" w:line="276" w:lineRule="auto"/>
        <w:rPr>
          <w:rFonts w:asciiTheme="majorHAnsi" w:eastAsia="Times New Roman" w:hAnsiTheme="majorHAnsi" w:cstheme="majorHAnsi"/>
          <w:lang w:val="sr-Latn-RS" w:eastAsia="en-GB"/>
        </w:rPr>
      </w:pPr>
      <w:r w:rsidRPr="00536AD5">
        <w:rPr>
          <w:rFonts w:asciiTheme="majorHAnsi" w:eastAsia="Times New Roman" w:hAnsiTheme="majorHAnsi" w:cstheme="majorHAnsi"/>
          <w:lang w:val="sr-Latn-RS" w:eastAsia="en-GB"/>
        </w:rPr>
        <w:t>Kako bi se podržala opština u sprovođenju ove dobre prakse za povećanje učešća građana u donošenju odluka, Ministarstvo administracije lokalne samouprave je izradilo i distribuiralo opštinama Objašnjenja o kriterijumima i procedurama za sprovođenje participativnog budžetiranja. S obzirom na to da je participativno budžetiranje počelo da se primenjuje tek u poslednje dve godine, postepeni napredak u ovom pravcu se primećuje na opštinskom nivou. Značajan broj opština je kreirao posebne prostore na svojim zvaničnim veb stranicama putem posebnih linkova za participativno budžetiranje, omogućavajući građanima da budu uključeni u izbor projekata od javnog interesa. Ova praksa doprinosi povećanju transparentnosti, odgovornosti i učešća građana u lokalnim procesima donošenja odluka.</w:t>
      </w:r>
    </w:p>
    <w:p w14:paraId="2A135FF4" w14:textId="292F4062" w:rsidR="00855F73" w:rsidRPr="00536AD5" w:rsidRDefault="00C55BE6" w:rsidP="00855F73">
      <w:pPr>
        <w:spacing w:before="100" w:beforeAutospacing="1" w:after="100" w:afterAutospacing="1" w:line="276" w:lineRule="auto"/>
        <w:rPr>
          <w:rFonts w:asciiTheme="majorHAnsi" w:eastAsia="Times New Roman" w:hAnsiTheme="majorHAnsi" w:cstheme="majorHAnsi"/>
          <w:lang w:val="sr-Latn-RS" w:eastAsia="en-GB"/>
        </w:rPr>
      </w:pPr>
      <w:r w:rsidRPr="00536AD5">
        <w:rPr>
          <w:rFonts w:asciiTheme="majorHAnsi" w:eastAsia="Times New Roman" w:hAnsiTheme="majorHAnsi" w:cstheme="majorHAnsi"/>
          <w:lang w:val="sr-Latn-RS" w:eastAsia="en-GB"/>
        </w:rPr>
        <w:t>U tabelarnom obliku, prikazan je broj opština posvećenih participativnom budžetiranju na njihovim zvaničnim veb stranicama, putem određenih linkova.</w:t>
      </w:r>
    </w:p>
    <w:p w14:paraId="1AAA0BD3" w14:textId="0416F3AF" w:rsidR="00A70FDB" w:rsidRPr="009D6147" w:rsidRDefault="00855F73" w:rsidP="00855F73">
      <w:pPr>
        <w:spacing w:before="100" w:beforeAutospacing="1" w:after="100" w:afterAutospacing="1" w:line="276" w:lineRule="auto"/>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   </w:t>
      </w:r>
    </w:p>
    <w:p w14:paraId="571AF620" w14:textId="77777777" w:rsidR="00855F73" w:rsidRDefault="00855F73" w:rsidP="004D17CD">
      <w:pPr>
        <w:spacing w:before="100" w:beforeAutospacing="1" w:after="100" w:afterAutospacing="1" w:line="276" w:lineRule="auto"/>
        <w:rPr>
          <w:rFonts w:asciiTheme="majorHAnsi" w:eastAsia="Times New Roman" w:hAnsiTheme="majorHAnsi" w:cstheme="majorHAnsi"/>
          <w:lang w:eastAsia="en-GB"/>
        </w:rPr>
      </w:pPr>
    </w:p>
    <w:p w14:paraId="4C57928B" w14:textId="0DE7242F" w:rsidR="00A70FDB" w:rsidRPr="009D6147" w:rsidRDefault="00A70FDB" w:rsidP="005671EB">
      <w:pPr>
        <w:pStyle w:val="Style2"/>
        <w:rPr>
          <w:rFonts w:asciiTheme="majorHAnsi" w:hAnsiTheme="majorHAnsi" w:cstheme="majorHAnsi"/>
        </w:rPr>
      </w:pPr>
      <w:bookmarkStart w:id="78" w:name="_Toc230183455"/>
      <w:bookmarkStart w:id="79" w:name="_Toc230183754"/>
      <w:r w:rsidRPr="009D6147">
        <w:rPr>
          <w:rFonts w:asciiTheme="majorHAnsi" w:hAnsiTheme="majorHAnsi" w:cstheme="majorHAnsi"/>
          <w:noProof/>
          <w:lang w:eastAsia="sq-AL"/>
        </w:rPr>
        <w:lastRenderedPageBreak/>
        <w:drawing>
          <wp:inline distT="0" distB="0" distL="0" distR="0" wp14:anchorId="24238DE0" wp14:editId="4DE9C3D1">
            <wp:extent cx="5975985" cy="1772816"/>
            <wp:effectExtent l="0" t="0" r="5715" b="18415"/>
            <wp:docPr id="128" name="Chart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83960F-B539-4800-BAC8-682D01D64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78"/>
      <w:bookmarkEnd w:id="79"/>
    </w:p>
    <w:p w14:paraId="44D7FAFB" w14:textId="6DA2862B" w:rsidR="007A53C4" w:rsidRPr="00536AD5" w:rsidRDefault="00D23469" w:rsidP="007A53C4">
      <w:pPr>
        <w:autoSpaceDE w:val="0"/>
        <w:autoSpaceDN w:val="0"/>
        <w:adjustRightInd w:val="0"/>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7A53C4" w:rsidRPr="00536AD5">
        <w:rPr>
          <w:rFonts w:asciiTheme="majorHAnsi" w:hAnsiTheme="majorHAnsi" w:cstheme="majorHAnsi"/>
          <w:i/>
          <w:sz w:val="14"/>
          <w:szCs w:val="14"/>
          <w:lang w:val="sr-Latn-RS"/>
        </w:rPr>
        <w:t xml:space="preserve"> 29 </w:t>
      </w:r>
      <w:r w:rsidR="00C55BE6" w:rsidRPr="00536AD5">
        <w:rPr>
          <w:rFonts w:asciiTheme="majorHAnsi" w:hAnsiTheme="majorHAnsi" w:cstheme="majorHAnsi"/>
          <w:i/>
          <w:sz w:val="14"/>
          <w:szCs w:val="14"/>
          <w:lang w:val="sr-Latn-RS"/>
        </w:rPr>
        <w:t xml:space="preserve">  specifični linkovi za participativno budžetiranje </w:t>
      </w:r>
      <w:r w:rsidR="007A53C4" w:rsidRPr="00536AD5">
        <w:rPr>
          <w:rFonts w:asciiTheme="majorHAnsi" w:hAnsiTheme="majorHAnsi" w:cstheme="majorHAnsi"/>
          <w:i/>
          <w:sz w:val="14"/>
          <w:szCs w:val="14"/>
          <w:lang w:val="sr-Latn-RS"/>
        </w:rPr>
        <w:t xml:space="preserve"> </w:t>
      </w:r>
    </w:p>
    <w:p w14:paraId="75195995" w14:textId="38725FA2" w:rsidR="00C55BE6" w:rsidRPr="00536AD5" w:rsidRDefault="00C55BE6" w:rsidP="00A01FBB">
      <w:pPr>
        <w:spacing w:line="276" w:lineRule="auto"/>
        <w:jc w:val="left"/>
        <w:rPr>
          <w:rFonts w:asciiTheme="majorHAnsi" w:hAnsiTheme="majorHAnsi" w:cstheme="majorHAnsi"/>
          <w:lang w:val="sr-Latn-RS"/>
        </w:rPr>
      </w:pPr>
      <w:r w:rsidRPr="00536AD5">
        <w:rPr>
          <w:rFonts w:asciiTheme="majorHAnsi" w:hAnsiTheme="majorHAnsi" w:cstheme="majorHAnsi"/>
          <w:lang w:val="sr-Latn-RS"/>
        </w:rPr>
        <w:t>Nakon prikuplanja podataka iz segmenta o transparentnosti budžeta, koje su obezbedile zvanične veb stranice opština, tabelarno je predstavljena slika koja odražava učinak opština u indikatorima transparentnosti budžeta tokom 2025. godine.</w:t>
      </w:r>
    </w:p>
    <w:p w14:paraId="415F71F1" w14:textId="77777777" w:rsidR="00C55BE6" w:rsidRDefault="00C55BE6" w:rsidP="00A01FBB">
      <w:pPr>
        <w:spacing w:line="276" w:lineRule="auto"/>
        <w:jc w:val="left"/>
        <w:rPr>
          <w:rFonts w:asciiTheme="majorHAnsi" w:hAnsiTheme="majorHAnsi" w:cstheme="majorHAnsi"/>
        </w:rPr>
      </w:pPr>
    </w:p>
    <w:p w14:paraId="61E52116" w14:textId="660A6931" w:rsidR="00A01FBB" w:rsidRPr="00475484" w:rsidRDefault="00C55BE6" w:rsidP="00A01FBB">
      <w:pPr>
        <w:spacing w:line="276" w:lineRule="auto"/>
        <w:jc w:val="left"/>
        <w:rPr>
          <w:rFonts w:asciiTheme="majorHAnsi" w:hAnsiTheme="majorHAnsi" w:cstheme="majorHAnsi"/>
        </w:rPr>
      </w:pPr>
      <w:r>
        <w:rPr>
          <w:rFonts w:asciiTheme="majorHAnsi" w:hAnsiTheme="majorHAnsi" w:cstheme="majorHAnsi"/>
        </w:rPr>
        <w:t xml:space="preserve">   </w:t>
      </w:r>
    </w:p>
    <w:p w14:paraId="48524C8B" w14:textId="1A28FDEC" w:rsidR="00A01FBB" w:rsidRPr="009D6147" w:rsidRDefault="00A01FBB" w:rsidP="005671EB">
      <w:pPr>
        <w:pStyle w:val="Style2"/>
        <w:rPr>
          <w:rFonts w:asciiTheme="majorHAnsi" w:hAnsiTheme="majorHAnsi" w:cstheme="majorHAnsi"/>
        </w:rPr>
      </w:pPr>
      <w:bookmarkStart w:id="80" w:name="_Toc230183456"/>
      <w:bookmarkStart w:id="81" w:name="_Toc230183755"/>
      <w:r w:rsidRPr="009D6147">
        <w:rPr>
          <w:rFonts w:asciiTheme="majorHAnsi" w:hAnsiTheme="majorHAnsi" w:cstheme="majorHAnsi"/>
          <w:noProof/>
          <w:lang w:eastAsia="sq-AL"/>
        </w:rPr>
        <w:drawing>
          <wp:inline distT="0" distB="0" distL="0" distR="0" wp14:anchorId="31A2012E" wp14:editId="7271C833">
            <wp:extent cx="5731510" cy="2114115"/>
            <wp:effectExtent l="0" t="0" r="2540" b="635"/>
            <wp:docPr id="139" name="Chart 1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FF6978-B2F5-41C3-88B4-2A6301CFE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80"/>
      <w:bookmarkEnd w:id="81"/>
    </w:p>
    <w:p w14:paraId="4F397ADB" w14:textId="27F694AA" w:rsidR="00A01FBB" w:rsidRPr="009D6147" w:rsidRDefault="00D23469" w:rsidP="00173A2F">
      <w:pPr>
        <w:jc w:val="center"/>
        <w:rPr>
          <w:rFonts w:asciiTheme="majorHAnsi" w:hAnsiTheme="majorHAnsi" w:cstheme="majorHAnsi"/>
          <w:sz w:val="16"/>
          <w:szCs w:val="16"/>
        </w:rPr>
      </w:pPr>
      <w:r>
        <w:rPr>
          <w:rFonts w:asciiTheme="majorHAnsi" w:hAnsiTheme="majorHAnsi" w:cstheme="majorHAnsi"/>
          <w:sz w:val="16"/>
          <w:szCs w:val="16"/>
        </w:rPr>
        <w:t>Sl</w:t>
      </w:r>
      <w:r w:rsidR="00A01FBB" w:rsidRPr="009D6147">
        <w:rPr>
          <w:rFonts w:asciiTheme="majorHAnsi" w:hAnsiTheme="majorHAnsi" w:cstheme="majorHAnsi"/>
          <w:sz w:val="16"/>
          <w:szCs w:val="16"/>
        </w:rPr>
        <w:t xml:space="preserve">. 30 </w:t>
      </w:r>
      <w:r w:rsidR="00C55BE6">
        <w:rPr>
          <w:rFonts w:asciiTheme="majorHAnsi" w:hAnsiTheme="majorHAnsi" w:cstheme="majorHAnsi"/>
          <w:sz w:val="16"/>
          <w:szCs w:val="16"/>
        </w:rPr>
        <w:t xml:space="preserve"> </w:t>
      </w:r>
      <w:r w:rsidR="00C55BE6" w:rsidRPr="00C55BE6">
        <w:rPr>
          <w:rFonts w:asciiTheme="majorHAnsi" w:hAnsiTheme="majorHAnsi" w:cstheme="majorHAnsi"/>
          <w:sz w:val="16"/>
          <w:szCs w:val="16"/>
        </w:rPr>
        <w:t>transparentnost budžeta</w:t>
      </w:r>
      <w:r w:rsidR="00C55BE6">
        <w:rPr>
          <w:rFonts w:asciiTheme="majorHAnsi" w:hAnsiTheme="majorHAnsi" w:cstheme="majorHAnsi"/>
          <w:sz w:val="16"/>
          <w:szCs w:val="16"/>
        </w:rPr>
        <w:t xml:space="preserve">  </w:t>
      </w:r>
    </w:p>
    <w:p w14:paraId="39921BBE" w14:textId="6498AA43" w:rsidR="004057E0" w:rsidRPr="009D6147" w:rsidRDefault="00C55BE6" w:rsidP="00173A2F">
      <w:pPr>
        <w:pStyle w:val="Style2"/>
        <w:spacing w:line="276" w:lineRule="auto"/>
        <w:rPr>
          <w:rFonts w:asciiTheme="majorHAnsi" w:hAnsiTheme="majorHAnsi" w:cstheme="majorHAnsi"/>
          <w:sz w:val="22"/>
          <w:szCs w:val="22"/>
        </w:rPr>
      </w:pPr>
      <w:bookmarkStart w:id="82" w:name="_Toc230183756"/>
      <w:bookmarkStart w:id="83" w:name="_Toc163220247"/>
      <w:r w:rsidRPr="00C55BE6">
        <w:rPr>
          <w:rFonts w:asciiTheme="majorHAnsi" w:hAnsiTheme="majorHAnsi" w:cstheme="majorHAnsi"/>
          <w:sz w:val="22"/>
          <w:szCs w:val="22"/>
        </w:rPr>
        <w:t>TRANSPARENTNOST U JAVNIM NABAVKAMA</w:t>
      </w:r>
      <w:bookmarkEnd w:id="82"/>
      <w:r>
        <w:rPr>
          <w:rFonts w:asciiTheme="majorHAnsi" w:hAnsiTheme="majorHAnsi" w:cstheme="majorHAnsi"/>
          <w:sz w:val="22"/>
          <w:szCs w:val="22"/>
        </w:rPr>
        <w:t xml:space="preserve">      </w:t>
      </w:r>
      <w:bookmarkEnd w:id="74"/>
      <w:bookmarkEnd w:id="75"/>
      <w:bookmarkEnd w:id="76"/>
      <w:bookmarkEnd w:id="83"/>
    </w:p>
    <w:p w14:paraId="353F1354" w14:textId="77777777" w:rsidR="00A90247" w:rsidRPr="009D6147" w:rsidRDefault="00A90247" w:rsidP="00173A2F">
      <w:pPr>
        <w:spacing w:line="276" w:lineRule="auto"/>
        <w:rPr>
          <w:rFonts w:asciiTheme="majorHAnsi" w:hAnsiTheme="majorHAnsi" w:cstheme="majorHAnsi"/>
          <w:color w:val="000000" w:themeColor="text1"/>
        </w:rPr>
      </w:pPr>
    </w:p>
    <w:p w14:paraId="1B5BEC33" w14:textId="7E41BB88" w:rsidR="00C55BE6" w:rsidRPr="00536AD5" w:rsidRDefault="00C55BE6" w:rsidP="00173A2F">
      <w:pPr>
        <w:spacing w:line="276" w:lineRule="auto"/>
        <w:rPr>
          <w:rFonts w:asciiTheme="majorHAnsi" w:hAnsiTheme="majorHAnsi" w:cstheme="majorHAnsi"/>
          <w:color w:val="000000" w:themeColor="text1"/>
          <w:lang w:val="sr-Latn-RS"/>
        </w:rPr>
      </w:pPr>
      <w:r w:rsidRPr="00536AD5">
        <w:rPr>
          <w:rFonts w:asciiTheme="majorHAnsi" w:hAnsiTheme="majorHAnsi" w:cstheme="majorHAnsi"/>
          <w:color w:val="000000" w:themeColor="text1"/>
          <w:lang w:val="sr-Latn-RS"/>
        </w:rPr>
        <w:t xml:space="preserve">Javne nabavke su jedan od najosetljivijih procesa za svaku budžetsku organizaciju, koji zahteva potpunu transparentnost i odgovornost u skladu sa zakonskim pravilima. Opštinske vlasti su zakonom obavezne da sastave plan nabavki gde moraju da planiraju projekte, usluge i troškove za svaki projekat i uslugu u ovom planu. Opštinski plan nabavki mora biti sastavljen i objavljen u prva tri meseca u godini. Takođe, opštine kao ugovorni organi, na osnovu Pravila i operativnih smernica za javne nabavke od strane </w:t>
      </w:r>
      <w:r w:rsidRPr="00536AD5">
        <w:rPr>
          <w:rFonts w:asciiTheme="majorHAnsi" w:hAnsiTheme="majorHAnsi" w:cstheme="majorHAnsi"/>
          <w:lang w:val="sr-Latn-RS"/>
        </w:rPr>
        <w:t>RKJN-</w:t>
      </w:r>
      <w:r w:rsidRPr="00536AD5">
        <w:rPr>
          <w:rFonts w:asciiTheme="majorHAnsi" w:hAnsiTheme="majorHAnsi" w:cstheme="majorHAnsi"/>
          <w:color w:val="000000" w:themeColor="text1"/>
          <w:lang w:val="sr-Latn-RS"/>
        </w:rPr>
        <w:t>a, moraju da dostave informacije u vezi sa obaveštenjima o ugovoru, obaveštenjima o otkazivanju aktivnosti nabavke, kao i obaveštenjima o dodeli ugovora/obaveštenjima o rezultatima konkursa za projektovanja, bez obzira na vrstu ili procenjenu vrednost.</w:t>
      </w:r>
    </w:p>
    <w:p w14:paraId="63A9D35E" w14:textId="77777777" w:rsidR="00C55BE6" w:rsidRDefault="00C55BE6" w:rsidP="00173A2F">
      <w:pPr>
        <w:spacing w:line="276" w:lineRule="auto"/>
        <w:rPr>
          <w:rFonts w:asciiTheme="majorHAnsi" w:hAnsiTheme="majorHAnsi" w:cstheme="majorHAnsi"/>
          <w:color w:val="000000" w:themeColor="text1"/>
        </w:rPr>
      </w:pPr>
    </w:p>
    <w:p w14:paraId="782FC594" w14:textId="384E874C" w:rsidR="007D4ABB" w:rsidRPr="009D6147" w:rsidRDefault="00C55BE6" w:rsidP="00173A2F">
      <w:pPr>
        <w:pStyle w:val="Style2"/>
        <w:spacing w:line="276" w:lineRule="auto"/>
        <w:rPr>
          <w:rFonts w:asciiTheme="majorHAnsi" w:hAnsiTheme="majorHAnsi" w:cstheme="majorHAnsi"/>
          <w:color w:val="1F3864" w:themeColor="accent5" w:themeShade="80"/>
          <w:sz w:val="22"/>
          <w:szCs w:val="22"/>
        </w:rPr>
      </w:pPr>
      <w:bookmarkStart w:id="84" w:name="_Toc230183757"/>
      <w:bookmarkStart w:id="85" w:name="_Toc85812825"/>
      <w:r w:rsidRPr="00C55BE6">
        <w:rPr>
          <w:rFonts w:asciiTheme="majorHAnsi" w:hAnsiTheme="majorHAnsi" w:cstheme="majorHAnsi"/>
          <w:color w:val="1F3864" w:themeColor="accent5" w:themeShade="80"/>
          <w:sz w:val="22"/>
          <w:szCs w:val="22"/>
        </w:rPr>
        <w:lastRenderedPageBreak/>
        <w:t>OBJAVLJIVANJE PLANA NABAVKI</w:t>
      </w:r>
      <w:bookmarkEnd w:id="84"/>
      <w:r>
        <w:rPr>
          <w:rFonts w:asciiTheme="majorHAnsi" w:hAnsiTheme="majorHAnsi" w:cstheme="majorHAnsi"/>
          <w:color w:val="1F3864" w:themeColor="accent5" w:themeShade="80"/>
          <w:sz w:val="22"/>
          <w:szCs w:val="22"/>
        </w:rPr>
        <w:t xml:space="preserve">             </w:t>
      </w:r>
    </w:p>
    <w:p w14:paraId="3968287B" w14:textId="77777777" w:rsidR="00173A2F" w:rsidRPr="009D6147" w:rsidRDefault="00173A2F" w:rsidP="00173A2F">
      <w:pPr>
        <w:spacing w:line="276" w:lineRule="auto"/>
        <w:rPr>
          <w:rFonts w:asciiTheme="majorHAnsi" w:hAnsiTheme="majorHAnsi" w:cstheme="majorHAnsi"/>
        </w:rPr>
      </w:pPr>
    </w:p>
    <w:p w14:paraId="0D926A06" w14:textId="5F1FF056" w:rsidR="00C55BE6" w:rsidRPr="00536AD5" w:rsidRDefault="00C55BE6" w:rsidP="00173A2F">
      <w:pPr>
        <w:spacing w:line="276" w:lineRule="auto"/>
        <w:rPr>
          <w:rFonts w:asciiTheme="majorHAnsi" w:hAnsiTheme="majorHAnsi" w:cstheme="majorHAnsi"/>
          <w:lang w:val="sr-Latn-RS"/>
        </w:rPr>
      </w:pPr>
      <w:r w:rsidRPr="00536AD5">
        <w:rPr>
          <w:rFonts w:asciiTheme="majorHAnsi" w:hAnsiTheme="majorHAnsi" w:cstheme="majorHAnsi"/>
          <w:lang w:val="sr-Latn-RS"/>
        </w:rPr>
        <w:t>Zakon br. 04/L-042 o javnim nabavkama propisao je da najmanje šezdeset (60) dana pre početka svake fiskalne godine, svaki ugovornik treba da pripremi, u pisanoj formi, preliminarni plan nabavke, koji identifikuje razumne detalje svih nabavki, usluga i radova koje ugovornik namerava da nabavi tokom predmetne fiskalne godine. Planovi nabavki su važni jer identifikuju sve očekivane potrebe koje će biti nabavljene tokom određenog perioda, pružaju vremenski okvir za realizaciju tih potreba i pružaju procenu vrednosti nabavke.</w:t>
      </w:r>
    </w:p>
    <w:p w14:paraId="48771F8D" w14:textId="4DC00A17" w:rsidR="00C55BE6" w:rsidRPr="00536AD5" w:rsidRDefault="00624379" w:rsidP="00173A2F">
      <w:pPr>
        <w:spacing w:line="276" w:lineRule="auto"/>
        <w:rPr>
          <w:rFonts w:asciiTheme="majorHAnsi" w:hAnsiTheme="majorHAnsi" w:cstheme="majorHAnsi"/>
          <w:lang w:val="sr-Latn-RS"/>
        </w:rPr>
      </w:pPr>
      <w:r w:rsidRPr="00536AD5">
        <w:rPr>
          <w:rFonts w:asciiTheme="majorHAnsi" w:hAnsiTheme="majorHAnsi" w:cstheme="majorHAnsi"/>
          <w:lang w:val="sr-Latn-RS"/>
        </w:rPr>
        <w:t>Prema podacima iz Izveštaja o proceni transparentnosti opština za izveštajni period 2025. godine, 27 opština (71%) je objavilo svoj plan javnih nabavki, dok 11 opština (29%) ga nije objavilo.</w:t>
      </w:r>
    </w:p>
    <w:p w14:paraId="78A08819" w14:textId="77777777" w:rsidR="00536AD5" w:rsidRPr="00536AD5" w:rsidRDefault="00536AD5" w:rsidP="00536AD5">
      <w:pPr>
        <w:spacing w:line="276" w:lineRule="auto"/>
        <w:rPr>
          <w:rFonts w:asciiTheme="majorHAnsi" w:hAnsiTheme="majorHAnsi" w:cstheme="majorHAnsi"/>
          <w:lang w:val="sr-Latn-RS"/>
        </w:rPr>
      </w:pPr>
      <w:r w:rsidRPr="00536AD5">
        <w:rPr>
          <w:rFonts w:asciiTheme="majorHAnsi" w:hAnsiTheme="majorHAnsi" w:cstheme="majorHAnsi"/>
          <w:lang w:val="sr-Latn-RS"/>
        </w:rPr>
        <w:t>U poređenju sa 2024. godinom, kada je 29 opština objavilo plan javnih nabavki, dok 9 opština nije, u 2025. godini došlo je do smanjenja broja opština koje su objavile ovaj dokument za 2 opštine (sa 29 na 27). Ovo predstavlja blago smanjenje nivoa transparentnosti u ovoj oblasti.</w:t>
      </w:r>
    </w:p>
    <w:p w14:paraId="41921A2C" w14:textId="77777777" w:rsidR="00536AD5" w:rsidRPr="00536AD5" w:rsidRDefault="00536AD5" w:rsidP="00536AD5">
      <w:pPr>
        <w:spacing w:line="276" w:lineRule="auto"/>
        <w:rPr>
          <w:rFonts w:asciiTheme="majorHAnsi" w:hAnsiTheme="majorHAnsi" w:cstheme="majorHAnsi"/>
          <w:lang w:val="sr-Latn-RS"/>
        </w:rPr>
      </w:pPr>
    </w:p>
    <w:p w14:paraId="78FFC9E5" w14:textId="1D02E3D3" w:rsidR="00C55BE6" w:rsidRPr="00536AD5" w:rsidRDefault="00536AD5" w:rsidP="00536AD5">
      <w:pPr>
        <w:spacing w:line="276" w:lineRule="auto"/>
        <w:rPr>
          <w:rFonts w:asciiTheme="majorHAnsi" w:hAnsiTheme="majorHAnsi" w:cstheme="majorHAnsi"/>
          <w:lang w:val="sr-Latn-RS"/>
        </w:rPr>
      </w:pPr>
      <w:r w:rsidRPr="00536AD5">
        <w:rPr>
          <w:rFonts w:asciiTheme="majorHAnsi" w:hAnsiTheme="majorHAnsi" w:cstheme="majorHAnsi"/>
          <w:lang w:val="sr-Latn-RS"/>
        </w:rPr>
        <w:t>Broj opština koje su objavile Plan javnih nabavki prikazan je u tabelarnom obliku.</w:t>
      </w:r>
    </w:p>
    <w:p w14:paraId="74AC8F68" w14:textId="4C88FFDB" w:rsidR="005671EB" w:rsidRDefault="00C55BE6" w:rsidP="00173A2F">
      <w:pPr>
        <w:spacing w:line="276" w:lineRule="auto"/>
        <w:rPr>
          <w:rFonts w:asciiTheme="majorHAnsi" w:hAnsiTheme="majorHAnsi" w:cstheme="majorHAnsi"/>
        </w:rPr>
      </w:pPr>
      <w:r>
        <w:rPr>
          <w:rFonts w:asciiTheme="majorHAnsi" w:hAnsiTheme="majorHAnsi" w:cstheme="majorHAnsi"/>
        </w:rPr>
        <w:t xml:space="preserve">              </w:t>
      </w:r>
      <w:bookmarkStart w:id="86" w:name="_Toc130455706"/>
    </w:p>
    <w:p w14:paraId="34855351" w14:textId="47F45A47" w:rsidR="003A6511" w:rsidRPr="009D6147" w:rsidRDefault="003A6511" w:rsidP="00A70BC5">
      <w:pPr>
        <w:autoSpaceDE w:val="0"/>
        <w:autoSpaceDN w:val="0"/>
        <w:adjustRightInd w:val="0"/>
        <w:spacing w:after="240" w:line="276" w:lineRule="auto"/>
        <w:rPr>
          <w:rFonts w:asciiTheme="majorHAnsi" w:hAnsiTheme="majorHAnsi" w:cstheme="majorHAnsi"/>
          <w:noProof/>
        </w:rPr>
      </w:pPr>
      <w:r w:rsidRPr="009D6147">
        <w:rPr>
          <w:rFonts w:asciiTheme="majorHAnsi" w:hAnsiTheme="majorHAnsi" w:cstheme="majorHAnsi"/>
          <w:noProof/>
          <w:lang w:eastAsia="sq-AL"/>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a16="http://schemas.microsoft.com/office/drawing/2014/main" id="{0C3E606A-41E9-4726-BA4C-60EF413BAC9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E606A-41E9-4726-BA4C-60EF413BAC9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 name="Chart 1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E606A-41E9-4726-BA4C-60EF413BAC9E}"/>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5731510" cy="1871980"/>
                        </a:xfrm>
                        <a:prstGeom prst="rect">
                          <a:avLst/>
                        </a:prstGeom>
                      </pic:spPr>
                    </pic:pic>
                  </a:graphicData>
                </a:graphic>
              </wp:inline>
            </w:drawing>
          </mc:Fallback>
        </mc:AlternateContent>
      </w:r>
    </w:p>
    <w:p w14:paraId="4A61C532" w14:textId="72357D7B" w:rsidR="00FA731B" w:rsidRPr="00454D44" w:rsidRDefault="00D23469" w:rsidP="005671EB">
      <w:pPr>
        <w:autoSpaceDE w:val="0"/>
        <w:autoSpaceDN w:val="0"/>
        <w:adjustRightInd w:val="0"/>
        <w:spacing w:after="240" w:line="276" w:lineRule="auto"/>
        <w:jc w:val="center"/>
        <w:rPr>
          <w:rFonts w:asciiTheme="majorHAnsi" w:hAnsiTheme="majorHAnsi" w:cstheme="majorHAnsi"/>
          <w:szCs w:val="20"/>
        </w:rPr>
      </w:pPr>
      <w:r>
        <w:rPr>
          <w:rFonts w:asciiTheme="majorHAnsi" w:hAnsiTheme="majorHAnsi" w:cstheme="majorHAnsi"/>
          <w:i/>
          <w:sz w:val="14"/>
          <w:szCs w:val="14"/>
        </w:rPr>
        <w:t>Sl</w:t>
      </w:r>
      <w:r w:rsidR="001827D4" w:rsidRPr="00454D44">
        <w:rPr>
          <w:rFonts w:asciiTheme="majorHAnsi" w:hAnsiTheme="majorHAnsi" w:cstheme="majorHAnsi"/>
          <w:i/>
          <w:sz w:val="14"/>
          <w:szCs w:val="14"/>
        </w:rPr>
        <w:t>.</w:t>
      </w:r>
      <w:r w:rsidR="006C1F9D" w:rsidRPr="00454D44">
        <w:rPr>
          <w:rFonts w:asciiTheme="majorHAnsi" w:hAnsiTheme="majorHAnsi" w:cstheme="majorHAnsi"/>
          <w:i/>
          <w:sz w:val="14"/>
          <w:szCs w:val="14"/>
        </w:rPr>
        <w:t>31</w:t>
      </w:r>
      <w:r w:rsidR="00FA731B" w:rsidRPr="00454D44">
        <w:rPr>
          <w:rFonts w:asciiTheme="majorHAnsi" w:hAnsiTheme="majorHAnsi" w:cstheme="majorHAnsi"/>
          <w:i/>
          <w:sz w:val="14"/>
          <w:szCs w:val="14"/>
        </w:rPr>
        <w:t xml:space="preserve">  </w:t>
      </w:r>
      <w:r w:rsidR="00536AD5">
        <w:rPr>
          <w:rFonts w:asciiTheme="majorHAnsi" w:hAnsiTheme="majorHAnsi" w:cstheme="majorHAnsi"/>
          <w:i/>
          <w:sz w:val="14"/>
          <w:szCs w:val="14"/>
        </w:rPr>
        <w:t xml:space="preserve"> </w:t>
      </w:r>
      <w:r w:rsidR="00536AD5" w:rsidRPr="00536AD5">
        <w:rPr>
          <w:rFonts w:asciiTheme="majorHAnsi" w:hAnsiTheme="majorHAnsi" w:cstheme="majorHAnsi"/>
          <w:i/>
          <w:sz w:val="14"/>
          <w:szCs w:val="14"/>
        </w:rPr>
        <w:t>Objavljivanje plana nabavki</w:t>
      </w:r>
      <w:r w:rsidR="00536AD5">
        <w:rPr>
          <w:rFonts w:asciiTheme="majorHAnsi" w:hAnsiTheme="majorHAnsi" w:cstheme="majorHAnsi"/>
          <w:i/>
          <w:sz w:val="14"/>
          <w:szCs w:val="14"/>
        </w:rPr>
        <w:t xml:space="preserve">  </w:t>
      </w:r>
      <w:r w:rsidR="00FA731B" w:rsidRPr="00454D44">
        <w:rPr>
          <w:rFonts w:asciiTheme="majorHAnsi" w:hAnsiTheme="majorHAnsi" w:cstheme="majorHAnsi"/>
          <w:i/>
          <w:sz w:val="14"/>
          <w:szCs w:val="14"/>
        </w:rPr>
        <w:t xml:space="preserve"> </w:t>
      </w:r>
    </w:p>
    <w:bookmarkEnd w:id="86"/>
    <w:p w14:paraId="21A4499A" w14:textId="77777777" w:rsidR="008E4619" w:rsidRPr="009D6147" w:rsidRDefault="008E4619" w:rsidP="00A70BC5">
      <w:pPr>
        <w:autoSpaceDE w:val="0"/>
        <w:autoSpaceDN w:val="0"/>
        <w:adjustRightInd w:val="0"/>
        <w:spacing w:after="240" w:line="276" w:lineRule="auto"/>
        <w:rPr>
          <w:rFonts w:asciiTheme="majorHAnsi" w:hAnsiTheme="majorHAnsi" w:cstheme="majorHAnsi"/>
        </w:rPr>
      </w:pPr>
    </w:p>
    <w:p w14:paraId="36A86346" w14:textId="23CC20AE" w:rsidR="00240E19" w:rsidRPr="009D6147" w:rsidRDefault="00536AD5" w:rsidP="00173A2F">
      <w:pPr>
        <w:pStyle w:val="Style2"/>
        <w:spacing w:line="276" w:lineRule="auto"/>
        <w:rPr>
          <w:rFonts w:asciiTheme="majorHAnsi" w:hAnsiTheme="majorHAnsi" w:cstheme="majorHAnsi"/>
        </w:rPr>
      </w:pPr>
      <w:bookmarkStart w:id="87" w:name="_Toc230183758"/>
      <w:r w:rsidRPr="00536AD5">
        <w:rPr>
          <w:rFonts w:asciiTheme="majorHAnsi" w:hAnsiTheme="majorHAnsi" w:cstheme="majorHAnsi"/>
        </w:rPr>
        <w:t>OBJAVLJIVANJE IZVEŠTAJA O NABAVKAMA</w:t>
      </w:r>
      <w:bookmarkEnd w:id="87"/>
      <w:r>
        <w:rPr>
          <w:rFonts w:asciiTheme="majorHAnsi" w:hAnsiTheme="majorHAnsi" w:cstheme="majorHAnsi"/>
        </w:rPr>
        <w:t xml:space="preserve">         </w:t>
      </w:r>
    </w:p>
    <w:p w14:paraId="3CFE1D54" w14:textId="77777777" w:rsidR="00832088" w:rsidRPr="009D6147" w:rsidRDefault="00832088" w:rsidP="00173A2F">
      <w:pPr>
        <w:pStyle w:val="Style2"/>
        <w:spacing w:line="276" w:lineRule="auto"/>
        <w:rPr>
          <w:rFonts w:asciiTheme="majorHAnsi" w:hAnsiTheme="majorHAnsi" w:cstheme="majorHAnsi"/>
        </w:rPr>
      </w:pPr>
    </w:p>
    <w:p w14:paraId="262E17E3" w14:textId="77777777" w:rsidR="00536AD5" w:rsidRPr="00026ECD" w:rsidRDefault="00536AD5" w:rsidP="00173A2F">
      <w:pPr>
        <w:spacing w:line="276" w:lineRule="auto"/>
        <w:rPr>
          <w:rFonts w:asciiTheme="majorHAnsi" w:hAnsiTheme="majorHAnsi" w:cstheme="majorHAnsi"/>
          <w:bCs/>
          <w:lang w:val="sr-Latn-RS"/>
        </w:rPr>
      </w:pPr>
      <w:r w:rsidRPr="00026ECD">
        <w:rPr>
          <w:rFonts w:asciiTheme="majorHAnsi" w:hAnsiTheme="majorHAnsi" w:cstheme="majorHAnsi"/>
          <w:bCs/>
          <w:lang w:val="sr-Latn-RS"/>
        </w:rPr>
        <w:t>Za svaki ugovor ili okvirni sporazum koji je obuhvaćen važećim zakonom, i kad god se uspostavi dinamički sistem nabavki, naručilac ili subjekt sastavlja pisani izveštaj, u kojem navodi naziv i adresu naručioca ili subjekta, predmet i procenjenu vrednost ugovora, okvirnog sporazuma ili dinamičkog sistema nabavki, zavisno od slučaja. Izveštaji o javnim nabavkama odražavaju trošenje javnog novca putem javnih nabavki.</w:t>
      </w:r>
    </w:p>
    <w:p w14:paraId="18A32981" w14:textId="77777777" w:rsidR="00536AD5" w:rsidRPr="00026ECD" w:rsidRDefault="00536AD5" w:rsidP="00173A2F">
      <w:pPr>
        <w:spacing w:line="276" w:lineRule="auto"/>
        <w:rPr>
          <w:rFonts w:asciiTheme="majorHAnsi" w:hAnsiTheme="majorHAnsi" w:cstheme="majorHAnsi"/>
          <w:bCs/>
          <w:lang w:val="sr-Latn-RS"/>
        </w:rPr>
      </w:pPr>
    </w:p>
    <w:p w14:paraId="570064B9" w14:textId="367F959B" w:rsidR="004E5C48" w:rsidRPr="00026ECD" w:rsidRDefault="00536AD5" w:rsidP="00173A2F">
      <w:pPr>
        <w:spacing w:line="276" w:lineRule="auto"/>
        <w:rPr>
          <w:rFonts w:asciiTheme="majorHAnsi" w:hAnsiTheme="majorHAnsi" w:cstheme="majorHAnsi"/>
          <w:lang w:val="sr-Latn-RS"/>
        </w:rPr>
      </w:pPr>
      <w:r w:rsidRPr="00026ECD">
        <w:rPr>
          <w:rFonts w:asciiTheme="majorHAnsi" w:hAnsiTheme="majorHAnsi" w:cstheme="majorHAnsi"/>
          <w:bCs/>
          <w:lang w:val="sr-Latn-RS"/>
        </w:rPr>
        <w:t xml:space="preserve"> Prema podacima iz Izveštaja o proceni transparentnosti opština za izveštajni period 2025. godine, 19 opština (50%) je objavilo godišnji izveštaj o javnim nabavkama, dok ga još 19 opština (50%) nije objavilo.</w:t>
      </w:r>
    </w:p>
    <w:p w14:paraId="2E937E46" w14:textId="52E6E5F2" w:rsidR="00536AD5" w:rsidRPr="00026ECD" w:rsidRDefault="00536AD5" w:rsidP="00536AD5">
      <w:pPr>
        <w:pStyle w:val="NormalWeb"/>
        <w:rPr>
          <w:rFonts w:eastAsia="Times New Roman"/>
          <w:sz w:val="22"/>
          <w:szCs w:val="22"/>
          <w:lang w:val="sr-Latn-RS" w:eastAsia="en-GB"/>
        </w:rPr>
      </w:pPr>
      <w:r w:rsidRPr="00026ECD">
        <w:rPr>
          <w:rFonts w:eastAsia="Times New Roman"/>
          <w:sz w:val="22"/>
          <w:szCs w:val="22"/>
          <w:lang w:val="sr-Latn-RS" w:eastAsia="en-GB"/>
        </w:rPr>
        <w:t>U poređenju sa podacima Izveštaja o transparentnosti za 2024. godinu, u 2025. godini došlo je do smanjenja broja opština koje su objavile izveštaje za 4 opštine. Ovo ukazuje na blago smanjenje nivoa transparentnosti u ovoj oblasti.</w:t>
      </w:r>
    </w:p>
    <w:p w14:paraId="18BE2D92" w14:textId="77777777" w:rsidR="00536AD5" w:rsidRPr="00026ECD" w:rsidRDefault="00536AD5" w:rsidP="00536AD5">
      <w:pPr>
        <w:pStyle w:val="NormalWeb"/>
        <w:rPr>
          <w:rFonts w:eastAsia="Times New Roman"/>
          <w:sz w:val="22"/>
          <w:szCs w:val="22"/>
          <w:lang w:val="sr-Latn-RS" w:eastAsia="en-GB"/>
        </w:rPr>
      </w:pPr>
      <w:r w:rsidRPr="00026ECD">
        <w:rPr>
          <w:rFonts w:eastAsia="Times New Roman"/>
          <w:sz w:val="22"/>
          <w:szCs w:val="22"/>
          <w:lang w:val="sr-Latn-RS" w:eastAsia="en-GB"/>
        </w:rPr>
        <w:t>U nastavku je tabela koja prikazuje broj opština koje su objavile Izveštaj o javnim nabavkama.</w:t>
      </w:r>
    </w:p>
    <w:p w14:paraId="5E1AA7B4" w14:textId="7F105FAF" w:rsidR="00DF3842" w:rsidRPr="00026ECD" w:rsidRDefault="00536AD5" w:rsidP="00536AD5">
      <w:pPr>
        <w:pStyle w:val="NormalWeb"/>
        <w:rPr>
          <w:rFonts w:asciiTheme="majorHAnsi" w:hAnsiTheme="majorHAnsi" w:cstheme="majorHAnsi"/>
          <w:lang w:val="sr-Latn-RS"/>
        </w:rPr>
      </w:pPr>
      <w:r w:rsidRPr="00026ECD">
        <w:rPr>
          <w:rFonts w:eastAsia="Times New Roman"/>
          <w:sz w:val="22"/>
          <w:szCs w:val="22"/>
          <w:lang w:val="sr-Latn-RS" w:eastAsia="en-GB"/>
        </w:rPr>
        <w:t xml:space="preserve">   </w:t>
      </w:r>
    </w:p>
    <w:p w14:paraId="3FA07E28" w14:textId="1464884B" w:rsidR="00DB7181" w:rsidRPr="00026ECD" w:rsidRDefault="00F249E4" w:rsidP="00454D44">
      <w:pPr>
        <w:autoSpaceDE w:val="0"/>
        <w:autoSpaceDN w:val="0"/>
        <w:adjustRightInd w:val="0"/>
        <w:spacing w:after="240" w:line="276" w:lineRule="auto"/>
        <w:jc w:val="center"/>
        <w:rPr>
          <w:rFonts w:asciiTheme="majorHAnsi" w:hAnsiTheme="majorHAnsi" w:cstheme="majorHAnsi"/>
          <w:lang w:val="sr-Latn-RS"/>
        </w:rPr>
      </w:pPr>
      <w:r w:rsidRPr="00026ECD">
        <w:rPr>
          <w:rFonts w:asciiTheme="majorHAnsi" w:hAnsiTheme="majorHAnsi" w:cstheme="majorHAnsi"/>
          <w:noProof/>
          <w:lang w:eastAsia="sq-AL"/>
        </w:rPr>
        <w:drawing>
          <wp:inline distT="0" distB="0" distL="0" distR="0" wp14:anchorId="252B14F0" wp14:editId="201462C8">
            <wp:extent cx="5918200" cy="1726164"/>
            <wp:effectExtent l="0" t="0" r="6350" b="7620"/>
            <wp:docPr id="137" name="Chart 1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E41D4-4181-45F1-87A6-4599BFA9C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14A63E" w14:textId="221A0052" w:rsidR="00DF3842" w:rsidRPr="00026ECD" w:rsidRDefault="00D23469" w:rsidP="00454D44">
      <w:pPr>
        <w:spacing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1827D4" w:rsidRPr="00026ECD">
        <w:rPr>
          <w:rFonts w:asciiTheme="majorHAnsi" w:hAnsiTheme="majorHAnsi" w:cstheme="majorHAnsi"/>
          <w:i/>
          <w:sz w:val="14"/>
          <w:szCs w:val="14"/>
          <w:lang w:val="sr-Latn-RS"/>
        </w:rPr>
        <w:t xml:space="preserve"> </w:t>
      </w:r>
      <w:r w:rsidR="005671EB" w:rsidRPr="00026ECD">
        <w:rPr>
          <w:rFonts w:asciiTheme="majorHAnsi" w:hAnsiTheme="majorHAnsi" w:cstheme="majorHAnsi"/>
          <w:i/>
          <w:sz w:val="14"/>
          <w:szCs w:val="14"/>
          <w:lang w:val="sr-Latn-RS"/>
        </w:rPr>
        <w:t>3</w:t>
      </w:r>
      <w:r w:rsidR="006C1F9D" w:rsidRPr="00026ECD">
        <w:rPr>
          <w:rFonts w:asciiTheme="majorHAnsi" w:hAnsiTheme="majorHAnsi" w:cstheme="majorHAnsi"/>
          <w:i/>
          <w:sz w:val="14"/>
          <w:szCs w:val="14"/>
          <w:lang w:val="sr-Latn-RS"/>
        </w:rPr>
        <w:t>2</w:t>
      </w:r>
      <w:r w:rsidR="00DF3842" w:rsidRPr="00026ECD">
        <w:rPr>
          <w:rFonts w:asciiTheme="majorHAnsi" w:hAnsiTheme="majorHAnsi" w:cstheme="majorHAnsi"/>
          <w:i/>
          <w:sz w:val="14"/>
          <w:szCs w:val="14"/>
          <w:lang w:val="sr-Latn-RS"/>
        </w:rPr>
        <w:t xml:space="preserve">. </w:t>
      </w:r>
      <w:r w:rsidR="00536AD5" w:rsidRPr="00026ECD">
        <w:rPr>
          <w:rFonts w:asciiTheme="majorHAnsi" w:hAnsiTheme="majorHAnsi" w:cstheme="majorHAnsi"/>
          <w:i/>
          <w:sz w:val="14"/>
          <w:szCs w:val="14"/>
          <w:lang w:val="sr-Latn-RS"/>
        </w:rPr>
        <w:t xml:space="preserve"> Objavljivanje izveštaja o javnim nabavkama   </w:t>
      </w:r>
    </w:p>
    <w:p w14:paraId="323A469B" w14:textId="77777777" w:rsidR="004D56AA" w:rsidRPr="00026ECD" w:rsidRDefault="004D56AA" w:rsidP="00173A2F">
      <w:pPr>
        <w:pStyle w:val="Style1"/>
        <w:spacing w:line="276" w:lineRule="auto"/>
        <w:rPr>
          <w:rFonts w:cstheme="majorHAnsi"/>
          <w:lang w:val="sr-Latn-RS"/>
        </w:rPr>
      </w:pPr>
    </w:p>
    <w:p w14:paraId="00B376FD" w14:textId="0BD5B21B" w:rsidR="007D4ABB" w:rsidRPr="00026ECD" w:rsidRDefault="00536AD5" w:rsidP="00173A2F">
      <w:pPr>
        <w:pStyle w:val="Style2"/>
        <w:spacing w:line="276" w:lineRule="auto"/>
        <w:rPr>
          <w:rFonts w:asciiTheme="majorHAnsi" w:hAnsiTheme="majorHAnsi" w:cstheme="majorHAnsi"/>
          <w:lang w:val="sr-Latn-RS"/>
        </w:rPr>
      </w:pPr>
      <w:bookmarkStart w:id="88" w:name="_Toc230183759"/>
      <w:bookmarkStart w:id="89" w:name="_Toc163220248"/>
      <w:r w:rsidRPr="00026ECD">
        <w:rPr>
          <w:rFonts w:asciiTheme="majorHAnsi" w:hAnsiTheme="majorHAnsi" w:cstheme="majorHAnsi"/>
          <w:lang w:val="sr-Latn-RS"/>
        </w:rPr>
        <w:t>SPROVOĐENJE MINIMALNIH STANDARDA JAVNIH KONSULTACIJA</w:t>
      </w:r>
      <w:bookmarkEnd w:id="88"/>
      <w:r w:rsidRPr="00026ECD">
        <w:rPr>
          <w:rFonts w:asciiTheme="majorHAnsi" w:hAnsiTheme="majorHAnsi" w:cstheme="majorHAnsi"/>
          <w:lang w:val="sr-Latn-RS"/>
        </w:rPr>
        <w:t xml:space="preserve">                 </w:t>
      </w:r>
      <w:bookmarkEnd w:id="89"/>
    </w:p>
    <w:p w14:paraId="7FE870BE" w14:textId="77777777" w:rsidR="007D4ABB" w:rsidRPr="00026ECD" w:rsidRDefault="007D4ABB" w:rsidP="00173A2F">
      <w:pPr>
        <w:spacing w:line="276" w:lineRule="auto"/>
        <w:rPr>
          <w:rFonts w:asciiTheme="majorHAnsi" w:hAnsiTheme="majorHAnsi" w:cstheme="majorHAnsi"/>
          <w:sz w:val="24"/>
          <w:szCs w:val="24"/>
          <w:lang w:val="sr-Latn-RS"/>
        </w:rPr>
      </w:pPr>
    </w:p>
    <w:p w14:paraId="662DEAC6" w14:textId="77777777" w:rsidR="00536AD5" w:rsidRPr="00026ECD" w:rsidRDefault="00536AD5"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Administrativno uputstvo br. 04/2023 o otvorenoj administraciji u opštinama postavilo je minimalne standarde za javne konsultacije, obavezuje lokalne vlasti da obezbede učešće građana i drugih zainteresovanih strana tokom procesa kreiranja politika i donošenja odluka na lokalnom nivou, promoviše transparentnost opština i utiče na razvoj održivih politika u opštem interesu.</w:t>
      </w:r>
    </w:p>
    <w:p w14:paraId="02094123" w14:textId="134C6FC6" w:rsidR="00536AD5" w:rsidRPr="00026ECD" w:rsidRDefault="00536AD5"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Ovo administrativno uputstvo utvrđuje pravila, principe, obrasce, procedure i minimalne standarde za javne konsultacije u opštinama prilikom razvoja opštinskih politika i podzakonskih akata. Opština je obavezna da obezbedi javne konsultacije za sve lokalne dokumente politike, kao u nastavku:</w:t>
      </w:r>
    </w:p>
    <w:p w14:paraId="133A2901" w14:textId="38147B8F" w:rsidR="007D4ABB" w:rsidRPr="00026ECD" w:rsidRDefault="00536AD5"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 xml:space="preserve">    </w:t>
      </w:r>
    </w:p>
    <w:p w14:paraId="7A1C2BD2" w14:textId="1A7094A1" w:rsidR="008C688F" w:rsidRPr="00026ECD" w:rsidRDefault="007D4ABB"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1.</w:t>
      </w:r>
      <w:r w:rsidR="00536AD5" w:rsidRPr="00026ECD">
        <w:rPr>
          <w:rFonts w:asciiTheme="majorHAnsi" w:hAnsiTheme="majorHAnsi" w:cstheme="majorHAnsi"/>
          <w:lang w:val="sr-Latn-RS"/>
        </w:rPr>
        <w:t xml:space="preserve"> Opštinski akti koji podležu procesu javnih konsultacija; </w:t>
      </w:r>
    </w:p>
    <w:p w14:paraId="25CA1C4A" w14:textId="71AD0C3B" w:rsidR="008C688F" w:rsidRPr="00026ECD" w:rsidRDefault="008C688F"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2.</w:t>
      </w:r>
      <w:r w:rsidR="00536AD5" w:rsidRPr="00026ECD">
        <w:rPr>
          <w:rFonts w:asciiTheme="majorHAnsi" w:hAnsiTheme="majorHAnsi" w:cstheme="majorHAnsi"/>
          <w:lang w:val="sr-Latn-RS"/>
        </w:rPr>
        <w:t xml:space="preserve"> Nacrt – Statut opštine;  </w:t>
      </w:r>
    </w:p>
    <w:p w14:paraId="55AC063E" w14:textId="66DD999C" w:rsidR="007D4ABB" w:rsidRPr="00026ECD" w:rsidRDefault="008C688F" w:rsidP="00173A2F">
      <w:pPr>
        <w:spacing w:after="240" w:line="276" w:lineRule="auto"/>
        <w:rPr>
          <w:rFonts w:asciiTheme="majorHAnsi" w:hAnsiTheme="majorHAnsi" w:cstheme="majorHAnsi"/>
          <w:lang w:val="sr-Latn-RS"/>
        </w:rPr>
      </w:pPr>
      <w:r w:rsidRPr="00026ECD">
        <w:rPr>
          <w:rFonts w:asciiTheme="majorHAnsi" w:hAnsiTheme="majorHAnsi" w:cstheme="majorHAnsi"/>
          <w:lang w:val="sr-Latn-RS"/>
        </w:rPr>
        <w:t>3.</w:t>
      </w:r>
      <w:r w:rsidR="00536AD5" w:rsidRPr="00026ECD">
        <w:rPr>
          <w:rFonts w:asciiTheme="majorHAnsi" w:hAnsiTheme="majorHAnsi" w:cstheme="majorHAnsi"/>
          <w:lang w:val="sr-Latn-RS"/>
        </w:rPr>
        <w:t xml:space="preserve"> Nacrti- opštinskih propisi; </w:t>
      </w:r>
    </w:p>
    <w:p w14:paraId="27456F30" w14:textId="77777777" w:rsidR="007A2DE4" w:rsidRPr="00026ECD" w:rsidRDefault="008C688F" w:rsidP="007A2DE4">
      <w:pPr>
        <w:spacing w:after="240" w:line="276" w:lineRule="auto"/>
        <w:rPr>
          <w:rFonts w:asciiTheme="majorHAnsi" w:hAnsiTheme="majorHAnsi" w:cstheme="majorHAnsi"/>
          <w:lang w:val="sr-Latn-RS"/>
        </w:rPr>
      </w:pPr>
      <w:r w:rsidRPr="00026ECD">
        <w:rPr>
          <w:rFonts w:asciiTheme="majorHAnsi" w:hAnsiTheme="majorHAnsi" w:cstheme="majorHAnsi"/>
          <w:lang w:val="sr-Latn-RS"/>
        </w:rPr>
        <w:lastRenderedPageBreak/>
        <w:t>4</w:t>
      </w:r>
      <w:r w:rsidR="007D4ABB" w:rsidRPr="00026ECD">
        <w:rPr>
          <w:rFonts w:asciiTheme="majorHAnsi" w:hAnsiTheme="majorHAnsi" w:cstheme="majorHAnsi"/>
          <w:lang w:val="sr-Latn-RS"/>
        </w:rPr>
        <w:t xml:space="preserve">. </w:t>
      </w:r>
      <w:r w:rsidR="007A2DE4" w:rsidRPr="00026ECD">
        <w:rPr>
          <w:rFonts w:asciiTheme="majorHAnsi" w:hAnsiTheme="majorHAnsi" w:cstheme="majorHAnsi"/>
          <w:lang w:val="sr-Latn-RS"/>
        </w:rPr>
        <w:t>Nacrt budžeta opštine za narednu godinu, kao i pregled budžeta;</w:t>
      </w:r>
    </w:p>
    <w:p w14:paraId="2DC74D92" w14:textId="77777777" w:rsidR="007A2DE4" w:rsidRPr="00026ECD" w:rsidRDefault="007A2DE4" w:rsidP="007A2DE4">
      <w:pPr>
        <w:spacing w:after="240" w:line="276" w:lineRule="auto"/>
        <w:rPr>
          <w:rFonts w:asciiTheme="majorHAnsi" w:hAnsiTheme="majorHAnsi" w:cstheme="majorHAnsi"/>
          <w:lang w:val="sr-Latn-RS"/>
        </w:rPr>
      </w:pPr>
      <w:r w:rsidRPr="00026ECD">
        <w:rPr>
          <w:rFonts w:asciiTheme="majorHAnsi" w:hAnsiTheme="majorHAnsi" w:cstheme="majorHAnsi"/>
          <w:lang w:val="sr-Latn-RS"/>
        </w:rPr>
        <w:t>5. Srednjoročni budžetski okvir za naredne 3 godine;</w:t>
      </w:r>
    </w:p>
    <w:p w14:paraId="51F7A3CE" w14:textId="77777777" w:rsidR="007A2DE4" w:rsidRPr="00026ECD" w:rsidRDefault="007A2DE4" w:rsidP="007A2DE4">
      <w:pPr>
        <w:spacing w:after="240" w:line="276" w:lineRule="auto"/>
        <w:rPr>
          <w:rFonts w:asciiTheme="majorHAnsi" w:hAnsiTheme="majorHAnsi" w:cstheme="majorHAnsi"/>
          <w:lang w:val="sr-Latn-RS"/>
        </w:rPr>
      </w:pPr>
      <w:r w:rsidRPr="00026ECD">
        <w:rPr>
          <w:rFonts w:asciiTheme="majorHAnsi" w:hAnsiTheme="majorHAnsi" w:cstheme="majorHAnsi"/>
          <w:lang w:val="sr-Latn-RS"/>
        </w:rPr>
        <w:t>6. Strategije razvoja i akcioni planovi na lokalnom nivou u okviru sektorskih oblasti;</w:t>
      </w:r>
    </w:p>
    <w:p w14:paraId="2453FC27" w14:textId="77777777" w:rsidR="007A2DE4" w:rsidRPr="00026ECD" w:rsidRDefault="007A2DE4" w:rsidP="007A2DE4">
      <w:pPr>
        <w:spacing w:after="240" w:line="276" w:lineRule="auto"/>
        <w:rPr>
          <w:rFonts w:asciiTheme="majorHAnsi" w:hAnsiTheme="majorHAnsi" w:cstheme="majorHAnsi"/>
          <w:lang w:val="sr-Latn-RS"/>
        </w:rPr>
      </w:pPr>
      <w:r w:rsidRPr="00026ECD">
        <w:rPr>
          <w:rFonts w:asciiTheme="majorHAnsi" w:hAnsiTheme="majorHAnsi" w:cstheme="majorHAnsi"/>
          <w:lang w:val="sr-Latn-RS"/>
        </w:rPr>
        <w:t>7. Svi nacrti prostornih planova na lokalnom nivou, u skladu sa zakonskim propisima o prostornom planiranju;</w:t>
      </w:r>
    </w:p>
    <w:p w14:paraId="74A606CB" w14:textId="77777777" w:rsidR="007A2DE4" w:rsidRPr="00026ECD" w:rsidRDefault="007A2DE4" w:rsidP="007A2DE4">
      <w:pPr>
        <w:spacing w:after="240" w:line="276" w:lineRule="auto"/>
        <w:rPr>
          <w:rFonts w:asciiTheme="majorHAnsi" w:hAnsiTheme="majorHAnsi" w:cstheme="majorHAnsi"/>
          <w:lang w:val="sr-Latn-RS"/>
        </w:rPr>
      </w:pPr>
      <w:r w:rsidRPr="00026ECD">
        <w:rPr>
          <w:rFonts w:asciiTheme="majorHAnsi" w:hAnsiTheme="majorHAnsi" w:cstheme="majorHAnsi"/>
          <w:lang w:val="sr-Latn-RS"/>
        </w:rPr>
        <w:t>8. Sva ostala dokumenta za koja opštine procene da je potrebno da se podvrgnu javnim konsultacijama;</w:t>
      </w:r>
    </w:p>
    <w:p w14:paraId="43785DAD" w14:textId="5C66B6E6" w:rsidR="007D4ABB" w:rsidRPr="00026ECD" w:rsidRDefault="007D4ABB" w:rsidP="007A2DE4">
      <w:pPr>
        <w:spacing w:after="240" w:line="276" w:lineRule="auto"/>
        <w:rPr>
          <w:rFonts w:asciiTheme="majorHAnsi" w:hAnsiTheme="majorHAnsi" w:cstheme="majorHAnsi"/>
          <w:lang w:val="sr-Latn-RS"/>
        </w:rPr>
      </w:pPr>
    </w:p>
    <w:p w14:paraId="7CC6D7D8" w14:textId="3DD25BBF" w:rsidR="007D4ABB" w:rsidRPr="00026ECD" w:rsidRDefault="00A65D4A" w:rsidP="00173A2F">
      <w:pPr>
        <w:pStyle w:val="Style2"/>
        <w:spacing w:line="276" w:lineRule="auto"/>
        <w:rPr>
          <w:rFonts w:asciiTheme="majorHAnsi" w:hAnsiTheme="majorHAnsi" w:cstheme="majorHAnsi"/>
          <w:lang w:val="sr-Latn-RS"/>
        </w:rPr>
      </w:pPr>
      <w:bookmarkStart w:id="90" w:name="_Toc230183760"/>
      <w:r w:rsidRPr="00026ECD">
        <w:rPr>
          <w:rFonts w:asciiTheme="majorHAnsi" w:hAnsiTheme="majorHAnsi" w:cstheme="majorHAnsi"/>
          <w:lang w:val="sr-Latn-RS"/>
        </w:rPr>
        <w:t>PLAN JAVNIH KONSULTACIJA</w:t>
      </w:r>
      <w:bookmarkEnd w:id="90"/>
      <w:r w:rsidRPr="00026ECD">
        <w:rPr>
          <w:rFonts w:asciiTheme="majorHAnsi" w:hAnsiTheme="majorHAnsi" w:cstheme="majorHAnsi"/>
          <w:lang w:val="sr-Latn-RS"/>
        </w:rPr>
        <w:t xml:space="preserve">           </w:t>
      </w:r>
    </w:p>
    <w:p w14:paraId="1790554E" w14:textId="1627F16E"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Na osnovu člana 20 Administrativnog uputstva br. 04/2023 o otvorenoj administraciji u opštinama, Plan javnih konsultacija mora biti objavljen na zvaničnoj veb stranici opštine. Opšte planiranje javnih konsultacija sprovodi se u ranoj fazi tokom izrade opštinskog plana rada za narednu kalendarsku godinu, kao i prilikom izrade plana javne komunikacije.</w:t>
      </w:r>
    </w:p>
    <w:p w14:paraId="3D20999F" w14:textId="77777777"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Prema podacima iz praćenja opštinskih veb stranica, 17 opština ili 45% njih je objavilo plan javnih konsultacija, dok 21 opština ili 55% ga nije objavilo.</w:t>
      </w:r>
    </w:p>
    <w:p w14:paraId="028F812C" w14:textId="77777777"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U 2024. godini, 23 opštine su objavile svoje planove javnih konsultacija, dok je u 2025. godini taj broj opao na 17 opština. Ovo predstavlja smanjenje od 6 opština u 2025. godini u poređenju sa 2024. godinom. Ovo ukazuje na smanjenje nivoa transparentnosti u objavljivanju planova javnih konsultacija.</w:t>
      </w:r>
    </w:p>
    <w:p w14:paraId="21894A69" w14:textId="565B301A"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Objavljivanje planova javnih konsultacija od strane opština koje su ispunile svoje zakonske obaveze prikazano je u tabelarnom obliku.</w:t>
      </w:r>
    </w:p>
    <w:p w14:paraId="14B437A3" w14:textId="6112DF85" w:rsidR="001219BA" w:rsidRPr="00026ECD" w:rsidRDefault="00FD544E" w:rsidP="00173A2F">
      <w:pPr>
        <w:spacing w:line="276" w:lineRule="auto"/>
        <w:rPr>
          <w:rFonts w:asciiTheme="majorHAnsi" w:hAnsiTheme="majorHAnsi" w:cstheme="majorHAnsi"/>
          <w:color w:val="C00000"/>
          <w:lang w:val="sr-Latn-RS"/>
        </w:rPr>
      </w:pPr>
      <w:r w:rsidRPr="00026ECD">
        <w:rPr>
          <w:rFonts w:asciiTheme="majorHAnsi" w:hAnsiTheme="majorHAnsi" w:cstheme="majorHAnsi"/>
          <w:noProof/>
          <w:lang w:eastAsia="sq-AL"/>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a16="http://schemas.microsoft.com/office/drawing/2014/main" id="{886AEE3E-DD2B-4E94-8291-17E033EC0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6AEE3E-DD2B-4E94-8291-17E033EC0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5" name="Chart 1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6AEE3E-DD2B-4E94-8291-17E033EC0919}"/>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5731510" cy="1738630"/>
                        </a:xfrm>
                        <a:prstGeom prst="rect">
                          <a:avLst/>
                        </a:prstGeom>
                      </pic:spPr>
                    </pic:pic>
                  </a:graphicData>
                </a:graphic>
              </wp:inline>
            </w:drawing>
          </mc:Fallback>
        </mc:AlternateContent>
      </w:r>
    </w:p>
    <w:p w14:paraId="72D9EC8A" w14:textId="3ACABDB8" w:rsidR="003379CB" w:rsidRPr="00026ECD" w:rsidRDefault="003B4239" w:rsidP="00173A2F">
      <w:pPr>
        <w:spacing w:after="240" w:line="276" w:lineRule="auto"/>
        <w:rPr>
          <w:rFonts w:asciiTheme="majorHAnsi" w:hAnsiTheme="majorHAnsi" w:cstheme="majorHAnsi"/>
          <w:sz w:val="20"/>
          <w:szCs w:val="20"/>
          <w:lang w:val="sr-Latn-RS"/>
        </w:rPr>
      </w:pPr>
      <w:r w:rsidRPr="00026ECD">
        <w:rPr>
          <w:rFonts w:asciiTheme="majorHAnsi" w:hAnsiTheme="majorHAnsi" w:cstheme="majorHAnsi"/>
          <w:sz w:val="20"/>
          <w:szCs w:val="20"/>
          <w:lang w:val="sr-Latn-RS"/>
        </w:rPr>
        <w:t xml:space="preserve">                                                        </w:t>
      </w:r>
      <w:r w:rsidR="00D23469">
        <w:rPr>
          <w:rFonts w:asciiTheme="majorHAnsi" w:hAnsiTheme="majorHAnsi" w:cstheme="majorHAnsi"/>
          <w:i/>
          <w:color w:val="000000" w:themeColor="text1"/>
          <w:sz w:val="14"/>
          <w:szCs w:val="16"/>
          <w:lang w:val="sr-Latn-RS"/>
        </w:rPr>
        <w:t>Sl.</w:t>
      </w:r>
      <w:r w:rsidR="00094A9B" w:rsidRPr="00026ECD">
        <w:rPr>
          <w:rFonts w:asciiTheme="majorHAnsi" w:hAnsiTheme="majorHAnsi" w:cstheme="majorHAnsi"/>
          <w:i/>
          <w:color w:val="000000" w:themeColor="text1"/>
          <w:sz w:val="14"/>
          <w:szCs w:val="16"/>
          <w:lang w:val="sr-Latn-RS"/>
        </w:rPr>
        <w:t>.</w:t>
      </w:r>
      <w:r w:rsidR="00A475ED" w:rsidRPr="00026ECD">
        <w:rPr>
          <w:rFonts w:asciiTheme="majorHAnsi" w:hAnsiTheme="majorHAnsi" w:cstheme="majorHAnsi"/>
          <w:i/>
          <w:color w:val="000000" w:themeColor="text1"/>
          <w:sz w:val="14"/>
          <w:szCs w:val="16"/>
          <w:lang w:val="sr-Latn-RS"/>
        </w:rPr>
        <w:t>3</w:t>
      </w:r>
      <w:r w:rsidR="006C1F9D" w:rsidRPr="00026ECD">
        <w:rPr>
          <w:rFonts w:asciiTheme="majorHAnsi" w:hAnsiTheme="majorHAnsi" w:cstheme="majorHAnsi"/>
          <w:i/>
          <w:color w:val="000000" w:themeColor="text1"/>
          <w:sz w:val="14"/>
          <w:szCs w:val="16"/>
          <w:lang w:val="sr-Latn-RS"/>
        </w:rPr>
        <w:t>3</w:t>
      </w:r>
      <w:r w:rsidR="003379CB" w:rsidRPr="00026ECD">
        <w:rPr>
          <w:rFonts w:asciiTheme="majorHAnsi" w:hAnsiTheme="majorHAnsi" w:cstheme="majorHAnsi"/>
          <w:i/>
          <w:color w:val="000000" w:themeColor="text1"/>
          <w:sz w:val="14"/>
          <w:szCs w:val="16"/>
          <w:lang w:val="sr-Latn-RS"/>
        </w:rPr>
        <w:t xml:space="preserve"> </w:t>
      </w:r>
      <w:r w:rsidR="00A65D4A" w:rsidRPr="00026ECD">
        <w:rPr>
          <w:rFonts w:asciiTheme="majorHAnsi" w:hAnsiTheme="majorHAnsi" w:cstheme="majorHAnsi"/>
          <w:i/>
          <w:color w:val="000000" w:themeColor="text1"/>
          <w:sz w:val="14"/>
          <w:szCs w:val="16"/>
          <w:lang w:val="sr-Latn-RS"/>
        </w:rPr>
        <w:t xml:space="preserve"> Planiranje plana javnih konsultacija   </w:t>
      </w:r>
    </w:p>
    <w:p w14:paraId="0FB439F0" w14:textId="77777777" w:rsidR="00832088" w:rsidRPr="00026ECD" w:rsidRDefault="00832088" w:rsidP="00691961">
      <w:pPr>
        <w:pStyle w:val="Style3"/>
        <w:rPr>
          <w:lang w:val="sr-Latn-RS"/>
        </w:rPr>
      </w:pPr>
    </w:p>
    <w:p w14:paraId="1EE50B96" w14:textId="229540A5" w:rsidR="00832088" w:rsidRPr="00026ECD" w:rsidRDefault="00A65D4A" w:rsidP="00691961">
      <w:pPr>
        <w:pStyle w:val="Style3"/>
        <w:rPr>
          <w:lang w:val="sr-Latn-RS"/>
        </w:rPr>
      </w:pPr>
      <w:bookmarkStart w:id="91" w:name="_Toc230183761"/>
      <w:r w:rsidRPr="00026ECD">
        <w:rPr>
          <w:lang w:val="sr-Latn-RS"/>
        </w:rPr>
        <w:t>Obaveštenja o javnim konsultacijama</w:t>
      </w:r>
      <w:bookmarkEnd w:id="91"/>
      <w:r w:rsidRPr="00026ECD">
        <w:rPr>
          <w:lang w:val="sr-Latn-RS"/>
        </w:rPr>
        <w:t xml:space="preserve">              </w:t>
      </w:r>
      <w:r w:rsidR="00B87205" w:rsidRPr="00026ECD">
        <w:rPr>
          <w:lang w:val="sr-Latn-RS"/>
        </w:rPr>
        <w:t xml:space="preserve"> </w:t>
      </w:r>
    </w:p>
    <w:p w14:paraId="663C0431" w14:textId="77777777" w:rsidR="00691961" w:rsidRPr="00026ECD" w:rsidRDefault="00691961" w:rsidP="00691961">
      <w:pPr>
        <w:pStyle w:val="Style3"/>
        <w:rPr>
          <w:lang w:val="sr-Latn-RS"/>
        </w:rPr>
      </w:pPr>
    </w:p>
    <w:p w14:paraId="5D4CF86B" w14:textId="5281B99C"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Na osnovu člana 27 Administrativnog uputstva br. 04/2023 o otvorenoj administraciji u opštinama, predlagač će obezbediti uslove za sprovođenje pisanih i elektronskih konsultacija, uključujući blagovremene informacije o metodama i rokovima za javne konsultacije.</w:t>
      </w:r>
    </w:p>
    <w:p w14:paraId="2E1B9D6E" w14:textId="77777777"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Pisano i elektronsko obaveštenje će sadržati: Predlog projekta za koji se traže komentari, tačnu adresu na koju treba poslati pisane i elektronske komentare, podatke (ime, prezime i imejl) o licu zaduženom za prijem komentara i rok za dostavljanje komentara.</w:t>
      </w:r>
    </w:p>
    <w:p w14:paraId="644336D6" w14:textId="1B982B38"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Obaveštenja o javnim konsultacijama u periodu januar–decembar 2025. godine objavilo je 27 opština (71%), dok 11 opština (29%) nije objavilo nijedno obaveštenje. Poređenje između opština koje su objavile obaveštenja o javnim konsultacijama (27) i onih koje su objavile plan konsultacija (17) pokazuje da neke opštine nisu u potpunosti ispunile svoje zakonske obaveze u tom pogledu.</w:t>
      </w:r>
    </w:p>
    <w:p w14:paraId="4B32BA2D" w14:textId="37BEB360"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Takođe, u poređenju sa podacima Izveštaja o proceni transparentnosti za 2024. godinu, nivo objavljivanja obaveštenja o javnim konsultacijama ostaje isti, bez promena u broju opština koje su ih objavile.</w:t>
      </w:r>
    </w:p>
    <w:p w14:paraId="06E96897" w14:textId="741D1AC0" w:rsidR="00A65D4A"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Broj obaveštenja iz opština koje su objavile obaveštenja o javnim konsultacijama prikazan je u tabelarnom obliku.</w:t>
      </w:r>
    </w:p>
    <w:p w14:paraId="0E20E728" w14:textId="77777777" w:rsidR="00A65D4A" w:rsidRPr="00026ECD" w:rsidRDefault="00A65D4A" w:rsidP="00A65D4A">
      <w:pPr>
        <w:spacing w:after="240" w:line="276" w:lineRule="auto"/>
        <w:rPr>
          <w:rFonts w:asciiTheme="majorHAnsi" w:hAnsiTheme="majorHAnsi" w:cstheme="majorHAnsi"/>
          <w:lang w:val="sr-Latn-RS"/>
        </w:rPr>
      </w:pPr>
    </w:p>
    <w:p w14:paraId="116B833D" w14:textId="29F42DE9" w:rsidR="00C6232D" w:rsidRPr="00026ECD" w:rsidRDefault="00A65D4A" w:rsidP="00A65D4A">
      <w:pPr>
        <w:spacing w:after="240" w:line="276" w:lineRule="auto"/>
        <w:rPr>
          <w:rFonts w:asciiTheme="majorHAnsi" w:hAnsiTheme="majorHAnsi" w:cstheme="majorHAnsi"/>
          <w:lang w:val="sr-Latn-RS"/>
        </w:rPr>
      </w:pPr>
      <w:r w:rsidRPr="00026ECD">
        <w:rPr>
          <w:rFonts w:asciiTheme="majorHAnsi" w:hAnsiTheme="majorHAnsi" w:cstheme="majorHAnsi"/>
          <w:lang w:val="sr-Latn-RS"/>
        </w:rPr>
        <w:t xml:space="preserve">       </w:t>
      </w:r>
      <w:r w:rsidR="008940A2" w:rsidRPr="00026ECD">
        <w:rPr>
          <w:rFonts w:asciiTheme="majorHAnsi" w:hAnsiTheme="majorHAnsi" w:cstheme="majorHAnsi"/>
          <w:noProof/>
          <w:lang w:eastAsia="sq-AL"/>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a16="http://schemas.microsoft.com/office/drawing/2014/main" id="{ACAFF5AA-A46D-4123-A3F5-EAE44BF3D6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F5AA-A46D-4123-A3F5-EAE44BF3D6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8" name="Chart 1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F5AA-A46D-4123-A3F5-EAE44BF3D600}"/>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731510" cy="1850390"/>
                        </a:xfrm>
                        <a:prstGeom prst="rect">
                          <a:avLst/>
                        </a:prstGeom>
                      </pic:spPr>
                    </pic:pic>
                  </a:graphicData>
                </a:graphic>
              </wp:inline>
            </w:drawing>
          </mc:Fallback>
        </mc:AlternateContent>
      </w:r>
    </w:p>
    <w:p w14:paraId="40A51F3F" w14:textId="09D33275" w:rsidR="00B87205" w:rsidRPr="00026ECD" w:rsidRDefault="00D23469" w:rsidP="00691961">
      <w:pPr>
        <w:spacing w:after="240" w:line="276" w:lineRule="auto"/>
        <w:jc w:val="center"/>
        <w:rPr>
          <w:rFonts w:asciiTheme="majorHAnsi" w:hAnsiTheme="majorHAnsi" w:cstheme="majorHAnsi"/>
          <w:b/>
          <w:i/>
          <w:color w:val="000000" w:themeColor="text1"/>
          <w:sz w:val="12"/>
          <w:szCs w:val="16"/>
          <w:lang w:val="sr-Latn-RS"/>
        </w:rPr>
      </w:pPr>
      <w:r>
        <w:rPr>
          <w:rFonts w:asciiTheme="majorHAnsi" w:hAnsiTheme="majorHAnsi" w:cstheme="majorHAnsi"/>
          <w:i/>
          <w:sz w:val="14"/>
          <w:szCs w:val="14"/>
          <w:lang w:val="sr-Latn-RS"/>
        </w:rPr>
        <w:t>Sl</w:t>
      </w:r>
      <w:r w:rsidR="00B87205" w:rsidRPr="00026ECD">
        <w:rPr>
          <w:rFonts w:asciiTheme="majorHAnsi" w:hAnsiTheme="majorHAnsi" w:cstheme="majorHAnsi"/>
          <w:i/>
          <w:sz w:val="14"/>
          <w:szCs w:val="14"/>
          <w:lang w:val="sr-Latn-RS"/>
        </w:rPr>
        <w:t xml:space="preserve">. </w:t>
      </w:r>
      <w:r w:rsidR="00A475ED" w:rsidRPr="00026ECD">
        <w:rPr>
          <w:rFonts w:asciiTheme="majorHAnsi" w:hAnsiTheme="majorHAnsi" w:cstheme="majorHAnsi"/>
          <w:i/>
          <w:sz w:val="14"/>
          <w:szCs w:val="14"/>
          <w:lang w:val="sr-Latn-RS"/>
        </w:rPr>
        <w:t>3</w:t>
      </w:r>
      <w:r w:rsidR="006C1F9D" w:rsidRPr="00026ECD">
        <w:rPr>
          <w:rFonts w:asciiTheme="majorHAnsi" w:hAnsiTheme="majorHAnsi" w:cstheme="majorHAnsi"/>
          <w:i/>
          <w:sz w:val="14"/>
          <w:szCs w:val="14"/>
          <w:lang w:val="sr-Latn-RS"/>
        </w:rPr>
        <w:t>4</w:t>
      </w:r>
      <w:r w:rsidR="00A475ED" w:rsidRPr="00026ECD">
        <w:rPr>
          <w:rFonts w:asciiTheme="majorHAnsi" w:hAnsiTheme="majorHAnsi" w:cstheme="majorHAnsi"/>
          <w:i/>
          <w:sz w:val="14"/>
          <w:szCs w:val="14"/>
          <w:lang w:val="sr-Latn-RS"/>
        </w:rPr>
        <w:t>.</w:t>
      </w:r>
      <w:r w:rsidR="00B87205" w:rsidRPr="00026ECD">
        <w:rPr>
          <w:rFonts w:asciiTheme="majorHAnsi" w:hAnsiTheme="majorHAnsi" w:cstheme="majorHAnsi"/>
          <w:i/>
          <w:sz w:val="14"/>
          <w:szCs w:val="14"/>
          <w:lang w:val="sr-Latn-RS"/>
        </w:rPr>
        <w:t xml:space="preserve"> </w:t>
      </w:r>
      <w:r w:rsidR="00FD0652" w:rsidRPr="00026ECD">
        <w:rPr>
          <w:rFonts w:asciiTheme="majorHAnsi" w:hAnsiTheme="majorHAnsi" w:cstheme="majorHAnsi"/>
          <w:i/>
          <w:sz w:val="14"/>
          <w:szCs w:val="14"/>
          <w:lang w:val="sr-Latn-RS"/>
        </w:rPr>
        <w:t xml:space="preserve">  Obaveštenja o javnim konsultacijama      </w:t>
      </w:r>
    </w:p>
    <w:p w14:paraId="0D35D9B1" w14:textId="04AAAF6A" w:rsidR="003357C4" w:rsidRPr="00026ECD" w:rsidRDefault="00FD0652" w:rsidP="00691961">
      <w:pPr>
        <w:pStyle w:val="Style3"/>
        <w:rPr>
          <w:lang w:val="sr-Latn-RS"/>
        </w:rPr>
      </w:pPr>
      <w:bookmarkStart w:id="92" w:name="_Toc230183762"/>
      <w:r w:rsidRPr="00026ECD">
        <w:rPr>
          <w:lang w:val="sr-Latn-RS"/>
        </w:rPr>
        <w:t>Nacrti predloga za javne konsultacije i obrazloženja</w:t>
      </w:r>
      <w:bookmarkEnd w:id="92"/>
      <w:r w:rsidRPr="00026ECD">
        <w:rPr>
          <w:lang w:val="sr-Latn-RS"/>
        </w:rPr>
        <w:t xml:space="preserve">       </w:t>
      </w:r>
    </w:p>
    <w:p w14:paraId="324B9D8A" w14:textId="77777777" w:rsidR="00FD0652" w:rsidRPr="00026ECD" w:rsidRDefault="00FD0652" w:rsidP="00173A2F">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 xml:space="preserve">Na osnovu Administrativnog uputstva o otvorenoj administraciji, opštine imaju obavezu, preko službenika zaduženog za javne konsultacije, u koordinaciji sa službenikom zaduženim za izradu nacrta predloga, da obaveste zainteresovane strane o: datumu, mestu i vremenu održavanja javnog sastanka; </w:t>
      </w:r>
      <w:r w:rsidRPr="00026ECD">
        <w:rPr>
          <w:rFonts w:asciiTheme="majorHAnsi" w:eastAsia="Times New Roman" w:hAnsiTheme="majorHAnsi" w:cstheme="majorHAnsi"/>
          <w:b/>
          <w:bCs/>
          <w:u w:val="single"/>
          <w:lang w:val="sr-Latn-RS" w:eastAsia="en-GB"/>
        </w:rPr>
        <w:t>nacrtu predloga koji je predmet javnih konsultacija; obrazloženju sadržaja nacrta predloga</w:t>
      </w:r>
      <w:r w:rsidRPr="00026ECD">
        <w:rPr>
          <w:rFonts w:asciiTheme="majorHAnsi" w:eastAsia="Times New Roman" w:hAnsiTheme="majorHAnsi" w:cstheme="majorHAnsi"/>
          <w:lang w:val="sr-Latn-RS" w:eastAsia="en-GB"/>
        </w:rPr>
        <w:t xml:space="preserve">; kao </w:t>
      </w:r>
      <w:r w:rsidRPr="00026ECD">
        <w:rPr>
          <w:rFonts w:asciiTheme="majorHAnsi" w:eastAsia="Times New Roman" w:hAnsiTheme="majorHAnsi" w:cstheme="majorHAnsi"/>
          <w:lang w:val="sr-Latn-RS" w:eastAsia="en-GB"/>
        </w:rPr>
        <w:lastRenderedPageBreak/>
        <w:t>i kontakt informacije (ime, prezime i imejl) osobe zadužene za primanje komentara, zajedno sa pratećom dokumentacijom.</w:t>
      </w:r>
    </w:p>
    <w:p w14:paraId="0ECA79A1" w14:textId="77777777" w:rsidR="004B42EC" w:rsidRPr="00026ECD" w:rsidRDefault="004B42EC"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Putem zvanične veb stranice i Vladine platforme za javne konsultacije, opština obezbeđuje objavljivanje obaveštenja za konsultacije o nacrtima predloga, rokove za konsultacije, obrazloženja, nacrte predloga, adresu za prijem komentara, kao i objavljivanje izveštaja/rezultata javnih konsultacija.</w:t>
      </w:r>
    </w:p>
    <w:p w14:paraId="631918FB" w14:textId="08A8DAF4" w:rsidR="00FD0652" w:rsidRPr="00026ECD" w:rsidRDefault="004B42EC"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Prema podacima iz praćenja zvaničnih veb stranica opština za period januar–decembar 2025. godine, 19 opština ili 50% je objavilo ukupno 74 nacrta predloga, dok 19 opština ili 50% nije objavilo nijedan nacrt predloga.</w:t>
      </w:r>
    </w:p>
    <w:p w14:paraId="5C8FC263" w14:textId="57AD0928" w:rsidR="004B42EC" w:rsidRPr="00026ECD" w:rsidRDefault="004B42EC"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Što se tiče obrazloženja, samo dve opštine su objavile obrazloženje, dok 26 opština nije objavilo nikakvo obrazloženje. Na osnovu podataka Izveštaja o proceni transparentnosti za 2024. godinu, kada nije objavljeno obrazloženje, primećuje se blago poboljšanje u 2025. godini, iako je nivo ispunjenosti i dalje veoma nizak.</w:t>
      </w:r>
    </w:p>
    <w:p w14:paraId="1E5EB4B0" w14:textId="24452CF5" w:rsidR="004B42EC" w:rsidRPr="00026ECD" w:rsidRDefault="004B42EC"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Generalno, procenjuje se da bi opštine trebalo da povećaju svoju posvećenost potpunom ispunjavanju indikatora javnih konsultacija, počevši od planiranja konsultacija, javnih obaveštenja, obrazloženja i nacrta predloga, jer ovi dokumenti predstavljaju preduslov za efikasne i transparentne konsultacije. Nedostatak obrazloženja, posebno, negativno utiče na kvalitet procesa javnih konsultacija i razumevanje strateških dokumenata od strane građana.</w:t>
      </w:r>
    </w:p>
    <w:p w14:paraId="3B63FDB8" w14:textId="32468D71" w:rsidR="00FD0652" w:rsidRPr="00026ECD" w:rsidRDefault="004B42EC"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nastavku je tabela koja prikazuje broj opština koje su objavile nacrte akata/predloge za javne konsultacije i obrazloženja.</w:t>
      </w:r>
    </w:p>
    <w:p w14:paraId="347741EC" w14:textId="0CDA7C4A" w:rsidR="000E478E" w:rsidRPr="00026ECD" w:rsidRDefault="00FD0652" w:rsidP="004B42E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 xml:space="preserve">   </w:t>
      </w:r>
    </w:p>
    <w:p w14:paraId="63AAA9D2" w14:textId="025E360D" w:rsidR="00322A5F" w:rsidRPr="00026ECD" w:rsidRDefault="00C6232D" w:rsidP="00173A2F">
      <w:pPr>
        <w:spacing w:after="240" w:line="276" w:lineRule="auto"/>
        <w:rPr>
          <w:rFonts w:asciiTheme="majorHAnsi" w:hAnsiTheme="majorHAnsi" w:cstheme="majorHAnsi"/>
          <w:color w:val="C00000"/>
          <w:lang w:val="sr-Latn-RS"/>
        </w:rPr>
      </w:pPr>
      <w:r w:rsidRPr="00026ECD">
        <w:rPr>
          <w:rFonts w:asciiTheme="majorHAnsi" w:hAnsiTheme="majorHAnsi" w:cstheme="majorHAnsi"/>
          <w:noProof/>
          <w:lang w:eastAsia="sq-AL"/>
        </w:rPr>
        <w:drawing>
          <wp:inline distT="0" distB="0" distL="0" distR="0" wp14:anchorId="32DE30B4" wp14:editId="65A760FF">
            <wp:extent cx="6112305" cy="2433320"/>
            <wp:effectExtent l="0" t="0" r="3175" b="5080"/>
            <wp:docPr id="147" name="Chart 1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584A14-1CE6-43C0-A7E0-7EBECDAF0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41BC86" w14:textId="410425C4" w:rsidR="009F64FE" w:rsidRPr="00026ECD" w:rsidRDefault="00D23469" w:rsidP="00691961">
      <w:pPr>
        <w:autoSpaceDE w:val="0"/>
        <w:autoSpaceDN w:val="0"/>
        <w:adjustRightInd w:val="0"/>
        <w:spacing w:after="240" w:line="276" w:lineRule="auto"/>
        <w:jc w:val="center"/>
        <w:rPr>
          <w:rFonts w:asciiTheme="majorHAnsi" w:hAnsiTheme="majorHAnsi" w:cstheme="majorHAnsi"/>
          <w:sz w:val="24"/>
          <w:lang w:val="sr-Latn-RS"/>
        </w:rPr>
      </w:pPr>
      <w:r>
        <w:rPr>
          <w:rFonts w:asciiTheme="majorHAnsi" w:hAnsiTheme="majorHAnsi" w:cstheme="majorHAnsi"/>
          <w:i/>
          <w:sz w:val="14"/>
          <w:szCs w:val="16"/>
          <w:lang w:val="sr-Latn-RS"/>
        </w:rPr>
        <w:t xml:space="preserve">Sl. </w:t>
      </w:r>
      <w:r w:rsidR="00333275" w:rsidRPr="00026ECD">
        <w:rPr>
          <w:rFonts w:asciiTheme="majorHAnsi" w:hAnsiTheme="majorHAnsi" w:cstheme="majorHAnsi"/>
          <w:i/>
          <w:sz w:val="14"/>
          <w:szCs w:val="16"/>
          <w:lang w:val="sr-Latn-RS"/>
        </w:rPr>
        <w:t>3</w:t>
      </w:r>
      <w:r w:rsidR="006C1F9D" w:rsidRPr="00026ECD">
        <w:rPr>
          <w:rFonts w:asciiTheme="majorHAnsi" w:hAnsiTheme="majorHAnsi" w:cstheme="majorHAnsi"/>
          <w:i/>
          <w:sz w:val="14"/>
          <w:szCs w:val="16"/>
          <w:lang w:val="sr-Latn-RS"/>
        </w:rPr>
        <w:t>5</w:t>
      </w:r>
      <w:r w:rsidR="00E800E7" w:rsidRPr="00026ECD">
        <w:rPr>
          <w:rFonts w:asciiTheme="majorHAnsi" w:hAnsiTheme="majorHAnsi" w:cstheme="majorHAnsi"/>
          <w:i/>
          <w:sz w:val="14"/>
          <w:szCs w:val="16"/>
          <w:lang w:val="sr-Latn-RS"/>
        </w:rPr>
        <w:t>.</w:t>
      </w:r>
      <w:r w:rsidR="001756C4" w:rsidRPr="00026ECD">
        <w:rPr>
          <w:rFonts w:asciiTheme="majorHAnsi" w:hAnsiTheme="majorHAnsi" w:cstheme="majorHAnsi"/>
          <w:i/>
          <w:sz w:val="14"/>
          <w:szCs w:val="16"/>
          <w:lang w:val="sr-Latn-RS"/>
        </w:rPr>
        <w:t xml:space="preserve">   Objavljivanje nacrta predloga za javne konsultacije       </w:t>
      </w:r>
      <w:r w:rsidR="00E800E7" w:rsidRPr="00026ECD">
        <w:rPr>
          <w:rFonts w:asciiTheme="majorHAnsi" w:hAnsiTheme="majorHAnsi" w:cstheme="majorHAnsi"/>
          <w:i/>
          <w:sz w:val="14"/>
          <w:szCs w:val="16"/>
          <w:lang w:val="sr-Latn-RS"/>
        </w:rPr>
        <w:t xml:space="preserve"> </w:t>
      </w:r>
    </w:p>
    <w:p w14:paraId="4F76CEFC" w14:textId="77777777" w:rsidR="00832088" w:rsidRPr="00026ECD" w:rsidRDefault="00832088" w:rsidP="00173A2F">
      <w:pPr>
        <w:pStyle w:val="Style2"/>
        <w:spacing w:line="276" w:lineRule="auto"/>
        <w:rPr>
          <w:rFonts w:asciiTheme="majorHAnsi" w:hAnsiTheme="majorHAnsi" w:cstheme="majorHAnsi"/>
          <w:lang w:val="sr-Latn-RS"/>
        </w:rPr>
      </w:pPr>
      <w:bookmarkStart w:id="93" w:name="_Toc130455711"/>
    </w:p>
    <w:p w14:paraId="4F664964" w14:textId="317AB95B" w:rsidR="00832088" w:rsidRPr="00026ECD" w:rsidRDefault="00191323" w:rsidP="00691961">
      <w:pPr>
        <w:pStyle w:val="Style3"/>
        <w:rPr>
          <w:lang w:val="sr-Latn-RS"/>
        </w:rPr>
      </w:pPr>
      <w:bookmarkStart w:id="94" w:name="_Toc230183763"/>
      <w:r w:rsidRPr="00026ECD">
        <w:rPr>
          <w:lang w:val="sr-Latn-RS"/>
        </w:rPr>
        <w:t>Objavljivanje izveštaja za javne konsultacije</w:t>
      </w:r>
      <w:bookmarkEnd w:id="94"/>
      <w:r w:rsidRPr="00026ECD">
        <w:rPr>
          <w:lang w:val="sr-Latn-RS"/>
        </w:rPr>
        <w:t xml:space="preserve">                 </w:t>
      </w:r>
    </w:p>
    <w:p w14:paraId="727A6F9B" w14:textId="77777777" w:rsidR="00191323" w:rsidRPr="00026ECD" w:rsidRDefault="00191323" w:rsidP="00191323">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Prema Administrativnom uputstvu br. 04/2023 o otvorenoj administraciji u opštinama, službenik zadužen za izradu nacrta predloga, tokom javnih konsultacija, prikuplja komentare i priprema izveštaj o rezultatima javnih konsultacija. Opština takođe obezbeđuje davanje odgovora u vezi sa statusom predloga primljenih tokom javnih konsultacija, putem posebnog izveštaja, koji se objavljuje na zvaničnoj veb stranici opštine i na Vladinoj platformi za javne konsultacije.</w:t>
      </w:r>
    </w:p>
    <w:p w14:paraId="5B63581D" w14:textId="5E1892FB" w:rsidR="00191323" w:rsidRPr="00026ECD" w:rsidRDefault="00191323" w:rsidP="00191323">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roku od pet (5) kalendarskih dana nakon završetka izveštaja od strane radne grupe za javnu raspravu, izveštaj se šalje službeniku zaduženom za javne konsultacije, koji je dužan da obezbedi njegovo objavljivanje na zvaničnoj veb stranici opštine i na Vladinoj platformi za javne konsultacije.</w:t>
      </w:r>
    </w:p>
    <w:p w14:paraId="4B240C87" w14:textId="419CE4E0" w:rsidR="00191323" w:rsidRPr="00026ECD" w:rsidRDefault="00191323" w:rsidP="00191323">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Tokom 2025. godine, ukupno 64 izveštaja o javnim konsultacijama objavilo je 18 opština, dok 20 opština nije objavilo nijedan izveštaj o javnim konsultacijama. U poređenju sa 2024. godinom, u 2025. godini došlo je do smanjenja kako broja opština koje objavljuju izveštaje o javnim konsultacijama (sa 20 na 18 opština), tako i ukupnog broja objavljenih izveštaja (sa 119 na 64). Ovo ukazuje na smanjenje nivoa ispunjenja obaveza transparentnosti u procesu javnih konsultacija.</w:t>
      </w:r>
    </w:p>
    <w:p w14:paraId="7209209A" w14:textId="78828107" w:rsidR="00191323" w:rsidRPr="00026ECD" w:rsidRDefault="00191323" w:rsidP="00191323">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 xml:space="preserve">Što se tiče </w:t>
      </w:r>
      <w:r w:rsidRPr="00026ECD">
        <w:rPr>
          <w:rFonts w:asciiTheme="majorHAnsi" w:eastAsia="Times New Roman" w:hAnsiTheme="majorHAnsi" w:cstheme="majorHAnsi"/>
          <w:b/>
          <w:bCs/>
          <w:lang w:val="sr-Latn-RS" w:eastAsia="en-GB"/>
        </w:rPr>
        <w:t>Godišnjeg izveštaja o javnim konsultacijama</w:t>
      </w:r>
      <w:r w:rsidRPr="00026ECD">
        <w:rPr>
          <w:rFonts w:asciiTheme="majorHAnsi" w:eastAsia="Times New Roman" w:hAnsiTheme="majorHAnsi" w:cstheme="majorHAnsi"/>
          <w:lang w:val="sr-Latn-RS" w:eastAsia="en-GB"/>
        </w:rPr>
        <w:t xml:space="preserve"> za period januar-decembar 2025. godine, 18 opština ga je objavilo, dok 20 opština nije. Na osnovu podataka Izveštaja o proceni transparentnosti za 2024. godinu, 15 opština je objavilo godišnji izveštaj o javnim konsultacijama, dok ga 23 opštine nisu objavile. Ovaj indikator pokazuje blago povećanje u 2025. godini, sa 3 opštine više koje objavljuju godišnje izveštaje o javnim konsultacijama u poređenju sa 2024. godinom, što odražava ograničeno poboljšanje u ovoj oblasti transparentnosti.</w:t>
      </w:r>
    </w:p>
    <w:p w14:paraId="41A9D4EC" w14:textId="6334B7F8" w:rsidR="00191323" w:rsidRPr="00026ECD" w:rsidRDefault="00191323" w:rsidP="00191323">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sledećoj tabeli je prikazan broj opština koje su objavile izveštaje o javnim konsultacijama i godišnje izveštaje o javnim konsultacijama.</w:t>
      </w:r>
    </w:p>
    <w:p w14:paraId="108AE74A" w14:textId="77777777" w:rsidR="00191323" w:rsidRPr="00026ECD" w:rsidRDefault="00191323" w:rsidP="00173A2F">
      <w:pPr>
        <w:spacing w:before="100" w:beforeAutospacing="1" w:after="100" w:afterAutospacing="1" w:line="276" w:lineRule="auto"/>
        <w:rPr>
          <w:rFonts w:asciiTheme="majorHAnsi" w:eastAsia="Times New Roman" w:hAnsiTheme="majorHAnsi" w:cstheme="majorHAnsi"/>
          <w:lang w:val="sr-Latn-RS" w:eastAsia="en-GB"/>
        </w:rPr>
      </w:pPr>
    </w:p>
    <w:bookmarkEnd w:id="93"/>
    <w:p w14:paraId="1E6FB639" w14:textId="5B9ED406" w:rsidR="00916677" w:rsidRPr="00026ECD" w:rsidRDefault="00916677" w:rsidP="00173A2F">
      <w:pPr>
        <w:spacing w:after="240" w:line="276" w:lineRule="auto"/>
        <w:rPr>
          <w:rFonts w:asciiTheme="majorHAnsi" w:hAnsiTheme="majorHAnsi" w:cstheme="majorHAnsi"/>
          <w:i/>
          <w:sz w:val="16"/>
          <w:szCs w:val="16"/>
          <w:lang w:val="sr-Latn-RS"/>
        </w:rPr>
      </w:pPr>
      <w:r w:rsidRPr="00026ECD">
        <w:rPr>
          <w:rFonts w:asciiTheme="majorHAnsi" w:hAnsiTheme="majorHAnsi" w:cstheme="majorHAnsi"/>
          <w:b/>
          <w:bCs/>
          <w:noProof/>
          <w:lang w:eastAsia="sq-AL"/>
        </w:rPr>
        <w:drawing>
          <wp:inline distT="0" distB="0" distL="0" distR="0" wp14:anchorId="5BDE2382" wp14:editId="0B906ABE">
            <wp:extent cx="6062345" cy="1828800"/>
            <wp:effectExtent l="0" t="0" r="14605" b="0"/>
            <wp:docPr id="149" name="Chart 1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486D36-8981-4FF5-8D00-591C584E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7C699F" w14:textId="0F5E6088" w:rsidR="00380BBA" w:rsidRPr="00026ECD" w:rsidRDefault="00D23469" w:rsidP="009D6147">
      <w:pPr>
        <w:spacing w:after="240" w:line="276" w:lineRule="auto"/>
        <w:jc w:val="center"/>
        <w:rPr>
          <w:rFonts w:asciiTheme="majorHAnsi" w:hAnsiTheme="majorHAnsi" w:cstheme="majorHAnsi"/>
          <w:i/>
          <w:sz w:val="14"/>
          <w:szCs w:val="14"/>
          <w:lang w:val="sr-Latn-RS"/>
        </w:rPr>
      </w:pPr>
      <w:r>
        <w:rPr>
          <w:rFonts w:asciiTheme="majorHAnsi" w:hAnsiTheme="majorHAnsi" w:cstheme="majorHAnsi"/>
          <w:i/>
          <w:sz w:val="14"/>
          <w:szCs w:val="14"/>
          <w:lang w:val="sr-Latn-RS"/>
        </w:rPr>
        <w:t>Sl</w:t>
      </w:r>
      <w:r w:rsidR="00517ECE" w:rsidRPr="00026ECD">
        <w:rPr>
          <w:rFonts w:asciiTheme="majorHAnsi" w:hAnsiTheme="majorHAnsi" w:cstheme="majorHAnsi"/>
          <w:i/>
          <w:sz w:val="14"/>
          <w:szCs w:val="14"/>
          <w:lang w:val="sr-Latn-RS"/>
        </w:rPr>
        <w:t xml:space="preserve">. </w:t>
      </w:r>
      <w:r w:rsidR="00F2395A" w:rsidRPr="00026ECD">
        <w:rPr>
          <w:rFonts w:asciiTheme="majorHAnsi" w:hAnsiTheme="majorHAnsi" w:cstheme="majorHAnsi"/>
          <w:i/>
          <w:sz w:val="14"/>
          <w:szCs w:val="14"/>
          <w:lang w:val="sr-Latn-RS"/>
        </w:rPr>
        <w:t>36</w:t>
      </w:r>
      <w:r w:rsidR="00360B20" w:rsidRPr="00026ECD">
        <w:rPr>
          <w:rFonts w:asciiTheme="majorHAnsi" w:hAnsiTheme="majorHAnsi" w:cstheme="majorHAnsi"/>
          <w:i/>
          <w:sz w:val="14"/>
          <w:szCs w:val="14"/>
          <w:lang w:val="sr-Latn-RS"/>
        </w:rPr>
        <w:t xml:space="preserve"> </w:t>
      </w:r>
      <w:r w:rsidR="00732A9C" w:rsidRPr="00026ECD">
        <w:rPr>
          <w:rFonts w:asciiTheme="majorHAnsi" w:hAnsiTheme="majorHAnsi" w:cstheme="majorHAnsi"/>
          <w:i/>
          <w:sz w:val="14"/>
          <w:szCs w:val="14"/>
          <w:lang w:val="sr-Latn-RS"/>
        </w:rPr>
        <w:t xml:space="preserve"> Broj izveštaja za javne konsultacije                </w:t>
      </w:r>
    </w:p>
    <w:p w14:paraId="013C2C9D" w14:textId="2B9521BF" w:rsidR="0011684F" w:rsidRPr="00026ECD" w:rsidRDefault="0011684F" w:rsidP="00173A2F">
      <w:pPr>
        <w:spacing w:after="240" w:line="276" w:lineRule="auto"/>
        <w:rPr>
          <w:rFonts w:asciiTheme="majorHAnsi" w:hAnsiTheme="majorHAnsi" w:cstheme="majorHAnsi"/>
          <w:i/>
          <w:sz w:val="16"/>
          <w:szCs w:val="16"/>
          <w:lang w:val="sr-Latn-RS"/>
        </w:rPr>
      </w:pPr>
      <w:bookmarkStart w:id="95" w:name="_GoBack"/>
      <w:bookmarkEnd w:id="95"/>
    </w:p>
    <w:p w14:paraId="5AFEF36F" w14:textId="190059B1" w:rsidR="008940A2" w:rsidRPr="00026ECD" w:rsidRDefault="00732A9C" w:rsidP="00173A2F">
      <w:pPr>
        <w:pStyle w:val="Style3"/>
        <w:spacing w:line="276" w:lineRule="auto"/>
        <w:rPr>
          <w:rFonts w:eastAsia="Times New Roman" w:cstheme="majorHAnsi"/>
          <w:lang w:val="sr-Latn-RS" w:eastAsia="en-GB"/>
        </w:rPr>
      </w:pPr>
      <w:bookmarkStart w:id="96" w:name="_Toc230183764"/>
      <w:r w:rsidRPr="00026ECD">
        <w:rPr>
          <w:rFonts w:eastAsia="Times New Roman" w:cstheme="majorHAnsi"/>
          <w:lang w:val="sr-Latn-RS" w:eastAsia="en-GB"/>
        </w:rPr>
        <w:lastRenderedPageBreak/>
        <w:t>Obaveštenje o pružanju komunalnih usluga</w:t>
      </w:r>
      <w:bookmarkEnd w:id="96"/>
      <w:r w:rsidRPr="00026ECD">
        <w:rPr>
          <w:rFonts w:eastAsia="Times New Roman" w:cstheme="majorHAnsi"/>
          <w:lang w:val="sr-Latn-RS" w:eastAsia="en-GB"/>
        </w:rPr>
        <w:t xml:space="preserve">                     </w:t>
      </w:r>
    </w:p>
    <w:p w14:paraId="4AF09CBE" w14:textId="77777777" w:rsidR="00732A9C" w:rsidRPr="00026ECD" w:rsidRDefault="00732A9C" w:rsidP="00173A2F">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kontekstu objavljivanja i obaveštenja o pružanju opštinskih usluga, na osnovu podataka prikupljenih praćenjem zvaničnih veb stranica opština, primećuje se da su sve opštine kreirale odeljke ili linkove posvećene opštinskim uslugama. Ovo ukazuje na osnovni nivo ispunjenja obaveza transparentnosti i informisanja građana.</w:t>
      </w:r>
    </w:p>
    <w:p w14:paraId="0AAFA398" w14:textId="0BB9FE0B" w:rsidR="00732A9C" w:rsidRPr="00026ECD" w:rsidRDefault="00732A9C" w:rsidP="00173A2F">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Međutim, nivo razvijenosti i funkcionalnosti ovih odeljaka varira od opštine do opštine. U nekim opštinama, informacije su predstavljene na strukturiran, detaljan i lako dostupan način za građane, uključujući opis usluga, postupke prijave, potrebnu dokumentaciju i rokove. Dok su u drugim opštinama informacije ograničenije, manje strukturirane i teži pristup korisnicima.</w:t>
      </w:r>
    </w:p>
    <w:p w14:paraId="653FC409" w14:textId="6DFB2142" w:rsidR="00732A9C" w:rsidRPr="00026ECD" w:rsidRDefault="00732A9C" w:rsidP="00173A2F">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Uprkos ovim razlikama u kvalitetu i nivou napretka, utvrđeno je da su informacije o uslugama koje pružaju opštine prisutne na svim zvaničnim veb stranicama. Ovo predstavlja važan korak ka povećanju transparentnosti i poboljšanju komunikacije sa građanima, iako i dalje postoji potreba za daljom standardizacijom i poboljšanjem sadržaja i pristupa ovim informacijama.</w:t>
      </w:r>
    </w:p>
    <w:p w14:paraId="133C5FAD" w14:textId="0E2F27AC" w:rsidR="00A549DB" w:rsidRPr="00026ECD" w:rsidRDefault="00A549DB" w:rsidP="00173A2F">
      <w:pPr>
        <w:spacing w:after="240" w:line="276" w:lineRule="auto"/>
        <w:rPr>
          <w:rFonts w:asciiTheme="majorHAnsi" w:hAnsiTheme="majorHAnsi" w:cstheme="majorHAnsi"/>
          <w:i/>
          <w:sz w:val="16"/>
          <w:szCs w:val="16"/>
          <w:lang w:val="sr-Latn-RS"/>
        </w:rPr>
      </w:pPr>
    </w:p>
    <w:p w14:paraId="3164EFFC" w14:textId="77777777" w:rsidR="00A549DB" w:rsidRPr="00026ECD" w:rsidRDefault="00A549DB" w:rsidP="00173A2F">
      <w:pPr>
        <w:spacing w:after="240" w:line="276" w:lineRule="auto"/>
        <w:rPr>
          <w:rFonts w:asciiTheme="majorHAnsi" w:hAnsiTheme="majorHAnsi" w:cstheme="majorHAnsi"/>
          <w:i/>
          <w:sz w:val="16"/>
          <w:szCs w:val="16"/>
          <w:lang w:val="sr-Latn-RS"/>
        </w:rPr>
      </w:pPr>
    </w:p>
    <w:p w14:paraId="3A05362B" w14:textId="6D268538" w:rsidR="00A475ED" w:rsidRPr="00026ECD" w:rsidRDefault="00732A9C" w:rsidP="00173A2F">
      <w:pPr>
        <w:pStyle w:val="Style2"/>
        <w:spacing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 xml:space="preserve"> </w:t>
      </w:r>
      <w:bookmarkStart w:id="97" w:name="_Toc230183765"/>
      <w:r w:rsidRPr="00026ECD">
        <w:rPr>
          <w:rFonts w:asciiTheme="majorHAnsi" w:eastAsia="Times New Roman" w:hAnsiTheme="majorHAnsi" w:cstheme="majorHAnsi"/>
          <w:lang w:val="sr-Latn-RS" w:eastAsia="en-GB"/>
        </w:rPr>
        <w:t>PREPORUKE</w:t>
      </w:r>
      <w:bookmarkEnd w:id="97"/>
      <w:r w:rsidRPr="00026ECD">
        <w:rPr>
          <w:rFonts w:asciiTheme="majorHAnsi" w:eastAsia="Times New Roman" w:hAnsiTheme="majorHAnsi" w:cstheme="majorHAnsi"/>
          <w:lang w:val="sr-Latn-RS" w:eastAsia="en-GB"/>
        </w:rPr>
        <w:t xml:space="preserve">             </w:t>
      </w:r>
    </w:p>
    <w:p w14:paraId="76D402CC" w14:textId="77777777"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Na osnovu nalaza izveštaja za 2025. godinu, preporučuje se da opštine preduzmu konkretne mere za poboljšanje nivoa transparentnosti i ispunjenje zakonskih obaveza u ovoj oblasti.</w:t>
      </w:r>
    </w:p>
    <w:p w14:paraId="3E7C31CA" w14:textId="77777777"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Pre svega, opštine treba da obezbede potpuno i blagovremeno sprovođenje zakonskih obaveza za objavljivanje dokumenata i aktivnosti, u skladu sa važećim zakonodavstvom, uključujući Zakon o lokalnoj samoupravi, Zakon o pristupu javnim dokumentima, Zakon o upravljanju javnim finansijama, Zakon o javnim nabavkama i Administrativno uputstvo o otvorenoj administraciji.</w:t>
      </w:r>
    </w:p>
    <w:p w14:paraId="7C678E52" w14:textId="3F3C0849" w:rsidR="00732A9C" w:rsidRPr="00026ECD" w:rsidRDefault="00732A9C" w:rsidP="00173A2F">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Radi povećanja institucionalne transparentnosti, neophodno je da opštine redovno i u potpunosti objavljuju sva dokumenta Skupštine opštine i odbora, uključujući pozivnice, dnevne redove, zapisnike, odluke i opštinske akte, eliminišući jaz između odobrenih i objavljenih akata.</w:t>
      </w:r>
    </w:p>
    <w:p w14:paraId="49203B0D" w14:textId="2BC752C1"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Istovremeno, potrebno je značajno poboljšanje finansijske transparentnosti, kroz redovno objavljivanje budžetskih i finansijskih dokumenata, kao što su plan budžeta, Srednjoročni budžetski okvir, periodični i godišnji finansijski izveštaji, izveštaji o reviziji i liste kapitalnih investicija.</w:t>
      </w:r>
    </w:p>
    <w:p w14:paraId="5C011C7C" w14:textId="6C705059"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oblasti javnih nabavki, opštine treba da garantuju potpuno objavljivanje plana nabavki i godišnjeg izveštaja, kao ključnog elementa za obezbeđivanje transparentnog upravljanja javnim sredstvima.</w:t>
      </w:r>
    </w:p>
    <w:p w14:paraId="31AEA347" w14:textId="77777777"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Takođe je neophodno ojačati proces javnih konsultacija, obezbeđivanjem objavljivanja planova konsultacija, obaveštenja, nacrta akata, relevantnih izveštaja i prateće dokumentacije, kako bi se povećalo učešće građana u donošenju odluka.</w:t>
      </w:r>
    </w:p>
    <w:p w14:paraId="13BAB9A8" w14:textId="77777777"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p>
    <w:p w14:paraId="6D042B3A" w14:textId="7D7113DB" w:rsidR="00732A9C" w:rsidRPr="00026ECD" w:rsidRDefault="00732A9C" w:rsidP="00732A9C">
      <w:pPr>
        <w:spacing w:before="100" w:beforeAutospacing="1" w:after="100" w:afterAutospacing="1" w:line="276" w:lineRule="auto"/>
        <w:rPr>
          <w:rFonts w:asciiTheme="majorHAnsi" w:eastAsia="Times New Roman" w:hAnsiTheme="majorHAnsi" w:cstheme="majorHAnsi"/>
          <w:lang w:val="sr-Latn-RS" w:eastAsia="en-GB"/>
        </w:rPr>
      </w:pPr>
      <w:r w:rsidRPr="00026ECD">
        <w:rPr>
          <w:rFonts w:asciiTheme="majorHAnsi" w:eastAsia="Times New Roman" w:hAnsiTheme="majorHAnsi" w:cstheme="majorHAnsi"/>
          <w:lang w:val="sr-Latn-RS" w:eastAsia="en-GB"/>
        </w:rPr>
        <w:t>U pogledu povećanja odgovornosti, opštine treba redovno da objavljuju odluke, planove i izveštaje o radu gradonačelnika, kao i obaveštenja o sastancima sa građanima.</w:t>
      </w:r>
    </w:p>
    <w:p w14:paraId="052B1C00" w14:textId="77777777" w:rsidR="00C74259" w:rsidRPr="00026ECD" w:rsidRDefault="00C74259" w:rsidP="00C74259">
      <w:pPr>
        <w:spacing w:before="100" w:beforeAutospacing="1" w:after="100" w:afterAutospacing="1"/>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Takođe je neophodno da sve opštine objavljuju godišnji izveštaj o pristupu javnim dokumentima, u skladu sa zakonskim zahtevima, rešavajući pad ovog indikatora tokom 2025. godine.</w:t>
      </w:r>
    </w:p>
    <w:p w14:paraId="61DDDFA0" w14:textId="77777777" w:rsidR="00C74259" w:rsidRPr="00026ECD" w:rsidRDefault="00C74259" w:rsidP="00C74259">
      <w:pPr>
        <w:spacing w:before="100" w:beforeAutospacing="1" w:after="100" w:afterAutospacing="1"/>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Da bi se osigurala održivost transparentnosti, preporučuje se uspostavljanje internih mehanizama za kontrolu objavljivanja dokumenata, standardizaciju formata i definisanje jasnih odgovornosti službenika zaduženih za transparentnost.</w:t>
      </w:r>
    </w:p>
    <w:p w14:paraId="7E75BC8F" w14:textId="06408964" w:rsidR="00C74259" w:rsidRPr="00026ECD" w:rsidRDefault="00C74259" w:rsidP="005069AA">
      <w:pPr>
        <w:spacing w:before="100" w:beforeAutospacing="1" w:after="100" w:afterAutospacing="1"/>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Ukupno gledano, većina indikatora transparentnosti je smanjena tokom 2025. godine u poređenju sa 2024. godinom. Indikatori sa smanjenjima su:</w:t>
      </w:r>
    </w:p>
    <w:p w14:paraId="191D7EFF" w14:textId="7C5C765D"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Pozivi Odboru za politiku i finansije</w:t>
      </w:r>
      <w:r w:rsidR="005069AA" w:rsidRPr="00026ECD">
        <w:rPr>
          <w:rFonts w:asciiTheme="majorHAnsi" w:eastAsia="Times New Roman" w:hAnsiTheme="majorHAnsi" w:cstheme="majorHAnsi"/>
          <w:lang w:val="sr-Latn-RS" w:eastAsia="sq-AL"/>
        </w:rPr>
        <w:t xml:space="preserve"> </w:t>
      </w:r>
    </w:p>
    <w:p w14:paraId="1B9DC9F7" w14:textId="19752B31"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Pozivi Odboru  za zajednice </w:t>
      </w:r>
    </w:p>
    <w:p w14:paraId="0F59CD98" w14:textId="7CFFA27D"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Zapisnik sa sednica Skupštine opštine   </w:t>
      </w:r>
    </w:p>
    <w:p w14:paraId="680B41CC" w14:textId="77777777" w:rsidR="00C74259" w:rsidRPr="00026ECD" w:rsidRDefault="00C74259" w:rsidP="00C74259">
      <w:pPr>
        <w:pStyle w:val="ListParagraph"/>
        <w:numPr>
          <w:ilvl w:val="0"/>
          <w:numId w:val="46"/>
        </w:numPr>
        <w:spacing w:before="100" w:beforeAutospacing="1" w:after="100" w:afterAutospacing="1" w:line="240" w:lineRule="auto"/>
        <w:jc w:val="left"/>
        <w:rPr>
          <w:rFonts w:ascii="Times New Roman" w:eastAsia="Times New Roman" w:hAnsi="Times New Roman" w:cs="Times New Roman"/>
          <w:lang w:val="sr-Latn-RS" w:eastAsia="sq-AL"/>
        </w:rPr>
      </w:pPr>
      <w:r w:rsidRPr="00026ECD">
        <w:rPr>
          <w:rFonts w:ascii="Times New Roman" w:eastAsia="Times New Roman" w:hAnsi="Times New Roman" w:cs="Times New Roman"/>
          <w:lang w:val="sr-Latn-RS" w:eastAsia="sq-AL"/>
        </w:rPr>
        <w:t>Zapisnik sa sednica Odbora za politiku i finansije</w:t>
      </w:r>
    </w:p>
    <w:p w14:paraId="07976A20" w14:textId="2CE96056"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imes New Roman" w:eastAsia="Times New Roman" w:hAnsi="Times New Roman" w:cs="Times New Roman"/>
          <w:lang w:val="sr-Latn-RS" w:eastAsia="sq-AL"/>
        </w:rPr>
        <w:t>Zapisnik sa sednica Odbora</w:t>
      </w:r>
      <w:r w:rsidRPr="00026ECD">
        <w:rPr>
          <w:rFonts w:asciiTheme="majorHAnsi" w:eastAsia="Times New Roman" w:hAnsiTheme="majorHAnsi" w:cstheme="majorHAnsi"/>
          <w:lang w:val="sr-Latn-RS" w:eastAsia="sq-AL"/>
        </w:rPr>
        <w:t xml:space="preserve"> za zajdnice </w:t>
      </w:r>
      <w:r w:rsidR="005069AA" w:rsidRPr="00026ECD">
        <w:rPr>
          <w:rFonts w:asciiTheme="majorHAnsi" w:eastAsia="Times New Roman" w:hAnsiTheme="majorHAnsi" w:cstheme="majorHAnsi"/>
          <w:lang w:val="sr-Latn-RS" w:eastAsia="sq-AL"/>
        </w:rPr>
        <w:t xml:space="preserve"> </w:t>
      </w:r>
    </w:p>
    <w:p w14:paraId="56CEFFAE" w14:textId="7C60409F"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Onlajn prenos sastanaka  </w:t>
      </w:r>
    </w:p>
    <w:p w14:paraId="5E338D91" w14:textId="3A1051D4"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Plan rada Skupštine opštine </w:t>
      </w:r>
    </w:p>
    <w:p w14:paraId="7ACADCA6" w14:textId="5944A8E5"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Godišnji plan gradonačelnika  </w:t>
      </w:r>
    </w:p>
    <w:p w14:paraId="537FB880" w14:textId="5B78A5D7"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Izveštaj gradonačelnika  </w:t>
      </w:r>
    </w:p>
    <w:p w14:paraId="65D5EB6D" w14:textId="6077DD14"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 Izveštaj o pristupu javnim dokumentima  </w:t>
      </w:r>
    </w:p>
    <w:p w14:paraId="5AB5A823" w14:textId="3CE4DEA9" w:rsidR="005069AA" w:rsidRPr="00026ECD" w:rsidRDefault="005069AA"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Plan</w:t>
      </w:r>
      <w:r w:rsidR="00C74259" w:rsidRPr="00026ECD">
        <w:rPr>
          <w:rFonts w:asciiTheme="majorHAnsi" w:eastAsia="Times New Roman" w:hAnsiTheme="majorHAnsi" w:cstheme="majorHAnsi"/>
          <w:lang w:val="sr-Latn-RS" w:eastAsia="sq-AL"/>
        </w:rPr>
        <w:t xml:space="preserve"> </w:t>
      </w:r>
      <w:r w:rsidRPr="00026ECD">
        <w:rPr>
          <w:rFonts w:asciiTheme="majorHAnsi" w:eastAsia="Times New Roman" w:hAnsiTheme="majorHAnsi" w:cstheme="majorHAnsi"/>
          <w:lang w:val="sr-Latn-RS" w:eastAsia="sq-AL"/>
        </w:rPr>
        <w:t xml:space="preserve"> </w:t>
      </w:r>
      <w:r w:rsidR="00C74259" w:rsidRPr="00026ECD">
        <w:rPr>
          <w:rFonts w:asciiTheme="majorHAnsi" w:eastAsia="Times New Roman" w:hAnsiTheme="majorHAnsi" w:cstheme="majorHAnsi"/>
          <w:lang w:val="sr-Latn-RS" w:eastAsia="sq-AL"/>
        </w:rPr>
        <w:t>budžeta</w:t>
      </w:r>
      <w:r w:rsidRPr="00026ECD">
        <w:rPr>
          <w:rFonts w:asciiTheme="majorHAnsi" w:eastAsia="Times New Roman" w:hAnsiTheme="majorHAnsi" w:cstheme="majorHAnsi"/>
          <w:lang w:val="sr-Latn-RS" w:eastAsia="sq-AL"/>
        </w:rPr>
        <w:t xml:space="preserve"> </w:t>
      </w:r>
    </w:p>
    <w:p w14:paraId="06002401" w14:textId="0CA3F401"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Srednjoročni budžetski okvir (SBO)  </w:t>
      </w:r>
    </w:p>
    <w:p w14:paraId="4E71F34F" w14:textId="35984145"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Periodični finansijski izveštaji  </w:t>
      </w:r>
    </w:p>
    <w:p w14:paraId="225D37B4" w14:textId="2C7F346B" w:rsidR="005069AA" w:rsidRPr="00026ECD" w:rsidRDefault="00C74259" w:rsidP="00C74259">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Godišnji finansijski izveštaj </w:t>
      </w:r>
    </w:p>
    <w:p w14:paraId="6D2EB799" w14:textId="7DDA7196"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Kapitalna ulaganja  </w:t>
      </w:r>
      <w:r w:rsidR="005069AA" w:rsidRPr="00026ECD">
        <w:rPr>
          <w:rFonts w:asciiTheme="majorHAnsi" w:eastAsia="Times New Roman" w:hAnsiTheme="majorHAnsi" w:cstheme="majorHAnsi"/>
          <w:lang w:val="sr-Latn-RS" w:eastAsia="sq-AL"/>
        </w:rPr>
        <w:t xml:space="preserve"> </w:t>
      </w:r>
    </w:p>
    <w:p w14:paraId="3446662A" w14:textId="0DC6D73E" w:rsidR="005069AA" w:rsidRPr="00026ECD" w:rsidRDefault="00C74259"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Plan javnih nabavki </w:t>
      </w:r>
      <w:r w:rsidR="005069AA" w:rsidRPr="00026ECD">
        <w:rPr>
          <w:rFonts w:asciiTheme="majorHAnsi" w:eastAsia="Times New Roman" w:hAnsiTheme="majorHAnsi" w:cstheme="majorHAnsi"/>
          <w:lang w:val="sr-Latn-RS" w:eastAsia="sq-AL"/>
        </w:rPr>
        <w:t xml:space="preserve"> </w:t>
      </w:r>
    </w:p>
    <w:p w14:paraId="0BCA1D39" w14:textId="6CBB80EB" w:rsidR="005069AA" w:rsidRPr="00026ECD" w:rsidRDefault="00294E9B" w:rsidP="005069AA">
      <w:pPr>
        <w:numPr>
          <w:ilvl w:val="0"/>
          <w:numId w:val="46"/>
        </w:numPr>
        <w:spacing w:before="100" w:beforeAutospacing="1" w:after="100" w:afterAutospacing="1" w:line="240" w:lineRule="auto"/>
        <w:jc w:val="left"/>
        <w:rPr>
          <w:rFonts w:asciiTheme="majorHAnsi" w:eastAsia="Times New Roman" w:hAnsiTheme="majorHAnsi" w:cstheme="majorHAnsi"/>
          <w:lang w:val="sr-Latn-RS" w:eastAsia="sq-AL"/>
        </w:rPr>
      </w:pPr>
      <w:r w:rsidRPr="00026ECD">
        <w:rPr>
          <w:rFonts w:asciiTheme="majorHAnsi" w:eastAsia="Times New Roman" w:hAnsiTheme="majorHAnsi" w:cstheme="majorHAnsi"/>
          <w:lang w:val="sr-Latn-RS" w:eastAsia="sq-AL"/>
        </w:rPr>
        <w:t xml:space="preserve"> Izveštaj o javnim nabavkama </w:t>
      </w:r>
    </w:p>
    <w:p w14:paraId="5A1CA12D" w14:textId="77777777" w:rsidR="00294E9B" w:rsidRPr="00026ECD" w:rsidRDefault="00294E9B" w:rsidP="00294E9B">
      <w:pPr>
        <w:numPr>
          <w:ilvl w:val="0"/>
          <w:numId w:val="46"/>
        </w:numPr>
        <w:spacing w:before="100" w:beforeAutospacing="1" w:after="100" w:afterAutospacing="1" w:line="240" w:lineRule="auto"/>
        <w:jc w:val="left"/>
        <w:rPr>
          <w:rFonts w:ascii="Times New Roman" w:eastAsia="Times New Roman" w:hAnsi="Times New Roman" w:cs="Times New Roman"/>
          <w:lang w:val="sr-Latn-RS" w:eastAsia="sq-AL"/>
        </w:rPr>
      </w:pPr>
      <w:r w:rsidRPr="00026ECD">
        <w:rPr>
          <w:rFonts w:asciiTheme="majorHAnsi" w:eastAsia="Times New Roman" w:hAnsiTheme="majorHAnsi" w:cstheme="majorHAnsi"/>
          <w:lang w:val="sr-Latn-RS" w:eastAsia="sq-AL"/>
        </w:rPr>
        <w:t xml:space="preserve"> Planiranje javnih konsultacija</w:t>
      </w:r>
    </w:p>
    <w:p w14:paraId="3B982578" w14:textId="03F492BE" w:rsidR="00C74259" w:rsidRPr="00026ECD" w:rsidRDefault="00C74259" w:rsidP="00294E9B">
      <w:pPr>
        <w:numPr>
          <w:ilvl w:val="0"/>
          <w:numId w:val="46"/>
        </w:numPr>
        <w:spacing w:before="100" w:beforeAutospacing="1" w:after="100" w:afterAutospacing="1" w:line="240" w:lineRule="auto"/>
        <w:jc w:val="left"/>
        <w:rPr>
          <w:rFonts w:ascii="Times New Roman" w:eastAsia="Times New Roman" w:hAnsi="Times New Roman" w:cs="Times New Roman"/>
          <w:sz w:val="24"/>
          <w:szCs w:val="24"/>
          <w:lang w:val="sr-Latn-RS" w:eastAsia="sq-AL"/>
        </w:rPr>
      </w:pPr>
      <w:r w:rsidRPr="00026ECD">
        <w:rPr>
          <w:rFonts w:ascii="Times New Roman" w:eastAsia="Times New Roman" w:hAnsi="Times New Roman" w:cs="Times New Roman"/>
          <w:lang w:val="sr-Latn-RS" w:eastAsia="sq-AL"/>
        </w:rPr>
        <w:t xml:space="preserve"> Izveštaj o javnim konsultacijama</w:t>
      </w:r>
    </w:p>
    <w:p w14:paraId="56009CDE" w14:textId="66F1EDBD" w:rsidR="00C74259" w:rsidRPr="00026ECD" w:rsidRDefault="00294E9B" w:rsidP="00294E9B">
      <w:pPr>
        <w:spacing w:before="100" w:beforeAutospacing="1" w:after="100" w:afterAutospacing="1" w:line="240" w:lineRule="auto"/>
        <w:jc w:val="left"/>
        <w:rPr>
          <w:rFonts w:ascii="Times New Roman" w:eastAsia="Times New Roman" w:hAnsi="Times New Roman" w:cs="Times New Roman"/>
          <w:lang w:val="sr-Latn-RS" w:eastAsia="sq-AL"/>
        </w:rPr>
      </w:pPr>
      <w:r w:rsidRPr="00026ECD">
        <w:rPr>
          <w:rFonts w:ascii="Times New Roman" w:eastAsia="Times New Roman" w:hAnsi="Times New Roman" w:cs="Times New Roman"/>
          <w:lang w:val="sr-Latn-RS" w:eastAsia="sq-AL"/>
        </w:rPr>
        <w:t>Zaključno, uprkos poboljšanjima u digitalnoj infrastrukturi, uključujući pokretanje novih opštinskih veb stranica, podaci za 2025. godinu pokazuju da je nivo transparentnosti i dalje nedovoljan. Ovo zahteva veću institucionalnu posvećenost i rigorozniju primenu važećih zakona, kako bi se garantovao pristup građana javnim informacijama i povećala odgovornost na lokalnom nivou.</w:t>
      </w:r>
    </w:p>
    <w:p w14:paraId="0AA93F4C" w14:textId="4DE88B5B" w:rsidR="0011684F" w:rsidRPr="00026ECD" w:rsidRDefault="0011684F" w:rsidP="00173A2F">
      <w:pPr>
        <w:spacing w:after="240" w:line="276" w:lineRule="auto"/>
        <w:rPr>
          <w:rFonts w:asciiTheme="majorHAnsi" w:hAnsiTheme="majorHAnsi" w:cstheme="majorHAnsi"/>
          <w:i/>
          <w:lang w:val="sr-Latn-RS"/>
        </w:rPr>
      </w:pPr>
    </w:p>
    <w:p w14:paraId="143E45AE" w14:textId="2363C761" w:rsidR="0011684F" w:rsidRPr="009D6147" w:rsidRDefault="0011684F" w:rsidP="00173A2F">
      <w:pPr>
        <w:spacing w:before="100" w:beforeAutospacing="1" w:after="100" w:afterAutospacing="1" w:line="276" w:lineRule="auto"/>
        <w:rPr>
          <w:rFonts w:asciiTheme="majorHAnsi" w:eastAsia="Times New Roman" w:hAnsiTheme="majorHAnsi" w:cstheme="majorHAnsi"/>
          <w:lang w:eastAsia="en-GB"/>
        </w:rPr>
      </w:pPr>
    </w:p>
    <w:p w14:paraId="6D36F5C0" w14:textId="5E4C3ECD" w:rsidR="0011684F" w:rsidRPr="009D6147" w:rsidRDefault="0011684F" w:rsidP="00173A2F">
      <w:pPr>
        <w:spacing w:after="240" w:line="276" w:lineRule="auto"/>
        <w:rPr>
          <w:rFonts w:asciiTheme="majorHAnsi" w:hAnsiTheme="majorHAnsi" w:cstheme="majorHAnsi"/>
          <w:i/>
        </w:rPr>
      </w:pPr>
    </w:p>
    <w:p w14:paraId="2E121AF0" w14:textId="77777777" w:rsidR="00A475ED" w:rsidRPr="009D6147" w:rsidRDefault="00A475ED" w:rsidP="00173A2F">
      <w:pPr>
        <w:spacing w:after="240" w:line="276" w:lineRule="auto"/>
        <w:rPr>
          <w:rFonts w:asciiTheme="majorHAnsi" w:hAnsiTheme="majorHAnsi" w:cstheme="majorHAnsi"/>
          <w:i/>
        </w:rPr>
      </w:pPr>
    </w:p>
    <w:p w14:paraId="49CF6316" w14:textId="0BCA44F3" w:rsidR="0011684F" w:rsidRPr="009D6147" w:rsidRDefault="0011684F" w:rsidP="00173A2F">
      <w:pPr>
        <w:spacing w:after="240" w:line="276" w:lineRule="auto"/>
        <w:rPr>
          <w:rFonts w:asciiTheme="majorHAnsi" w:hAnsiTheme="majorHAnsi" w:cstheme="majorHAnsi"/>
          <w:i/>
        </w:rPr>
      </w:pPr>
    </w:p>
    <w:p w14:paraId="69C3E78E" w14:textId="10B14761" w:rsidR="0011684F" w:rsidRPr="009D6147" w:rsidRDefault="0011684F" w:rsidP="0011684F">
      <w:pPr>
        <w:spacing w:after="240" w:line="276" w:lineRule="auto"/>
        <w:rPr>
          <w:rFonts w:asciiTheme="majorHAnsi" w:hAnsiTheme="majorHAnsi" w:cstheme="majorHAnsi"/>
          <w:i/>
        </w:rPr>
      </w:pPr>
    </w:p>
    <w:p w14:paraId="7C0C04A3" w14:textId="110F61CF" w:rsidR="0011684F" w:rsidRPr="009D6147" w:rsidRDefault="0011684F" w:rsidP="00A70BC5">
      <w:pPr>
        <w:spacing w:after="240" w:line="276" w:lineRule="auto"/>
        <w:rPr>
          <w:rFonts w:asciiTheme="majorHAnsi" w:hAnsiTheme="majorHAnsi" w:cstheme="majorHAnsi"/>
          <w:i/>
          <w:sz w:val="16"/>
          <w:szCs w:val="16"/>
        </w:rPr>
      </w:pPr>
    </w:p>
    <w:bookmarkEnd w:id="85"/>
    <w:p w14:paraId="0D5DB719" w14:textId="77777777" w:rsidR="00AA12E0" w:rsidRPr="009D6147" w:rsidRDefault="00AA12E0" w:rsidP="00A70BC5">
      <w:pPr>
        <w:pStyle w:val="Style3"/>
        <w:spacing w:line="276" w:lineRule="auto"/>
        <w:rPr>
          <w:rFonts w:cstheme="majorHAnsi"/>
          <w:color w:val="auto"/>
          <w:sz w:val="22"/>
          <w:szCs w:val="22"/>
        </w:rPr>
      </w:pPr>
    </w:p>
    <w:bookmarkEnd w:id="0"/>
    <w:p w14:paraId="5F45F5B9" w14:textId="77777777" w:rsidR="00026342" w:rsidRPr="009D6147" w:rsidRDefault="00026342" w:rsidP="00A70BC5">
      <w:pPr>
        <w:spacing w:after="0" w:line="276" w:lineRule="auto"/>
        <w:rPr>
          <w:rFonts w:asciiTheme="majorHAnsi" w:eastAsia="MS Mincho" w:hAnsiTheme="majorHAnsi" w:cstheme="majorHAnsi"/>
        </w:rPr>
      </w:pPr>
    </w:p>
    <w:p w14:paraId="01D58497" w14:textId="77777777" w:rsidR="00A433A2" w:rsidRPr="009D6147" w:rsidRDefault="00A433A2">
      <w:pPr>
        <w:spacing w:after="0" w:line="276" w:lineRule="auto"/>
        <w:rPr>
          <w:rFonts w:asciiTheme="majorHAnsi" w:eastAsia="MS Mincho" w:hAnsiTheme="majorHAnsi" w:cstheme="majorHAnsi"/>
        </w:rPr>
      </w:pPr>
    </w:p>
    <w:sectPr w:rsidR="00A433A2" w:rsidRPr="009D6147"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0F6D5" w14:textId="77777777" w:rsidR="000E5CD4" w:rsidRDefault="000E5CD4" w:rsidP="00455D29">
      <w:pPr>
        <w:spacing w:after="0" w:line="240" w:lineRule="auto"/>
      </w:pPr>
      <w:r>
        <w:separator/>
      </w:r>
    </w:p>
  </w:endnote>
  <w:endnote w:type="continuationSeparator" w:id="0">
    <w:p w14:paraId="392AADD9" w14:textId="77777777" w:rsidR="000E5CD4" w:rsidRDefault="000E5CD4"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B2109" w14:textId="77777777" w:rsidR="00D92CD3" w:rsidRDefault="00D92CD3">
    <w:pPr>
      <w:pStyle w:val="Footer"/>
      <w:rPr>
        <w:lang w:val="en-US"/>
      </w:rPr>
    </w:pPr>
  </w:p>
  <w:p w14:paraId="17CF38CE" w14:textId="77777777" w:rsidR="00D92CD3" w:rsidRDefault="00D92CD3">
    <w:pPr>
      <w:pStyle w:val="Footer"/>
    </w:pPr>
    <w:r>
      <w:rPr>
        <w:noProof/>
        <w:lang w:eastAsia="sq-AL"/>
      </w:rPr>
      <mc:AlternateContent>
        <mc:Choice Requires="wpg">
          <w:drawing>
            <wp:anchor distT="0" distB="0" distL="114300" distR="114300" simplePos="0" relativeHeight="251661312" behindDoc="0" locked="0" layoutInCell="1" allowOverlap="1" wp14:anchorId="2CDE6013" wp14:editId="6A188CE5">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7864C"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CB30F" w14:textId="77777777" w:rsidR="000E5CD4" w:rsidRDefault="000E5CD4" w:rsidP="00455D29">
      <w:pPr>
        <w:spacing w:after="0" w:line="240" w:lineRule="auto"/>
      </w:pPr>
      <w:r>
        <w:separator/>
      </w:r>
    </w:p>
  </w:footnote>
  <w:footnote w:type="continuationSeparator" w:id="0">
    <w:p w14:paraId="5F0CC3B2" w14:textId="77777777" w:rsidR="000E5CD4" w:rsidRDefault="000E5CD4" w:rsidP="00455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461490"/>
      <w:docPartObj>
        <w:docPartGallery w:val="Page Numbers (Top of Page)"/>
        <w:docPartUnique/>
      </w:docPartObj>
    </w:sdtPr>
    <w:sdtContent>
      <w:p w14:paraId="3D9BE94F" w14:textId="77777777" w:rsidR="00D92CD3" w:rsidRDefault="00D92CD3">
        <w:pPr>
          <w:pStyle w:val="Header"/>
          <w:jc w:val="center"/>
        </w:pPr>
        <w:r>
          <w:rPr>
            <w:noProof/>
            <w:lang w:eastAsia="sq-AL"/>
          </w:rPr>
          <mc:AlternateContent>
            <mc:Choice Requires="wpg">
              <w:drawing>
                <wp:anchor distT="0" distB="0" distL="114300" distR="114300" simplePos="0" relativeHeight="251659264" behindDoc="0" locked="0" layoutInCell="1" allowOverlap="1" wp14:anchorId="207763AC" wp14:editId="1F37705D">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9705A"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14:paraId="21525E3B" w14:textId="77777777" w:rsidR="00D92CD3" w:rsidRDefault="00D92CD3">
        <w:pPr>
          <w:pStyle w:val="Header"/>
          <w:jc w:val="center"/>
        </w:pPr>
      </w:p>
      <w:p w14:paraId="6FF5D1CD" w14:textId="77777777" w:rsidR="00D92CD3" w:rsidRDefault="00D92CD3">
        <w:pPr>
          <w:pStyle w:val="Header"/>
          <w:jc w:val="center"/>
        </w:pPr>
        <w:r>
          <w:fldChar w:fldCharType="begin"/>
        </w:r>
        <w:r>
          <w:instrText xml:space="preserve"> PAGE   \* MERGEFORMAT </w:instrText>
        </w:r>
        <w:r>
          <w:fldChar w:fldCharType="separate"/>
        </w:r>
        <w:r w:rsidR="00D23469">
          <w:rPr>
            <w:noProof/>
          </w:rPr>
          <w:t>41</w:t>
        </w:r>
        <w:r>
          <w:fldChar w:fldCharType="end"/>
        </w:r>
      </w:p>
    </w:sdtContent>
  </w:sdt>
  <w:p w14:paraId="447E938B" w14:textId="77777777" w:rsidR="00D92CD3" w:rsidRDefault="00D92C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77AB3"/>
    <w:multiLevelType w:val="multilevel"/>
    <w:tmpl w:val="D5A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81C0C"/>
    <w:multiLevelType w:val="multilevel"/>
    <w:tmpl w:val="8208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2A3387"/>
    <w:multiLevelType w:val="multilevel"/>
    <w:tmpl w:val="DFAE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F2BF5"/>
    <w:multiLevelType w:val="multilevel"/>
    <w:tmpl w:val="1930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561B9"/>
    <w:multiLevelType w:val="multilevel"/>
    <w:tmpl w:val="6686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EA4270"/>
    <w:multiLevelType w:val="multilevel"/>
    <w:tmpl w:val="58004F7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A0C98"/>
    <w:multiLevelType w:val="multilevel"/>
    <w:tmpl w:val="B4A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624C0"/>
    <w:multiLevelType w:val="multilevel"/>
    <w:tmpl w:val="129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9C1E62"/>
    <w:multiLevelType w:val="multilevel"/>
    <w:tmpl w:val="B006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816429"/>
    <w:multiLevelType w:val="hybridMultilevel"/>
    <w:tmpl w:val="A7AE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291D6D72"/>
    <w:multiLevelType w:val="multilevel"/>
    <w:tmpl w:val="EF4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8508D"/>
    <w:multiLevelType w:val="multilevel"/>
    <w:tmpl w:val="DC5E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43E56"/>
    <w:multiLevelType w:val="multilevel"/>
    <w:tmpl w:val="49B0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49600E"/>
    <w:multiLevelType w:val="multilevel"/>
    <w:tmpl w:val="A132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618D7"/>
    <w:multiLevelType w:val="multilevel"/>
    <w:tmpl w:val="4668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E609C"/>
    <w:multiLevelType w:val="multilevel"/>
    <w:tmpl w:val="2736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F3065E"/>
    <w:multiLevelType w:val="hybridMultilevel"/>
    <w:tmpl w:val="68501ECA"/>
    <w:lvl w:ilvl="0" w:tplc="A0B4C8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C3663"/>
    <w:multiLevelType w:val="multilevel"/>
    <w:tmpl w:val="810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5F3FAB"/>
    <w:multiLevelType w:val="multilevel"/>
    <w:tmpl w:val="7F14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290236"/>
    <w:multiLevelType w:val="multilevel"/>
    <w:tmpl w:val="F3C4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002506"/>
    <w:multiLevelType w:val="multilevel"/>
    <w:tmpl w:val="1AE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AF24CF"/>
    <w:multiLevelType w:val="multilevel"/>
    <w:tmpl w:val="B65A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4B1D37"/>
    <w:multiLevelType w:val="multilevel"/>
    <w:tmpl w:val="201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593797"/>
    <w:multiLevelType w:val="multilevel"/>
    <w:tmpl w:val="A88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645A1E"/>
    <w:multiLevelType w:val="multilevel"/>
    <w:tmpl w:val="DF26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B56715"/>
    <w:multiLevelType w:val="multilevel"/>
    <w:tmpl w:val="CF0A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EE0EB2"/>
    <w:multiLevelType w:val="multilevel"/>
    <w:tmpl w:val="D8B0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F55104"/>
    <w:multiLevelType w:val="hybridMultilevel"/>
    <w:tmpl w:val="70CE2052"/>
    <w:lvl w:ilvl="0" w:tplc="E050D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30F13"/>
    <w:multiLevelType w:val="multilevel"/>
    <w:tmpl w:val="E04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DA3264"/>
    <w:multiLevelType w:val="multilevel"/>
    <w:tmpl w:val="B32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01660A"/>
    <w:multiLevelType w:val="multilevel"/>
    <w:tmpl w:val="A2AE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0C0465"/>
    <w:multiLevelType w:val="multilevel"/>
    <w:tmpl w:val="9A76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2C5768"/>
    <w:multiLevelType w:val="multilevel"/>
    <w:tmpl w:val="D6D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AD723D"/>
    <w:multiLevelType w:val="multilevel"/>
    <w:tmpl w:val="AAC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C63157"/>
    <w:multiLevelType w:val="multilevel"/>
    <w:tmpl w:val="321A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A26893"/>
    <w:multiLevelType w:val="multilevel"/>
    <w:tmpl w:val="1676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3947C2"/>
    <w:multiLevelType w:val="multilevel"/>
    <w:tmpl w:val="8B5816BA"/>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6762DB"/>
    <w:multiLevelType w:val="multilevel"/>
    <w:tmpl w:val="639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541850"/>
    <w:multiLevelType w:val="multilevel"/>
    <w:tmpl w:val="C08C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69427C"/>
    <w:multiLevelType w:val="multilevel"/>
    <w:tmpl w:val="C43A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C326D0"/>
    <w:multiLevelType w:val="multilevel"/>
    <w:tmpl w:val="6076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6B4EE3"/>
    <w:multiLevelType w:val="hybridMultilevel"/>
    <w:tmpl w:val="4D56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8373C2"/>
    <w:multiLevelType w:val="multilevel"/>
    <w:tmpl w:val="55E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EF34EB"/>
    <w:multiLevelType w:val="multilevel"/>
    <w:tmpl w:val="AA52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66101C"/>
    <w:multiLevelType w:val="multilevel"/>
    <w:tmpl w:val="593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0"/>
  </w:num>
  <w:num w:numId="3">
    <w:abstractNumId w:val="48"/>
  </w:num>
  <w:num w:numId="4">
    <w:abstractNumId w:val="22"/>
  </w:num>
  <w:num w:numId="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8"/>
  </w:num>
  <w:num w:numId="8">
    <w:abstractNumId w:val="13"/>
  </w:num>
  <w:num w:numId="9">
    <w:abstractNumId w:val="1"/>
  </w:num>
  <w:num w:numId="10">
    <w:abstractNumId w:val="7"/>
  </w:num>
  <w:num w:numId="11">
    <w:abstractNumId w:val="41"/>
  </w:num>
  <w:num w:numId="12">
    <w:abstractNumId w:val="3"/>
  </w:num>
  <w:num w:numId="13">
    <w:abstractNumId w:val="33"/>
  </w:num>
  <w:num w:numId="14">
    <w:abstractNumId w:val="34"/>
  </w:num>
  <w:num w:numId="15">
    <w:abstractNumId w:val="0"/>
  </w:num>
  <w:num w:numId="16">
    <w:abstractNumId w:val="27"/>
  </w:num>
  <w:num w:numId="17">
    <w:abstractNumId w:val="21"/>
  </w:num>
  <w:num w:numId="18">
    <w:abstractNumId w:val="36"/>
  </w:num>
  <w:num w:numId="19">
    <w:abstractNumId w:val="4"/>
  </w:num>
  <w:num w:numId="20">
    <w:abstractNumId w:val="42"/>
  </w:num>
  <w:num w:numId="21">
    <w:abstractNumId w:val="39"/>
  </w:num>
  <w:num w:numId="22">
    <w:abstractNumId w:val="24"/>
  </w:num>
  <w:num w:numId="23">
    <w:abstractNumId w:val="26"/>
  </w:num>
  <w:num w:numId="24">
    <w:abstractNumId w:val="40"/>
  </w:num>
  <w:num w:numId="25">
    <w:abstractNumId w:val="46"/>
  </w:num>
  <w:num w:numId="26">
    <w:abstractNumId w:val="14"/>
  </w:num>
  <w:num w:numId="27">
    <w:abstractNumId w:val="32"/>
  </w:num>
  <w:num w:numId="28">
    <w:abstractNumId w:val="19"/>
  </w:num>
  <w:num w:numId="29">
    <w:abstractNumId w:val="31"/>
  </w:num>
  <w:num w:numId="30">
    <w:abstractNumId w:val="18"/>
  </w:num>
  <w:num w:numId="31">
    <w:abstractNumId w:val="15"/>
  </w:num>
  <w:num w:numId="32">
    <w:abstractNumId w:val="28"/>
  </w:num>
  <w:num w:numId="33">
    <w:abstractNumId w:val="25"/>
  </w:num>
  <w:num w:numId="34">
    <w:abstractNumId w:val="45"/>
  </w:num>
  <w:num w:numId="35">
    <w:abstractNumId w:val="47"/>
  </w:num>
  <w:num w:numId="36">
    <w:abstractNumId w:val="5"/>
  </w:num>
  <w:num w:numId="37">
    <w:abstractNumId w:val="2"/>
  </w:num>
  <w:num w:numId="38">
    <w:abstractNumId w:val="23"/>
  </w:num>
  <w:num w:numId="39">
    <w:abstractNumId w:val="12"/>
  </w:num>
  <w:num w:numId="40">
    <w:abstractNumId w:val="16"/>
  </w:num>
  <w:num w:numId="41">
    <w:abstractNumId w:val="20"/>
  </w:num>
  <w:num w:numId="42">
    <w:abstractNumId w:val="37"/>
  </w:num>
  <w:num w:numId="43">
    <w:abstractNumId w:val="6"/>
  </w:num>
  <w:num w:numId="44">
    <w:abstractNumId w:val="11"/>
  </w:num>
  <w:num w:numId="45">
    <w:abstractNumId w:val="30"/>
  </w:num>
  <w:num w:numId="46">
    <w:abstractNumId w:val="38"/>
  </w:num>
  <w:num w:numId="47">
    <w:abstractNumId w:val="9"/>
  </w:num>
  <w:num w:numId="48">
    <w:abstractNumId w:val="29"/>
  </w:num>
  <w:num w:numId="49">
    <w:abstractNumId w:val="43"/>
  </w:num>
  <w:num w:numId="5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99"/>
    <w:rsid w:val="00001527"/>
    <w:rsid w:val="000023AA"/>
    <w:rsid w:val="00005AC5"/>
    <w:rsid w:val="00005DCB"/>
    <w:rsid w:val="000073B7"/>
    <w:rsid w:val="00007968"/>
    <w:rsid w:val="00007B6C"/>
    <w:rsid w:val="000113EB"/>
    <w:rsid w:val="00012849"/>
    <w:rsid w:val="000129BF"/>
    <w:rsid w:val="00015432"/>
    <w:rsid w:val="00015A8A"/>
    <w:rsid w:val="0001613F"/>
    <w:rsid w:val="00017BB9"/>
    <w:rsid w:val="00017D98"/>
    <w:rsid w:val="000203CB"/>
    <w:rsid w:val="000207A8"/>
    <w:rsid w:val="00021261"/>
    <w:rsid w:val="00021453"/>
    <w:rsid w:val="00021DC8"/>
    <w:rsid w:val="00022465"/>
    <w:rsid w:val="000229B8"/>
    <w:rsid w:val="00024C00"/>
    <w:rsid w:val="00024E13"/>
    <w:rsid w:val="00025A7B"/>
    <w:rsid w:val="00026342"/>
    <w:rsid w:val="00026B54"/>
    <w:rsid w:val="00026ECD"/>
    <w:rsid w:val="00027624"/>
    <w:rsid w:val="00027EAE"/>
    <w:rsid w:val="00027EDA"/>
    <w:rsid w:val="00030BA0"/>
    <w:rsid w:val="00031BB6"/>
    <w:rsid w:val="00031D89"/>
    <w:rsid w:val="00032672"/>
    <w:rsid w:val="00034627"/>
    <w:rsid w:val="00035900"/>
    <w:rsid w:val="00036236"/>
    <w:rsid w:val="000372E3"/>
    <w:rsid w:val="00037668"/>
    <w:rsid w:val="00041E24"/>
    <w:rsid w:val="0004252C"/>
    <w:rsid w:val="00042A3B"/>
    <w:rsid w:val="00043AC7"/>
    <w:rsid w:val="00044228"/>
    <w:rsid w:val="00044E4A"/>
    <w:rsid w:val="0004551E"/>
    <w:rsid w:val="00045CFD"/>
    <w:rsid w:val="00047701"/>
    <w:rsid w:val="0005042E"/>
    <w:rsid w:val="00050692"/>
    <w:rsid w:val="00051A5D"/>
    <w:rsid w:val="00051CD5"/>
    <w:rsid w:val="00051D18"/>
    <w:rsid w:val="00052C6C"/>
    <w:rsid w:val="00052DD7"/>
    <w:rsid w:val="0005516F"/>
    <w:rsid w:val="00056088"/>
    <w:rsid w:val="000630F3"/>
    <w:rsid w:val="00063FDD"/>
    <w:rsid w:val="000653E6"/>
    <w:rsid w:val="00065B38"/>
    <w:rsid w:val="0006713F"/>
    <w:rsid w:val="000673C2"/>
    <w:rsid w:val="00067DBB"/>
    <w:rsid w:val="000702D0"/>
    <w:rsid w:val="000754F3"/>
    <w:rsid w:val="0007612D"/>
    <w:rsid w:val="00076CF3"/>
    <w:rsid w:val="00077B71"/>
    <w:rsid w:val="00080477"/>
    <w:rsid w:val="00081A62"/>
    <w:rsid w:val="00082E23"/>
    <w:rsid w:val="000830B7"/>
    <w:rsid w:val="0008345C"/>
    <w:rsid w:val="00083DE0"/>
    <w:rsid w:val="00084448"/>
    <w:rsid w:val="0008465A"/>
    <w:rsid w:val="00084F0F"/>
    <w:rsid w:val="00085112"/>
    <w:rsid w:val="000852D8"/>
    <w:rsid w:val="00085957"/>
    <w:rsid w:val="000875E9"/>
    <w:rsid w:val="00091FF4"/>
    <w:rsid w:val="00092CE5"/>
    <w:rsid w:val="0009413B"/>
    <w:rsid w:val="00094A9B"/>
    <w:rsid w:val="00094CE7"/>
    <w:rsid w:val="00094E1D"/>
    <w:rsid w:val="000968D5"/>
    <w:rsid w:val="000A0988"/>
    <w:rsid w:val="000A284C"/>
    <w:rsid w:val="000A2ADD"/>
    <w:rsid w:val="000A37F2"/>
    <w:rsid w:val="000A4F9C"/>
    <w:rsid w:val="000A664B"/>
    <w:rsid w:val="000A7D95"/>
    <w:rsid w:val="000B2571"/>
    <w:rsid w:val="000B2E29"/>
    <w:rsid w:val="000B6673"/>
    <w:rsid w:val="000B6DA5"/>
    <w:rsid w:val="000B75E4"/>
    <w:rsid w:val="000C5105"/>
    <w:rsid w:val="000C6083"/>
    <w:rsid w:val="000C76B1"/>
    <w:rsid w:val="000D1025"/>
    <w:rsid w:val="000D17E6"/>
    <w:rsid w:val="000D20B3"/>
    <w:rsid w:val="000D4D80"/>
    <w:rsid w:val="000D5572"/>
    <w:rsid w:val="000D6711"/>
    <w:rsid w:val="000D6FE9"/>
    <w:rsid w:val="000E0270"/>
    <w:rsid w:val="000E3E4B"/>
    <w:rsid w:val="000E40FB"/>
    <w:rsid w:val="000E4247"/>
    <w:rsid w:val="000E478E"/>
    <w:rsid w:val="000E558B"/>
    <w:rsid w:val="000E5CD4"/>
    <w:rsid w:val="000E5EAE"/>
    <w:rsid w:val="000E6EA4"/>
    <w:rsid w:val="000F1CCF"/>
    <w:rsid w:val="000F1D0D"/>
    <w:rsid w:val="000F2F08"/>
    <w:rsid w:val="000F35B7"/>
    <w:rsid w:val="000F5C82"/>
    <w:rsid w:val="00100181"/>
    <w:rsid w:val="001007AF"/>
    <w:rsid w:val="0010168C"/>
    <w:rsid w:val="001023BA"/>
    <w:rsid w:val="001040CF"/>
    <w:rsid w:val="00104F6B"/>
    <w:rsid w:val="00107F91"/>
    <w:rsid w:val="00111548"/>
    <w:rsid w:val="001117C0"/>
    <w:rsid w:val="001124A0"/>
    <w:rsid w:val="001126CD"/>
    <w:rsid w:val="00112876"/>
    <w:rsid w:val="00114A55"/>
    <w:rsid w:val="00115295"/>
    <w:rsid w:val="001166F3"/>
    <w:rsid w:val="0011684F"/>
    <w:rsid w:val="00120A60"/>
    <w:rsid w:val="001219BA"/>
    <w:rsid w:val="00121CE8"/>
    <w:rsid w:val="00123388"/>
    <w:rsid w:val="00124082"/>
    <w:rsid w:val="00125F12"/>
    <w:rsid w:val="001261C7"/>
    <w:rsid w:val="00127BC5"/>
    <w:rsid w:val="0013010C"/>
    <w:rsid w:val="0013112C"/>
    <w:rsid w:val="0013165C"/>
    <w:rsid w:val="001322CD"/>
    <w:rsid w:val="001322FF"/>
    <w:rsid w:val="00132BA4"/>
    <w:rsid w:val="00132C1E"/>
    <w:rsid w:val="001330D7"/>
    <w:rsid w:val="001353FB"/>
    <w:rsid w:val="001371D0"/>
    <w:rsid w:val="00137FF6"/>
    <w:rsid w:val="00140E96"/>
    <w:rsid w:val="001410F1"/>
    <w:rsid w:val="00141C52"/>
    <w:rsid w:val="00142E62"/>
    <w:rsid w:val="001441F2"/>
    <w:rsid w:val="00144504"/>
    <w:rsid w:val="0014462B"/>
    <w:rsid w:val="001473FE"/>
    <w:rsid w:val="0015166D"/>
    <w:rsid w:val="00153E14"/>
    <w:rsid w:val="0015480C"/>
    <w:rsid w:val="00155A4C"/>
    <w:rsid w:val="00155DFD"/>
    <w:rsid w:val="00156183"/>
    <w:rsid w:val="00156ED0"/>
    <w:rsid w:val="00157802"/>
    <w:rsid w:val="001613D1"/>
    <w:rsid w:val="0016183D"/>
    <w:rsid w:val="00161E26"/>
    <w:rsid w:val="00162AAD"/>
    <w:rsid w:val="00163655"/>
    <w:rsid w:val="00165088"/>
    <w:rsid w:val="00166777"/>
    <w:rsid w:val="00167E7C"/>
    <w:rsid w:val="001713E3"/>
    <w:rsid w:val="00171697"/>
    <w:rsid w:val="00171DE3"/>
    <w:rsid w:val="00172408"/>
    <w:rsid w:val="001724DC"/>
    <w:rsid w:val="001735A8"/>
    <w:rsid w:val="00173A2F"/>
    <w:rsid w:val="00174632"/>
    <w:rsid w:val="001756C4"/>
    <w:rsid w:val="00176844"/>
    <w:rsid w:val="001803A3"/>
    <w:rsid w:val="001827D4"/>
    <w:rsid w:val="00184DA7"/>
    <w:rsid w:val="00185A6B"/>
    <w:rsid w:val="0018605B"/>
    <w:rsid w:val="0018704C"/>
    <w:rsid w:val="00187FC3"/>
    <w:rsid w:val="00191323"/>
    <w:rsid w:val="00194855"/>
    <w:rsid w:val="001948F1"/>
    <w:rsid w:val="0019675E"/>
    <w:rsid w:val="00197424"/>
    <w:rsid w:val="001978D6"/>
    <w:rsid w:val="001A0771"/>
    <w:rsid w:val="001A1D56"/>
    <w:rsid w:val="001A4113"/>
    <w:rsid w:val="001A6B2E"/>
    <w:rsid w:val="001A6CA9"/>
    <w:rsid w:val="001A6FD7"/>
    <w:rsid w:val="001B020C"/>
    <w:rsid w:val="001B1A05"/>
    <w:rsid w:val="001B1FAE"/>
    <w:rsid w:val="001B2740"/>
    <w:rsid w:val="001B3758"/>
    <w:rsid w:val="001B5521"/>
    <w:rsid w:val="001C3D26"/>
    <w:rsid w:val="001C467E"/>
    <w:rsid w:val="001C4762"/>
    <w:rsid w:val="001C4859"/>
    <w:rsid w:val="001C4A1E"/>
    <w:rsid w:val="001C5103"/>
    <w:rsid w:val="001C56B1"/>
    <w:rsid w:val="001C6495"/>
    <w:rsid w:val="001D0A4C"/>
    <w:rsid w:val="001D5577"/>
    <w:rsid w:val="001D6358"/>
    <w:rsid w:val="001D63C0"/>
    <w:rsid w:val="001D691C"/>
    <w:rsid w:val="001E4DD9"/>
    <w:rsid w:val="001E5AAB"/>
    <w:rsid w:val="001E685D"/>
    <w:rsid w:val="001E6F33"/>
    <w:rsid w:val="001F07FE"/>
    <w:rsid w:val="001F2630"/>
    <w:rsid w:val="001F364F"/>
    <w:rsid w:val="001F5C47"/>
    <w:rsid w:val="001F5D80"/>
    <w:rsid w:val="001F5EF1"/>
    <w:rsid w:val="0020023D"/>
    <w:rsid w:val="002003C9"/>
    <w:rsid w:val="00201128"/>
    <w:rsid w:val="00201B51"/>
    <w:rsid w:val="002038F3"/>
    <w:rsid w:val="00204FC7"/>
    <w:rsid w:val="00207085"/>
    <w:rsid w:val="002102E3"/>
    <w:rsid w:val="0021168D"/>
    <w:rsid w:val="002125FD"/>
    <w:rsid w:val="002137B3"/>
    <w:rsid w:val="00214DCE"/>
    <w:rsid w:val="0021543B"/>
    <w:rsid w:val="002158EF"/>
    <w:rsid w:val="002164DF"/>
    <w:rsid w:val="00216A28"/>
    <w:rsid w:val="002179EF"/>
    <w:rsid w:val="00217C11"/>
    <w:rsid w:val="00221BEB"/>
    <w:rsid w:val="002221E9"/>
    <w:rsid w:val="002227EC"/>
    <w:rsid w:val="00222E8C"/>
    <w:rsid w:val="00224BE6"/>
    <w:rsid w:val="00224FF9"/>
    <w:rsid w:val="002254BD"/>
    <w:rsid w:val="00226442"/>
    <w:rsid w:val="0023050C"/>
    <w:rsid w:val="0023213A"/>
    <w:rsid w:val="00232E62"/>
    <w:rsid w:val="00233414"/>
    <w:rsid w:val="00233A97"/>
    <w:rsid w:val="0023583F"/>
    <w:rsid w:val="00235966"/>
    <w:rsid w:val="00240236"/>
    <w:rsid w:val="00240E19"/>
    <w:rsid w:val="00242137"/>
    <w:rsid w:val="002423B0"/>
    <w:rsid w:val="00242928"/>
    <w:rsid w:val="002436B1"/>
    <w:rsid w:val="00244623"/>
    <w:rsid w:val="00246EDA"/>
    <w:rsid w:val="002514AB"/>
    <w:rsid w:val="00252363"/>
    <w:rsid w:val="002527DC"/>
    <w:rsid w:val="002542E8"/>
    <w:rsid w:val="00255971"/>
    <w:rsid w:val="002569C0"/>
    <w:rsid w:val="00257B52"/>
    <w:rsid w:val="002603CC"/>
    <w:rsid w:val="002605FB"/>
    <w:rsid w:val="002617A9"/>
    <w:rsid w:val="00261961"/>
    <w:rsid w:val="00263425"/>
    <w:rsid w:val="002638EB"/>
    <w:rsid w:val="00263A11"/>
    <w:rsid w:val="002643CF"/>
    <w:rsid w:val="00264D23"/>
    <w:rsid w:val="00264E78"/>
    <w:rsid w:val="00265205"/>
    <w:rsid w:val="00265824"/>
    <w:rsid w:val="00267AC7"/>
    <w:rsid w:val="00271E50"/>
    <w:rsid w:val="00272431"/>
    <w:rsid w:val="002739F2"/>
    <w:rsid w:val="00274117"/>
    <w:rsid w:val="00275EF3"/>
    <w:rsid w:val="00276220"/>
    <w:rsid w:val="002803C9"/>
    <w:rsid w:val="00280825"/>
    <w:rsid w:val="00280BB6"/>
    <w:rsid w:val="00281281"/>
    <w:rsid w:val="00282571"/>
    <w:rsid w:val="00282C06"/>
    <w:rsid w:val="00283AA0"/>
    <w:rsid w:val="00283C50"/>
    <w:rsid w:val="00283D63"/>
    <w:rsid w:val="00284065"/>
    <w:rsid w:val="00284AEF"/>
    <w:rsid w:val="00285CEC"/>
    <w:rsid w:val="00290C01"/>
    <w:rsid w:val="00290DE3"/>
    <w:rsid w:val="002923CE"/>
    <w:rsid w:val="00292B39"/>
    <w:rsid w:val="00292BAA"/>
    <w:rsid w:val="00292BE6"/>
    <w:rsid w:val="002931C0"/>
    <w:rsid w:val="00293231"/>
    <w:rsid w:val="00293C2A"/>
    <w:rsid w:val="00294E9B"/>
    <w:rsid w:val="00294F9E"/>
    <w:rsid w:val="00296399"/>
    <w:rsid w:val="00296C7E"/>
    <w:rsid w:val="002972B0"/>
    <w:rsid w:val="002A133F"/>
    <w:rsid w:val="002A19AA"/>
    <w:rsid w:val="002A1FD4"/>
    <w:rsid w:val="002A241C"/>
    <w:rsid w:val="002A362E"/>
    <w:rsid w:val="002A3679"/>
    <w:rsid w:val="002A3940"/>
    <w:rsid w:val="002A46FF"/>
    <w:rsid w:val="002A56C5"/>
    <w:rsid w:val="002B0561"/>
    <w:rsid w:val="002B127D"/>
    <w:rsid w:val="002B302A"/>
    <w:rsid w:val="002B39E9"/>
    <w:rsid w:val="002B46BF"/>
    <w:rsid w:val="002C0069"/>
    <w:rsid w:val="002C1755"/>
    <w:rsid w:val="002C35B2"/>
    <w:rsid w:val="002C3CD2"/>
    <w:rsid w:val="002C5B58"/>
    <w:rsid w:val="002C616F"/>
    <w:rsid w:val="002C703B"/>
    <w:rsid w:val="002C70F8"/>
    <w:rsid w:val="002C7A51"/>
    <w:rsid w:val="002C7B8A"/>
    <w:rsid w:val="002C7BD3"/>
    <w:rsid w:val="002C7F6E"/>
    <w:rsid w:val="002D03A6"/>
    <w:rsid w:val="002D069B"/>
    <w:rsid w:val="002D06DF"/>
    <w:rsid w:val="002D0A85"/>
    <w:rsid w:val="002D0B44"/>
    <w:rsid w:val="002D0F75"/>
    <w:rsid w:val="002D2518"/>
    <w:rsid w:val="002D3284"/>
    <w:rsid w:val="002D34C8"/>
    <w:rsid w:val="002D4BA0"/>
    <w:rsid w:val="002D5F59"/>
    <w:rsid w:val="002D627F"/>
    <w:rsid w:val="002E0503"/>
    <w:rsid w:val="002E076B"/>
    <w:rsid w:val="002E0F9F"/>
    <w:rsid w:val="002E1DBC"/>
    <w:rsid w:val="002E3A5B"/>
    <w:rsid w:val="002E4303"/>
    <w:rsid w:val="002E4F8A"/>
    <w:rsid w:val="002E58B5"/>
    <w:rsid w:val="002E6A4A"/>
    <w:rsid w:val="002E6C9F"/>
    <w:rsid w:val="002E6CF5"/>
    <w:rsid w:val="002E7443"/>
    <w:rsid w:val="002E7864"/>
    <w:rsid w:val="002E7F5F"/>
    <w:rsid w:val="002F234C"/>
    <w:rsid w:val="002F66C8"/>
    <w:rsid w:val="002F6FA1"/>
    <w:rsid w:val="002F77C7"/>
    <w:rsid w:val="002F7F9D"/>
    <w:rsid w:val="0030067D"/>
    <w:rsid w:val="00301E71"/>
    <w:rsid w:val="00307430"/>
    <w:rsid w:val="003114C8"/>
    <w:rsid w:val="003121FA"/>
    <w:rsid w:val="00312CBE"/>
    <w:rsid w:val="00312D27"/>
    <w:rsid w:val="00315539"/>
    <w:rsid w:val="00315899"/>
    <w:rsid w:val="00315B69"/>
    <w:rsid w:val="00315DCF"/>
    <w:rsid w:val="00316C13"/>
    <w:rsid w:val="00317B12"/>
    <w:rsid w:val="0032026B"/>
    <w:rsid w:val="00321158"/>
    <w:rsid w:val="0032123A"/>
    <w:rsid w:val="00321592"/>
    <w:rsid w:val="00322A5F"/>
    <w:rsid w:val="00322AA4"/>
    <w:rsid w:val="00323FCB"/>
    <w:rsid w:val="003257B7"/>
    <w:rsid w:val="00325956"/>
    <w:rsid w:val="00325C4E"/>
    <w:rsid w:val="003304F3"/>
    <w:rsid w:val="0033293D"/>
    <w:rsid w:val="00332B26"/>
    <w:rsid w:val="00333275"/>
    <w:rsid w:val="003349E0"/>
    <w:rsid w:val="0033504E"/>
    <w:rsid w:val="003357C4"/>
    <w:rsid w:val="00335BD2"/>
    <w:rsid w:val="003364B8"/>
    <w:rsid w:val="003379CB"/>
    <w:rsid w:val="00337EE8"/>
    <w:rsid w:val="00341E73"/>
    <w:rsid w:val="00342618"/>
    <w:rsid w:val="00343940"/>
    <w:rsid w:val="00343E2C"/>
    <w:rsid w:val="003447FA"/>
    <w:rsid w:val="003455A7"/>
    <w:rsid w:val="00347A02"/>
    <w:rsid w:val="00350A01"/>
    <w:rsid w:val="00352B5B"/>
    <w:rsid w:val="00354549"/>
    <w:rsid w:val="003550D3"/>
    <w:rsid w:val="0035531E"/>
    <w:rsid w:val="00355C0D"/>
    <w:rsid w:val="00357C1B"/>
    <w:rsid w:val="00360B20"/>
    <w:rsid w:val="00361175"/>
    <w:rsid w:val="00361546"/>
    <w:rsid w:val="00362184"/>
    <w:rsid w:val="00363405"/>
    <w:rsid w:val="00363E56"/>
    <w:rsid w:val="00364713"/>
    <w:rsid w:val="00364E6B"/>
    <w:rsid w:val="003662DC"/>
    <w:rsid w:val="003667FA"/>
    <w:rsid w:val="00366A11"/>
    <w:rsid w:val="00366CF9"/>
    <w:rsid w:val="00366D66"/>
    <w:rsid w:val="0036700C"/>
    <w:rsid w:val="0036720E"/>
    <w:rsid w:val="00370D42"/>
    <w:rsid w:val="00372EB9"/>
    <w:rsid w:val="003735C6"/>
    <w:rsid w:val="00375F58"/>
    <w:rsid w:val="00380BBA"/>
    <w:rsid w:val="00381CE8"/>
    <w:rsid w:val="0038325E"/>
    <w:rsid w:val="00390B68"/>
    <w:rsid w:val="00392292"/>
    <w:rsid w:val="00392785"/>
    <w:rsid w:val="00392BF0"/>
    <w:rsid w:val="003931BD"/>
    <w:rsid w:val="00393B6B"/>
    <w:rsid w:val="00395DFC"/>
    <w:rsid w:val="003961D4"/>
    <w:rsid w:val="003965D4"/>
    <w:rsid w:val="00397DD1"/>
    <w:rsid w:val="003A0741"/>
    <w:rsid w:val="003A1C20"/>
    <w:rsid w:val="003A29B0"/>
    <w:rsid w:val="003A3AD8"/>
    <w:rsid w:val="003A4180"/>
    <w:rsid w:val="003A4524"/>
    <w:rsid w:val="003A4A08"/>
    <w:rsid w:val="003A6511"/>
    <w:rsid w:val="003B03C5"/>
    <w:rsid w:val="003B1DE5"/>
    <w:rsid w:val="003B2756"/>
    <w:rsid w:val="003B3A13"/>
    <w:rsid w:val="003B3FF3"/>
    <w:rsid w:val="003B4239"/>
    <w:rsid w:val="003B4758"/>
    <w:rsid w:val="003B4F2A"/>
    <w:rsid w:val="003B54D6"/>
    <w:rsid w:val="003B5918"/>
    <w:rsid w:val="003B6AFD"/>
    <w:rsid w:val="003C1DF7"/>
    <w:rsid w:val="003C3841"/>
    <w:rsid w:val="003C391D"/>
    <w:rsid w:val="003C49BE"/>
    <w:rsid w:val="003C4F60"/>
    <w:rsid w:val="003C6E3C"/>
    <w:rsid w:val="003C6F00"/>
    <w:rsid w:val="003D0140"/>
    <w:rsid w:val="003D07EF"/>
    <w:rsid w:val="003D0D80"/>
    <w:rsid w:val="003D130E"/>
    <w:rsid w:val="003D1444"/>
    <w:rsid w:val="003D4122"/>
    <w:rsid w:val="003D4A20"/>
    <w:rsid w:val="003D4CBA"/>
    <w:rsid w:val="003D530C"/>
    <w:rsid w:val="003D5A22"/>
    <w:rsid w:val="003E0490"/>
    <w:rsid w:val="003E075C"/>
    <w:rsid w:val="003E08CD"/>
    <w:rsid w:val="003E1060"/>
    <w:rsid w:val="003E16FF"/>
    <w:rsid w:val="003E19DD"/>
    <w:rsid w:val="003E3D8D"/>
    <w:rsid w:val="003E48C2"/>
    <w:rsid w:val="003E6152"/>
    <w:rsid w:val="003E6716"/>
    <w:rsid w:val="003F02A1"/>
    <w:rsid w:val="003F2D54"/>
    <w:rsid w:val="003F3A35"/>
    <w:rsid w:val="003F3E26"/>
    <w:rsid w:val="003F57AE"/>
    <w:rsid w:val="003F660B"/>
    <w:rsid w:val="00402450"/>
    <w:rsid w:val="00402E9A"/>
    <w:rsid w:val="00404688"/>
    <w:rsid w:val="004057E0"/>
    <w:rsid w:val="00406284"/>
    <w:rsid w:val="0040755D"/>
    <w:rsid w:val="00407972"/>
    <w:rsid w:val="00410672"/>
    <w:rsid w:val="00410754"/>
    <w:rsid w:val="00411EB4"/>
    <w:rsid w:val="00412376"/>
    <w:rsid w:val="00412485"/>
    <w:rsid w:val="00413C0B"/>
    <w:rsid w:val="00416BA0"/>
    <w:rsid w:val="0041748B"/>
    <w:rsid w:val="00420BCC"/>
    <w:rsid w:val="00422CE4"/>
    <w:rsid w:val="004234F0"/>
    <w:rsid w:val="004250B9"/>
    <w:rsid w:val="00426FEC"/>
    <w:rsid w:val="004275FD"/>
    <w:rsid w:val="0043082F"/>
    <w:rsid w:val="004314AE"/>
    <w:rsid w:val="00431AF3"/>
    <w:rsid w:val="00433624"/>
    <w:rsid w:val="004356D9"/>
    <w:rsid w:val="00435A34"/>
    <w:rsid w:val="0043704D"/>
    <w:rsid w:val="00437072"/>
    <w:rsid w:val="0044008D"/>
    <w:rsid w:val="00440A31"/>
    <w:rsid w:val="00441646"/>
    <w:rsid w:val="00441ABA"/>
    <w:rsid w:val="00442085"/>
    <w:rsid w:val="00443E01"/>
    <w:rsid w:val="00443EFA"/>
    <w:rsid w:val="00444CE0"/>
    <w:rsid w:val="0044505B"/>
    <w:rsid w:val="004461DD"/>
    <w:rsid w:val="004469B8"/>
    <w:rsid w:val="004475EB"/>
    <w:rsid w:val="0045012B"/>
    <w:rsid w:val="004507E3"/>
    <w:rsid w:val="0045103A"/>
    <w:rsid w:val="00451E69"/>
    <w:rsid w:val="00452BF7"/>
    <w:rsid w:val="004534DD"/>
    <w:rsid w:val="004549B1"/>
    <w:rsid w:val="00454D44"/>
    <w:rsid w:val="00455197"/>
    <w:rsid w:val="00455D29"/>
    <w:rsid w:val="00455D38"/>
    <w:rsid w:val="00460CC0"/>
    <w:rsid w:val="004610F5"/>
    <w:rsid w:val="00462F33"/>
    <w:rsid w:val="00465B84"/>
    <w:rsid w:val="00470E81"/>
    <w:rsid w:val="00471108"/>
    <w:rsid w:val="004729DE"/>
    <w:rsid w:val="0047320B"/>
    <w:rsid w:val="00473A87"/>
    <w:rsid w:val="004747AF"/>
    <w:rsid w:val="00474959"/>
    <w:rsid w:val="00475484"/>
    <w:rsid w:val="00475B59"/>
    <w:rsid w:val="004778C9"/>
    <w:rsid w:val="00477CA0"/>
    <w:rsid w:val="00480119"/>
    <w:rsid w:val="00480C1B"/>
    <w:rsid w:val="0048239B"/>
    <w:rsid w:val="004835B6"/>
    <w:rsid w:val="004847AB"/>
    <w:rsid w:val="004856E3"/>
    <w:rsid w:val="00485BBA"/>
    <w:rsid w:val="0048746F"/>
    <w:rsid w:val="00490B90"/>
    <w:rsid w:val="00492B8B"/>
    <w:rsid w:val="00492BD9"/>
    <w:rsid w:val="00493819"/>
    <w:rsid w:val="00495D47"/>
    <w:rsid w:val="00497257"/>
    <w:rsid w:val="00497858"/>
    <w:rsid w:val="004A1667"/>
    <w:rsid w:val="004A2EA5"/>
    <w:rsid w:val="004A37C7"/>
    <w:rsid w:val="004A41D5"/>
    <w:rsid w:val="004A4273"/>
    <w:rsid w:val="004A45B2"/>
    <w:rsid w:val="004A54D5"/>
    <w:rsid w:val="004A7396"/>
    <w:rsid w:val="004A73FD"/>
    <w:rsid w:val="004B011E"/>
    <w:rsid w:val="004B07EE"/>
    <w:rsid w:val="004B1E79"/>
    <w:rsid w:val="004B2308"/>
    <w:rsid w:val="004B42EC"/>
    <w:rsid w:val="004B46F9"/>
    <w:rsid w:val="004B594F"/>
    <w:rsid w:val="004B5D1A"/>
    <w:rsid w:val="004B5E70"/>
    <w:rsid w:val="004B74AD"/>
    <w:rsid w:val="004C1B1E"/>
    <w:rsid w:val="004C2A29"/>
    <w:rsid w:val="004C3FE8"/>
    <w:rsid w:val="004C5C7C"/>
    <w:rsid w:val="004C60C1"/>
    <w:rsid w:val="004C637A"/>
    <w:rsid w:val="004C655D"/>
    <w:rsid w:val="004D0F33"/>
    <w:rsid w:val="004D1729"/>
    <w:rsid w:val="004D17CD"/>
    <w:rsid w:val="004D20EB"/>
    <w:rsid w:val="004D227F"/>
    <w:rsid w:val="004D2356"/>
    <w:rsid w:val="004D56AA"/>
    <w:rsid w:val="004D597A"/>
    <w:rsid w:val="004D5B67"/>
    <w:rsid w:val="004D6E28"/>
    <w:rsid w:val="004E035A"/>
    <w:rsid w:val="004E0DA8"/>
    <w:rsid w:val="004E1358"/>
    <w:rsid w:val="004E244E"/>
    <w:rsid w:val="004E26B8"/>
    <w:rsid w:val="004E44DF"/>
    <w:rsid w:val="004E4706"/>
    <w:rsid w:val="004E5C48"/>
    <w:rsid w:val="004E5E7F"/>
    <w:rsid w:val="004E7C1D"/>
    <w:rsid w:val="004F0B8B"/>
    <w:rsid w:val="004F2BA4"/>
    <w:rsid w:val="004F395D"/>
    <w:rsid w:val="004F537A"/>
    <w:rsid w:val="004F576B"/>
    <w:rsid w:val="004F6274"/>
    <w:rsid w:val="00500112"/>
    <w:rsid w:val="0050033F"/>
    <w:rsid w:val="0050128A"/>
    <w:rsid w:val="00501CC8"/>
    <w:rsid w:val="005021A1"/>
    <w:rsid w:val="00502296"/>
    <w:rsid w:val="00502FB3"/>
    <w:rsid w:val="00504BF0"/>
    <w:rsid w:val="00505C9A"/>
    <w:rsid w:val="00505CE2"/>
    <w:rsid w:val="00505F27"/>
    <w:rsid w:val="00506886"/>
    <w:rsid w:val="005069AA"/>
    <w:rsid w:val="005102AE"/>
    <w:rsid w:val="00512AB3"/>
    <w:rsid w:val="0051310D"/>
    <w:rsid w:val="0051335B"/>
    <w:rsid w:val="00513883"/>
    <w:rsid w:val="00516726"/>
    <w:rsid w:val="005170F2"/>
    <w:rsid w:val="00517ECE"/>
    <w:rsid w:val="0052060D"/>
    <w:rsid w:val="00521441"/>
    <w:rsid w:val="00522EDC"/>
    <w:rsid w:val="00523B04"/>
    <w:rsid w:val="00524589"/>
    <w:rsid w:val="00524F9B"/>
    <w:rsid w:val="00525B7F"/>
    <w:rsid w:val="0052621D"/>
    <w:rsid w:val="00526AB1"/>
    <w:rsid w:val="00526D9D"/>
    <w:rsid w:val="00527355"/>
    <w:rsid w:val="005303BD"/>
    <w:rsid w:val="00530A37"/>
    <w:rsid w:val="005315E2"/>
    <w:rsid w:val="005318B0"/>
    <w:rsid w:val="0053193A"/>
    <w:rsid w:val="00532210"/>
    <w:rsid w:val="00532F6D"/>
    <w:rsid w:val="005337B3"/>
    <w:rsid w:val="005347E6"/>
    <w:rsid w:val="005366EC"/>
    <w:rsid w:val="00536AD5"/>
    <w:rsid w:val="00540F9C"/>
    <w:rsid w:val="0054183F"/>
    <w:rsid w:val="0054277E"/>
    <w:rsid w:val="00542C95"/>
    <w:rsid w:val="00544E4D"/>
    <w:rsid w:val="00546048"/>
    <w:rsid w:val="0054789D"/>
    <w:rsid w:val="00552391"/>
    <w:rsid w:val="00553450"/>
    <w:rsid w:val="00554EF8"/>
    <w:rsid w:val="005559DA"/>
    <w:rsid w:val="005561A4"/>
    <w:rsid w:val="00560906"/>
    <w:rsid w:val="00561953"/>
    <w:rsid w:val="00561D48"/>
    <w:rsid w:val="00562E11"/>
    <w:rsid w:val="00564084"/>
    <w:rsid w:val="005641FF"/>
    <w:rsid w:val="005664AA"/>
    <w:rsid w:val="00566A61"/>
    <w:rsid w:val="005671EB"/>
    <w:rsid w:val="00570553"/>
    <w:rsid w:val="00572118"/>
    <w:rsid w:val="00573E5A"/>
    <w:rsid w:val="00574D0C"/>
    <w:rsid w:val="005762A5"/>
    <w:rsid w:val="00576775"/>
    <w:rsid w:val="00576B50"/>
    <w:rsid w:val="00577078"/>
    <w:rsid w:val="00582659"/>
    <w:rsid w:val="005828BD"/>
    <w:rsid w:val="00582ECC"/>
    <w:rsid w:val="005852DF"/>
    <w:rsid w:val="005862E7"/>
    <w:rsid w:val="005874C5"/>
    <w:rsid w:val="00587528"/>
    <w:rsid w:val="005901F4"/>
    <w:rsid w:val="005902C5"/>
    <w:rsid w:val="00592B83"/>
    <w:rsid w:val="00594B5E"/>
    <w:rsid w:val="00594BD1"/>
    <w:rsid w:val="00595B61"/>
    <w:rsid w:val="00595F19"/>
    <w:rsid w:val="0059617B"/>
    <w:rsid w:val="00597DE7"/>
    <w:rsid w:val="0059F36E"/>
    <w:rsid w:val="005A0A7D"/>
    <w:rsid w:val="005A29EE"/>
    <w:rsid w:val="005A2A89"/>
    <w:rsid w:val="005A3182"/>
    <w:rsid w:val="005A3D00"/>
    <w:rsid w:val="005A4984"/>
    <w:rsid w:val="005A5266"/>
    <w:rsid w:val="005A6819"/>
    <w:rsid w:val="005A7333"/>
    <w:rsid w:val="005B0653"/>
    <w:rsid w:val="005B0D1E"/>
    <w:rsid w:val="005B182A"/>
    <w:rsid w:val="005B1989"/>
    <w:rsid w:val="005B20CF"/>
    <w:rsid w:val="005B5227"/>
    <w:rsid w:val="005B625E"/>
    <w:rsid w:val="005B7DE0"/>
    <w:rsid w:val="005C01EE"/>
    <w:rsid w:val="005C14A6"/>
    <w:rsid w:val="005C2C89"/>
    <w:rsid w:val="005C33D4"/>
    <w:rsid w:val="005C36FC"/>
    <w:rsid w:val="005C3772"/>
    <w:rsid w:val="005C5888"/>
    <w:rsid w:val="005D09E6"/>
    <w:rsid w:val="005D0C2B"/>
    <w:rsid w:val="005D1C05"/>
    <w:rsid w:val="005D28FE"/>
    <w:rsid w:val="005D2C89"/>
    <w:rsid w:val="005D3C72"/>
    <w:rsid w:val="005D57A9"/>
    <w:rsid w:val="005D59E1"/>
    <w:rsid w:val="005D5AD0"/>
    <w:rsid w:val="005D6B56"/>
    <w:rsid w:val="005E3BC9"/>
    <w:rsid w:val="005F1353"/>
    <w:rsid w:val="005F1EFB"/>
    <w:rsid w:val="005F37AB"/>
    <w:rsid w:val="005F3BD8"/>
    <w:rsid w:val="005F412B"/>
    <w:rsid w:val="005F4480"/>
    <w:rsid w:val="005F5772"/>
    <w:rsid w:val="00602183"/>
    <w:rsid w:val="00603469"/>
    <w:rsid w:val="00603B62"/>
    <w:rsid w:val="00604582"/>
    <w:rsid w:val="006046AD"/>
    <w:rsid w:val="00605522"/>
    <w:rsid w:val="00605F43"/>
    <w:rsid w:val="00606003"/>
    <w:rsid w:val="00606E78"/>
    <w:rsid w:val="00610277"/>
    <w:rsid w:val="0061079C"/>
    <w:rsid w:val="006128BA"/>
    <w:rsid w:val="00612A78"/>
    <w:rsid w:val="00613CE4"/>
    <w:rsid w:val="00614009"/>
    <w:rsid w:val="0061668C"/>
    <w:rsid w:val="00616A1B"/>
    <w:rsid w:val="00620919"/>
    <w:rsid w:val="00622E9A"/>
    <w:rsid w:val="00623200"/>
    <w:rsid w:val="006232ED"/>
    <w:rsid w:val="00623C77"/>
    <w:rsid w:val="00623F24"/>
    <w:rsid w:val="00624379"/>
    <w:rsid w:val="006257DA"/>
    <w:rsid w:val="0062583A"/>
    <w:rsid w:val="006261E9"/>
    <w:rsid w:val="00626368"/>
    <w:rsid w:val="00627C0D"/>
    <w:rsid w:val="00631FD9"/>
    <w:rsid w:val="00634E67"/>
    <w:rsid w:val="0064001C"/>
    <w:rsid w:val="006400B3"/>
    <w:rsid w:val="00640A93"/>
    <w:rsid w:val="00642BCD"/>
    <w:rsid w:val="006440E5"/>
    <w:rsid w:val="00645D14"/>
    <w:rsid w:val="00645DF8"/>
    <w:rsid w:val="00646392"/>
    <w:rsid w:val="00646D22"/>
    <w:rsid w:val="006504CF"/>
    <w:rsid w:val="006507EA"/>
    <w:rsid w:val="00650B5F"/>
    <w:rsid w:val="00650E49"/>
    <w:rsid w:val="00651BF0"/>
    <w:rsid w:val="00652FD7"/>
    <w:rsid w:val="006532F7"/>
    <w:rsid w:val="00654570"/>
    <w:rsid w:val="00654DAB"/>
    <w:rsid w:val="0065608A"/>
    <w:rsid w:val="0066070E"/>
    <w:rsid w:val="006607AE"/>
    <w:rsid w:val="00661185"/>
    <w:rsid w:val="0066127E"/>
    <w:rsid w:val="006635EA"/>
    <w:rsid w:val="00666BFA"/>
    <w:rsid w:val="00667281"/>
    <w:rsid w:val="00670DD9"/>
    <w:rsid w:val="00671FD9"/>
    <w:rsid w:val="00675993"/>
    <w:rsid w:val="00676904"/>
    <w:rsid w:val="006769E2"/>
    <w:rsid w:val="0068043C"/>
    <w:rsid w:val="006836E2"/>
    <w:rsid w:val="00683E56"/>
    <w:rsid w:val="00684BD0"/>
    <w:rsid w:val="006853DB"/>
    <w:rsid w:val="00686002"/>
    <w:rsid w:val="006868ED"/>
    <w:rsid w:val="00691961"/>
    <w:rsid w:val="00691FA2"/>
    <w:rsid w:val="00694332"/>
    <w:rsid w:val="006944A4"/>
    <w:rsid w:val="0069792A"/>
    <w:rsid w:val="006A0A2E"/>
    <w:rsid w:val="006A2006"/>
    <w:rsid w:val="006A2599"/>
    <w:rsid w:val="006A307E"/>
    <w:rsid w:val="006A371C"/>
    <w:rsid w:val="006A4783"/>
    <w:rsid w:val="006A4954"/>
    <w:rsid w:val="006A517A"/>
    <w:rsid w:val="006A6A95"/>
    <w:rsid w:val="006B348C"/>
    <w:rsid w:val="006B4274"/>
    <w:rsid w:val="006B44B1"/>
    <w:rsid w:val="006B6C9D"/>
    <w:rsid w:val="006B7475"/>
    <w:rsid w:val="006C0415"/>
    <w:rsid w:val="006C0675"/>
    <w:rsid w:val="006C0828"/>
    <w:rsid w:val="006C127E"/>
    <w:rsid w:val="006C1F9D"/>
    <w:rsid w:val="006C4416"/>
    <w:rsid w:val="006C4938"/>
    <w:rsid w:val="006C4F48"/>
    <w:rsid w:val="006C5024"/>
    <w:rsid w:val="006C5B6E"/>
    <w:rsid w:val="006D04CC"/>
    <w:rsid w:val="006D1D00"/>
    <w:rsid w:val="006D1DED"/>
    <w:rsid w:val="006D2ED2"/>
    <w:rsid w:val="006D35F5"/>
    <w:rsid w:val="006D362C"/>
    <w:rsid w:val="006D5880"/>
    <w:rsid w:val="006D67B5"/>
    <w:rsid w:val="006D764B"/>
    <w:rsid w:val="006D79A2"/>
    <w:rsid w:val="006E0063"/>
    <w:rsid w:val="006E01A3"/>
    <w:rsid w:val="006E049B"/>
    <w:rsid w:val="006E14ED"/>
    <w:rsid w:val="006E3FC3"/>
    <w:rsid w:val="006E4850"/>
    <w:rsid w:val="006E4F86"/>
    <w:rsid w:val="006E5251"/>
    <w:rsid w:val="006E5A07"/>
    <w:rsid w:val="006E6423"/>
    <w:rsid w:val="006E6AAC"/>
    <w:rsid w:val="006E6D40"/>
    <w:rsid w:val="006E7D0A"/>
    <w:rsid w:val="006E7FF0"/>
    <w:rsid w:val="006F16BF"/>
    <w:rsid w:val="006F1893"/>
    <w:rsid w:val="006F18FF"/>
    <w:rsid w:val="006F2099"/>
    <w:rsid w:val="006F23C2"/>
    <w:rsid w:val="006F4022"/>
    <w:rsid w:val="006F5A72"/>
    <w:rsid w:val="006F6024"/>
    <w:rsid w:val="006F6397"/>
    <w:rsid w:val="006F6816"/>
    <w:rsid w:val="006F783B"/>
    <w:rsid w:val="006F7D71"/>
    <w:rsid w:val="006F7F6E"/>
    <w:rsid w:val="00701681"/>
    <w:rsid w:val="0070252D"/>
    <w:rsid w:val="0070449E"/>
    <w:rsid w:val="00705F04"/>
    <w:rsid w:val="00705FF5"/>
    <w:rsid w:val="00706929"/>
    <w:rsid w:val="00707488"/>
    <w:rsid w:val="00707CCC"/>
    <w:rsid w:val="007124C0"/>
    <w:rsid w:val="00714776"/>
    <w:rsid w:val="0071735D"/>
    <w:rsid w:val="00720962"/>
    <w:rsid w:val="00721B43"/>
    <w:rsid w:val="0072305A"/>
    <w:rsid w:val="007238E1"/>
    <w:rsid w:val="00723E53"/>
    <w:rsid w:val="007245B2"/>
    <w:rsid w:val="0072495D"/>
    <w:rsid w:val="00724DB8"/>
    <w:rsid w:val="007255E8"/>
    <w:rsid w:val="00727544"/>
    <w:rsid w:val="00727592"/>
    <w:rsid w:val="00727A77"/>
    <w:rsid w:val="00731005"/>
    <w:rsid w:val="007316F6"/>
    <w:rsid w:val="007325E6"/>
    <w:rsid w:val="00732A9C"/>
    <w:rsid w:val="0073351F"/>
    <w:rsid w:val="00733B42"/>
    <w:rsid w:val="00733F79"/>
    <w:rsid w:val="00735EEC"/>
    <w:rsid w:val="007376E1"/>
    <w:rsid w:val="00737F07"/>
    <w:rsid w:val="00737FB5"/>
    <w:rsid w:val="00740276"/>
    <w:rsid w:val="00742581"/>
    <w:rsid w:val="007425A6"/>
    <w:rsid w:val="00743163"/>
    <w:rsid w:val="00744E57"/>
    <w:rsid w:val="00745270"/>
    <w:rsid w:val="00745F47"/>
    <w:rsid w:val="00750205"/>
    <w:rsid w:val="00751265"/>
    <w:rsid w:val="007527F0"/>
    <w:rsid w:val="00752EAA"/>
    <w:rsid w:val="007537BB"/>
    <w:rsid w:val="007565D0"/>
    <w:rsid w:val="00761276"/>
    <w:rsid w:val="00762230"/>
    <w:rsid w:val="00764814"/>
    <w:rsid w:val="00764D7D"/>
    <w:rsid w:val="007650F0"/>
    <w:rsid w:val="00765A78"/>
    <w:rsid w:val="00766FA9"/>
    <w:rsid w:val="00766FC5"/>
    <w:rsid w:val="007706D3"/>
    <w:rsid w:val="00770BBB"/>
    <w:rsid w:val="00773841"/>
    <w:rsid w:val="00775F5C"/>
    <w:rsid w:val="00777B42"/>
    <w:rsid w:val="00777CCD"/>
    <w:rsid w:val="00780540"/>
    <w:rsid w:val="007807BF"/>
    <w:rsid w:val="00781CF0"/>
    <w:rsid w:val="00782656"/>
    <w:rsid w:val="0078279C"/>
    <w:rsid w:val="00784FC3"/>
    <w:rsid w:val="00785FBF"/>
    <w:rsid w:val="00786148"/>
    <w:rsid w:val="00786E99"/>
    <w:rsid w:val="007911EA"/>
    <w:rsid w:val="00791377"/>
    <w:rsid w:val="00791491"/>
    <w:rsid w:val="00791EEA"/>
    <w:rsid w:val="00794A07"/>
    <w:rsid w:val="00794DAC"/>
    <w:rsid w:val="00795A9A"/>
    <w:rsid w:val="00796CA0"/>
    <w:rsid w:val="007974DD"/>
    <w:rsid w:val="007A0729"/>
    <w:rsid w:val="007A0CAE"/>
    <w:rsid w:val="007A2DE4"/>
    <w:rsid w:val="007A3C2D"/>
    <w:rsid w:val="007A3FED"/>
    <w:rsid w:val="007A4379"/>
    <w:rsid w:val="007A50F8"/>
    <w:rsid w:val="007A53C4"/>
    <w:rsid w:val="007A5937"/>
    <w:rsid w:val="007A66E6"/>
    <w:rsid w:val="007B25F2"/>
    <w:rsid w:val="007B400F"/>
    <w:rsid w:val="007B5C0C"/>
    <w:rsid w:val="007C0222"/>
    <w:rsid w:val="007C0F0A"/>
    <w:rsid w:val="007C1CF1"/>
    <w:rsid w:val="007C2F52"/>
    <w:rsid w:val="007C3387"/>
    <w:rsid w:val="007C3D4B"/>
    <w:rsid w:val="007C3EEC"/>
    <w:rsid w:val="007C40E2"/>
    <w:rsid w:val="007C4625"/>
    <w:rsid w:val="007C4844"/>
    <w:rsid w:val="007C4E8C"/>
    <w:rsid w:val="007C5173"/>
    <w:rsid w:val="007C59C6"/>
    <w:rsid w:val="007C6E0F"/>
    <w:rsid w:val="007C77ED"/>
    <w:rsid w:val="007D0FE2"/>
    <w:rsid w:val="007D2BDB"/>
    <w:rsid w:val="007D2EB5"/>
    <w:rsid w:val="007D4ABB"/>
    <w:rsid w:val="007D51FE"/>
    <w:rsid w:val="007D540D"/>
    <w:rsid w:val="007D5840"/>
    <w:rsid w:val="007D5DA2"/>
    <w:rsid w:val="007D6B3A"/>
    <w:rsid w:val="007E06D9"/>
    <w:rsid w:val="007E378D"/>
    <w:rsid w:val="007E421E"/>
    <w:rsid w:val="007E454E"/>
    <w:rsid w:val="007E6839"/>
    <w:rsid w:val="007F1943"/>
    <w:rsid w:val="007F1C85"/>
    <w:rsid w:val="007F204A"/>
    <w:rsid w:val="007F27EE"/>
    <w:rsid w:val="007F2E56"/>
    <w:rsid w:val="007F3EC2"/>
    <w:rsid w:val="007F504A"/>
    <w:rsid w:val="007F581E"/>
    <w:rsid w:val="007F5F90"/>
    <w:rsid w:val="00800779"/>
    <w:rsid w:val="00800C5B"/>
    <w:rsid w:val="00807CD9"/>
    <w:rsid w:val="008108DE"/>
    <w:rsid w:val="0081123D"/>
    <w:rsid w:val="00812757"/>
    <w:rsid w:val="00813007"/>
    <w:rsid w:val="00814692"/>
    <w:rsid w:val="00822470"/>
    <w:rsid w:val="00823035"/>
    <w:rsid w:val="00831698"/>
    <w:rsid w:val="00831C99"/>
    <w:rsid w:val="00831F90"/>
    <w:rsid w:val="00832088"/>
    <w:rsid w:val="00832949"/>
    <w:rsid w:val="00832BD0"/>
    <w:rsid w:val="00833198"/>
    <w:rsid w:val="0083391B"/>
    <w:rsid w:val="00834C7B"/>
    <w:rsid w:val="00841420"/>
    <w:rsid w:val="00841BBE"/>
    <w:rsid w:val="00841F02"/>
    <w:rsid w:val="00842723"/>
    <w:rsid w:val="00842AD2"/>
    <w:rsid w:val="00843E1E"/>
    <w:rsid w:val="008440DD"/>
    <w:rsid w:val="00844300"/>
    <w:rsid w:val="00845848"/>
    <w:rsid w:val="00847CE2"/>
    <w:rsid w:val="00847E96"/>
    <w:rsid w:val="008504EB"/>
    <w:rsid w:val="00852091"/>
    <w:rsid w:val="008557DC"/>
    <w:rsid w:val="00855C41"/>
    <w:rsid w:val="00855F57"/>
    <w:rsid w:val="00855F73"/>
    <w:rsid w:val="008569D5"/>
    <w:rsid w:val="008577F5"/>
    <w:rsid w:val="008578E0"/>
    <w:rsid w:val="00861D48"/>
    <w:rsid w:val="008620F0"/>
    <w:rsid w:val="0086223B"/>
    <w:rsid w:val="008628EA"/>
    <w:rsid w:val="008635A3"/>
    <w:rsid w:val="00865992"/>
    <w:rsid w:val="008667A6"/>
    <w:rsid w:val="0086716D"/>
    <w:rsid w:val="00867D09"/>
    <w:rsid w:val="00870127"/>
    <w:rsid w:val="00870D60"/>
    <w:rsid w:val="008718C7"/>
    <w:rsid w:val="00873758"/>
    <w:rsid w:val="0087382C"/>
    <w:rsid w:val="00873E61"/>
    <w:rsid w:val="008748B8"/>
    <w:rsid w:val="00875828"/>
    <w:rsid w:val="00877FF1"/>
    <w:rsid w:val="008818F4"/>
    <w:rsid w:val="008839B6"/>
    <w:rsid w:val="00884A92"/>
    <w:rsid w:val="008858FB"/>
    <w:rsid w:val="00887F52"/>
    <w:rsid w:val="00891A1F"/>
    <w:rsid w:val="00893277"/>
    <w:rsid w:val="008935D3"/>
    <w:rsid w:val="008940A2"/>
    <w:rsid w:val="00894608"/>
    <w:rsid w:val="008949E1"/>
    <w:rsid w:val="00896360"/>
    <w:rsid w:val="00896416"/>
    <w:rsid w:val="0089785F"/>
    <w:rsid w:val="008A0055"/>
    <w:rsid w:val="008A25EF"/>
    <w:rsid w:val="008A2C2C"/>
    <w:rsid w:val="008A33B8"/>
    <w:rsid w:val="008A56DD"/>
    <w:rsid w:val="008A5E28"/>
    <w:rsid w:val="008A6891"/>
    <w:rsid w:val="008A7BDC"/>
    <w:rsid w:val="008B189D"/>
    <w:rsid w:val="008B1A9D"/>
    <w:rsid w:val="008B25D3"/>
    <w:rsid w:val="008B3133"/>
    <w:rsid w:val="008B49F1"/>
    <w:rsid w:val="008B5685"/>
    <w:rsid w:val="008B6146"/>
    <w:rsid w:val="008B6AE1"/>
    <w:rsid w:val="008B7E44"/>
    <w:rsid w:val="008C18E9"/>
    <w:rsid w:val="008C347C"/>
    <w:rsid w:val="008C4A71"/>
    <w:rsid w:val="008C51DB"/>
    <w:rsid w:val="008C66FC"/>
    <w:rsid w:val="008C688F"/>
    <w:rsid w:val="008C7B83"/>
    <w:rsid w:val="008C7F68"/>
    <w:rsid w:val="008D0182"/>
    <w:rsid w:val="008D0CD7"/>
    <w:rsid w:val="008D2A94"/>
    <w:rsid w:val="008D3288"/>
    <w:rsid w:val="008D353F"/>
    <w:rsid w:val="008D4D88"/>
    <w:rsid w:val="008D4DD4"/>
    <w:rsid w:val="008D5281"/>
    <w:rsid w:val="008D5A35"/>
    <w:rsid w:val="008D7118"/>
    <w:rsid w:val="008D7743"/>
    <w:rsid w:val="008D7937"/>
    <w:rsid w:val="008D799E"/>
    <w:rsid w:val="008D7A1E"/>
    <w:rsid w:val="008E1C5F"/>
    <w:rsid w:val="008E34B5"/>
    <w:rsid w:val="008E3614"/>
    <w:rsid w:val="008E38C6"/>
    <w:rsid w:val="008E44CB"/>
    <w:rsid w:val="008E4619"/>
    <w:rsid w:val="008E4C02"/>
    <w:rsid w:val="008E68AC"/>
    <w:rsid w:val="008F0510"/>
    <w:rsid w:val="008F0879"/>
    <w:rsid w:val="008F2E83"/>
    <w:rsid w:val="008F2F59"/>
    <w:rsid w:val="008F4009"/>
    <w:rsid w:val="008F69A3"/>
    <w:rsid w:val="008F7075"/>
    <w:rsid w:val="009004B9"/>
    <w:rsid w:val="009006A5"/>
    <w:rsid w:val="00902F5D"/>
    <w:rsid w:val="00903597"/>
    <w:rsid w:val="009040E1"/>
    <w:rsid w:val="009044AA"/>
    <w:rsid w:val="00904914"/>
    <w:rsid w:val="00905027"/>
    <w:rsid w:val="00905AB0"/>
    <w:rsid w:val="009066FA"/>
    <w:rsid w:val="00910034"/>
    <w:rsid w:val="009114E1"/>
    <w:rsid w:val="0091224D"/>
    <w:rsid w:val="00912F89"/>
    <w:rsid w:val="0091318F"/>
    <w:rsid w:val="009137F7"/>
    <w:rsid w:val="00913BFE"/>
    <w:rsid w:val="00913CFE"/>
    <w:rsid w:val="00914746"/>
    <w:rsid w:val="0091520C"/>
    <w:rsid w:val="00916677"/>
    <w:rsid w:val="009169A8"/>
    <w:rsid w:val="00916EF2"/>
    <w:rsid w:val="00916F46"/>
    <w:rsid w:val="0092101C"/>
    <w:rsid w:val="00921D1F"/>
    <w:rsid w:val="0092632E"/>
    <w:rsid w:val="00926609"/>
    <w:rsid w:val="00927A52"/>
    <w:rsid w:val="00927EF1"/>
    <w:rsid w:val="00930863"/>
    <w:rsid w:val="0093147F"/>
    <w:rsid w:val="0093241D"/>
    <w:rsid w:val="00933746"/>
    <w:rsid w:val="009348B3"/>
    <w:rsid w:val="00936068"/>
    <w:rsid w:val="009363AF"/>
    <w:rsid w:val="0093757D"/>
    <w:rsid w:val="00940EBB"/>
    <w:rsid w:val="00941027"/>
    <w:rsid w:val="00944A22"/>
    <w:rsid w:val="00944CD2"/>
    <w:rsid w:val="00946FB7"/>
    <w:rsid w:val="009502BF"/>
    <w:rsid w:val="0095032A"/>
    <w:rsid w:val="00950681"/>
    <w:rsid w:val="009518A4"/>
    <w:rsid w:val="009518C3"/>
    <w:rsid w:val="00951FAC"/>
    <w:rsid w:val="00953572"/>
    <w:rsid w:val="00954349"/>
    <w:rsid w:val="00955596"/>
    <w:rsid w:val="00956F64"/>
    <w:rsid w:val="00957131"/>
    <w:rsid w:val="00960D99"/>
    <w:rsid w:val="00961756"/>
    <w:rsid w:val="0096180C"/>
    <w:rsid w:val="00961E5B"/>
    <w:rsid w:val="00962AD9"/>
    <w:rsid w:val="00962FB2"/>
    <w:rsid w:val="00963216"/>
    <w:rsid w:val="0096442A"/>
    <w:rsid w:val="0096592A"/>
    <w:rsid w:val="0096649F"/>
    <w:rsid w:val="00966BCD"/>
    <w:rsid w:val="0096784F"/>
    <w:rsid w:val="009720F3"/>
    <w:rsid w:val="00972A16"/>
    <w:rsid w:val="00974E66"/>
    <w:rsid w:val="00976978"/>
    <w:rsid w:val="009771A7"/>
    <w:rsid w:val="009808CA"/>
    <w:rsid w:val="009810AC"/>
    <w:rsid w:val="00984177"/>
    <w:rsid w:val="00984234"/>
    <w:rsid w:val="0098484A"/>
    <w:rsid w:val="00987029"/>
    <w:rsid w:val="009906F9"/>
    <w:rsid w:val="009910EC"/>
    <w:rsid w:val="00993A69"/>
    <w:rsid w:val="0099457B"/>
    <w:rsid w:val="009956AE"/>
    <w:rsid w:val="009975DC"/>
    <w:rsid w:val="00997BCD"/>
    <w:rsid w:val="009A2770"/>
    <w:rsid w:val="009A2994"/>
    <w:rsid w:val="009A5478"/>
    <w:rsid w:val="009A61B5"/>
    <w:rsid w:val="009A7D4C"/>
    <w:rsid w:val="009B1E26"/>
    <w:rsid w:val="009B23E3"/>
    <w:rsid w:val="009B2FDB"/>
    <w:rsid w:val="009B370A"/>
    <w:rsid w:val="009B3BA4"/>
    <w:rsid w:val="009B3EB2"/>
    <w:rsid w:val="009B3FE4"/>
    <w:rsid w:val="009B46B1"/>
    <w:rsid w:val="009B4A05"/>
    <w:rsid w:val="009B596D"/>
    <w:rsid w:val="009B6181"/>
    <w:rsid w:val="009B62E1"/>
    <w:rsid w:val="009C0390"/>
    <w:rsid w:val="009C04AA"/>
    <w:rsid w:val="009C068E"/>
    <w:rsid w:val="009C0A31"/>
    <w:rsid w:val="009C101E"/>
    <w:rsid w:val="009C190C"/>
    <w:rsid w:val="009C3268"/>
    <w:rsid w:val="009C3718"/>
    <w:rsid w:val="009C4BCF"/>
    <w:rsid w:val="009C5C20"/>
    <w:rsid w:val="009D0048"/>
    <w:rsid w:val="009D13CA"/>
    <w:rsid w:val="009D2271"/>
    <w:rsid w:val="009D2811"/>
    <w:rsid w:val="009D3EA3"/>
    <w:rsid w:val="009D6147"/>
    <w:rsid w:val="009D7B73"/>
    <w:rsid w:val="009E01F2"/>
    <w:rsid w:val="009E04BB"/>
    <w:rsid w:val="009E066D"/>
    <w:rsid w:val="009E0913"/>
    <w:rsid w:val="009E09F3"/>
    <w:rsid w:val="009E19C9"/>
    <w:rsid w:val="009E57EA"/>
    <w:rsid w:val="009E5A8E"/>
    <w:rsid w:val="009E5F8D"/>
    <w:rsid w:val="009E6CCE"/>
    <w:rsid w:val="009E74A1"/>
    <w:rsid w:val="009E74E5"/>
    <w:rsid w:val="009F05AD"/>
    <w:rsid w:val="009F200A"/>
    <w:rsid w:val="009F2A53"/>
    <w:rsid w:val="009F4BE1"/>
    <w:rsid w:val="009F4E87"/>
    <w:rsid w:val="009F5AA8"/>
    <w:rsid w:val="009F5F54"/>
    <w:rsid w:val="009F64FE"/>
    <w:rsid w:val="009F7131"/>
    <w:rsid w:val="00A0064D"/>
    <w:rsid w:val="00A01FBB"/>
    <w:rsid w:val="00A02552"/>
    <w:rsid w:val="00A02C0A"/>
    <w:rsid w:val="00A04107"/>
    <w:rsid w:val="00A0433F"/>
    <w:rsid w:val="00A0445A"/>
    <w:rsid w:val="00A04A11"/>
    <w:rsid w:val="00A054E3"/>
    <w:rsid w:val="00A06F75"/>
    <w:rsid w:val="00A07BEE"/>
    <w:rsid w:val="00A1058D"/>
    <w:rsid w:val="00A10A26"/>
    <w:rsid w:val="00A11657"/>
    <w:rsid w:val="00A117F6"/>
    <w:rsid w:val="00A13550"/>
    <w:rsid w:val="00A13880"/>
    <w:rsid w:val="00A1405D"/>
    <w:rsid w:val="00A14C3C"/>
    <w:rsid w:val="00A15213"/>
    <w:rsid w:val="00A1726C"/>
    <w:rsid w:val="00A17826"/>
    <w:rsid w:val="00A20DDE"/>
    <w:rsid w:val="00A21B13"/>
    <w:rsid w:val="00A22743"/>
    <w:rsid w:val="00A23D19"/>
    <w:rsid w:val="00A25BFD"/>
    <w:rsid w:val="00A25E01"/>
    <w:rsid w:val="00A26610"/>
    <w:rsid w:val="00A2703A"/>
    <w:rsid w:val="00A27F77"/>
    <w:rsid w:val="00A3128C"/>
    <w:rsid w:val="00A31F8B"/>
    <w:rsid w:val="00A32092"/>
    <w:rsid w:val="00A322CA"/>
    <w:rsid w:val="00A32E2C"/>
    <w:rsid w:val="00A339A9"/>
    <w:rsid w:val="00A33E97"/>
    <w:rsid w:val="00A35B22"/>
    <w:rsid w:val="00A36808"/>
    <w:rsid w:val="00A37463"/>
    <w:rsid w:val="00A375F6"/>
    <w:rsid w:val="00A37B5C"/>
    <w:rsid w:val="00A433A2"/>
    <w:rsid w:val="00A43EC3"/>
    <w:rsid w:val="00A44E9E"/>
    <w:rsid w:val="00A4548D"/>
    <w:rsid w:val="00A457A3"/>
    <w:rsid w:val="00A475ED"/>
    <w:rsid w:val="00A47839"/>
    <w:rsid w:val="00A50FC7"/>
    <w:rsid w:val="00A5225D"/>
    <w:rsid w:val="00A532FB"/>
    <w:rsid w:val="00A54189"/>
    <w:rsid w:val="00A549DB"/>
    <w:rsid w:val="00A55517"/>
    <w:rsid w:val="00A563A6"/>
    <w:rsid w:val="00A57300"/>
    <w:rsid w:val="00A57330"/>
    <w:rsid w:val="00A6006D"/>
    <w:rsid w:val="00A62179"/>
    <w:rsid w:val="00A63B7B"/>
    <w:rsid w:val="00A6500C"/>
    <w:rsid w:val="00A65032"/>
    <w:rsid w:val="00A65324"/>
    <w:rsid w:val="00A65AE5"/>
    <w:rsid w:val="00A65B77"/>
    <w:rsid w:val="00A65D4A"/>
    <w:rsid w:val="00A65EC3"/>
    <w:rsid w:val="00A676E6"/>
    <w:rsid w:val="00A70B8E"/>
    <w:rsid w:val="00A70BC5"/>
    <w:rsid w:val="00A70C0A"/>
    <w:rsid w:val="00A70FDB"/>
    <w:rsid w:val="00A73E43"/>
    <w:rsid w:val="00A756C2"/>
    <w:rsid w:val="00A75AF2"/>
    <w:rsid w:val="00A76D63"/>
    <w:rsid w:val="00A776E2"/>
    <w:rsid w:val="00A77AB5"/>
    <w:rsid w:val="00A80473"/>
    <w:rsid w:val="00A809B9"/>
    <w:rsid w:val="00A8123D"/>
    <w:rsid w:val="00A83156"/>
    <w:rsid w:val="00A83537"/>
    <w:rsid w:val="00A83BC0"/>
    <w:rsid w:val="00A85CE9"/>
    <w:rsid w:val="00A862DC"/>
    <w:rsid w:val="00A87E3C"/>
    <w:rsid w:val="00A90247"/>
    <w:rsid w:val="00A91685"/>
    <w:rsid w:val="00A91F70"/>
    <w:rsid w:val="00A93607"/>
    <w:rsid w:val="00A94AC6"/>
    <w:rsid w:val="00A9700A"/>
    <w:rsid w:val="00A975FF"/>
    <w:rsid w:val="00AA12E0"/>
    <w:rsid w:val="00AA30D9"/>
    <w:rsid w:val="00AA32A0"/>
    <w:rsid w:val="00AA40A5"/>
    <w:rsid w:val="00AA47FE"/>
    <w:rsid w:val="00AA480B"/>
    <w:rsid w:val="00AA6B74"/>
    <w:rsid w:val="00AB0C24"/>
    <w:rsid w:val="00AB0F88"/>
    <w:rsid w:val="00AB1153"/>
    <w:rsid w:val="00AB1FBA"/>
    <w:rsid w:val="00AB345C"/>
    <w:rsid w:val="00AB3D45"/>
    <w:rsid w:val="00AB531D"/>
    <w:rsid w:val="00AB7322"/>
    <w:rsid w:val="00AC050E"/>
    <w:rsid w:val="00AC09C0"/>
    <w:rsid w:val="00AC1B87"/>
    <w:rsid w:val="00AC278E"/>
    <w:rsid w:val="00AC2B1C"/>
    <w:rsid w:val="00AC37E1"/>
    <w:rsid w:val="00AC5592"/>
    <w:rsid w:val="00AC55FD"/>
    <w:rsid w:val="00AC5F64"/>
    <w:rsid w:val="00AC75DA"/>
    <w:rsid w:val="00AC7AA3"/>
    <w:rsid w:val="00AC7F86"/>
    <w:rsid w:val="00AD0288"/>
    <w:rsid w:val="00AD1F99"/>
    <w:rsid w:val="00AD217D"/>
    <w:rsid w:val="00AD2659"/>
    <w:rsid w:val="00AD283B"/>
    <w:rsid w:val="00AD2974"/>
    <w:rsid w:val="00AD3EE5"/>
    <w:rsid w:val="00AD41EC"/>
    <w:rsid w:val="00AD7362"/>
    <w:rsid w:val="00AD7605"/>
    <w:rsid w:val="00AE054A"/>
    <w:rsid w:val="00AE100B"/>
    <w:rsid w:val="00AE14D9"/>
    <w:rsid w:val="00AE1AB7"/>
    <w:rsid w:val="00AE1E65"/>
    <w:rsid w:val="00AE329E"/>
    <w:rsid w:val="00AE4F02"/>
    <w:rsid w:val="00AF1812"/>
    <w:rsid w:val="00AF20EC"/>
    <w:rsid w:val="00AF2D87"/>
    <w:rsid w:val="00AF3B0D"/>
    <w:rsid w:val="00AF591D"/>
    <w:rsid w:val="00AF5B05"/>
    <w:rsid w:val="00AF621D"/>
    <w:rsid w:val="00AF73D4"/>
    <w:rsid w:val="00B013C3"/>
    <w:rsid w:val="00B01C65"/>
    <w:rsid w:val="00B03A09"/>
    <w:rsid w:val="00B03D8C"/>
    <w:rsid w:val="00B05A41"/>
    <w:rsid w:val="00B079E6"/>
    <w:rsid w:val="00B1079D"/>
    <w:rsid w:val="00B12033"/>
    <w:rsid w:val="00B128CF"/>
    <w:rsid w:val="00B13565"/>
    <w:rsid w:val="00B13C57"/>
    <w:rsid w:val="00B14F52"/>
    <w:rsid w:val="00B174E4"/>
    <w:rsid w:val="00B175B2"/>
    <w:rsid w:val="00B20CF3"/>
    <w:rsid w:val="00B225F9"/>
    <w:rsid w:val="00B244BC"/>
    <w:rsid w:val="00B248A5"/>
    <w:rsid w:val="00B24B99"/>
    <w:rsid w:val="00B25B25"/>
    <w:rsid w:val="00B26254"/>
    <w:rsid w:val="00B2662C"/>
    <w:rsid w:val="00B266C6"/>
    <w:rsid w:val="00B27681"/>
    <w:rsid w:val="00B3175C"/>
    <w:rsid w:val="00B31DD6"/>
    <w:rsid w:val="00B36154"/>
    <w:rsid w:val="00B3655E"/>
    <w:rsid w:val="00B379C6"/>
    <w:rsid w:val="00B4138A"/>
    <w:rsid w:val="00B423EA"/>
    <w:rsid w:val="00B43564"/>
    <w:rsid w:val="00B436E2"/>
    <w:rsid w:val="00B440F4"/>
    <w:rsid w:val="00B44821"/>
    <w:rsid w:val="00B44A4D"/>
    <w:rsid w:val="00B47797"/>
    <w:rsid w:val="00B47842"/>
    <w:rsid w:val="00B47A7F"/>
    <w:rsid w:val="00B47CED"/>
    <w:rsid w:val="00B47E26"/>
    <w:rsid w:val="00B50A58"/>
    <w:rsid w:val="00B521E3"/>
    <w:rsid w:val="00B528A2"/>
    <w:rsid w:val="00B53303"/>
    <w:rsid w:val="00B54134"/>
    <w:rsid w:val="00B5476B"/>
    <w:rsid w:val="00B54A46"/>
    <w:rsid w:val="00B5561B"/>
    <w:rsid w:val="00B55B0D"/>
    <w:rsid w:val="00B5604C"/>
    <w:rsid w:val="00B57050"/>
    <w:rsid w:val="00B6155E"/>
    <w:rsid w:val="00B62032"/>
    <w:rsid w:val="00B623EF"/>
    <w:rsid w:val="00B62892"/>
    <w:rsid w:val="00B63199"/>
    <w:rsid w:val="00B66C86"/>
    <w:rsid w:val="00B70CE7"/>
    <w:rsid w:val="00B71B5C"/>
    <w:rsid w:val="00B72335"/>
    <w:rsid w:val="00B73A89"/>
    <w:rsid w:val="00B73E46"/>
    <w:rsid w:val="00B751C0"/>
    <w:rsid w:val="00B752FA"/>
    <w:rsid w:val="00B75625"/>
    <w:rsid w:val="00B75710"/>
    <w:rsid w:val="00B75BB4"/>
    <w:rsid w:val="00B75E36"/>
    <w:rsid w:val="00B75E59"/>
    <w:rsid w:val="00B76946"/>
    <w:rsid w:val="00B76A6F"/>
    <w:rsid w:val="00B772EB"/>
    <w:rsid w:val="00B77EBE"/>
    <w:rsid w:val="00B80AA2"/>
    <w:rsid w:val="00B80AB3"/>
    <w:rsid w:val="00B81F2F"/>
    <w:rsid w:val="00B828D6"/>
    <w:rsid w:val="00B84D84"/>
    <w:rsid w:val="00B8583F"/>
    <w:rsid w:val="00B86967"/>
    <w:rsid w:val="00B87205"/>
    <w:rsid w:val="00B914FE"/>
    <w:rsid w:val="00B917BD"/>
    <w:rsid w:val="00B91CC8"/>
    <w:rsid w:val="00B91D55"/>
    <w:rsid w:val="00B925D4"/>
    <w:rsid w:val="00B92BE7"/>
    <w:rsid w:val="00B96996"/>
    <w:rsid w:val="00B96A73"/>
    <w:rsid w:val="00B96B9C"/>
    <w:rsid w:val="00B97268"/>
    <w:rsid w:val="00B97772"/>
    <w:rsid w:val="00BA148B"/>
    <w:rsid w:val="00BA4279"/>
    <w:rsid w:val="00BA4734"/>
    <w:rsid w:val="00BA55DB"/>
    <w:rsid w:val="00BA6CD5"/>
    <w:rsid w:val="00BB02A0"/>
    <w:rsid w:val="00BB3D64"/>
    <w:rsid w:val="00BB452C"/>
    <w:rsid w:val="00BB5C47"/>
    <w:rsid w:val="00BB7989"/>
    <w:rsid w:val="00BC02E9"/>
    <w:rsid w:val="00BC0401"/>
    <w:rsid w:val="00BC0752"/>
    <w:rsid w:val="00BC30DD"/>
    <w:rsid w:val="00BC34BE"/>
    <w:rsid w:val="00BC551C"/>
    <w:rsid w:val="00BC64E4"/>
    <w:rsid w:val="00BC6BB8"/>
    <w:rsid w:val="00BC6C11"/>
    <w:rsid w:val="00BC7533"/>
    <w:rsid w:val="00BC7D44"/>
    <w:rsid w:val="00BD05CA"/>
    <w:rsid w:val="00BD143C"/>
    <w:rsid w:val="00BD3BC6"/>
    <w:rsid w:val="00BD417C"/>
    <w:rsid w:val="00BD4477"/>
    <w:rsid w:val="00BD68DA"/>
    <w:rsid w:val="00BE170B"/>
    <w:rsid w:val="00BE1AFC"/>
    <w:rsid w:val="00BE4BAE"/>
    <w:rsid w:val="00BE51AA"/>
    <w:rsid w:val="00BE5374"/>
    <w:rsid w:val="00BE5F83"/>
    <w:rsid w:val="00BF00AA"/>
    <w:rsid w:val="00BF0B50"/>
    <w:rsid w:val="00BF0C04"/>
    <w:rsid w:val="00BF106A"/>
    <w:rsid w:val="00BF397A"/>
    <w:rsid w:val="00BF3C2A"/>
    <w:rsid w:val="00BF7956"/>
    <w:rsid w:val="00C0258E"/>
    <w:rsid w:val="00C05952"/>
    <w:rsid w:val="00C0705A"/>
    <w:rsid w:val="00C07308"/>
    <w:rsid w:val="00C10222"/>
    <w:rsid w:val="00C1262A"/>
    <w:rsid w:val="00C135A5"/>
    <w:rsid w:val="00C1364B"/>
    <w:rsid w:val="00C1376A"/>
    <w:rsid w:val="00C15500"/>
    <w:rsid w:val="00C170E5"/>
    <w:rsid w:val="00C179E0"/>
    <w:rsid w:val="00C208FA"/>
    <w:rsid w:val="00C21056"/>
    <w:rsid w:val="00C22771"/>
    <w:rsid w:val="00C22A6B"/>
    <w:rsid w:val="00C24FD4"/>
    <w:rsid w:val="00C253AA"/>
    <w:rsid w:val="00C26349"/>
    <w:rsid w:val="00C263D5"/>
    <w:rsid w:val="00C277EF"/>
    <w:rsid w:val="00C27B42"/>
    <w:rsid w:val="00C27B84"/>
    <w:rsid w:val="00C3147F"/>
    <w:rsid w:val="00C32936"/>
    <w:rsid w:val="00C33640"/>
    <w:rsid w:val="00C33B89"/>
    <w:rsid w:val="00C33C77"/>
    <w:rsid w:val="00C33F75"/>
    <w:rsid w:val="00C340C4"/>
    <w:rsid w:val="00C340CB"/>
    <w:rsid w:val="00C35FAC"/>
    <w:rsid w:val="00C36F4F"/>
    <w:rsid w:val="00C41C86"/>
    <w:rsid w:val="00C41D7E"/>
    <w:rsid w:val="00C426B2"/>
    <w:rsid w:val="00C4345E"/>
    <w:rsid w:val="00C44122"/>
    <w:rsid w:val="00C45D7D"/>
    <w:rsid w:val="00C46BB6"/>
    <w:rsid w:val="00C46F42"/>
    <w:rsid w:val="00C47C78"/>
    <w:rsid w:val="00C51860"/>
    <w:rsid w:val="00C5250C"/>
    <w:rsid w:val="00C54AAC"/>
    <w:rsid w:val="00C5523E"/>
    <w:rsid w:val="00C55BE6"/>
    <w:rsid w:val="00C57E3D"/>
    <w:rsid w:val="00C61675"/>
    <w:rsid w:val="00C61D7F"/>
    <w:rsid w:val="00C6232D"/>
    <w:rsid w:val="00C62D23"/>
    <w:rsid w:val="00C632BC"/>
    <w:rsid w:val="00C66E14"/>
    <w:rsid w:val="00C67461"/>
    <w:rsid w:val="00C67B38"/>
    <w:rsid w:val="00C7140E"/>
    <w:rsid w:val="00C716B4"/>
    <w:rsid w:val="00C723A4"/>
    <w:rsid w:val="00C73154"/>
    <w:rsid w:val="00C73399"/>
    <w:rsid w:val="00C74259"/>
    <w:rsid w:val="00C779C2"/>
    <w:rsid w:val="00C77C44"/>
    <w:rsid w:val="00C80632"/>
    <w:rsid w:val="00C8206D"/>
    <w:rsid w:val="00C82314"/>
    <w:rsid w:val="00C8231A"/>
    <w:rsid w:val="00C840AB"/>
    <w:rsid w:val="00C85C23"/>
    <w:rsid w:val="00C86B6B"/>
    <w:rsid w:val="00C90220"/>
    <w:rsid w:val="00C9025D"/>
    <w:rsid w:val="00C91759"/>
    <w:rsid w:val="00C91DC2"/>
    <w:rsid w:val="00C9311E"/>
    <w:rsid w:val="00C93717"/>
    <w:rsid w:val="00C94686"/>
    <w:rsid w:val="00C96346"/>
    <w:rsid w:val="00C96D97"/>
    <w:rsid w:val="00CA0036"/>
    <w:rsid w:val="00CA1F33"/>
    <w:rsid w:val="00CA3C09"/>
    <w:rsid w:val="00CA4A89"/>
    <w:rsid w:val="00CA4FCB"/>
    <w:rsid w:val="00CA5899"/>
    <w:rsid w:val="00CA590A"/>
    <w:rsid w:val="00CA6771"/>
    <w:rsid w:val="00CA7E25"/>
    <w:rsid w:val="00CB4DE5"/>
    <w:rsid w:val="00CB53B5"/>
    <w:rsid w:val="00CB54EC"/>
    <w:rsid w:val="00CB5823"/>
    <w:rsid w:val="00CB6C6D"/>
    <w:rsid w:val="00CB79D6"/>
    <w:rsid w:val="00CC0107"/>
    <w:rsid w:val="00CC071C"/>
    <w:rsid w:val="00CC0DC9"/>
    <w:rsid w:val="00CC0FEB"/>
    <w:rsid w:val="00CC2868"/>
    <w:rsid w:val="00CC2929"/>
    <w:rsid w:val="00CC323B"/>
    <w:rsid w:val="00CC662E"/>
    <w:rsid w:val="00CC7019"/>
    <w:rsid w:val="00CC7D4D"/>
    <w:rsid w:val="00CD0630"/>
    <w:rsid w:val="00CD0875"/>
    <w:rsid w:val="00CD1B21"/>
    <w:rsid w:val="00CD2570"/>
    <w:rsid w:val="00CD69D7"/>
    <w:rsid w:val="00CD7029"/>
    <w:rsid w:val="00CD72F7"/>
    <w:rsid w:val="00CD7F46"/>
    <w:rsid w:val="00CE04E0"/>
    <w:rsid w:val="00CE120E"/>
    <w:rsid w:val="00CE19AE"/>
    <w:rsid w:val="00CE1EA5"/>
    <w:rsid w:val="00CE3084"/>
    <w:rsid w:val="00CE3ED8"/>
    <w:rsid w:val="00CE4197"/>
    <w:rsid w:val="00CE49B2"/>
    <w:rsid w:val="00CE4BE8"/>
    <w:rsid w:val="00CE548E"/>
    <w:rsid w:val="00CE5D7D"/>
    <w:rsid w:val="00CE5E32"/>
    <w:rsid w:val="00CE5EF5"/>
    <w:rsid w:val="00CE68AE"/>
    <w:rsid w:val="00CE7872"/>
    <w:rsid w:val="00CE78C4"/>
    <w:rsid w:val="00CF0255"/>
    <w:rsid w:val="00CF0867"/>
    <w:rsid w:val="00CF0B50"/>
    <w:rsid w:val="00CF199C"/>
    <w:rsid w:val="00CF4442"/>
    <w:rsid w:val="00CF47E9"/>
    <w:rsid w:val="00CF75B2"/>
    <w:rsid w:val="00D01528"/>
    <w:rsid w:val="00D0323B"/>
    <w:rsid w:val="00D03882"/>
    <w:rsid w:val="00D04377"/>
    <w:rsid w:val="00D076B9"/>
    <w:rsid w:val="00D12A0E"/>
    <w:rsid w:val="00D1436E"/>
    <w:rsid w:val="00D149EB"/>
    <w:rsid w:val="00D14BA0"/>
    <w:rsid w:val="00D169DF"/>
    <w:rsid w:val="00D16D41"/>
    <w:rsid w:val="00D17DB3"/>
    <w:rsid w:val="00D21805"/>
    <w:rsid w:val="00D2208F"/>
    <w:rsid w:val="00D23469"/>
    <w:rsid w:val="00D235E7"/>
    <w:rsid w:val="00D279C8"/>
    <w:rsid w:val="00D3131E"/>
    <w:rsid w:val="00D3148A"/>
    <w:rsid w:val="00D31E55"/>
    <w:rsid w:val="00D33E37"/>
    <w:rsid w:val="00D3412E"/>
    <w:rsid w:val="00D3437D"/>
    <w:rsid w:val="00D367D6"/>
    <w:rsid w:val="00D40F52"/>
    <w:rsid w:val="00D41D77"/>
    <w:rsid w:val="00D4397B"/>
    <w:rsid w:val="00D4439A"/>
    <w:rsid w:val="00D465D8"/>
    <w:rsid w:val="00D46C37"/>
    <w:rsid w:val="00D50A5B"/>
    <w:rsid w:val="00D50F16"/>
    <w:rsid w:val="00D523D9"/>
    <w:rsid w:val="00D538BC"/>
    <w:rsid w:val="00D54146"/>
    <w:rsid w:val="00D5443B"/>
    <w:rsid w:val="00D55566"/>
    <w:rsid w:val="00D57625"/>
    <w:rsid w:val="00D579C8"/>
    <w:rsid w:val="00D609E5"/>
    <w:rsid w:val="00D60AF1"/>
    <w:rsid w:val="00D625FD"/>
    <w:rsid w:val="00D646B5"/>
    <w:rsid w:val="00D66E45"/>
    <w:rsid w:val="00D677F2"/>
    <w:rsid w:val="00D70DA0"/>
    <w:rsid w:val="00D72EEB"/>
    <w:rsid w:val="00D74553"/>
    <w:rsid w:val="00D755BF"/>
    <w:rsid w:val="00D75D87"/>
    <w:rsid w:val="00D765F6"/>
    <w:rsid w:val="00D776F1"/>
    <w:rsid w:val="00D82A31"/>
    <w:rsid w:val="00D83453"/>
    <w:rsid w:val="00D83E23"/>
    <w:rsid w:val="00D84CA3"/>
    <w:rsid w:val="00D85834"/>
    <w:rsid w:val="00D85874"/>
    <w:rsid w:val="00D86F5C"/>
    <w:rsid w:val="00D8750A"/>
    <w:rsid w:val="00D92135"/>
    <w:rsid w:val="00D92CD3"/>
    <w:rsid w:val="00D9333C"/>
    <w:rsid w:val="00D9422C"/>
    <w:rsid w:val="00D945A6"/>
    <w:rsid w:val="00D95214"/>
    <w:rsid w:val="00D95AD1"/>
    <w:rsid w:val="00DA0AAB"/>
    <w:rsid w:val="00DA101F"/>
    <w:rsid w:val="00DA1D4B"/>
    <w:rsid w:val="00DA3660"/>
    <w:rsid w:val="00DA37ED"/>
    <w:rsid w:val="00DA5186"/>
    <w:rsid w:val="00DA5909"/>
    <w:rsid w:val="00DA5E6C"/>
    <w:rsid w:val="00DA6D4D"/>
    <w:rsid w:val="00DB1D0A"/>
    <w:rsid w:val="00DB24A7"/>
    <w:rsid w:val="00DB24D5"/>
    <w:rsid w:val="00DB4E0F"/>
    <w:rsid w:val="00DB68F7"/>
    <w:rsid w:val="00DB7050"/>
    <w:rsid w:val="00DB7181"/>
    <w:rsid w:val="00DB7625"/>
    <w:rsid w:val="00DC2C61"/>
    <w:rsid w:val="00DC3C98"/>
    <w:rsid w:val="00DC4A09"/>
    <w:rsid w:val="00DC59A0"/>
    <w:rsid w:val="00DC629B"/>
    <w:rsid w:val="00DC753C"/>
    <w:rsid w:val="00DC784F"/>
    <w:rsid w:val="00DD0331"/>
    <w:rsid w:val="00DD0629"/>
    <w:rsid w:val="00DD0AAD"/>
    <w:rsid w:val="00DD1F9B"/>
    <w:rsid w:val="00DD2152"/>
    <w:rsid w:val="00DD21C0"/>
    <w:rsid w:val="00DD37AC"/>
    <w:rsid w:val="00DD3DBD"/>
    <w:rsid w:val="00DD4715"/>
    <w:rsid w:val="00DD7911"/>
    <w:rsid w:val="00DE0F22"/>
    <w:rsid w:val="00DE3569"/>
    <w:rsid w:val="00DE4463"/>
    <w:rsid w:val="00DE54F8"/>
    <w:rsid w:val="00DF01D9"/>
    <w:rsid w:val="00DF1897"/>
    <w:rsid w:val="00DF2EAE"/>
    <w:rsid w:val="00DF3842"/>
    <w:rsid w:val="00DF3E0F"/>
    <w:rsid w:val="00E02827"/>
    <w:rsid w:val="00E0466F"/>
    <w:rsid w:val="00E05816"/>
    <w:rsid w:val="00E06D51"/>
    <w:rsid w:val="00E0791F"/>
    <w:rsid w:val="00E1021D"/>
    <w:rsid w:val="00E1164A"/>
    <w:rsid w:val="00E11D4E"/>
    <w:rsid w:val="00E1218F"/>
    <w:rsid w:val="00E126BD"/>
    <w:rsid w:val="00E13305"/>
    <w:rsid w:val="00E13FB3"/>
    <w:rsid w:val="00E147F0"/>
    <w:rsid w:val="00E1522B"/>
    <w:rsid w:val="00E1678D"/>
    <w:rsid w:val="00E17AEF"/>
    <w:rsid w:val="00E17EEA"/>
    <w:rsid w:val="00E2147B"/>
    <w:rsid w:val="00E2292E"/>
    <w:rsid w:val="00E22F60"/>
    <w:rsid w:val="00E23993"/>
    <w:rsid w:val="00E25C16"/>
    <w:rsid w:val="00E25EC8"/>
    <w:rsid w:val="00E26D5C"/>
    <w:rsid w:val="00E26EDF"/>
    <w:rsid w:val="00E271C1"/>
    <w:rsid w:val="00E30576"/>
    <w:rsid w:val="00E30CEA"/>
    <w:rsid w:val="00E329AB"/>
    <w:rsid w:val="00E34A1C"/>
    <w:rsid w:val="00E34EF6"/>
    <w:rsid w:val="00E350C2"/>
    <w:rsid w:val="00E3620A"/>
    <w:rsid w:val="00E369F2"/>
    <w:rsid w:val="00E370AD"/>
    <w:rsid w:val="00E37692"/>
    <w:rsid w:val="00E40D24"/>
    <w:rsid w:val="00E41A5C"/>
    <w:rsid w:val="00E427B0"/>
    <w:rsid w:val="00E43500"/>
    <w:rsid w:val="00E453EB"/>
    <w:rsid w:val="00E46029"/>
    <w:rsid w:val="00E47C43"/>
    <w:rsid w:val="00E47FB3"/>
    <w:rsid w:val="00E52ED5"/>
    <w:rsid w:val="00E53E94"/>
    <w:rsid w:val="00E54424"/>
    <w:rsid w:val="00E54AF9"/>
    <w:rsid w:val="00E54BA0"/>
    <w:rsid w:val="00E55B79"/>
    <w:rsid w:val="00E56113"/>
    <w:rsid w:val="00E56487"/>
    <w:rsid w:val="00E57752"/>
    <w:rsid w:val="00E57DC6"/>
    <w:rsid w:val="00E60A26"/>
    <w:rsid w:val="00E60DD5"/>
    <w:rsid w:val="00E61B1D"/>
    <w:rsid w:val="00E620A0"/>
    <w:rsid w:val="00E6276D"/>
    <w:rsid w:val="00E62C4F"/>
    <w:rsid w:val="00E63841"/>
    <w:rsid w:val="00E63BF8"/>
    <w:rsid w:val="00E64358"/>
    <w:rsid w:val="00E650EE"/>
    <w:rsid w:val="00E6623D"/>
    <w:rsid w:val="00E66271"/>
    <w:rsid w:val="00E66CFA"/>
    <w:rsid w:val="00E67799"/>
    <w:rsid w:val="00E67BCC"/>
    <w:rsid w:val="00E70943"/>
    <w:rsid w:val="00E70AA9"/>
    <w:rsid w:val="00E715E7"/>
    <w:rsid w:val="00E72B08"/>
    <w:rsid w:val="00E75E5E"/>
    <w:rsid w:val="00E800E7"/>
    <w:rsid w:val="00E8083A"/>
    <w:rsid w:val="00E81A7B"/>
    <w:rsid w:val="00E8247D"/>
    <w:rsid w:val="00E82E8D"/>
    <w:rsid w:val="00E83024"/>
    <w:rsid w:val="00E8314F"/>
    <w:rsid w:val="00E83802"/>
    <w:rsid w:val="00E8435B"/>
    <w:rsid w:val="00E84863"/>
    <w:rsid w:val="00E85561"/>
    <w:rsid w:val="00E8592D"/>
    <w:rsid w:val="00E86C66"/>
    <w:rsid w:val="00E875F3"/>
    <w:rsid w:val="00E908F5"/>
    <w:rsid w:val="00E90AE2"/>
    <w:rsid w:val="00E92113"/>
    <w:rsid w:val="00E92DCC"/>
    <w:rsid w:val="00E96031"/>
    <w:rsid w:val="00E96752"/>
    <w:rsid w:val="00E967F2"/>
    <w:rsid w:val="00E975CF"/>
    <w:rsid w:val="00E97A4E"/>
    <w:rsid w:val="00EA0597"/>
    <w:rsid w:val="00EA0F7D"/>
    <w:rsid w:val="00EA21F2"/>
    <w:rsid w:val="00EA488B"/>
    <w:rsid w:val="00EA48FC"/>
    <w:rsid w:val="00EA6113"/>
    <w:rsid w:val="00EA7C02"/>
    <w:rsid w:val="00EB03E8"/>
    <w:rsid w:val="00EB18CF"/>
    <w:rsid w:val="00EB2E8E"/>
    <w:rsid w:val="00EB2F2E"/>
    <w:rsid w:val="00EB5E82"/>
    <w:rsid w:val="00EB7029"/>
    <w:rsid w:val="00EB7CE3"/>
    <w:rsid w:val="00EC093B"/>
    <w:rsid w:val="00EC2017"/>
    <w:rsid w:val="00EC3B9D"/>
    <w:rsid w:val="00EC60A9"/>
    <w:rsid w:val="00EC666E"/>
    <w:rsid w:val="00EC7174"/>
    <w:rsid w:val="00ED1237"/>
    <w:rsid w:val="00ED2228"/>
    <w:rsid w:val="00ED5A77"/>
    <w:rsid w:val="00ED6DF3"/>
    <w:rsid w:val="00ED73F0"/>
    <w:rsid w:val="00EE193C"/>
    <w:rsid w:val="00EE1995"/>
    <w:rsid w:val="00EE23CC"/>
    <w:rsid w:val="00EE4C4A"/>
    <w:rsid w:val="00EE4F7C"/>
    <w:rsid w:val="00EE60CA"/>
    <w:rsid w:val="00EE7757"/>
    <w:rsid w:val="00EE79FE"/>
    <w:rsid w:val="00EE7E2C"/>
    <w:rsid w:val="00EE7E55"/>
    <w:rsid w:val="00EF117E"/>
    <w:rsid w:val="00EF1573"/>
    <w:rsid w:val="00EF2795"/>
    <w:rsid w:val="00EF2CC6"/>
    <w:rsid w:val="00EF3061"/>
    <w:rsid w:val="00EF6521"/>
    <w:rsid w:val="00EF69F0"/>
    <w:rsid w:val="00F0011C"/>
    <w:rsid w:val="00F0032E"/>
    <w:rsid w:val="00F0084D"/>
    <w:rsid w:val="00F0188C"/>
    <w:rsid w:val="00F02292"/>
    <w:rsid w:val="00F02BD4"/>
    <w:rsid w:val="00F04499"/>
    <w:rsid w:val="00F04527"/>
    <w:rsid w:val="00F060A9"/>
    <w:rsid w:val="00F07023"/>
    <w:rsid w:val="00F0775B"/>
    <w:rsid w:val="00F07802"/>
    <w:rsid w:val="00F110D2"/>
    <w:rsid w:val="00F116D9"/>
    <w:rsid w:val="00F12D0B"/>
    <w:rsid w:val="00F13401"/>
    <w:rsid w:val="00F13EB1"/>
    <w:rsid w:val="00F146C3"/>
    <w:rsid w:val="00F1491A"/>
    <w:rsid w:val="00F15DB0"/>
    <w:rsid w:val="00F15DE0"/>
    <w:rsid w:val="00F16371"/>
    <w:rsid w:val="00F170C8"/>
    <w:rsid w:val="00F2180D"/>
    <w:rsid w:val="00F223FB"/>
    <w:rsid w:val="00F23797"/>
    <w:rsid w:val="00F2395A"/>
    <w:rsid w:val="00F24281"/>
    <w:rsid w:val="00F249E4"/>
    <w:rsid w:val="00F24AFC"/>
    <w:rsid w:val="00F24F55"/>
    <w:rsid w:val="00F258F9"/>
    <w:rsid w:val="00F268DF"/>
    <w:rsid w:val="00F26ADC"/>
    <w:rsid w:val="00F27563"/>
    <w:rsid w:val="00F275EC"/>
    <w:rsid w:val="00F278C4"/>
    <w:rsid w:val="00F301A6"/>
    <w:rsid w:val="00F32F0C"/>
    <w:rsid w:val="00F36105"/>
    <w:rsid w:val="00F402C3"/>
    <w:rsid w:val="00F40E13"/>
    <w:rsid w:val="00F41532"/>
    <w:rsid w:val="00F41584"/>
    <w:rsid w:val="00F426A4"/>
    <w:rsid w:val="00F428A8"/>
    <w:rsid w:val="00F44270"/>
    <w:rsid w:val="00F45056"/>
    <w:rsid w:val="00F453F9"/>
    <w:rsid w:val="00F45BEA"/>
    <w:rsid w:val="00F46E0F"/>
    <w:rsid w:val="00F46FF1"/>
    <w:rsid w:val="00F475D4"/>
    <w:rsid w:val="00F5017E"/>
    <w:rsid w:val="00F52335"/>
    <w:rsid w:val="00F52CBD"/>
    <w:rsid w:val="00F53C21"/>
    <w:rsid w:val="00F5429A"/>
    <w:rsid w:val="00F549D4"/>
    <w:rsid w:val="00F54B18"/>
    <w:rsid w:val="00F56066"/>
    <w:rsid w:val="00F568C0"/>
    <w:rsid w:val="00F57289"/>
    <w:rsid w:val="00F61145"/>
    <w:rsid w:val="00F6123C"/>
    <w:rsid w:val="00F628F8"/>
    <w:rsid w:val="00F64013"/>
    <w:rsid w:val="00F6515E"/>
    <w:rsid w:val="00F66808"/>
    <w:rsid w:val="00F67272"/>
    <w:rsid w:val="00F67C76"/>
    <w:rsid w:val="00F70699"/>
    <w:rsid w:val="00F718B6"/>
    <w:rsid w:val="00F73B21"/>
    <w:rsid w:val="00F73BE7"/>
    <w:rsid w:val="00F74263"/>
    <w:rsid w:val="00F76B02"/>
    <w:rsid w:val="00F806C9"/>
    <w:rsid w:val="00F81419"/>
    <w:rsid w:val="00F8319A"/>
    <w:rsid w:val="00F843AC"/>
    <w:rsid w:val="00F85EBD"/>
    <w:rsid w:val="00F865B8"/>
    <w:rsid w:val="00F87745"/>
    <w:rsid w:val="00F87B93"/>
    <w:rsid w:val="00F91E89"/>
    <w:rsid w:val="00F935DD"/>
    <w:rsid w:val="00F93B1C"/>
    <w:rsid w:val="00F9407F"/>
    <w:rsid w:val="00F94B97"/>
    <w:rsid w:val="00F94E68"/>
    <w:rsid w:val="00F94E6C"/>
    <w:rsid w:val="00FA3BF8"/>
    <w:rsid w:val="00FA4670"/>
    <w:rsid w:val="00FA46F7"/>
    <w:rsid w:val="00FA527C"/>
    <w:rsid w:val="00FA5DBE"/>
    <w:rsid w:val="00FA611D"/>
    <w:rsid w:val="00FA731B"/>
    <w:rsid w:val="00FA7AFA"/>
    <w:rsid w:val="00FB1A8B"/>
    <w:rsid w:val="00FB3573"/>
    <w:rsid w:val="00FB3CED"/>
    <w:rsid w:val="00FB3EE2"/>
    <w:rsid w:val="00FB411A"/>
    <w:rsid w:val="00FB6031"/>
    <w:rsid w:val="00FB62FC"/>
    <w:rsid w:val="00FB7010"/>
    <w:rsid w:val="00FB7694"/>
    <w:rsid w:val="00FC19D0"/>
    <w:rsid w:val="00FC1C59"/>
    <w:rsid w:val="00FC328A"/>
    <w:rsid w:val="00FC4FFB"/>
    <w:rsid w:val="00FC5032"/>
    <w:rsid w:val="00FC529F"/>
    <w:rsid w:val="00FC57B8"/>
    <w:rsid w:val="00FC6CA0"/>
    <w:rsid w:val="00FC7FE0"/>
    <w:rsid w:val="00FD0652"/>
    <w:rsid w:val="00FD1CCC"/>
    <w:rsid w:val="00FD3799"/>
    <w:rsid w:val="00FD3CAC"/>
    <w:rsid w:val="00FD5208"/>
    <w:rsid w:val="00FD544E"/>
    <w:rsid w:val="00FD5DE4"/>
    <w:rsid w:val="00FD636F"/>
    <w:rsid w:val="00FD7DEE"/>
    <w:rsid w:val="00FE1AC7"/>
    <w:rsid w:val="00FE1AE1"/>
    <w:rsid w:val="00FF08BD"/>
    <w:rsid w:val="00FF0D65"/>
    <w:rsid w:val="00FF109E"/>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9CE86"/>
  <w15:chartTrackingRefBased/>
  <w15:docId w15:val="{FF995447-0C21-41E9-BA71-AB91726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5B0653"/>
    <w:pPr>
      <w:tabs>
        <w:tab w:val="right" w:leader="dot" w:pos="9016"/>
      </w:tabs>
      <w:spacing w:after="100"/>
      <w:ind w:left="220"/>
    </w:pPr>
    <w:rPr>
      <w:rFonts w:asciiTheme="majorHAnsi" w:hAnsiTheme="majorHAnsi" w:cstheme="majorHAnsi"/>
      <w:noProof/>
      <w:sz w:val="18"/>
      <w:szCs w:val="18"/>
    </w:rPr>
  </w:style>
  <w:style w:type="table" w:styleId="TableGrid">
    <w:name w:val="Table Grid"/>
    <w:basedOn w:val="TableNormal"/>
    <w:uiPriority w:val="39"/>
    <w:rsid w:val="008557D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CB4DE5"/>
    <w:pPr>
      <w:tabs>
        <w:tab w:val="right" w:leader="dot" w:pos="9016"/>
      </w:tabs>
      <w:spacing w:after="100" w:line="240" w:lineRule="auto"/>
    </w:pPr>
    <w:rPr>
      <w:rFonts w:ascii="Times New Roman" w:eastAsia="Times New Roman" w:hAnsi="Times New Roman" w:cs="Times New Roman"/>
      <w:noProof/>
      <w:sz w:val="16"/>
      <w:lang w:val="en-GB" w:eastAsia="en-GB"/>
    </w:r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4997">
      <w:bodyDiv w:val="1"/>
      <w:marLeft w:val="0"/>
      <w:marRight w:val="0"/>
      <w:marTop w:val="0"/>
      <w:marBottom w:val="0"/>
      <w:divBdr>
        <w:top w:val="none" w:sz="0" w:space="0" w:color="auto"/>
        <w:left w:val="none" w:sz="0" w:space="0" w:color="auto"/>
        <w:bottom w:val="none" w:sz="0" w:space="0" w:color="auto"/>
        <w:right w:val="none" w:sz="0" w:space="0" w:color="auto"/>
      </w:divBdr>
    </w:div>
    <w:div w:id="37895390">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07622788">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158693942">
      <w:bodyDiv w:val="1"/>
      <w:marLeft w:val="0"/>
      <w:marRight w:val="0"/>
      <w:marTop w:val="0"/>
      <w:marBottom w:val="0"/>
      <w:divBdr>
        <w:top w:val="none" w:sz="0" w:space="0" w:color="auto"/>
        <w:left w:val="none" w:sz="0" w:space="0" w:color="auto"/>
        <w:bottom w:val="none" w:sz="0" w:space="0" w:color="auto"/>
        <w:right w:val="none" w:sz="0" w:space="0" w:color="auto"/>
      </w:divBdr>
    </w:div>
    <w:div w:id="198326139">
      <w:bodyDiv w:val="1"/>
      <w:marLeft w:val="0"/>
      <w:marRight w:val="0"/>
      <w:marTop w:val="0"/>
      <w:marBottom w:val="0"/>
      <w:divBdr>
        <w:top w:val="none" w:sz="0" w:space="0" w:color="auto"/>
        <w:left w:val="none" w:sz="0" w:space="0" w:color="auto"/>
        <w:bottom w:val="none" w:sz="0" w:space="0" w:color="auto"/>
        <w:right w:val="none" w:sz="0" w:space="0" w:color="auto"/>
      </w:divBdr>
    </w:div>
    <w:div w:id="227541780">
      <w:bodyDiv w:val="1"/>
      <w:marLeft w:val="0"/>
      <w:marRight w:val="0"/>
      <w:marTop w:val="0"/>
      <w:marBottom w:val="0"/>
      <w:divBdr>
        <w:top w:val="none" w:sz="0" w:space="0" w:color="auto"/>
        <w:left w:val="none" w:sz="0" w:space="0" w:color="auto"/>
        <w:bottom w:val="none" w:sz="0" w:space="0" w:color="auto"/>
        <w:right w:val="none" w:sz="0" w:space="0" w:color="auto"/>
      </w:divBdr>
    </w:div>
    <w:div w:id="229115895">
      <w:bodyDiv w:val="1"/>
      <w:marLeft w:val="0"/>
      <w:marRight w:val="0"/>
      <w:marTop w:val="0"/>
      <w:marBottom w:val="0"/>
      <w:divBdr>
        <w:top w:val="none" w:sz="0" w:space="0" w:color="auto"/>
        <w:left w:val="none" w:sz="0" w:space="0" w:color="auto"/>
        <w:bottom w:val="none" w:sz="0" w:space="0" w:color="auto"/>
        <w:right w:val="none" w:sz="0" w:space="0" w:color="auto"/>
      </w:divBdr>
    </w:div>
    <w:div w:id="238056660">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6202997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06210310">
      <w:bodyDiv w:val="1"/>
      <w:marLeft w:val="0"/>
      <w:marRight w:val="0"/>
      <w:marTop w:val="0"/>
      <w:marBottom w:val="0"/>
      <w:divBdr>
        <w:top w:val="none" w:sz="0" w:space="0" w:color="auto"/>
        <w:left w:val="none" w:sz="0" w:space="0" w:color="auto"/>
        <w:bottom w:val="none" w:sz="0" w:space="0" w:color="auto"/>
        <w:right w:val="none" w:sz="0" w:space="0" w:color="auto"/>
      </w:divBdr>
    </w:div>
    <w:div w:id="312417757">
      <w:bodyDiv w:val="1"/>
      <w:marLeft w:val="0"/>
      <w:marRight w:val="0"/>
      <w:marTop w:val="0"/>
      <w:marBottom w:val="0"/>
      <w:divBdr>
        <w:top w:val="none" w:sz="0" w:space="0" w:color="auto"/>
        <w:left w:val="none" w:sz="0" w:space="0" w:color="auto"/>
        <w:bottom w:val="none" w:sz="0" w:space="0" w:color="auto"/>
        <w:right w:val="none" w:sz="0" w:space="0" w:color="auto"/>
      </w:divBdr>
    </w:div>
    <w:div w:id="324746086">
      <w:bodyDiv w:val="1"/>
      <w:marLeft w:val="0"/>
      <w:marRight w:val="0"/>
      <w:marTop w:val="0"/>
      <w:marBottom w:val="0"/>
      <w:divBdr>
        <w:top w:val="none" w:sz="0" w:space="0" w:color="auto"/>
        <w:left w:val="none" w:sz="0" w:space="0" w:color="auto"/>
        <w:bottom w:val="none" w:sz="0" w:space="0" w:color="auto"/>
        <w:right w:val="none" w:sz="0" w:space="0" w:color="auto"/>
      </w:divBdr>
    </w:div>
    <w:div w:id="344719615">
      <w:bodyDiv w:val="1"/>
      <w:marLeft w:val="0"/>
      <w:marRight w:val="0"/>
      <w:marTop w:val="0"/>
      <w:marBottom w:val="0"/>
      <w:divBdr>
        <w:top w:val="none" w:sz="0" w:space="0" w:color="auto"/>
        <w:left w:val="none" w:sz="0" w:space="0" w:color="auto"/>
        <w:bottom w:val="none" w:sz="0" w:space="0" w:color="auto"/>
        <w:right w:val="none" w:sz="0" w:space="0" w:color="auto"/>
      </w:divBdr>
    </w:div>
    <w:div w:id="370887235">
      <w:bodyDiv w:val="1"/>
      <w:marLeft w:val="0"/>
      <w:marRight w:val="0"/>
      <w:marTop w:val="0"/>
      <w:marBottom w:val="0"/>
      <w:divBdr>
        <w:top w:val="none" w:sz="0" w:space="0" w:color="auto"/>
        <w:left w:val="none" w:sz="0" w:space="0" w:color="auto"/>
        <w:bottom w:val="none" w:sz="0" w:space="0" w:color="auto"/>
        <w:right w:val="none" w:sz="0" w:space="0" w:color="auto"/>
      </w:divBdr>
    </w:div>
    <w:div w:id="379137306">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394937663">
      <w:bodyDiv w:val="1"/>
      <w:marLeft w:val="0"/>
      <w:marRight w:val="0"/>
      <w:marTop w:val="0"/>
      <w:marBottom w:val="0"/>
      <w:divBdr>
        <w:top w:val="none" w:sz="0" w:space="0" w:color="auto"/>
        <w:left w:val="none" w:sz="0" w:space="0" w:color="auto"/>
        <w:bottom w:val="none" w:sz="0" w:space="0" w:color="auto"/>
        <w:right w:val="none" w:sz="0" w:space="0" w:color="auto"/>
      </w:divBdr>
    </w:div>
    <w:div w:id="403380929">
      <w:bodyDiv w:val="1"/>
      <w:marLeft w:val="0"/>
      <w:marRight w:val="0"/>
      <w:marTop w:val="0"/>
      <w:marBottom w:val="0"/>
      <w:divBdr>
        <w:top w:val="none" w:sz="0" w:space="0" w:color="auto"/>
        <w:left w:val="none" w:sz="0" w:space="0" w:color="auto"/>
        <w:bottom w:val="none" w:sz="0" w:space="0" w:color="auto"/>
        <w:right w:val="none" w:sz="0" w:space="0" w:color="auto"/>
      </w:divBdr>
    </w:div>
    <w:div w:id="406997126">
      <w:bodyDiv w:val="1"/>
      <w:marLeft w:val="0"/>
      <w:marRight w:val="0"/>
      <w:marTop w:val="0"/>
      <w:marBottom w:val="0"/>
      <w:divBdr>
        <w:top w:val="none" w:sz="0" w:space="0" w:color="auto"/>
        <w:left w:val="none" w:sz="0" w:space="0" w:color="auto"/>
        <w:bottom w:val="none" w:sz="0" w:space="0" w:color="auto"/>
        <w:right w:val="none" w:sz="0" w:space="0" w:color="auto"/>
      </w:divBdr>
      <w:divsChild>
        <w:div w:id="1842818118">
          <w:marLeft w:val="0"/>
          <w:marRight w:val="0"/>
          <w:marTop w:val="0"/>
          <w:marBottom w:val="0"/>
          <w:divBdr>
            <w:top w:val="none" w:sz="0" w:space="0" w:color="auto"/>
            <w:left w:val="none" w:sz="0" w:space="0" w:color="auto"/>
            <w:bottom w:val="none" w:sz="0" w:space="0" w:color="auto"/>
            <w:right w:val="none" w:sz="0" w:space="0" w:color="auto"/>
          </w:divBdr>
          <w:divsChild>
            <w:div w:id="1717505048">
              <w:marLeft w:val="0"/>
              <w:marRight w:val="0"/>
              <w:marTop w:val="0"/>
              <w:marBottom w:val="0"/>
              <w:divBdr>
                <w:top w:val="none" w:sz="0" w:space="0" w:color="auto"/>
                <w:left w:val="none" w:sz="0" w:space="0" w:color="auto"/>
                <w:bottom w:val="none" w:sz="0" w:space="0" w:color="auto"/>
                <w:right w:val="none" w:sz="0" w:space="0" w:color="auto"/>
              </w:divBdr>
              <w:divsChild>
                <w:div w:id="1077480491">
                  <w:marLeft w:val="0"/>
                  <w:marRight w:val="0"/>
                  <w:marTop w:val="0"/>
                  <w:marBottom w:val="0"/>
                  <w:divBdr>
                    <w:top w:val="none" w:sz="0" w:space="0" w:color="auto"/>
                    <w:left w:val="none" w:sz="0" w:space="0" w:color="auto"/>
                    <w:bottom w:val="none" w:sz="0" w:space="0" w:color="auto"/>
                    <w:right w:val="none" w:sz="0" w:space="0" w:color="auto"/>
                  </w:divBdr>
                  <w:divsChild>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sChild>
                            <w:div w:id="15663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96258">
      <w:bodyDiv w:val="1"/>
      <w:marLeft w:val="0"/>
      <w:marRight w:val="0"/>
      <w:marTop w:val="0"/>
      <w:marBottom w:val="0"/>
      <w:divBdr>
        <w:top w:val="none" w:sz="0" w:space="0" w:color="auto"/>
        <w:left w:val="none" w:sz="0" w:space="0" w:color="auto"/>
        <w:bottom w:val="none" w:sz="0" w:space="0" w:color="auto"/>
        <w:right w:val="none" w:sz="0" w:space="0" w:color="auto"/>
      </w:divBdr>
    </w:div>
    <w:div w:id="419177237">
      <w:bodyDiv w:val="1"/>
      <w:marLeft w:val="0"/>
      <w:marRight w:val="0"/>
      <w:marTop w:val="0"/>
      <w:marBottom w:val="0"/>
      <w:divBdr>
        <w:top w:val="none" w:sz="0" w:space="0" w:color="auto"/>
        <w:left w:val="none" w:sz="0" w:space="0" w:color="auto"/>
        <w:bottom w:val="none" w:sz="0" w:space="0" w:color="auto"/>
        <w:right w:val="none" w:sz="0" w:space="0" w:color="auto"/>
      </w:divBdr>
    </w:div>
    <w:div w:id="419839784">
      <w:bodyDiv w:val="1"/>
      <w:marLeft w:val="0"/>
      <w:marRight w:val="0"/>
      <w:marTop w:val="0"/>
      <w:marBottom w:val="0"/>
      <w:divBdr>
        <w:top w:val="none" w:sz="0" w:space="0" w:color="auto"/>
        <w:left w:val="none" w:sz="0" w:space="0" w:color="auto"/>
        <w:bottom w:val="none" w:sz="0" w:space="0" w:color="auto"/>
        <w:right w:val="none" w:sz="0" w:space="0" w:color="auto"/>
      </w:divBdr>
    </w:div>
    <w:div w:id="425734969">
      <w:bodyDiv w:val="1"/>
      <w:marLeft w:val="0"/>
      <w:marRight w:val="0"/>
      <w:marTop w:val="0"/>
      <w:marBottom w:val="0"/>
      <w:divBdr>
        <w:top w:val="none" w:sz="0" w:space="0" w:color="auto"/>
        <w:left w:val="none" w:sz="0" w:space="0" w:color="auto"/>
        <w:bottom w:val="none" w:sz="0" w:space="0" w:color="auto"/>
        <w:right w:val="none" w:sz="0" w:space="0" w:color="auto"/>
      </w:divBdr>
    </w:div>
    <w:div w:id="484712160">
      <w:bodyDiv w:val="1"/>
      <w:marLeft w:val="0"/>
      <w:marRight w:val="0"/>
      <w:marTop w:val="0"/>
      <w:marBottom w:val="0"/>
      <w:divBdr>
        <w:top w:val="none" w:sz="0" w:space="0" w:color="auto"/>
        <w:left w:val="none" w:sz="0" w:space="0" w:color="auto"/>
        <w:bottom w:val="none" w:sz="0" w:space="0" w:color="auto"/>
        <w:right w:val="none" w:sz="0" w:space="0" w:color="auto"/>
      </w:divBdr>
    </w:div>
    <w:div w:id="488252871">
      <w:bodyDiv w:val="1"/>
      <w:marLeft w:val="0"/>
      <w:marRight w:val="0"/>
      <w:marTop w:val="0"/>
      <w:marBottom w:val="0"/>
      <w:divBdr>
        <w:top w:val="none" w:sz="0" w:space="0" w:color="auto"/>
        <w:left w:val="none" w:sz="0" w:space="0" w:color="auto"/>
        <w:bottom w:val="none" w:sz="0" w:space="0" w:color="auto"/>
        <w:right w:val="none" w:sz="0" w:space="0" w:color="auto"/>
      </w:divBdr>
    </w:div>
    <w:div w:id="506333453">
      <w:bodyDiv w:val="1"/>
      <w:marLeft w:val="0"/>
      <w:marRight w:val="0"/>
      <w:marTop w:val="0"/>
      <w:marBottom w:val="0"/>
      <w:divBdr>
        <w:top w:val="none" w:sz="0" w:space="0" w:color="auto"/>
        <w:left w:val="none" w:sz="0" w:space="0" w:color="auto"/>
        <w:bottom w:val="none" w:sz="0" w:space="0" w:color="auto"/>
        <w:right w:val="none" w:sz="0" w:space="0" w:color="auto"/>
      </w:divBdr>
    </w:div>
    <w:div w:id="506555025">
      <w:bodyDiv w:val="1"/>
      <w:marLeft w:val="0"/>
      <w:marRight w:val="0"/>
      <w:marTop w:val="0"/>
      <w:marBottom w:val="0"/>
      <w:divBdr>
        <w:top w:val="none" w:sz="0" w:space="0" w:color="auto"/>
        <w:left w:val="none" w:sz="0" w:space="0" w:color="auto"/>
        <w:bottom w:val="none" w:sz="0" w:space="0" w:color="auto"/>
        <w:right w:val="none" w:sz="0" w:space="0" w:color="auto"/>
      </w:divBdr>
      <w:divsChild>
        <w:div w:id="2142914412">
          <w:marLeft w:val="0"/>
          <w:marRight w:val="0"/>
          <w:marTop w:val="0"/>
          <w:marBottom w:val="0"/>
          <w:divBdr>
            <w:top w:val="none" w:sz="0" w:space="0" w:color="auto"/>
            <w:left w:val="none" w:sz="0" w:space="0" w:color="auto"/>
            <w:bottom w:val="none" w:sz="0" w:space="0" w:color="auto"/>
            <w:right w:val="none" w:sz="0" w:space="0" w:color="auto"/>
          </w:divBdr>
          <w:divsChild>
            <w:div w:id="1775783524">
              <w:marLeft w:val="0"/>
              <w:marRight w:val="0"/>
              <w:marTop w:val="0"/>
              <w:marBottom w:val="0"/>
              <w:divBdr>
                <w:top w:val="none" w:sz="0" w:space="0" w:color="auto"/>
                <w:left w:val="none" w:sz="0" w:space="0" w:color="auto"/>
                <w:bottom w:val="none" w:sz="0" w:space="0" w:color="auto"/>
                <w:right w:val="none" w:sz="0" w:space="0" w:color="auto"/>
              </w:divBdr>
              <w:divsChild>
                <w:div w:id="284771128">
                  <w:marLeft w:val="0"/>
                  <w:marRight w:val="0"/>
                  <w:marTop w:val="0"/>
                  <w:marBottom w:val="0"/>
                  <w:divBdr>
                    <w:top w:val="none" w:sz="0" w:space="0" w:color="auto"/>
                    <w:left w:val="none" w:sz="0" w:space="0" w:color="auto"/>
                    <w:bottom w:val="none" w:sz="0" w:space="0" w:color="auto"/>
                    <w:right w:val="none" w:sz="0" w:space="0" w:color="auto"/>
                  </w:divBdr>
                  <w:divsChild>
                    <w:div w:id="531259823">
                      <w:marLeft w:val="0"/>
                      <w:marRight w:val="0"/>
                      <w:marTop w:val="0"/>
                      <w:marBottom w:val="0"/>
                      <w:divBdr>
                        <w:top w:val="none" w:sz="0" w:space="0" w:color="auto"/>
                        <w:left w:val="none" w:sz="0" w:space="0" w:color="auto"/>
                        <w:bottom w:val="none" w:sz="0" w:space="0" w:color="auto"/>
                        <w:right w:val="none" w:sz="0" w:space="0" w:color="auto"/>
                      </w:divBdr>
                      <w:divsChild>
                        <w:div w:id="379283587">
                          <w:marLeft w:val="0"/>
                          <w:marRight w:val="0"/>
                          <w:marTop w:val="0"/>
                          <w:marBottom w:val="0"/>
                          <w:divBdr>
                            <w:top w:val="none" w:sz="0" w:space="0" w:color="auto"/>
                            <w:left w:val="none" w:sz="0" w:space="0" w:color="auto"/>
                            <w:bottom w:val="none" w:sz="0" w:space="0" w:color="auto"/>
                            <w:right w:val="none" w:sz="0" w:space="0" w:color="auto"/>
                          </w:divBdr>
                          <w:divsChild>
                            <w:div w:id="196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484515">
      <w:bodyDiv w:val="1"/>
      <w:marLeft w:val="0"/>
      <w:marRight w:val="0"/>
      <w:marTop w:val="0"/>
      <w:marBottom w:val="0"/>
      <w:divBdr>
        <w:top w:val="none" w:sz="0" w:space="0" w:color="auto"/>
        <w:left w:val="none" w:sz="0" w:space="0" w:color="auto"/>
        <w:bottom w:val="none" w:sz="0" w:space="0" w:color="auto"/>
        <w:right w:val="none" w:sz="0" w:space="0" w:color="auto"/>
      </w:divBdr>
    </w:div>
    <w:div w:id="537932193">
      <w:bodyDiv w:val="1"/>
      <w:marLeft w:val="0"/>
      <w:marRight w:val="0"/>
      <w:marTop w:val="0"/>
      <w:marBottom w:val="0"/>
      <w:divBdr>
        <w:top w:val="none" w:sz="0" w:space="0" w:color="auto"/>
        <w:left w:val="none" w:sz="0" w:space="0" w:color="auto"/>
        <w:bottom w:val="none" w:sz="0" w:space="0" w:color="auto"/>
        <w:right w:val="none" w:sz="0" w:space="0" w:color="auto"/>
      </w:divBdr>
    </w:div>
    <w:div w:id="560093610">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586228069">
      <w:bodyDiv w:val="1"/>
      <w:marLeft w:val="0"/>
      <w:marRight w:val="0"/>
      <w:marTop w:val="0"/>
      <w:marBottom w:val="0"/>
      <w:divBdr>
        <w:top w:val="none" w:sz="0" w:space="0" w:color="auto"/>
        <w:left w:val="none" w:sz="0" w:space="0" w:color="auto"/>
        <w:bottom w:val="none" w:sz="0" w:space="0" w:color="auto"/>
        <w:right w:val="none" w:sz="0" w:space="0" w:color="auto"/>
      </w:divBdr>
    </w:div>
    <w:div w:id="618101897">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637804137">
      <w:bodyDiv w:val="1"/>
      <w:marLeft w:val="0"/>
      <w:marRight w:val="0"/>
      <w:marTop w:val="0"/>
      <w:marBottom w:val="0"/>
      <w:divBdr>
        <w:top w:val="none" w:sz="0" w:space="0" w:color="auto"/>
        <w:left w:val="none" w:sz="0" w:space="0" w:color="auto"/>
        <w:bottom w:val="none" w:sz="0" w:space="0" w:color="auto"/>
        <w:right w:val="none" w:sz="0" w:space="0" w:color="auto"/>
      </w:divBdr>
    </w:div>
    <w:div w:id="638148015">
      <w:bodyDiv w:val="1"/>
      <w:marLeft w:val="0"/>
      <w:marRight w:val="0"/>
      <w:marTop w:val="0"/>
      <w:marBottom w:val="0"/>
      <w:divBdr>
        <w:top w:val="none" w:sz="0" w:space="0" w:color="auto"/>
        <w:left w:val="none" w:sz="0" w:space="0" w:color="auto"/>
        <w:bottom w:val="none" w:sz="0" w:space="0" w:color="auto"/>
        <w:right w:val="none" w:sz="0" w:space="0" w:color="auto"/>
      </w:divBdr>
    </w:div>
    <w:div w:id="651718757">
      <w:bodyDiv w:val="1"/>
      <w:marLeft w:val="0"/>
      <w:marRight w:val="0"/>
      <w:marTop w:val="0"/>
      <w:marBottom w:val="0"/>
      <w:divBdr>
        <w:top w:val="none" w:sz="0" w:space="0" w:color="auto"/>
        <w:left w:val="none" w:sz="0" w:space="0" w:color="auto"/>
        <w:bottom w:val="none" w:sz="0" w:space="0" w:color="auto"/>
        <w:right w:val="none" w:sz="0" w:space="0" w:color="auto"/>
      </w:divBdr>
    </w:div>
    <w:div w:id="667437935">
      <w:bodyDiv w:val="1"/>
      <w:marLeft w:val="0"/>
      <w:marRight w:val="0"/>
      <w:marTop w:val="0"/>
      <w:marBottom w:val="0"/>
      <w:divBdr>
        <w:top w:val="none" w:sz="0" w:space="0" w:color="auto"/>
        <w:left w:val="none" w:sz="0" w:space="0" w:color="auto"/>
        <w:bottom w:val="none" w:sz="0" w:space="0" w:color="auto"/>
        <w:right w:val="none" w:sz="0" w:space="0" w:color="auto"/>
      </w:divBdr>
    </w:div>
    <w:div w:id="688137807">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16929701">
      <w:bodyDiv w:val="1"/>
      <w:marLeft w:val="0"/>
      <w:marRight w:val="0"/>
      <w:marTop w:val="0"/>
      <w:marBottom w:val="0"/>
      <w:divBdr>
        <w:top w:val="none" w:sz="0" w:space="0" w:color="auto"/>
        <w:left w:val="none" w:sz="0" w:space="0" w:color="auto"/>
        <w:bottom w:val="none" w:sz="0" w:space="0" w:color="auto"/>
        <w:right w:val="none" w:sz="0" w:space="0" w:color="auto"/>
      </w:divBdr>
    </w:div>
    <w:div w:id="732849128">
      <w:bodyDiv w:val="1"/>
      <w:marLeft w:val="0"/>
      <w:marRight w:val="0"/>
      <w:marTop w:val="0"/>
      <w:marBottom w:val="0"/>
      <w:divBdr>
        <w:top w:val="none" w:sz="0" w:space="0" w:color="auto"/>
        <w:left w:val="none" w:sz="0" w:space="0" w:color="auto"/>
        <w:bottom w:val="none" w:sz="0" w:space="0" w:color="auto"/>
        <w:right w:val="none" w:sz="0" w:space="0" w:color="auto"/>
      </w:divBdr>
    </w:div>
    <w:div w:id="734549491">
      <w:bodyDiv w:val="1"/>
      <w:marLeft w:val="0"/>
      <w:marRight w:val="0"/>
      <w:marTop w:val="0"/>
      <w:marBottom w:val="0"/>
      <w:divBdr>
        <w:top w:val="none" w:sz="0" w:space="0" w:color="auto"/>
        <w:left w:val="none" w:sz="0" w:space="0" w:color="auto"/>
        <w:bottom w:val="none" w:sz="0" w:space="0" w:color="auto"/>
        <w:right w:val="none" w:sz="0" w:space="0" w:color="auto"/>
      </w:divBdr>
    </w:div>
    <w:div w:id="740640102">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789205113">
      <w:bodyDiv w:val="1"/>
      <w:marLeft w:val="0"/>
      <w:marRight w:val="0"/>
      <w:marTop w:val="0"/>
      <w:marBottom w:val="0"/>
      <w:divBdr>
        <w:top w:val="none" w:sz="0" w:space="0" w:color="auto"/>
        <w:left w:val="none" w:sz="0" w:space="0" w:color="auto"/>
        <w:bottom w:val="none" w:sz="0" w:space="0" w:color="auto"/>
        <w:right w:val="none" w:sz="0" w:space="0" w:color="auto"/>
      </w:divBdr>
    </w:div>
    <w:div w:id="817496622">
      <w:bodyDiv w:val="1"/>
      <w:marLeft w:val="0"/>
      <w:marRight w:val="0"/>
      <w:marTop w:val="0"/>
      <w:marBottom w:val="0"/>
      <w:divBdr>
        <w:top w:val="none" w:sz="0" w:space="0" w:color="auto"/>
        <w:left w:val="none" w:sz="0" w:space="0" w:color="auto"/>
        <w:bottom w:val="none" w:sz="0" w:space="0" w:color="auto"/>
        <w:right w:val="none" w:sz="0" w:space="0" w:color="auto"/>
      </w:divBdr>
    </w:div>
    <w:div w:id="822890463">
      <w:bodyDiv w:val="1"/>
      <w:marLeft w:val="0"/>
      <w:marRight w:val="0"/>
      <w:marTop w:val="0"/>
      <w:marBottom w:val="0"/>
      <w:divBdr>
        <w:top w:val="none" w:sz="0" w:space="0" w:color="auto"/>
        <w:left w:val="none" w:sz="0" w:space="0" w:color="auto"/>
        <w:bottom w:val="none" w:sz="0" w:space="0" w:color="auto"/>
        <w:right w:val="none" w:sz="0" w:space="0" w:color="auto"/>
      </w:divBdr>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45053830">
      <w:bodyDiv w:val="1"/>
      <w:marLeft w:val="0"/>
      <w:marRight w:val="0"/>
      <w:marTop w:val="0"/>
      <w:marBottom w:val="0"/>
      <w:divBdr>
        <w:top w:val="none" w:sz="0" w:space="0" w:color="auto"/>
        <w:left w:val="none" w:sz="0" w:space="0" w:color="auto"/>
        <w:bottom w:val="none" w:sz="0" w:space="0" w:color="auto"/>
        <w:right w:val="none" w:sz="0" w:space="0" w:color="auto"/>
      </w:divBdr>
    </w:div>
    <w:div w:id="871303327">
      <w:bodyDiv w:val="1"/>
      <w:marLeft w:val="0"/>
      <w:marRight w:val="0"/>
      <w:marTop w:val="0"/>
      <w:marBottom w:val="0"/>
      <w:divBdr>
        <w:top w:val="none" w:sz="0" w:space="0" w:color="auto"/>
        <w:left w:val="none" w:sz="0" w:space="0" w:color="auto"/>
        <w:bottom w:val="none" w:sz="0" w:space="0" w:color="auto"/>
        <w:right w:val="none" w:sz="0" w:space="0" w:color="auto"/>
      </w:divBdr>
    </w:div>
    <w:div w:id="879711224">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953831414">
      <w:bodyDiv w:val="1"/>
      <w:marLeft w:val="0"/>
      <w:marRight w:val="0"/>
      <w:marTop w:val="0"/>
      <w:marBottom w:val="0"/>
      <w:divBdr>
        <w:top w:val="none" w:sz="0" w:space="0" w:color="auto"/>
        <w:left w:val="none" w:sz="0" w:space="0" w:color="auto"/>
        <w:bottom w:val="none" w:sz="0" w:space="0" w:color="auto"/>
        <w:right w:val="none" w:sz="0" w:space="0" w:color="auto"/>
      </w:divBdr>
    </w:div>
    <w:div w:id="1005716930">
      <w:bodyDiv w:val="1"/>
      <w:marLeft w:val="0"/>
      <w:marRight w:val="0"/>
      <w:marTop w:val="0"/>
      <w:marBottom w:val="0"/>
      <w:divBdr>
        <w:top w:val="none" w:sz="0" w:space="0" w:color="auto"/>
        <w:left w:val="none" w:sz="0" w:space="0" w:color="auto"/>
        <w:bottom w:val="none" w:sz="0" w:space="0" w:color="auto"/>
        <w:right w:val="none" w:sz="0" w:space="0" w:color="auto"/>
      </w:divBdr>
    </w:div>
    <w:div w:id="1007634123">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32077533">
      <w:bodyDiv w:val="1"/>
      <w:marLeft w:val="0"/>
      <w:marRight w:val="0"/>
      <w:marTop w:val="0"/>
      <w:marBottom w:val="0"/>
      <w:divBdr>
        <w:top w:val="none" w:sz="0" w:space="0" w:color="auto"/>
        <w:left w:val="none" w:sz="0" w:space="0" w:color="auto"/>
        <w:bottom w:val="none" w:sz="0" w:space="0" w:color="auto"/>
        <w:right w:val="none" w:sz="0" w:space="0" w:color="auto"/>
      </w:divBdr>
    </w:div>
    <w:div w:id="1039861177">
      <w:bodyDiv w:val="1"/>
      <w:marLeft w:val="0"/>
      <w:marRight w:val="0"/>
      <w:marTop w:val="0"/>
      <w:marBottom w:val="0"/>
      <w:divBdr>
        <w:top w:val="none" w:sz="0" w:space="0" w:color="auto"/>
        <w:left w:val="none" w:sz="0" w:space="0" w:color="auto"/>
        <w:bottom w:val="none" w:sz="0" w:space="0" w:color="auto"/>
        <w:right w:val="none" w:sz="0" w:space="0" w:color="auto"/>
      </w:divBdr>
    </w:div>
    <w:div w:id="1050883272">
      <w:bodyDiv w:val="1"/>
      <w:marLeft w:val="0"/>
      <w:marRight w:val="0"/>
      <w:marTop w:val="0"/>
      <w:marBottom w:val="0"/>
      <w:divBdr>
        <w:top w:val="none" w:sz="0" w:space="0" w:color="auto"/>
        <w:left w:val="none" w:sz="0" w:space="0" w:color="auto"/>
        <w:bottom w:val="none" w:sz="0" w:space="0" w:color="auto"/>
        <w:right w:val="none" w:sz="0" w:space="0" w:color="auto"/>
      </w:divBdr>
      <w:divsChild>
        <w:div w:id="158476">
          <w:marLeft w:val="0"/>
          <w:marRight w:val="0"/>
          <w:marTop w:val="0"/>
          <w:marBottom w:val="0"/>
          <w:divBdr>
            <w:top w:val="none" w:sz="0" w:space="0" w:color="auto"/>
            <w:left w:val="none" w:sz="0" w:space="0" w:color="auto"/>
            <w:bottom w:val="none" w:sz="0" w:space="0" w:color="auto"/>
            <w:right w:val="none" w:sz="0" w:space="0" w:color="auto"/>
          </w:divBdr>
          <w:divsChild>
            <w:div w:id="1517041014">
              <w:marLeft w:val="0"/>
              <w:marRight w:val="0"/>
              <w:marTop w:val="0"/>
              <w:marBottom w:val="0"/>
              <w:divBdr>
                <w:top w:val="none" w:sz="0" w:space="0" w:color="auto"/>
                <w:left w:val="none" w:sz="0" w:space="0" w:color="auto"/>
                <w:bottom w:val="none" w:sz="0" w:space="0" w:color="auto"/>
                <w:right w:val="none" w:sz="0" w:space="0" w:color="auto"/>
              </w:divBdr>
              <w:divsChild>
                <w:div w:id="1857228717">
                  <w:marLeft w:val="0"/>
                  <w:marRight w:val="0"/>
                  <w:marTop w:val="0"/>
                  <w:marBottom w:val="0"/>
                  <w:divBdr>
                    <w:top w:val="none" w:sz="0" w:space="0" w:color="auto"/>
                    <w:left w:val="none" w:sz="0" w:space="0" w:color="auto"/>
                    <w:bottom w:val="none" w:sz="0" w:space="0" w:color="auto"/>
                    <w:right w:val="none" w:sz="0" w:space="0" w:color="auto"/>
                  </w:divBdr>
                  <w:divsChild>
                    <w:div w:id="504444464">
                      <w:marLeft w:val="0"/>
                      <w:marRight w:val="0"/>
                      <w:marTop w:val="0"/>
                      <w:marBottom w:val="0"/>
                      <w:divBdr>
                        <w:top w:val="none" w:sz="0" w:space="0" w:color="auto"/>
                        <w:left w:val="none" w:sz="0" w:space="0" w:color="auto"/>
                        <w:bottom w:val="none" w:sz="0" w:space="0" w:color="auto"/>
                        <w:right w:val="none" w:sz="0" w:space="0" w:color="auto"/>
                      </w:divBdr>
                      <w:divsChild>
                        <w:div w:id="1490251688">
                          <w:marLeft w:val="0"/>
                          <w:marRight w:val="0"/>
                          <w:marTop w:val="0"/>
                          <w:marBottom w:val="0"/>
                          <w:divBdr>
                            <w:top w:val="none" w:sz="0" w:space="0" w:color="auto"/>
                            <w:left w:val="none" w:sz="0" w:space="0" w:color="auto"/>
                            <w:bottom w:val="none" w:sz="0" w:space="0" w:color="auto"/>
                            <w:right w:val="none" w:sz="0" w:space="0" w:color="auto"/>
                          </w:divBdr>
                          <w:divsChild>
                            <w:div w:id="5788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9620">
          <w:marLeft w:val="0"/>
          <w:marRight w:val="0"/>
          <w:marTop w:val="0"/>
          <w:marBottom w:val="0"/>
          <w:divBdr>
            <w:top w:val="none" w:sz="0" w:space="0" w:color="auto"/>
            <w:left w:val="none" w:sz="0" w:space="0" w:color="auto"/>
            <w:bottom w:val="none" w:sz="0" w:space="0" w:color="auto"/>
            <w:right w:val="none" w:sz="0" w:space="0" w:color="auto"/>
          </w:divBdr>
          <w:divsChild>
            <w:div w:id="732197686">
              <w:marLeft w:val="0"/>
              <w:marRight w:val="0"/>
              <w:marTop w:val="0"/>
              <w:marBottom w:val="0"/>
              <w:divBdr>
                <w:top w:val="none" w:sz="0" w:space="0" w:color="auto"/>
                <w:left w:val="none" w:sz="0" w:space="0" w:color="auto"/>
                <w:bottom w:val="none" w:sz="0" w:space="0" w:color="auto"/>
                <w:right w:val="none" w:sz="0" w:space="0" w:color="auto"/>
              </w:divBdr>
              <w:divsChild>
                <w:div w:id="1948391800">
                  <w:marLeft w:val="0"/>
                  <w:marRight w:val="0"/>
                  <w:marTop w:val="0"/>
                  <w:marBottom w:val="0"/>
                  <w:divBdr>
                    <w:top w:val="none" w:sz="0" w:space="0" w:color="auto"/>
                    <w:left w:val="none" w:sz="0" w:space="0" w:color="auto"/>
                    <w:bottom w:val="none" w:sz="0" w:space="0" w:color="auto"/>
                    <w:right w:val="none" w:sz="0" w:space="0" w:color="auto"/>
                  </w:divBdr>
                  <w:divsChild>
                    <w:div w:id="393164350">
                      <w:marLeft w:val="0"/>
                      <w:marRight w:val="0"/>
                      <w:marTop w:val="0"/>
                      <w:marBottom w:val="0"/>
                      <w:divBdr>
                        <w:top w:val="none" w:sz="0" w:space="0" w:color="auto"/>
                        <w:left w:val="none" w:sz="0" w:space="0" w:color="auto"/>
                        <w:bottom w:val="none" w:sz="0" w:space="0" w:color="auto"/>
                        <w:right w:val="none" w:sz="0" w:space="0" w:color="auto"/>
                      </w:divBdr>
                      <w:divsChild>
                        <w:div w:id="1365862545">
                          <w:marLeft w:val="0"/>
                          <w:marRight w:val="0"/>
                          <w:marTop w:val="0"/>
                          <w:marBottom w:val="0"/>
                          <w:divBdr>
                            <w:top w:val="none" w:sz="0" w:space="0" w:color="auto"/>
                            <w:left w:val="none" w:sz="0" w:space="0" w:color="auto"/>
                            <w:bottom w:val="none" w:sz="0" w:space="0" w:color="auto"/>
                            <w:right w:val="none" w:sz="0" w:space="0" w:color="auto"/>
                          </w:divBdr>
                          <w:divsChild>
                            <w:div w:id="1893226211">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572425">
          <w:marLeft w:val="0"/>
          <w:marRight w:val="0"/>
          <w:marTop w:val="0"/>
          <w:marBottom w:val="0"/>
          <w:divBdr>
            <w:top w:val="none" w:sz="0" w:space="0" w:color="auto"/>
            <w:left w:val="none" w:sz="0" w:space="0" w:color="auto"/>
            <w:bottom w:val="none" w:sz="0" w:space="0" w:color="auto"/>
            <w:right w:val="none" w:sz="0" w:space="0" w:color="auto"/>
          </w:divBdr>
          <w:divsChild>
            <w:div w:id="1590114739">
              <w:marLeft w:val="0"/>
              <w:marRight w:val="0"/>
              <w:marTop w:val="0"/>
              <w:marBottom w:val="0"/>
              <w:divBdr>
                <w:top w:val="none" w:sz="0" w:space="0" w:color="auto"/>
                <w:left w:val="none" w:sz="0" w:space="0" w:color="auto"/>
                <w:bottom w:val="none" w:sz="0" w:space="0" w:color="auto"/>
                <w:right w:val="none" w:sz="0" w:space="0" w:color="auto"/>
              </w:divBdr>
              <w:divsChild>
                <w:div w:id="1037773299">
                  <w:marLeft w:val="0"/>
                  <w:marRight w:val="0"/>
                  <w:marTop w:val="0"/>
                  <w:marBottom w:val="0"/>
                  <w:divBdr>
                    <w:top w:val="none" w:sz="0" w:space="0" w:color="auto"/>
                    <w:left w:val="none" w:sz="0" w:space="0" w:color="auto"/>
                    <w:bottom w:val="none" w:sz="0" w:space="0" w:color="auto"/>
                    <w:right w:val="none" w:sz="0" w:space="0" w:color="auto"/>
                  </w:divBdr>
                  <w:divsChild>
                    <w:div w:id="2033262876">
                      <w:marLeft w:val="0"/>
                      <w:marRight w:val="0"/>
                      <w:marTop w:val="0"/>
                      <w:marBottom w:val="0"/>
                      <w:divBdr>
                        <w:top w:val="none" w:sz="0" w:space="0" w:color="auto"/>
                        <w:left w:val="none" w:sz="0" w:space="0" w:color="auto"/>
                        <w:bottom w:val="none" w:sz="0" w:space="0" w:color="auto"/>
                        <w:right w:val="none" w:sz="0" w:space="0" w:color="auto"/>
                      </w:divBdr>
                      <w:divsChild>
                        <w:div w:id="1833135762">
                          <w:marLeft w:val="0"/>
                          <w:marRight w:val="0"/>
                          <w:marTop w:val="0"/>
                          <w:marBottom w:val="0"/>
                          <w:divBdr>
                            <w:top w:val="none" w:sz="0" w:space="0" w:color="auto"/>
                            <w:left w:val="none" w:sz="0" w:space="0" w:color="auto"/>
                            <w:bottom w:val="none" w:sz="0" w:space="0" w:color="auto"/>
                            <w:right w:val="none" w:sz="0" w:space="0" w:color="auto"/>
                          </w:divBdr>
                          <w:divsChild>
                            <w:div w:id="529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924142">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58670564">
      <w:bodyDiv w:val="1"/>
      <w:marLeft w:val="0"/>
      <w:marRight w:val="0"/>
      <w:marTop w:val="0"/>
      <w:marBottom w:val="0"/>
      <w:divBdr>
        <w:top w:val="none" w:sz="0" w:space="0" w:color="auto"/>
        <w:left w:val="none" w:sz="0" w:space="0" w:color="auto"/>
        <w:bottom w:val="none" w:sz="0" w:space="0" w:color="auto"/>
        <w:right w:val="none" w:sz="0" w:space="0" w:color="auto"/>
      </w:divBdr>
    </w:div>
    <w:div w:id="1060983184">
      <w:bodyDiv w:val="1"/>
      <w:marLeft w:val="0"/>
      <w:marRight w:val="0"/>
      <w:marTop w:val="0"/>
      <w:marBottom w:val="0"/>
      <w:divBdr>
        <w:top w:val="none" w:sz="0" w:space="0" w:color="auto"/>
        <w:left w:val="none" w:sz="0" w:space="0" w:color="auto"/>
        <w:bottom w:val="none" w:sz="0" w:space="0" w:color="auto"/>
        <w:right w:val="none" w:sz="0" w:space="0" w:color="auto"/>
      </w:divBdr>
    </w:div>
    <w:div w:id="1076979821">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135222746">
      <w:bodyDiv w:val="1"/>
      <w:marLeft w:val="0"/>
      <w:marRight w:val="0"/>
      <w:marTop w:val="0"/>
      <w:marBottom w:val="0"/>
      <w:divBdr>
        <w:top w:val="none" w:sz="0" w:space="0" w:color="auto"/>
        <w:left w:val="none" w:sz="0" w:space="0" w:color="auto"/>
        <w:bottom w:val="none" w:sz="0" w:space="0" w:color="auto"/>
        <w:right w:val="none" w:sz="0" w:space="0" w:color="auto"/>
      </w:divBdr>
    </w:div>
    <w:div w:id="1155993224">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4786162">
      <w:bodyDiv w:val="1"/>
      <w:marLeft w:val="0"/>
      <w:marRight w:val="0"/>
      <w:marTop w:val="0"/>
      <w:marBottom w:val="0"/>
      <w:divBdr>
        <w:top w:val="none" w:sz="0" w:space="0" w:color="auto"/>
        <w:left w:val="none" w:sz="0" w:space="0" w:color="auto"/>
        <w:bottom w:val="none" w:sz="0" w:space="0" w:color="auto"/>
        <w:right w:val="none" w:sz="0" w:space="0" w:color="auto"/>
      </w:divBdr>
    </w:div>
    <w:div w:id="1169128414">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297755392">
      <w:bodyDiv w:val="1"/>
      <w:marLeft w:val="0"/>
      <w:marRight w:val="0"/>
      <w:marTop w:val="0"/>
      <w:marBottom w:val="0"/>
      <w:divBdr>
        <w:top w:val="none" w:sz="0" w:space="0" w:color="auto"/>
        <w:left w:val="none" w:sz="0" w:space="0" w:color="auto"/>
        <w:bottom w:val="none" w:sz="0" w:space="0" w:color="auto"/>
        <w:right w:val="none" w:sz="0" w:space="0" w:color="auto"/>
      </w:divBdr>
    </w:div>
    <w:div w:id="1309633113">
      <w:bodyDiv w:val="1"/>
      <w:marLeft w:val="0"/>
      <w:marRight w:val="0"/>
      <w:marTop w:val="0"/>
      <w:marBottom w:val="0"/>
      <w:divBdr>
        <w:top w:val="none" w:sz="0" w:space="0" w:color="auto"/>
        <w:left w:val="none" w:sz="0" w:space="0" w:color="auto"/>
        <w:bottom w:val="none" w:sz="0" w:space="0" w:color="auto"/>
        <w:right w:val="none" w:sz="0" w:space="0" w:color="auto"/>
      </w:divBdr>
    </w:div>
    <w:div w:id="1349327570">
      <w:bodyDiv w:val="1"/>
      <w:marLeft w:val="0"/>
      <w:marRight w:val="0"/>
      <w:marTop w:val="0"/>
      <w:marBottom w:val="0"/>
      <w:divBdr>
        <w:top w:val="none" w:sz="0" w:space="0" w:color="auto"/>
        <w:left w:val="none" w:sz="0" w:space="0" w:color="auto"/>
        <w:bottom w:val="none" w:sz="0" w:space="0" w:color="auto"/>
        <w:right w:val="none" w:sz="0" w:space="0" w:color="auto"/>
      </w:divBdr>
    </w:div>
    <w:div w:id="1358001965">
      <w:bodyDiv w:val="1"/>
      <w:marLeft w:val="0"/>
      <w:marRight w:val="0"/>
      <w:marTop w:val="0"/>
      <w:marBottom w:val="0"/>
      <w:divBdr>
        <w:top w:val="none" w:sz="0" w:space="0" w:color="auto"/>
        <w:left w:val="none" w:sz="0" w:space="0" w:color="auto"/>
        <w:bottom w:val="none" w:sz="0" w:space="0" w:color="auto"/>
        <w:right w:val="none" w:sz="0" w:space="0" w:color="auto"/>
      </w:divBdr>
    </w:div>
    <w:div w:id="1360202432">
      <w:bodyDiv w:val="1"/>
      <w:marLeft w:val="0"/>
      <w:marRight w:val="0"/>
      <w:marTop w:val="0"/>
      <w:marBottom w:val="0"/>
      <w:divBdr>
        <w:top w:val="none" w:sz="0" w:space="0" w:color="auto"/>
        <w:left w:val="none" w:sz="0" w:space="0" w:color="auto"/>
        <w:bottom w:val="none" w:sz="0" w:space="0" w:color="auto"/>
        <w:right w:val="none" w:sz="0" w:space="0" w:color="auto"/>
      </w:divBdr>
    </w:div>
    <w:div w:id="1386249232">
      <w:bodyDiv w:val="1"/>
      <w:marLeft w:val="0"/>
      <w:marRight w:val="0"/>
      <w:marTop w:val="0"/>
      <w:marBottom w:val="0"/>
      <w:divBdr>
        <w:top w:val="none" w:sz="0" w:space="0" w:color="auto"/>
        <w:left w:val="none" w:sz="0" w:space="0" w:color="auto"/>
        <w:bottom w:val="none" w:sz="0" w:space="0" w:color="auto"/>
        <w:right w:val="none" w:sz="0" w:space="0" w:color="auto"/>
      </w:divBdr>
    </w:div>
    <w:div w:id="138714757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467964637">
      <w:bodyDiv w:val="1"/>
      <w:marLeft w:val="0"/>
      <w:marRight w:val="0"/>
      <w:marTop w:val="0"/>
      <w:marBottom w:val="0"/>
      <w:divBdr>
        <w:top w:val="none" w:sz="0" w:space="0" w:color="auto"/>
        <w:left w:val="none" w:sz="0" w:space="0" w:color="auto"/>
        <w:bottom w:val="none" w:sz="0" w:space="0" w:color="auto"/>
        <w:right w:val="none" w:sz="0" w:space="0" w:color="auto"/>
      </w:divBdr>
    </w:div>
    <w:div w:id="1472282077">
      <w:bodyDiv w:val="1"/>
      <w:marLeft w:val="0"/>
      <w:marRight w:val="0"/>
      <w:marTop w:val="0"/>
      <w:marBottom w:val="0"/>
      <w:divBdr>
        <w:top w:val="none" w:sz="0" w:space="0" w:color="auto"/>
        <w:left w:val="none" w:sz="0" w:space="0" w:color="auto"/>
        <w:bottom w:val="none" w:sz="0" w:space="0" w:color="auto"/>
        <w:right w:val="none" w:sz="0" w:space="0" w:color="auto"/>
      </w:divBdr>
    </w:div>
    <w:div w:id="1474253388">
      <w:bodyDiv w:val="1"/>
      <w:marLeft w:val="0"/>
      <w:marRight w:val="0"/>
      <w:marTop w:val="0"/>
      <w:marBottom w:val="0"/>
      <w:divBdr>
        <w:top w:val="none" w:sz="0" w:space="0" w:color="auto"/>
        <w:left w:val="none" w:sz="0" w:space="0" w:color="auto"/>
        <w:bottom w:val="none" w:sz="0" w:space="0" w:color="auto"/>
        <w:right w:val="none" w:sz="0" w:space="0" w:color="auto"/>
      </w:divBdr>
    </w:div>
    <w:div w:id="1476605371">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508015994">
      <w:bodyDiv w:val="1"/>
      <w:marLeft w:val="0"/>
      <w:marRight w:val="0"/>
      <w:marTop w:val="0"/>
      <w:marBottom w:val="0"/>
      <w:divBdr>
        <w:top w:val="none" w:sz="0" w:space="0" w:color="auto"/>
        <w:left w:val="none" w:sz="0" w:space="0" w:color="auto"/>
        <w:bottom w:val="none" w:sz="0" w:space="0" w:color="auto"/>
        <w:right w:val="none" w:sz="0" w:space="0" w:color="auto"/>
      </w:divBdr>
    </w:div>
    <w:div w:id="1515146664">
      <w:bodyDiv w:val="1"/>
      <w:marLeft w:val="0"/>
      <w:marRight w:val="0"/>
      <w:marTop w:val="0"/>
      <w:marBottom w:val="0"/>
      <w:divBdr>
        <w:top w:val="none" w:sz="0" w:space="0" w:color="auto"/>
        <w:left w:val="none" w:sz="0" w:space="0" w:color="auto"/>
        <w:bottom w:val="none" w:sz="0" w:space="0" w:color="auto"/>
        <w:right w:val="none" w:sz="0" w:space="0" w:color="auto"/>
      </w:divBdr>
    </w:div>
    <w:div w:id="1541478051">
      <w:bodyDiv w:val="1"/>
      <w:marLeft w:val="0"/>
      <w:marRight w:val="0"/>
      <w:marTop w:val="0"/>
      <w:marBottom w:val="0"/>
      <w:divBdr>
        <w:top w:val="none" w:sz="0" w:space="0" w:color="auto"/>
        <w:left w:val="none" w:sz="0" w:space="0" w:color="auto"/>
        <w:bottom w:val="none" w:sz="0" w:space="0" w:color="auto"/>
        <w:right w:val="none" w:sz="0" w:space="0" w:color="auto"/>
      </w:divBdr>
    </w:div>
    <w:div w:id="1552381360">
      <w:bodyDiv w:val="1"/>
      <w:marLeft w:val="0"/>
      <w:marRight w:val="0"/>
      <w:marTop w:val="0"/>
      <w:marBottom w:val="0"/>
      <w:divBdr>
        <w:top w:val="none" w:sz="0" w:space="0" w:color="auto"/>
        <w:left w:val="none" w:sz="0" w:space="0" w:color="auto"/>
        <w:bottom w:val="none" w:sz="0" w:space="0" w:color="auto"/>
        <w:right w:val="none" w:sz="0" w:space="0" w:color="auto"/>
      </w:divBdr>
    </w:div>
    <w:div w:id="1555461771">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647010820">
      <w:bodyDiv w:val="1"/>
      <w:marLeft w:val="0"/>
      <w:marRight w:val="0"/>
      <w:marTop w:val="0"/>
      <w:marBottom w:val="0"/>
      <w:divBdr>
        <w:top w:val="none" w:sz="0" w:space="0" w:color="auto"/>
        <w:left w:val="none" w:sz="0" w:space="0" w:color="auto"/>
        <w:bottom w:val="none" w:sz="0" w:space="0" w:color="auto"/>
        <w:right w:val="none" w:sz="0" w:space="0" w:color="auto"/>
      </w:divBdr>
    </w:div>
    <w:div w:id="1649241841">
      <w:bodyDiv w:val="1"/>
      <w:marLeft w:val="0"/>
      <w:marRight w:val="0"/>
      <w:marTop w:val="0"/>
      <w:marBottom w:val="0"/>
      <w:divBdr>
        <w:top w:val="none" w:sz="0" w:space="0" w:color="auto"/>
        <w:left w:val="none" w:sz="0" w:space="0" w:color="auto"/>
        <w:bottom w:val="none" w:sz="0" w:space="0" w:color="auto"/>
        <w:right w:val="none" w:sz="0" w:space="0" w:color="auto"/>
      </w:divBdr>
    </w:div>
    <w:div w:id="1660384209">
      <w:bodyDiv w:val="1"/>
      <w:marLeft w:val="0"/>
      <w:marRight w:val="0"/>
      <w:marTop w:val="0"/>
      <w:marBottom w:val="0"/>
      <w:divBdr>
        <w:top w:val="none" w:sz="0" w:space="0" w:color="auto"/>
        <w:left w:val="none" w:sz="0" w:space="0" w:color="auto"/>
        <w:bottom w:val="none" w:sz="0" w:space="0" w:color="auto"/>
        <w:right w:val="none" w:sz="0" w:space="0" w:color="auto"/>
      </w:divBdr>
    </w:div>
    <w:div w:id="1669553715">
      <w:bodyDiv w:val="1"/>
      <w:marLeft w:val="0"/>
      <w:marRight w:val="0"/>
      <w:marTop w:val="0"/>
      <w:marBottom w:val="0"/>
      <w:divBdr>
        <w:top w:val="none" w:sz="0" w:space="0" w:color="auto"/>
        <w:left w:val="none" w:sz="0" w:space="0" w:color="auto"/>
        <w:bottom w:val="none" w:sz="0" w:space="0" w:color="auto"/>
        <w:right w:val="none" w:sz="0" w:space="0" w:color="auto"/>
      </w:divBdr>
    </w:div>
    <w:div w:id="1672560111">
      <w:bodyDiv w:val="1"/>
      <w:marLeft w:val="0"/>
      <w:marRight w:val="0"/>
      <w:marTop w:val="0"/>
      <w:marBottom w:val="0"/>
      <w:divBdr>
        <w:top w:val="none" w:sz="0" w:space="0" w:color="auto"/>
        <w:left w:val="none" w:sz="0" w:space="0" w:color="auto"/>
        <w:bottom w:val="none" w:sz="0" w:space="0" w:color="auto"/>
        <w:right w:val="none" w:sz="0" w:space="0" w:color="auto"/>
      </w:divBdr>
    </w:div>
    <w:div w:id="1686244086">
      <w:bodyDiv w:val="1"/>
      <w:marLeft w:val="0"/>
      <w:marRight w:val="0"/>
      <w:marTop w:val="0"/>
      <w:marBottom w:val="0"/>
      <w:divBdr>
        <w:top w:val="none" w:sz="0" w:space="0" w:color="auto"/>
        <w:left w:val="none" w:sz="0" w:space="0" w:color="auto"/>
        <w:bottom w:val="none" w:sz="0" w:space="0" w:color="auto"/>
        <w:right w:val="none" w:sz="0" w:space="0" w:color="auto"/>
      </w:divBdr>
    </w:div>
    <w:div w:id="1706251871">
      <w:bodyDiv w:val="1"/>
      <w:marLeft w:val="0"/>
      <w:marRight w:val="0"/>
      <w:marTop w:val="0"/>
      <w:marBottom w:val="0"/>
      <w:divBdr>
        <w:top w:val="none" w:sz="0" w:space="0" w:color="auto"/>
        <w:left w:val="none" w:sz="0" w:space="0" w:color="auto"/>
        <w:bottom w:val="none" w:sz="0" w:space="0" w:color="auto"/>
        <w:right w:val="none" w:sz="0" w:space="0" w:color="auto"/>
      </w:divBdr>
    </w:div>
    <w:div w:id="1718311005">
      <w:bodyDiv w:val="1"/>
      <w:marLeft w:val="0"/>
      <w:marRight w:val="0"/>
      <w:marTop w:val="0"/>
      <w:marBottom w:val="0"/>
      <w:divBdr>
        <w:top w:val="none" w:sz="0" w:space="0" w:color="auto"/>
        <w:left w:val="none" w:sz="0" w:space="0" w:color="auto"/>
        <w:bottom w:val="none" w:sz="0" w:space="0" w:color="auto"/>
        <w:right w:val="none" w:sz="0" w:space="0" w:color="auto"/>
      </w:divBdr>
    </w:div>
    <w:div w:id="1718695893">
      <w:bodyDiv w:val="1"/>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sChild>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sChild>
                    <w:div w:id="1249386030">
                      <w:marLeft w:val="0"/>
                      <w:marRight w:val="0"/>
                      <w:marTop w:val="0"/>
                      <w:marBottom w:val="0"/>
                      <w:divBdr>
                        <w:top w:val="none" w:sz="0" w:space="0" w:color="auto"/>
                        <w:left w:val="none" w:sz="0" w:space="0" w:color="auto"/>
                        <w:bottom w:val="none" w:sz="0" w:space="0" w:color="auto"/>
                        <w:right w:val="none" w:sz="0" w:space="0" w:color="auto"/>
                      </w:divBdr>
                      <w:divsChild>
                        <w:div w:id="1772118348">
                          <w:marLeft w:val="0"/>
                          <w:marRight w:val="0"/>
                          <w:marTop w:val="0"/>
                          <w:marBottom w:val="0"/>
                          <w:divBdr>
                            <w:top w:val="none" w:sz="0" w:space="0" w:color="auto"/>
                            <w:left w:val="none" w:sz="0" w:space="0" w:color="auto"/>
                            <w:bottom w:val="none" w:sz="0" w:space="0" w:color="auto"/>
                            <w:right w:val="none" w:sz="0" w:space="0" w:color="auto"/>
                          </w:divBdr>
                          <w:divsChild>
                            <w:div w:id="6406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4150">
      <w:bodyDiv w:val="1"/>
      <w:marLeft w:val="0"/>
      <w:marRight w:val="0"/>
      <w:marTop w:val="0"/>
      <w:marBottom w:val="0"/>
      <w:divBdr>
        <w:top w:val="none" w:sz="0" w:space="0" w:color="auto"/>
        <w:left w:val="none" w:sz="0" w:space="0" w:color="auto"/>
        <w:bottom w:val="none" w:sz="0" w:space="0" w:color="auto"/>
        <w:right w:val="none" w:sz="0" w:space="0" w:color="auto"/>
      </w:divBdr>
    </w:div>
    <w:div w:id="1788115394">
      <w:bodyDiv w:val="1"/>
      <w:marLeft w:val="0"/>
      <w:marRight w:val="0"/>
      <w:marTop w:val="0"/>
      <w:marBottom w:val="0"/>
      <w:divBdr>
        <w:top w:val="none" w:sz="0" w:space="0" w:color="auto"/>
        <w:left w:val="none" w:sz="0" w:space="0" w:color="auto"/>
        <w:bottom w:val="none" w:sz="0" w:space="0" w:color="auto"/>
        <w:right w:val="none" w:sz="0" w:space="0" w:color="auto"/>
      </w:divBdr>
    </w:div>
    <w:div w:id="1790583515">
      <w:bodyDiv w:val="1"/>
      <w:marLeft w:val="0"/>
      <w:marRight w:val="0"/>
      <w:marTop w:val="0"/>
      <w:marBottom w:val="0"/>
      <w:divBdr>
        <w:top w:val="none" w:sz="0" w:space="0" w:color="auto"/>
        <w:left w:val="none" w:sz="0" w:space="0" w:color="auto"/>
        <w:bottom w:val="none" w:sz="0" w:space="0" w:color="auto"/>
        <w:right w:val="none" w:sz="0" w:space="0" w:color="auto"/>
      </w:divBdr>
    </w:div>
    <w:div w:id="1799303487">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41382549">
      <w:bodyDiv w:val="1"/>
      <w:marLeft w:val="0"/>
      <w:marRight w:val="0"/>
      <w:marTop w:val="0"/>
      <w:marBottom w:val="0"/>
      <w:divBdr>
        <w:top w:val="none" w:sz="0" w:space="0" w:color="auto"/>
        <w:left w:val="none" w:sz="0" w:space="0" w:color="auto"/>
        <w:bottom w:val="none" w:sz="0" w:space="0" w:color="auto"/>
        <w:right w:val="none" w:sz="0" w:space="0" w:color="auto"/>
      </w:divBdr>
    </w:div>
    <w:div w:id="1876118142">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41327593">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64724956">
      <w:bodyDiv w:val="1"/>
      <w:marLeft w:val="0"/>
      <w:marRight w:val="0"/>
      <w:marTop w:val="0"/>
      <w:marBottom w:val="0"/>
      <w:divBdr>
        <w:top w:val="none" w:sz="0" w:space="0" w:color="auto"/>
        <w:left w:val="none" w:sz="0" w:space="0" w:color="auto"/>
        <w:bottom w:val="none" w:sz="0" w:space="0" w:color="auto"/>
        <w:right w:val="none" w:sz="0" w:space="0" w:color="auto"/>
      </w:divBdr>
    </w:div>
    <w:div w:id="1971783665">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1994093709">
      <w:bodyDiv w:val="1"/>
      <w:marLeft w:val="0"/>
      <w:marRight w:val="0"/>
      <w:marTop w:val="0"/>
      <w:marBottom w:val="0"/>
      <w:divBdr>
        <w:top w:val="none" w:sz="0" w:space="0" w:color="auto"/>
        <w:left w:val="none" w:sz="0" w:space="0" w:color="auto"/>
        <w:bottom w:val="none" w:sz="0" w:space="0" w:color="auto"/>
        <w:right w:val="none" w:sz="0" w:space="0" w:color="auto"/>
      </w:divBdr>
    </w:div>
    <w:div w:id="2005669674">
      <w:bodyDiv w:val="1"/>
      <w:marLeft w:val="0"/>
      <w:marRight w:val="0"/>
      <w:marTop w:val="0"/>
      <w:marBottom w:val="0"/>
      <w:divBdr>
        <w:top w:val="none" w:sz="0" w:space="0" w:color="auto"/>
        <w:left w:val="none" w:sz="0" w:space="0" w:color="auto"/>
        <w:bottom w:val="none" w:sz="0" w:space="0" w:color="auto"/>
        <w:right w:val="none" w:sz="0" w:space="0" w:color="auto"/>
      </w:divBdr>
    </w:div>
    <w:div w:id="2031643130">
      <w:bodyDiv w:val="1"/>
      <w:marLeft w:val="0"/>
      <w:marRight w:val="0"/>
      <w:marTop w:val="0"/>
      <w:marBottom w:val="0"/>
      <w:divBdr>
        <w:top w:val="none" w:sz="0" w:space="0" w:color="auto"/>
        <w:left w:val="none" w:sz="0" w:space="0" w:color="auto"/>
        <w:bottom w:val="none" w:sz="0" w:space="0" w:color="auto"/>
        <w:right w:val="none" w:sz="0" w:space="0" w:color="auto"/>
      </w:divBdr>
    </w:div>
    <w:div w:id="2039045222">
      <w:bodyDiv w:val="1"/>
      <w:marLeft w:val="0"/>
      <w:marRight w:val="0"/>
      <w:marTop w:val="0"/>
      <w:marBottom w:val="0"/>
      <w:divBdr>
        <w:top w:val="none" w:sz="0" w:space="0" w:color="auto"/>
        <w:left w:val="none" w:sz="0" w:space="0" w:color="auto"/>
        <w:bottom w:val="none" w:sz="0" w:space="0" w:color="auto"/>
        <w:right w:val="none" w:sz="0" w:space="0" w:color="auto"/>
      </w:divBdr>
      <w:divsChild>
        <w:div w:id="12650594">
          <w:marLeft w:val="0"/>
          <w:marRight w:val="0"/>
          <w:marTop w:val="0"/>
          <w:marBottom w:val="0"/>
          <w:divBdr>
            <w:top w:val="none" w:sz="0" w:space="0" w:color="auto"/>
            <w:left w:val="none" w:sz="0" w:space="0" w:color="auto"/>
            <w:bottom w:val="none" w:sz="0" w:space="0" w:color="auto"/>
            <w:right w:val="none" w:sz="0" w:space="0" w:color="auto"/>
          </w:divBdr>
          <w:divsChild>
            <w:div w:id="592737475">
              <w:marLeft w:val="0"/>
              <w:marRight w:val="0"/>
              <w:marTop w:val="0"/>
              <w:marBottom w:val="0"/>
              <w:divBdr>
                <w:top w:val="none" w:sz="0" w:space="0" w:color="auto"/>
                <w:left w:val="none" w:sz="0" w:space="0" w:color="auto"/>
                <w:bottom w:val="none" w:sz="0" w:space="0" w:color="auto"/>
                <w:right w:val="none" w:sz="0" w:space="0" w:color="auto"/>
              </w:divBdr>
              <w:divsChild>
                <w:div w:id="245313243">
                  <w:marLeft w:val="0"/>
                  <w:marRight w:val="0"/>
                  <w:marTop w:val="0"/>
                  <w:marBottom w:val="0"/>
                  <w:divBdr>
                    <w:top w:val="none" w:sz="0" w:space="0" w:color="auto"/>
                    <w:left w:val="none" w:sz="0" w:space="0" w:color="auto"/>
                    <w:bottom w:val="none" w:sz="0" w:space="0" w:color="auto"/>
                    <w:right w:val="none" w:sz="0" w:space="0" w:color="auto"/>
                  </w:divBdr>
                  <w:divsChild>
                    <w:div w:id="1544826270">
                      <w:marLeft w:val="0"/>
                      <w:marRight w:val="0"/>
                      <w:marTop w:val="0"/>
                      <w:marBottom w:val="0"/>
                      <w:divBdr>
                        <w:top w:val="none" w:sz="0" w:space="0" w:color="auto"/>
                        <w:left w:val="none" w:sz="0" w:space="0" w:color="auto"/>
                        <w:bottom w:val="none" w:sz="0" w:space="0" w:color="auto"/>
                        <w:right w:val="none" w:sz="0" w:space="0" w:color="auto"/>
                      </w:divBdr>
                      <w:divsChild>
                        <w:div w:id="527645582">
                          <w:marLeft w:val="0"/>
                          <w:marRight w:val="0"/>
                          <w:marTop w:val="0"/>
                          <w:marBottom w:val="0"/>
                          <w:divBdr>
                            <w:top w:val="none" w:sz="0" w:space="0" w:color="auto"/>
                            <w:left w:val="none" w:sz="0" w:space="0" w:color="auto"/>
                            <w:bottom w:val="none" w:sz="0" w:space="0" w:color="auto"/>
                            <w:right w:val="none" w:sz="0" w:space="0" w:color="auto"/>
                          </w:divBdr>
                          <w:divsChild>
                            <w:div w:id="18101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8848">
          <w:marLeft w:val="0"/>
          <w:marRight w:val="0"/>
          <w:marTop w:val="0"/>
          <w:marBottom w:val="0"/>
          <w:divBdr>
            <w:top w:val="none" w:sz="0" w:space="0" w:color="auto"/>
            <w:left w:val="none" w:sz="0" w:space="0" w:color="auto"/>
            <w:bottom w:val="none" w:sz="0" w:space="0" w:color="auto"/>
            <w:right w:val="none" w:sz="0" w:space="0" w:color="auto"/>
          </w:divBdr>
          <w:divsChild>
            <w:div w:id="2122264920">
              <w:marLeft w:val="0"/>
              <w:marRight w:val="0"/>
              <w:marTop w:val="0"/>
              <w:marBottom w:val="0"/>
              <w:divBdr>
                <w:top w:val="none" w:sz="0" w:space="0" w:color="auto"/>
                <w:left w:val="none" w:sz="0" w:space="0" w:color="auto"/>
                <w:bottom w:val="none" w:sz="0" w:space="0" w:color="auto"/>
                <w:right w:val="none" w:sz="0" w:space="0" w:color="auto"/>
              </w:divBdr>
              <w:divsChild>
                <w:div w:id="953557945">
                  <w:marLeft w:val="0"/>
                  <w:marRight w:val="0"/>
                  <w:marTop w:val="0"/>
                  <w:marBottom w:val="0"/>
                  <w:divBdr>
                    <w:top w:val="none" w:sz="0" w:space="0" w:color="auto"/>
                    <w:left w:val="none" w:sz="0" w:space="0" w:color="auto"/>
                    <w:bottom w:val="none" w:sz="0" w:space="0" w:color="auto"/>
                    <w:right w:val="none" w:sz="0" w:space="0" w:color="auto"/>
                  </w:divBdr>
                  <w:divsChild>
                    <w:div w:id="1233658981">
                      <w:marLeft w:val="0"/>
                      <w:marRight w:val="0"/>
                      <w:marTop w:val="0"/>
                      <w:marBottom w:val="0"/>
                      <w:divBdr>
                        <w:top w:val="none" w:sz="0" w:space="0" w:color="auto"/>
                        <w:left w:val="none" w:sz="0" w:space="0" w:color="auto"/>
                        <w:bottom w:val="none" w:sz="0" w:space="0" w:color="auto"/>
                        <w:right w:val="none" w:sz="0" w:space="0" w:color="auto"/>
                      </w:divBdr>
                      <w:divsChild>
                        <w:div w:id="1606963591">
                          <w:marLeft w:val="0"/>
                          <w:marRight w:val="0"/>
                          <w:marTop w:val="0"/>
                          <w:marBottom w:val="0"/>
                          <w:divBdr>
                            <w:top w:val="none" w:sz="0" w:space="0" w:color="auto"/>
                            <w:left w:val="none" w:sz="0" w:space="0" w:color="auto"/>
                            <w:bottom w:val="none" w:sz="0" w:space="0" w:color="auto"/>
                            <w:right w:val="none" w:sz="0" w:space="0" w:color="auto"/>
                          </w:divBdr>
                          <w:divsChild>
                            <w:div w:id="1825512155">
                              <w:marLeft w:val="0"/>
                              <w:marRight w:val="0"/>
                              <w:marTop w:val="0"/>
                              <w:marBottom w:val="0"/>
                              <w:divBdr>
                                <w:top w:val="none" w:sz="0" w:space="0" w:color="auto"/>
                                <w:left w:val="none" w:sz="0" w:space="0" w:color="auto"/>
                                <w:bottom w:val="none" w:sz="0" w:space="0" w:color="auto"/>
                                <w:right w:val="none" w:sz="0" w:space="0" w:color="auto"/>
                              </w:divBdr>
                              <w:divsChild>
                                <w:div w:id="17530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2654">
          <w:marLeft w:val="0"/>
          <w:marRight w:val="0"/>
          <w:marTop w:val="0"/>
          <w:marBottom w:val="0"/>
          <w:divBdr>
            <w:top w:val="none" w:sz="0" w:space="0" w:color="auto"/>
            <w:left w:val="none" w:sz="0" w:space="0" w:color="auto"/>
            <w:bottom w:val="none" w:sz="0" w:space="0" w:color="auto"/>
            <w:right w:val="none" w:sz="0" w:space="0" w:color="auto"/>
          </w:divBdr>
          <w:divsChild>
            <w:div w:id="109473309">
              <w:marLeft w:val="0"/>
              <w:marRight w:val="0"/>
              <w:marTop w:val="0"/>
              <w:marBottom w:val="0"/>
              <w:divBdr>
                <w:top w:val="none" w:sz="0" w:space="0" w:color="auto"/>
                <w:left w:val="none" w:sz="0" w:space="0" w:color="auto"/>
                <w:bottom w:val="none" w:sz="0" w:space="0" w:color="auto"/>
                <w:right w:val="none" w:sz="0" w:space="0" w:color="auto"/>
              </w:divBdr>
              <w:divsChild>
                <w:div w:id="213739557">
                  <w:marLeft w:val="0"/>
                  <w:marRight w:val="0"/>
                  <w:marTop w:val="0"/>
                  <w:marBottom w:val="0"/>
                  <w:divBdr>
                    <w:top w:val="none" w:sz="0" w:space="0" w:color="auto"/>
                    <w:left w:val="none" w:sz="0" w:space="0" w:color="auto"/>
                    <w:bottom w:val="none" w:sz="0" w:space="0" w:color="auto"/>
                    <w:right w:val="none" w:sz="0" w:space="0" w:color="auto"/>
                  </w:divBdr>
                  <w:divsChild>
                    <w:div w:id="2125810663">
                      <w:marLeft w:val="0"/>
                      <w:marRight w:val="0"/>
                      <w:marTop w:val="0"/>
                      <w:marBottom w:val="0"/>
                      <w:divBdr>
                        <w:top w:val="none" w:sz="0" w:space="0" w:color="auto"/>
                        <w:left w:val="none" w:sz="0" w:space="0" w:color="auto"/>
                        <w:bottom w:val="none" w:sz="0" w:space="0" w:color="auto"/>
                        <w:right w:val="none" w:sz="0" w:space="0" w:color="auto"/>
                      </w:divBdr>
                      <w:divsChild>
                        <w:div w:id="2011175998">
                          <w:marLeft w:val="0"/>
                          <w:marRight w:val="0"/>
                          <w:marTop w:val="0"/>
                          <w:marBottom w:val="0"/>
                          <w:divBdr>
                            <w:top w:val="none" w:sz="0" w:space="0" w:color="auto"/>
                            <w:left w:val="none" w:sz="0" w:space="0" w:color="auto"/>
                            <w:bottom w:val="none" w:sz="0" w:space="0" w:color="auto"/>
                            <w:right w:val="none" w:sz="0" w:space="0" w:color="auto"/>
                          </w:divBdr>
                          <w:divsChild>
                            <w:div w:id="21287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99556">
          <w:marLeft w:val="0"/>
          <w:marRight w:val="0"/>
          <w:marTop w:val="0"/>
          <w:marBottom w:val="0"/>
          <w:divBdr>
            <w:top w:val="none" w:sz="0" w:space="0" w:color="auto"/>
            <w:left w:val="none" w:sz="0" w:space="0" w:color="auto"/>
            <w:bottom w:val="none" w:sz="0" w:space="0" w:color="auto"/>
            <w:right w:val="none" w:sz="0" w:space="0" w:color="auto"/>
          </w:divBdr>
          <w:divsChild>
            <w:div w:id="287325765">
              <w:marLeft w:val="0"/>
              <w:marRight w:val="0"/>
              <w:marTop w:val="0"/>
              <w:marBottom w:val="0"/>
              <w:divBdr>
                <w:top w:val="none" w:sz="0" w:space="0" w:color="auto"/>
                <w:left w:val="none" w:sz="0" w:space="0" w:color="auto"/>
                <w:bottom w:val="none" w:sz="0" w:space="0" w:color="auto"/>
                <w:right w:val="none" w:sz="0" w:space="0" w:color="auto"/>
              </w:divBdr>
              <w:divsChild>
                <w:div w:id="30884572">
                  <w:marLeft w:val="0"/>
                  <w:marRight w:val="0"/>
                  <w:marTop w:val="0"/>
                  <w:marBottom w:val="0"/>
                  <w:divBdr>
                    <w:top w:val="none" w:sz="0" w:space="0" w:color="auto"/>
                    <w:left w:val="none" w:sz="0" w:space="0" w:color="auto"/>
                    <w:bottom w:val="none" w:sz="0" w:space="0" w:color="auto"/>
                    <w:right w:val="none" w:sz="0" w:space="0" w:color="auto"/>
                  </w:divBdr>
                  <w:divsChild>
                    <w:div w:id="1524904943">
                      <w:marLeft w:val="0"/>
                      <w:marRight w:val="0"/>
                      <w:marTop w:val="0"/>
                      <w:marBottom w:val="0"/>
                      <w:divBdr>
                        <w:top w:val="none" w:sz="0" w:space="0" w:color="auto"/>
                        <w:left w:val="none" w:sz="0" w:space="0" w:color="auto"/>
                        <w:bottom w:val="none" w:sz="0" w:space="0" w:color="auto"/>
                        <w:right w:val="none" w:sz="0" w:space="0" w:color="auto"/>
                      </w:divBdr>
                      <w:divsChild>
                        <w:div w:id="959259960">
                          <w:marLeft w:val="0"/>
                          <w:marRight w:val="0"/>
                          <w:marTop w:val="0"/>
                          <w:marBottom w:val="0"/>
                          <w:divBdr>
                            <w:top w:val="none" w:sz="0" w:space="0" w:color="auto"/>
                            <w:left w:val="none" w:sz="0" w:space="0" w:color="auto"/>
                            <w:bottom w:val="none" w:sz="0" w:space="0" w:color="auto"/>
                            <w:right w:val="none" w:sz="0" w:space="0" w:color="auto"/>
                          </w:divBdr>
                          <w:divsChild>
                            <w:div w:id="4429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9805">
          <w:marLeft w:val="0"/>
          <w:marRight w:val="0"/>
          <w:marTop w:val="0"/>
          <w:marBottom w:val="0"/>
          <w:divBdr>
            <w:top w:val="none" w:sz="0" w:space="0" w:color="auto"/>
            <w:left w:val="none" w:sz="0" w:space="0" w:color="auto"/>
            <w:bottom w:val="none" w:sz="0" w:space="0" w:color="auto"/>
            <w:right w:val="none" w:sz="0" w:space="0" w:color="auto"/>
          </w:divBdr>
          <w:divsChild>
            <w:div w:id="1406368293">
              <w:marLeft w:val="0"/>
              <w:marRight w:val="0"/>
              <w:marTop w:val="0"/>
              <w:marBottom w:val="0"/>
              <w:divBdr>
                <w:top w:val="none" w:sz="0" w:space="0" w:color="auto"/>
                <w:left w:val="none" w:sz="0" w:space="0" w:color="auto"/>
                <w:bottom w:val="none" w:sz="0" w:space="0" w:color="auto"/>
                <w:right w:val="none" w:sz="0" w:space="0" w:color="auto"/>
              </w:divBdr>
              <w:divsChild>
                <w:div w:id="1535074867">
                  <w:marLeft w:val="0"/>
                  <w:marRight w:val="0"/>
                  <w:marTop w:val="0"/>
                  <w:marBottom w:val="0"/>
                  <w:divBdr>
                    <w:top w:val="none" w:sz="0" w:space="0" w:color="auto"/>
                    <w:left w:val="none" w:sz="0" w:space="0" w:color="auto"/>
                    <w:bottom w:val="none" w:sz="0" w:space="0" w:color="auto"/>
                    <w:right w:val="none" w:sz="0" w:space="0" w:color="auto"/>
                  </w:divBdr>
                  <w:divsChild>
                    <w:div w:id="421340001">
                      <w:marLeft w:val="0"/>
                      <w:marRight w:val="0"/>
                      <w:marTop w:val="0"/>
                      <w:marBottom w:val="0"/>
                      <w:divBdr>
                        <w:top w:val="none" w:sz="0" w:space="0" w:color="auto"/>
                        <w:left w:val="none" w:sz="0" w:space="0" w:color="auto"/>
                        <w:bottom w:val="none" w:sz="0" w:space="0" w:color="auto"/>
                        <w:right w:val="none" w:sz="0" w:space="0" w:color="auto"/>
                      </w:divBdr>
                      <w:divsChild>
                        <w:div w:id="876160440">
                          <w:marLeft w:val="0"/>
                          <w:marRight w:val="0"/>
                          <w:marTop w:val="0"/>
                          <w:marBottom w:val="0"/>
                          <w:divBdr>
                            <w:top w:val="none" w:sz="0" w:space="0" w:color="auto"/>
                            <w:left w:val="none" w:sz="0" w:space="0" w:color="auto"/>
                            <w:bottom w:val="none" w:sz="0" w:space="0" w:color="auto"/>
                            <w:right w:val="none" w:sz="0" w:space="0" w:color="auto"/>
                          </w:divBdr>
                          <w:divsChild>
                            <w:div w:id="16749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96654">
          <w:marLeft w:val="0"/>
          <w:marRight w:val="0"/>
          <w:marTop w:val="0"/>
          <w:marBottom w:val="0"/>
          <w:divBdr>
            <w:top w:val="none" w:sz="0" w:space="0" w:color="auto"/>
            <w:left w:val="none" w:sz="0" w:space="0" w:color="auto"/>
            <w:bottom w:val="none" w:sz="0" w:space="0" w:color="auto"/>
            <w:right w:val="none" w:sz="0" w:space="0" w:color="auto"/>
          </w:divBdr>
          <w:divsChild>
            <w:div w:id="342629562">
              <w:marLeft w:val="0"/>
              <w:marRight w:val="0"/>
              <w:marTop w:val="0"/>
              <w:marBottom w:val="0"/>
              <w:divBdr>
                <w:top w:val="none" w:sz="0" w:space="0" w:color="auto"/>
                <w:left w:val="none" w:sz="0" w:space="0" w:color="auto"/>
                <w:bottom w:val="none" w:sz="0" w:space="0" w:color="auto"/>
                <w:right w:val="none" w:sz="0" w:space="0" w:color="auto"/>
              </w:divBdr>
              <w:divsChild>
                <w:div w:id="1143422294">
                  <w:marLeft w:val="0"/>
                  <w:marRight w:val="0"/>
                  <w:marTop w:val="0"/>
                  <w:marBottom w:val="0"/>
                  <w:divBdr>
                    <w:top w:val="none" w:sz="0" w:space="0" w:color="auto"/>
                    <w:left w:val="none" w:sz="0" w:space="0" w:color="auto"/>
                    <w:bottom w:val="none" w:sz="0" w:space="0" w:color="auto"/>
                    <w:right w:val="none" w:sz="0" w:space="0" w:color="auto"/>
                  </w:divBdr>
                  <w:divsChild>
                    <w:div w:id="984775507">
                      <w:marLeft w:val="0"/>
                      <w:marRight w:val="0"/>
                      <w:marTop w:val="0"/>
                      <w:marBottom w:val="0"/>
                      <w:divBdr>
                        <w:top w:val="none" w:sz="0" w:space="0" w:color="auto"/>
                        <w:left w:val="none" w:sz="0" w:space="0" w:color="auto"/>
                        <w:bottom w:val="none" w:sz="0" w:space="0" w:color="auto"/>
                        <w:right w:val="none" w:sz="0" w:space="0" w:color="auto"/>
                      </w:divBdr>
                      <w:divsChild>
                        <w:div w:id="1871990297">
                          <w:marLeft w:val="0"/>
                          <w:marRight w:val="0"/>
                          <w:marTop w:val="0"/>
                          <w:marBottom w:val="0"/>
                          <w:divBdr>
                            <w:top w:val="none" w:sz="0" w:space="0" w:color="auto"/>
                            <w:left w:val="none" w:sz="0" w:space="0" w:color="auto"/>
                            <w:bottom w:val="none" w:sz="0" w:space="0" w:color="auto"/>
                            <w:right w:val="none" w:sz="0" w:space="0" w:color="auto"/>
                          </w:divBdr>
                          <w:divsChild>
                            <w:div w:id="989745054">
                              <w:marLeft w:val="0"/>
                              <w:marRight w:val="0"/>
                              <w:marTop w:val="0"/>
                              <w:marBottom w:val="0"/>
                              <w:divBdr>
                                <w:top w:val="none" w:sz="0" w:space="0" w:color="auto"/>
                                <w:left w:val="none" w:sz="0" w:space="0" w:color="auto"/>
                                <w:bottom w:val="none" w:sz="0" w:space="0" w:color="auto"/>
                                <w:right w:val="none" w:sz="0" w:space="0" w:color="auto"/>
                              </w:divBdr>
                              <w:divsChild>
                                <w:div w:id="11474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28473">
          <w:marLeft w:val="0"/>
          <w:marRight w:val="0"/>
          <w:marTop w:val="0"/>
          <w:marBottom w:val="0"/>
          <w:divBdr>
            <w:top w:val="none" w:sz="0" w:space="0" w:color="auto"/>
            <w:left w:val="none" w:sz="0" w:space="0" w:color="auto"/>
            <w:bottom w:val="none" w:sz="0" w:space="0" w:color="auto"/>
            <w:right w:val="none" w:sz="0" w:space="0" w:color="auto"/>
          </w:divBdr>
          <w:divsChild>
            <w:div w:id="1633973066">
              <w:marLeft w:val="0"/>
              <w:marRight w:val="0"/>
              <w:marTop w:val="0"/>
              <w:marBottom w:val="0"/>
              <w:divBdr>
                <w:top w:val="none" w:sz="0" w:space="0" w:color="auto"/>
                <w:left w:val="none" w:sz="0" w:space="0" w:color="auto"/>
                <w:bottom w:val="none" w:sz="0" w:space="0" w:color="auto"/>
                <w:right w:val="none" w:sz="0" w:space="0" w:color="auto"/>
              </w:divBdr>
              <w:divsChild>
                <w:div w:id="1334337542">
                  <w:marLeft w:val="0"/>
                  <w:marRight w:val="0"/>
                  <w:marTop w:val="0"/>
                  <w:marBottom w:val="0"/>
                  <w:divBdr>
                    <w:top w:val="none" w:sz="0" w:space="0" w:color="auto"/>
                    <w:left w:val="none" w:sz="0" w:space="0" w:color="auto"/>
                    <w:bottom w:val="none" w:sz="0" w:space="0" w:color="auto"/>
                    <w:right w:val="none" w:sz="0" w:space="0" w:color="auto"/>
                  </w:divBdr>
                  <w:divsChild>
                    <w:div w:id="1691837406">
                      <w:marLeft w:val="0"/>
                      <w:marRight w:val="0"/>
                      <w:marTop w:val="0"/>
                      <w:marBottom w:val="0"/>
                      <w:divBdr>
                        <w:top w:val="none" w:sz="0" w:space="0" w:color="auto"/>
                        <w:left w:val="none" w:sz="0" w:space="0" w:color="auto"/>
                        <w:bottom w:val="none" w:sz="0" w:space="0" w:color="auto"/>
                        <w:right w:val="none" w:sz="0" w:space="0" w:color="auto"/>
                      </w:divBdr>
                      <w:divsChild>
                        <w:div w:id="1244100559">
                          <w:marLeft w:val="0"/>
                          <w:marRight w:val="0"/>
                          <w:marTop w:val="0"/>
                          <w:marBottom w:val="0"/>
                          <w:divBdr>
                            <w:top w:val="none" w:sz="0" w:space="0" w:color="auto"/>
                            <w:left w:val="none" w:sz="0" w:space="0" w:color="auto"/>
                            <w:bottom w:val="none" w:sz="0" w:space="0" w:color="auto"/>
                            <w:right w:val="none" w:sz="0" w:space="0" w:color="auto"/>
                          </w:divBdr>
                          <w:divsChild>
                            <w:div w:id="1223492420">
                              <w:marLeft w:val="0"/>
                              <w:marRight w:val="0"/>
                              <w:marTop w:val="0"/>
                              <w:marBottom w:val="0"/>
                              <w:divBdr>
                                <w:top w:val="none" w:sz="0" w:space="0" w:color="auto"/>
                                <w:left w:val="none" w:sz="0" w:space="0" w:color="auto"/>
                                <w:bottom w:val="none" w:sz="0" w:space="0" w:color="auto"/>
                                <w:right w:val="none" w:sz="0" w:space="0" w:color="auto"/>
                              </w:divBdr>
                              <w:divsChild>
                                <w:div w:id="11977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121471">
          <w:marLeft w:val="0"/>
          <w:marRight w:val="0"/>
          <w:marTop w:val="0"/>
          <w:marBottom w:val="0"/>
          <w:divBdr>
            <w:top w:val="none" w:sz="0" w:space="0" w:color="auto"/>
            <w:left w:val="none" w:sz="0" w:space="0" w:color="auto"/>
            <w:bottom w:val="none" w:sz="0" w:space="0" w:color="auto"/>
            <w:right w:val="none" w:sz="0" w:space="0" w:color="auto"/>
          </w:divBdr>
          <w:divsChild>
            <w:div w:id="1413891804">
              <w:marLeft w:val="0"/>
              <w:marRight w:val="0"/>
              <w:marTop w:val="0"/>
              <w:marBottom w:val="0"/>
              <w:divBdr>
                <w:top w:val="none" w:sz="0" w:space="0" w:color="auto"/>
                <w:left w:val="none" w:sz="0" w:space="0" w:color="auto"/>
                <w:bottom w:val="none" w:sz="0" w:space="0" w:color="auto"/>
                <w:right w:val="none" w:sz="0" w:space="0" w:color="auto"/>
              </w:divBdr>
              <w:divsChild>
                <w:div w:id="1087311245">
                  <w:marLeft w:val="0"/>
                  <w:marRight w:val="0"/>
                  <w:marTop w:val="0"/>
                  <w:marBottom w:val="0"/>
                  <w:divBdr>
                    <w:top w:val="none" w:sz="0" w:space="0" w:color="auto"/>
                    <w:left w:val="none" w:sz="0" w:space="0" w:color="auto"/>
                    <w:bottom w:val="none" w:sz="0" w:space="0" w:color="auto"/>
                    <w:right w:val="none" w:sz="0" w:space="0" w:color="auto"/>
                  </w:divBdr>
                  <w:divsChild>
                    <w:div w:id="694699918">
                      <w:marLeft w:val="0"/>
                      <w:marRight w:val="0"/>
                      <w:marTop w:val="0"/>
                      <w:marBottom w:val="0"/>
                      <w:divBdr>
                        <w:top w:val="none" w:sz="0" w:space="0" w:color="auto"/>
                        <w:left w:val="none" w:sz="0" w:space="0" w:color="auto"/>
                        <w:bottom w:val="none" w:sz="0" w:space="0" w:color="auto"/>
                        <w:right w:val="none" w:sz="0" w:space="0" w:color="auto"/>
                      </w:divBdr>
                      <w:divsChild>
                        <w:div w:id="388112337">
                          <w:marLeft w:val="0"/>
                          <w:marRight w:val="0"/>
                          <w:marTop w:val="0"/>
                          <w:marBottom w:val="0"/>
                          <w:divBdr>
                            <w:top w:val="none" w:sz="0" w:space="0" w:color="auto"/>
                            <w:left w:val="none" w:sz="0" w:space="0" w:color="auto"/>
                            <w:bottom w:val="none" w:sz="0" w:space="0" w:color="auto"/>
                            <w:right w:val="none" w:sz="0" w:space="0" w:color="auto"/>
                          </w:divBdr>
                          <w:divsChild>
                            <w:div w:id="1365325465">
                              <w:marLeft w:val="0"/>
                              <w:marRight w:val="0"/>
                              <w:marTop w:val="0"/>
                              <w:marBottom w:val="0"/>
                              <w:divBdr>
                                <w:top w:val="none" w:sz="0" w:space="0" w:color="auto"/>
                                <w:left w:val="none" w:sz="0" w:space="0" w:color="auto"/>
                                <w:bottom w:val="none" w:sz="0" w:space="0" w:color="auto"/>
                                <w:right w:val="none" w:sz="0" w:space="0" w:color="auto"/>
                              </w:divBdr>
                              <w:divsChild>
                                <w:div w:id="713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03590">
          <w:marLeft w:val="0"/>
          <w:marRight w:val="0"/>
          <w:marTop w:val="0"/>
          <w:marBottom w:val="0"/>
          <w:divBdr>
            <w:top w:val="none" w:sz="0" w:space="0" w:color="auto"/>
            <w:left w:val="none" w:sz="0" w:space="0" w:color="auto"/>
            <w:bottom w:val="none" w:sz="0" w:space="0" w:color="auto"/>
            <w:right w:val="none" w:sz="0" w:space="0" w:color="auto"/>
          </w:divBdr>
          <w:divsChild>
            <w:div w:id="1498418194">
              <w:marLeft w:val="0"/>
              <w:marRight w:val="0"/>
              <w:marTop w:val="0"/>
              <w:marBottom w:val="0"/>
              <w:divBdr>
                <w:top w:val="none" w:sz="0" w:space="0" w:color="auto"/>
                <w:left w:val="none" w:sz="0" w:space="0" w:color="auto"/>
                <w:bottom w:val="none" w:sz="0" w:space="0" w:color="auto"/>
                <w:right w:val="none" w:sz="0" w:space="0" w:color="auto"/>
              </w:divBdr>
              <w:divsChild>
                <w:div w:id="1911891286">
                  <w:marLeft w:val="0"/>
                  <w:marRight w:val="0"/>
                  <w:marTop w:val="0"/>
                  <w:marBottom w:val="0"/>
                  <w:divBdr>
                    <w:top w:val="none" w:sz="0" w:space="0" w:color="auto"/>
                    <w:left w:val="none" w:sz="0" w:space="0" w:color="auto"/>
                    <w:bottom w:val="none" w:sz="0" w:space="0" w:color="auto"/>
                    <w:right w:val="none" w:sz="0" w:space="0" w:color="auto"/>
                  </w:divBdr>
                  <w:divsChild>
                    <w:div w:id="24454433">
                      <w:marLeft w:val="0"/>
                      <w:marRight w:val="0"/>
                      <w:marTop w:val="0"/>
                      <w:marBottom w:val="0"/>
                      <w:divBdr>
                        <w:top w:val="none" w:sz="0" w:space="0" w:color="auto"/>
                        <w:left w:val="none" w:sz="0" w:space="0" w:color="auto"/>
                        <w:bottom w:val="none" w:sz="0" w:space="0" w:color="auto"/>
                        <w:right w:val="none" w:sz="0" w:space="0" w:color="auto"/>
                      </w:divBdr>
                      <w:divsChild>
                        <w:div w:id="1868103933">
                          <w:marLeft w:val="0"/>
                          <w:marRight w:val="0"/>
                          <w:marTop w:val="0"/>
                          <w:marBottom w:val="0"/>
                          <w:divBdr>
                            <w:top w:val="none" w:sz="0" w:space="0" w:color="auto"/>
                            <w:left w:val="none" w:sz="0" w:space="0" w:color="auto"/>
                            <w:bottom w:val="none" w:sz="0" w:space="0" w:color="auto"/>
                            <w:right w:val="none" w:sz="0" w:space="0" w:color="auto"/>
                          </w:divBdr>
                          <w:divsChild>
                            <w:div w:id="19212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47647">
          <w:marLeft w:val="0"/>
          <w:marRight w:val="0"/>
          <w:marTop w:val="0"/>
          <w:marBottom w:val="0"/>
          <w:divBdr>
            <w:top w:val="none" w:sz="0" w:space="0" w:color="auto"/>
            <w:left w:val="none" w:sz="0" w:space="0" w:color="auto"/>
            <w:bottom w:val="none" w:sz="0" w:space="0" w:color="auto"/>
            <w:right w:val="none" w:sz="0" w:space="0" w:color="auto"/>
          </w:divBdr>
          <w:divsChild>
            <w:div w:id="1504934891">
              <w:marLeft w:val="0"/>
              <w:marRight w:val="0"/>
              <w:marTop w:val="0"/>
              <w:marBottom w:val="0"/>
              <w:divBdr>
                <w:top w:val="none" w:sz="0" w:space="0" w:color="auto"/>
                <w:left w:val="none" w:sz="0" w:space="0" w:color="auto"/>
                <w:bottom w:val="none" w:sz="0" w:space="0" w:color="auto"/>
                <w:right w:val="none" w:sz="0" w:space="0" w:color="auto"/>
              </w:divBdr>
              <w:divsChild>
                <w:div w:id="57242758">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sChild>
                        <w:div w:id="474831984">
                          <w:marLeft w:val="0"/>
                          <w:marRight w:val="0"/>
                          <w:marTop w:val="0"/>
                          <w:marBottom w:val="0"/>
                          <w:divBdr>
                            <w:top w:val="none" w:sz="0" w:space="0" w:color="auto"/>
                            <w:left w:val="none" w:sz="0" w:space="0" w:color="auto"/>
                            <w:bottom w:val="none" w:sz="0" w:space="0" w:color="auto"/>
                            <w:right w:val="none" w:sz="0" w:space="0" w:color="auto"/>
                          </w:divBdr>
                          <w:divsChild>
                            <w:div w:id="3495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6407">
          <w:marLeft w:val="0"/>
          <w:marRight w:val="0"/>
          <w:marTop w:val="0"/>
          <w:marBottom w:val="0"/>
          <w:divBdr>
            <w:top w:val="none" w:sz="0" w:space="0" w:color="auto"/>
            <w:left w:val="none" w:sz="0" w:space="0" w:color="auto"/>
            <w:bottom w:val="none" w:sz="0" w:space="0" w:color="auto"/>
            <w:right w:val="none" w:sz="0" w:space="0" w:color="auto"/>
          </w:divBdr>
          <w:divsChild>
            <w:div w:id="1819422397">
              <w:marLeft w:val="0"/>
              <w:marRight w:val="0"/>
              <w:marTop w:val="0"/>
              <w:marBottom w:val="0"/>
              <w:divBdr>
                <w:top w:val="none" w:sz="0" w:space="0" w:color="auto"/>
                <w:left w:val="none" w:sz="0" w:space="0" w:color="auto"/>
                <w:bottom w:val="none" w:sz="0" w:space="0" w:color="auto"/>
                <w:right w:val="none" w:sz="0" w:space="0" w:color="auto"/>
              </w:divBdr>
              <w:divsChild>
                <w:div w:id="826554962">
                  <w:marLeft w:val="0"/>
                  <w:marRight w:val="0"/>
                  <w:marTop w:val="0"/>
                  <w:marBottom w:val="0"/>
                  <w:divBdr>
                    <w:top w:val="none" w:sz="0" w:space="0" w:color="auto"/>
                    <w:left w:val="none" w:sz="0" w:space="0" w:color="auto"/>
                    <w:bottom w:val="none" w:sz="0" w:space="0" w:color="auto"/>
                    <w:right w:val="none" w:sz="0" w:space="0" w:color="auto"/>
                  </w:divBdr>
                  <w:divsChild>
                    <w:div w:id="777139662">
                      <w:marLeft w:val="0"/>
                      <w:marRight w:val="0"/>
                      <w:marTop w:val="0"/>
                      <w:marBottom w:val="0"/>
                      <w:divBdr>
                        <w:top w:val="none" w:sz="0" w:space="0" w:color="auto"/>
                        <w:left w:val="none" w:sz="0" w:space="0" w:color="auto"/>
                        <w:bottom w:val="none" w:sz="0" w:space="0" w:color="auto"/>
                        <w:right w:val="none" w:sz="0" w:space="0" w:color="auto"/>
                      </w:divBdr>
                      <w:divsChild>
                        <w:div w:id="99493131">
                          <w:marLeft w:val="0"/>
                          <w:marRight w:val="0"/>
                          <w:marTop w:val="0"/>
                          <w:marBottom w:val="0"/>
                          <w:divBdr>
                            <w:top w:val="none" w:sz="0" w:space="0" w:color="auto"/>
                            <w:left w:val="none" w:sz="0" w:space="0" w:color="auto"/>
                            <w:bottom w:val="none" w:sz="0" w:space="0" w:color="auto"/>
                            <w:right w:val="none" w:sz="0" w:space="0" w:color="auto"/>
                          </w:divBdr>
                          <w:divsChild>
                            <w:div w:id="2013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185574">
          <w:marLeft w:val="0"/>
          <w:marRight w:val="0"/>
          <w:marTop w:val="0"/>
          <w:marBottom w:val="0"/>
          <w:divBdr>
            <w:top w:val="none" w:sz="0" w:space="0" w:color="auto"/>
            <w:left w:val="none" w:sz="0" w:space="0" w:color="auto"/>
            <w:bottom w:val="none" w:sz="0" w:space="0" w:color="auto"/>
            <w:right w:val="none" w:sz="0" w:space="0" w:color="auto"/>
          </w:divBdr>
          <w:divsChild>
            <w:div w:id="211498372">
              <w:marLeft w:val="0"/>
              <w:marRight w:val="0"/>
              <w:marTop w:val="0"/>
              <w:marBottom w:val="0"/>
              <w:divBdr>
                <w:top w:val="none" w:sz="0" w:space="0" w:color="auto"/>
                <w:left w:val="none" w:sz="0" w:space="0" w:color="auto"/>
                <w:bottom w:val="none" w:sz="0" w:space="0" w:color="auto"/>
                <w:right w:val="none" w:sz="0" w:space="0" w:color="auto"/>
              </w:divBdr>
              <w:divsChild>
                <w:div w:id="408158639">
                  <w:marLeft w:val="0"/>
                  <w:marRight w:val="0"/>
                  <w:marTop w:val="0"/>
                  <w:marBottom w:val="0"/>
                  <w:divBdr>
                    <w:top w:val="none" w:sz="0" w:space="0" w:color="auto"/>
                    <w:left w:val="none" w:sz="0" w:space="0" w:color="auto"/>
                    <w:bottom w:val="none" w:sz="0" w:space="0" w:color="auto"/>
                    <w:right w:val="none" w:sz="0" w:space="0" w:color="auto"/>
                  </w:divBdr>
                  <w:divsChild>
                    <w:div w:id="848561923">
                      <w:marLeft w:val="0"/>
                      <w:marRight w:val="0"/>
                      <w:marTop w:val="0"/>
                      <w:marBottom w:val="0"/>
                      <w:divBdr>
                        <w:top w:val="none" w:sz="0" w:space="0" w:color="auto"/>
                        <w:left w:val="none" w:sz="0" w:space="0" w:color="auto"/>
                        <w:bottom w:val="none" w:sz="0" w:space="0" w:color="auto"/>
                        <w:right w:val="none" w:sz="0" w:space="0" w:color="auto"/>
                      </w:divBdr>
                      <w:divsChild>
                        <w:div w:id="1826507532">
                          <w:marLeft w:val="0"/>
                          <w:marRight w:val="0"/>
                          <w:marTop w:val="0"/>
                          <w:marBottom w:val="0"/>
                          <w:divBdr>
                            <w:top w:val="none" w:sz="0" w:space="0" w:color="auto"/>
                            <w:left w:val="none" w:sz="0" w:space="0" w:color="auto"/>
                            <w:bottom w:val="none" w:sz="0" w:space="0" w:color="auto"/>
                            <w:right w:val="none" w:sz="0" w:space="0" w:color="auto"/>
                          </w:divBdr>
                          <w:divsChild>
                            <w:div w:id="321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170">
          <w:marLeft w:val="0"/>
          <w:marRight w:val="0"/>
          <w:marTop w:val="0"/>
          <w:marBottom w:val="0"/>
          <w:divBdr>
            <w:top w:val="none" w:sz="0" w:space="0" w:color="auto"/>
            <w:left w:val="none" w:sz="0" w:space="0" w:color="auto"/>
            <w:bottom w:val="none" w:sz="0" w:space="0" w:color="auto"/>
            <w:right w:val="none" w:sz="0" w:space="0" w:color="auto"/>
          </w:divBdr>
          <w:divsChild>
            <w:div w:id="804005701">
              <w:marLeft w:val="0"/>
              <w:marRight w:val="0"/>
              <w:marTop w:val="0"/>
              <w:marBottom w:val="0"/>
              <w:divBdr>
                <w:top w:val="none" w:sz="0" w:space="0" w:color="auto"/>
                <w:left w:val="none" w:sz="0" w:space="0" w:color="auto"/>
                <w:bottom w:val="none" w:sz="0" w:space="0" w:color="auto"/>
                <w:right w:val="none" w:sz="0" w:space="0" w:color="auto"/>
              </w:divBdr>
              <w:divsChild>
                <w:div w:id="1031567053">
                  <w:marLeft w:val="0"/>
                  <w:marRight w:val="0"/>
                  <w:marTop w:val="0"/>
                  <w:marBottom w:val="0"/>
                  <w:divBdr>
                    <w:top w:val="none" w:sz="0" w:space="0" w:color="auto"/>
                    <w:left w:val="none" w:sz="0" w:space="0" w:color="auto"/>
                    <w:bottom w:val="none" w:sz="0" w:space="0" w:color="auto"/>
                    <w:right w:val="none" w:sz="0" w:space="0" w:color="auto"/>
                  </w:divBdr>
                  <w:divsChild>
                    <w:div w:id="918253320">
                      <w:marLeft w:val="0"/>
                      <w:marRight w:val="0"/>
                      <w:marTop w:val="0"/>
                      <w:marBottom w:val="0"/>
                      <w:divBdr>
                        <w:top w:val="none" w:sz="0" w:space="0" w:color="auto"/>
                        <w:left w:val="none" w:sz="0" w:space="0" w:color="auto"/>
                        <w:bottom w:val="none" w:sz="0" w:space="0" w:color="auto"/>
                        <w:right w:val="none" w:sz="0" w:space="0" w:color="auto"/>
                      </w:divBdr>
                      <w:divsChild>
                        <w:div w:id="111093721">
                          <w:marLeft w:val="0"/>
                          <w:marRight w:val="0"/>
                          <w:marTop w:val="0"/>
                          <w:marBottom w:val="0"/>
                          <w:divBdr>
                            <w:top w:val="none" w:sz="0" w:space="0" w:color="auto"/>
                            <w:left w:val="none" w:sz="0" w:space="0" w:color="auto"/>
                            <w:bottom w:val="none" w:sz="0" w:space="0" w:color="auto"/>
                            <w:right w:val="none" w:sz="0" w:space="0" w:color="auto"/>
                          </w:divBdr>
                          <w:divsChild>
                            <w:div w:id="1939407215">
                              <w:marLeft w:val="0"/>
                              <w:marRight w:val="0"/>
                              <w:marTop w:val="0"/>
                              <w:marBottom w:val="0"/>
                              <w:divBdr>
                                <w:top w:val="none" w:sz="0" w:space="0" w:color="auto"/>
                                <w:left w:val="none" w:sz="0" w:space="0" w:color="auto"/>
                                <w:bottom w:val="none" w:sz="0" w:space="0" w:color="auto"/>
                                <w:right w:val="none" w:sz="0" w:space="0" w:color="auto"/>
                              </w:divBdr>
                              <w:divsChild>
                                <w:div w:id="11415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297804">
          <w:marLeft w:val="0"/>
          <w:marRight w:val="0"/>
          <w:marTop w:val="0"/>
          <w:marBottom w:val="0"/>
          <w:divBdr>
            <w:top w:val="none" w:sz="0" w:space="0" w:color="auto"/>
            <w:left w:val="none" w:sz="0" w:space="0" w:color="auto"/>
            <w:bottom w:val="none" w:sz="0" w:space="0" w:color="auto"/>
            <w:right w:val="none" w:sz="0" w:space="0" w:color="auto"/>
          </w:divBdr>
          <w:divsChild>
            <w:div w:id="307515992">
              <w:marLeft w:val="0"/>
              <w:marRight w:val="0"/>
              <w:marTop w:val="0"/>
              <w:marBottom w:val="0"/>
              <w:divBdr>
                <w:top w:val="none" w:sz="0" w:space="0" w:color="auto"/>
                <w:left w:val="none" w:sz="0" w:space="0" w:color="auto"/>
                <w:bottom w:val="none" w:sz="0" w:space="0" w:color="auto"/>
                <w:right w:val="none" w:sz="0" w:space="0" w:color="auto"/>
              </w:divBdr>
              <w:divsChild>
                <w:div w:id="1928612072">
                  <w:marLeft w:val="0"/>
                  <w:marRight w:val="0"/>
                  <w:marTop w:val="0"/>
                  <w:marBottom w:val="0"/>
                  <w:divBdr>
                    <w:top w:val="none" w:sz="0" w:space="0" w:color="auto"/>
                    <w:left w:val="none" w:sz="0" w:space="0" w:color="auto"/>
                    <w:bottom w:val="none" w:sz="0" w:space="0" w:color="auto"/>
                    <w:right w:val="none" w:sz="0" w:space="0" w:color="auto"/>
                  </w:divBdr>
                  <w:divsChild>
                    <w:div w:id="451174189">
                      <w:marLeft w:val="0"/>
                      <w:marRight w:val="0"/>
                      <w:marTop w:val="0"/>
                      <w:marBottom w:val="0"/>
                      <w:divBdr>
                        <w:top w:val="none" w:sz="0" w:space="0" w:color="auto"/>
                        <w:left w:val="none" w:sz="0" w:space="0" w:color="auto"/>
                        <w:bottom w:val="none" w:sz="0" w:space="0" w:color="auto"/>
                        <w:right w:val="none" w:sz="0" w:space="0" w:color="auto"/>
                      </w:divBdr>
                      <w:divsChild>
                        <w:div w:id="811555760">
                          <w:marLeft w:val="0"/>
                          <w:marRight w:val="0"/>
                          <w:marTop w:val="0"/>
                          <w:marBottom w:val="0"/>
                          <w:divBdr>
                            <w:top w:val="none" w:sz="0" w:space="0" w:color="auto"/>
                            <w:left w:val="none" w:sz="0" w:space="0" w:color="auto"/>
                            <w:bottom w:val="none" w:sz="0" w:space="0" w:color="auto"/>
                            <w:right w:val="none" w:sz="0" w:space="0" w:color="auto"/>
                          </w:divBdr>
                          <w:divsChild>
                            <w:div w:id="1514765052">
                              <w:marLeft w:val="0"/>
                              <w:marRight w:val="0"/>
                              <w:marTop w:val="0"/>
                              <w:marBottom w:val="0"/>
                              <w:divBdr>
                                <w:top w:val="none" w:sz="0" w:space="0" w:color="auto"/>
                                <w:left w:val="none" w:sz="0" w:space="0" w:color="auto"/>
                                <w:bottom w:val="none" w:sz="0" w:space="0" w:color="auto"/>
                                <w:right w:val="none" w:sz="0" w:space="0" w:color="auto"/>
                              </w:divBdr>
                              <w:divsChild>
                                <w:div w:id="15420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73599">
          <w:marLeft w:val="0"/>
          <w:marRight w:val="0"/>
          <w:marTop w:val="0"/>
          <w:marBottom w:val="0"/>
          <w:divBdr>
            <w:top w:val="none" w:sz="0" w:space="0" w:color="auto"/>
            <w:left w:val="none" w:sz="0" w:space="0" w:color="auto"/>
            <w:bottom w:val="none" w:sz="0" w:space="0" w:color="auto"/>
            <w:right w:val="none" w:sz="0" w:space="0" w:color="auto"/>
          </w:divBdr>
          <w:divsChild>
            <w:div w:id="730737481">
              <w:marLeft w:val="0"/>
              <w:marRight w:val="0"/>
              <w:marTop w:val="0"/>
              <w:marBottom w:val="0"/>
              <w:divBdr>
                <w:top w:val="none" w:sz="0" w:space="0" w:color="auto"/>
                <w:left w:val="none" w:sz="0" w:space="0" w:color="auto"/>
                <w:bottom w:val="none" w:sz="0" w:space="0" w:color="auto"/>
                <w:right w:val="none" w:sz="0" w:space="0" w:color="auto"/>
              </w:divBdr>
              <w:divsChild>
                <w:div w:id="1219125666">
                  <w:marLeft w:val="0"/>
                  <w:marRight w:val="0"/>
                  <w:marTop w:val="0"/>
                  <w:marBottom w:val="0"/>
                  <w:divBdr>
                    <w:top w:val="none" w:sz="0" w:space="0" w:color="auto"/>
                    <w:left w:val="none" w:sz="0" w:space="0" w:color="auto"/>
                    <w:bottom w:val="none" w:sz="0" w:space="0" w:color="auto"/>
                    <w:right w:val="none" w:sz="0" w:space="0" w:color="auto"/>
                  </w:divBdr>
                  <w:divsChild>
                    <w:div w:id="804397977">
                      <w:marLeft w:val="0"/>
                      <w:marRight w:val="0"/>
                      <w:marTop w:val="0"/>
                      <w:marBottom w:val="0"/>
                      <w:divBdr>
                        <w:top w:val="none" w:sz="0" w:space="0" w:color="auto"/>
                        <w:left w:val="none" w:sz="0" w:space="0" w:color="auto"/>
                        <w:bottom w:val="none" w:sz="0" w:space="0" w:color="auto"/>
                        <w:right w:val="none" w:sz="0" w:space="0" w:color="auto"/>
                      </w:divBdr>
                      <w:divsChild>
                        <w:div w:id="1160122023">
                          <w:marLeft w:val="0"/>
                          <w:marRight w:val="0"/>
                          <w:marTop w:val="0"/>
                          <w:marBottom w:val="0"/>
                          <w:divBdr>
                            <w:top w:val="none" w:sz="0" w:space="0" w:color="auto"/>
                            <w:left w:val="none" w:sz="0" w:space="0" w:color="auto"/>
                            <w:bottom w:val="none" w:sz="0" w:space="0" w:color="auto"/>
                            <w:right w:val="none" w:sz="0" w:space="0" w:color="auto"/>
                          </w:divBdr>
                          <w:divsChild>
                            <w:div w:id="2085487264">
                              <w:marLeft w:val="0"/>
                              <w:marRight w:val="0"/>
                              <w:marTop w:val="0"/>
                              <w:marBottom w:val="0"/>
                              <w:divBdr>
                                <w:top w:val="none" w:sz="0" w:space="0" w:color="auto"/>
                                <w:left w:val="none" w:sz="0" w:space="0" w:color="auto"/>
                                <w:bottom w:val="none" w:sz="0" w:space="0" w:color="auto"/>
                                <w:right w:val="none" w:sz="0" w:space="0" w:color="auto"/>
                              </w:divBdr>
                              <w:divsChild>
                                <w:div w:id="6489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167115">
          <w:marLeft w:val="0"/>
          <w:marRight w:val="0"/>
          <w:marTop w:val="0"/>
          <w:marBottom w:val="0"/>
          <w:divBdr>
            <w:top w:val="none" w:sz="0" w:space="0" w:color="auto"/>
            <w:left w:val="none" w:sz="0" w:space="0" w:color="auto"/>
            <w:bottom w:val="none" w:sz="0" w:space="0" w:color="auto"/>
            <w:right w:val="none" w:sz="0" w:space="0" w:color="auto"/>
          </w:divBdr>
          <w:divsChild>
            <w:div w:id="1734548132">
              <w:marLeft w:val="0"/>
              <w:marRight w:val="0"/>
              <w:marTop w:val="0"/>
              <w:marBottom w:val="0"/>
              <w:divBdr>
                <w:top w:val="none" w:sz="0" w:space="0" w:color="auto"/>
                <w:left w:val="none" w:sz="0" w:space="0" w:color="auto"/>
                <w:bottom w:val="none" w:sz="0" w:space="0" w:color="auto"/>
                <w:right w:val="none" w:sz="0" w:space="0" w:color="auto"/>
              </w:divBdr>
              <w:divsChild>
                <w:div w:id="1407654603">
                  <w:marLeft w:val="0"/>
                  <w:marRight w:val="0"/>
                  <w:marTop w:val="0"/>
                  <w:marBottom w:val="0"/>
                  <w:divBdr>
                    <w:top w:val="none" w:sz="0" w:space="0" w:color="auto"/>
                    <w:left w:val="none" w:sz="0" w:space="0" w:color="auto"/>
                    <w:bottom w:val="none" w:sz="0" w:space="0" w:color="auto"/>
                    <w:right w:val="none" w:sz="0" w:space="0" w:color="auto"/>
                  </w:divBdr>
                  <w:divsChild>
                    <w:div w:id="2045015858">
                      <w:marLeft w:val="0"/>
                      <w:marRight w:val="0"/>
                      <w:marTop w:val="0"/>
                      <w:marBottom w:val="0"/>
                      <w:divBdr>
                        <w:top w:val="none" w:sz="0" w:space="0" w:color="auto"/>
                        <w:left w:val="none" w:sz="0" w:space="0" w:color="auto"/>
                        <w:bottom w:val="none" w:sz="0" w:space="0" w:color="auto"/>
                        <w:right w:val="none" w:sz="0" w:space="0" w:color="auto"/>
                      </w:divBdr>
                      <w:divsChild>
                        <w:div w:id="1905749373">
                          <w:marLeft w:val="0"/>
                          <w:marRight w:val="0"/>
                          <w:marTop w:val="0"/>
                          <w:marBottom w:val="0"/>
                          <w:divBdr>
                            <w:top w:val="none" w:sz="0" w:space="0" w:color="auto"/>
                            <w:left w:val="none" w:sz="0" w:space="0" w:color="auto"/>
                            <w:bottom w:val="none" w:sz="0" w:space="0" w:color="auto"/>
                            <w:right w:val="none" w:sz="0" w:space="0" w:color="auto"/>
                          </w:divBdr>
                          <w:divsChild>
                            <w:div w:id="1736123771">
                              <w:marLeft w:val="0"/>
                              <w:marRight w:val="0"/>
                              <w:marTop w:val="0"/>
                              <w:marBottom w:val="0"/>
                              <w:divBdr>
                                <w:top w:val="none" w:sz="0" w:space="0" w:color="auto"/>
                                <w:left w:val="none" w:sz="0" w:space="0" w:color="auto"/>
                                <w:bottom w:val="none" w:sz="0" w:space="0" w:color="auto"/>
                                <w:right w:val="none" w:sz="0" w:space="0" w:color="auto"/>
                              </w:divBdr>
                              <w:divsChild>
                                <w:div w:id="20579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1115">
          <w:marLeft w:val="0"/>
          <w:marRight w:val="0"/>
          <w:marTop w:val="0"/>
          <w:marBottom w:val="0"/>
          <w:divBdr>
            <w:top w:val="none" w:sz="0" w:space="0" w:color="auto"/>
            <w:left w:val="none" w:sz="0" w:space="0" w:color="auto"/>
            <w:bottom w:val="none" w:sz="0" w:space="0" w:color="auto"/>
            <w:right w:val="none" w:sz="0" w:space="0" w:color="auto"/>
          </w:divBdr>
          <w:divsChild>
            <w:div w:id="866604002">
              <w:marLeft w:val="0"/>
              <w:marRight w:val="0"/>
              <w:marTop w:val="0"/>
              <w:marBottom w:val="0"/>
              <w:divBdr>
                <w:top w:val="none" w:sz="0" w:space="0" w:color="auto"/>
                <w:left w:val="none" w:sz="0" w:space="0" w:color="auto"/>
                <w:bottom w:val="none" w:sz="0" w:space="0" w:color="auto"/>
                <w:right w:val="none" w:sz="0" w:space="0" w:color="auto"/>
              </w:divBdr>
              <w:divsChild>
                <w:div w:id="1609239754">
                  <w:marLeft w:val="0"/>
                  <w:marRight w:val="0"/>
                  <w:marTop w:val="0"/>
                  <w:marBottom w:val="0"/>
                  <w:divBdr>
                    <w:top w:val="none" w:sz="0" w:space="0" w:color="auto"/>
                    <w:left w:val="none" w:sz="0" w:space="0" w:color="auto"/>
                    <w:bottom w:val="none" w:sz="0" w:space="0" w:color="auto"/>
                    <w:right w:val="none" w:sz="0" w:space="0" w:color="auto"/>
                  </w:divBdr>
                  <w:divsChild>
                    <w:div w:id="1846818776">
                      <w:marLeft w:val="0"/>
                      <w:marRight w:val="0"/>
                      <w:marTop w:val="0"/>
                      <w:marBottom w:val="0"/>
                      <w:divBdr>
                        <w:top w:val="none" w:sz="0" w:space="0" w:color="auto"/>
                        <w:left w:val="none" w:sz="0" w:space="0" w:color="auto"/>
                        <w:bottom w:val="none" w:sz="0" w:space="0" w:color="auto"/>
                        <w:right w:val="none" w:sz="0" w:space="0" w:color="auto"/>
                      </w:divBdr>
                      <w:divsChild>
                        <w:div w:id="1628974139">
                          <w:marLeft w:val="0"/>
                          <w:marRight w:val="0"/>
                          <w:marTop w:val="0"/>
                          <w:marBottom w:val="0"/>
                          <w:divBdr>
                            <w:top w:val="none" w:sz="0" w:space="0" w:color="auto"/>
                            <w:left w:val="none" w:sz="0" w:space="0" w:color="auto"/>
                            <w:bottom w:val="none" w:sz="0" w:space="0" w:color="auto"/>
                            <w:right w:val="none" w:sz="0" w:space="0" w:color="auto"/>
                          </w:divBdr>
                          <w:divsChild>
                            <w:div w:id="1115054760">
                              <w:marLeft w:val="0"/>
                              <w:marRight w:val="0"/>
                              <w:marTop w:val="0"/>
                              <w:marBottom w:val="0"/>
                              <w:divBdr>
                                <w:top w:val="none" w:sz="0" w:space="0" w:color="auto"/>
                                <w:left w:val="none" w:sz="0" w:space="0" w:color="auto"/>
                                <w:bottom w:val="none" w:sz="0" w:space="0" w:color="auto"/>
                                <w:right w:val="none" w:sz="0" w:space="0" w:color="auto"/>
                              </w:divBdr>
                              <w:divsChild>
                                <w:div w:id="1721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87415">
          <w:marLeft w:val="0"/>
          <w:marRight w:val="0"/>
          <w:marTop w:val="0"/>
          <w:marBottom w:val="0"/>
          <w:divBdr>
            <w:top w:val="none" w:sz="0" w:space="0" w:color="auto"/>
            <w:left w:val="none" w:sz="0" w:space="0" w:color="auto"/>
            <w:bottom w:val="none" w:sz="0" w:space="0" w:color="auto"/>
            <w:right w:val="none" w:sz="0" w:space="0" w:color="auto"/>
          </w:divBdr>
          <w:divsChild>
            <w:div w:id="1677880882">
              <w:marLeft w:val="0"/>
              <w:marRight w:val="0"/>
              <w:marTop w:val="0"/>
              <w:marBottom w:val="0"/>
              <w:divBdr>
                <w:top w:val="none" w:sz="0" w:space="0" w:color="auto"/>
                <w:left w:val="none" w:sz="0" w:space="0" w:color="auto"/>
                <w:bottom w:val="none" w:sz="0" w:space="0" w:color="auto"/>
                <w:right w:val="none" w:sz="0" w:space="0" w:color="auto"/>
              </w:divBdr>
              <w:divsChild>
                <w:div w:id="266934900">
                  <w:marLeft w:val="0"/>
                  <w:marRight w:val="0"/>
                  <w:marTop w:val="0"/>
                  <w:marBottom w:val="0"/>
                  <w:divBdr>
                    <w:top w:val="none" w:sz="0" w:space="0" w:color="auto"/>
                    <w:left w:val="none" w:sz="0" w:space="0" w:color="auto"/>
                    <w:bottom w:val="none" w:sz="0" w:space="0" w:color="auto"/>
                    <w:right w:val="none" w:sz="0" w:space="0" w:color="auto"/>
                  </w:divBdr>
                  <w:divsChild>
                    <w:div w:id="573784052">
                      <w:marLeft w:val="0"/>
                      <w:marRight w:val="0"/>
                      <w:marTop w:val="0"/>
                      <w:marBottom w:val="0"/>
                      <w:divBdr>
                        <w:top w:val="none" w:sz="0" w:space="0" w:color="auto"/>
                        <w:left w:val="none" w:sz="0" w:space="0" w:color="auto"/>
                        <w:bottom w:val="none" w:sz="0" w:space="0" w:color="auto"/>
                        <w:right w:val="none" w:sz="0" w:space="0" w:color="auto"/>
                      </w:divBdr>
                      <w:divsChild>
                        <w:div w:id="508525698">
                          <w:marLeft w:val="0"/>
                          <w:marRight w:val="0"/>
                          <w:marTop w:val="0"/>
                          <w:marBottom w:val="0"/>
                          <w:divBdr>
                            <w:top w:val="none" w:sz="0" w:space="0" w:color="auto"/>
                            <w:left w:val="none" w:sz="0" w:space="0" w:color="auto"/>
                            <w:bottom w:val="none" w:sz="0" w:space="0" w:color="auto"/>
                            <w:right w:val="none" w:sz="0" w:space="0" w:color="auto"/>
                          </w:divBdr>
                          <w:divsChild>
                            <w:div w:id="13954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893361">
          <w:marLeft w:val="0"/>
          <w:marRight w:val="0"/>
          <w:marTop w:val="0"/>
          <w:marBottom w:val="0"/>
          <w:divBdr>
            <w:top w:val="none" w:sz="0" w:space="0" w:color="auto"/>
            <w:left w:val="none" w:sz="0" w:space="0" w:color="auto"/>
            <w:bottom w:val="none" w:sz="0" w:space="0" w:color="auto"/>
            <w:right w:val="none" w:sz="0" w:space="0" w:color="auto"/>
          </w:divBdr>
          <w:divsChild>
            <w:div w:id="850528021">
              <w:marLeft w:val="0"/>
              <w:marRight w:val="0"/>
              <w:marTop w:val="0"/>
              <w:marBottom w:val="0"/>
              <w:divBdr>
                <w:top w:val="none" w:sz="0" w:space="0" w:color="auto"/>
                <w:left w:val="none" w:sz="0" w:space="0" w:color="auto"/>
                <w:bottom w:val="none" w:sz="0" w:space="0" w:color="auto"/>
                <w:right w:val="none" w:sz="0" w:space="0" w:color="auto"/>
              </w:divBdr>
              <w:divsChild>
                <w:div w:id="787897422">
                  <w:marLeft w:val="0"/>
                  <w:marRight w:val="0"/>
                  <w:marTop w:val="0"/>
                  <w:marBottom w:val="0"/>
                  <w:divBdr>
                    <w:top w:val="none" w:sz="0" w:space="0" w:color="auto"/>
                    <w:left w:val="none" w:sz="0" w:space="0" w:color="auto"/>
                    <w:bottom w:val="none" w:sz="0" w:space="0" w:color="auto"/>
                    <w:right w:val="none" w:sz="0" w:space="0" w:color="auto"/>
                  </w:divBdr>
                  <w:divsChild>
                    <w:div w:id="1798601551">
                      <w:marLeft w:val="0"/>
                      <w:marRight w:val="0"/>
                      <w:marTop w:val="0"/>
                      <w:marBottom w:val="0"/>
                      <w:divBdr>
                        <w:top w:val="none" w:sz="0" w:space="0" w:color="auto"/>
                        <w:left w:val="none" w:sz="0" w:space="0" w:color="auto"/>
                        <w:bottom w:val="none" w:sz="0" w:space="0" w:color="auto"/>
                        <w:right w:val="none" w:sz="0" w:space="0" w:color="auto"/>
                      </w:divBdr>
                      <w:divsChild>
                        <w:div w:id="1968311053">
                          <w:marLeft w:val="0"/>
                          <w:marRight w:val="0"/>
                          <w:marTop w:val="0"/>
                          <w:marBottom w:val="0"/>
                          <w:divBdr>
                            <w:top w:val="none" w:sz="0" w:space="0" w:color="auto"/>
                            <w:left w:val="none" w:sz="0" w:space="0" w:color="auto"/>
                            <w:bottom w:val="none" w:sz="0" w:space="0" w:color="auto"/>
                            <w:right w:val="none" w:sz="0" w:space="0" w:color="auto"/>
                          </w:divBdr>
                          <w:divsChild>
                            <w:div w:id="2123835975">
                              <w:marLeft w:val="0"/>
                              <w:marRight w:val="0"/>
                              <w:marTop w:val="0"/>
                              <w:marBottom w:val="0"/>
                              <w:divBdr>
                                <w:top w:val="none" w:sz="0" w:space="0" w:color="auto"/>
                                <w:left w:val="none" w:sz="0" w:space="0" w:color="auto"/>
                                <w:bottom w:val="none" w:sz="0" w:space="0" w:color="auto"/>
                                <w:right w:val="none" w:sz="0" w:space="0" w:color="auto"/>
                              </w:divBdr>
                              <w:divsChild>
                                <w:div w:id="6580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45110">
          <w:marLeft w:val="0"/>
          <w:marRight w:val="0"/>
          <w:marTop w:val="0"/>
          <w:marBottom w:val="0"/>
          <w:divBdr>
            <w:top w:val="none" w:sz="0" w:space="0" w:color="auto"/>
            <w:left w:val="none" w:sz="0" w:space="0" w:color="auto"/>
            <w:bottom w:val="none" w:sz="0" w:space="0" w:color="auto"/>
            <w:right w:val="none" w:sz="0" w:space="0" w:color="auto"/>
          </w:divBdr>
          <w:divsChild>
            <w:div w:id="791830522">
              <w:marLeft w:val="0"/>
              <w:marRight w:val="0"/>
              <w:marTop w:val="0"/>
              <w:marBottom w:val="0"/>
              <w:divBdr>
                <w:top w:val="none" w:sz="0" w:space="0" w:color="auto"/>
                <w:left w:val="none" w:sz="0" w:space="0" w:color="auto"/>
                <w:bottom w:val="none" w:sz="0" w:space="0" w:color="auto"/>
                <w:right w:val="none" w:sz="0" w:space="0" w:color="auto"/>
              </w:divBdr>
              <w:divsChild>
                <w:div w:id="2123718253">
                  <w:marLeft w:val="0"/>
                  <w:marRight w:val="0"/>
                  <w:marTop w:val="0"/>
                  <w:marBottom w:val="0"/>
                  <w:divBdr>
                    <w:top w:val="none" w:sz="0" w:space="0" w:color="auto"/>
                    <w:left w:val="none" w:sz="0" w:space="0" w:color="auto"/>
                    <w:bottom w:val="none" w:sz="0" w:space="0" w:color="auto"/>
                    <w:right w:val="none" w:sz="0" w:space="0" w:color="auto"/>
                  </w:divBdr>
                  <w:divsChild>
                    <w:div w:id="109514923">
                      <w:marLeft w:val="0"/>
                      <w:marRight w:val="0"/>
                      <w:marTop w:val="0"/>
                      <w:marBottom w:val="0"/>
                      <w:divBdr>
                        <w:top w:val="none" w:sz="0" w:space="0" w:color="auto"/>
                        <w:left w:val="none" w:sz="0" w:space="0" w:color="auto"/>
                        <w:bottom w:val="none" w:sz="0" w:space="0" w:color="auto"/>
                        <w:right w:val="none" w:sz="0" w:space="0" w:color="auto"/>
                      </w:divBdr>
                      <w:divsChild>
                        <w:div w:id="2040617090">
                          <w:marLeft w:val="0"/>
                          <w:marRight w:val="0"/>
                          <w:marTop w:val="0"/>
                          <w:marBottom w:val="0"/>
                          <w:divBdr>
                            <w:top w:val="none" w:sz="0" w:space="0" w:color="auto"/>
                            <w:left w:val="none" w:sz="0" w:space="0" w:color="auto"/>
                            <w:bottom w:val="none" w:sz="0" w:space="0" w:color="auto"/>
                            <w:right w:val="none" w:sz="0" w:space="0" w:color="auto"/>
                          </w:divBdr>
                          <w:divsChild>
                            <w:div w:id="794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83547">
          <w:marLeft w:val="0"/>
          <w:marRight w:val="0"/>
          <w:marTop w:val="0"/>
          <w:marBottom w:val="0"/>
          <w:divBdr>
            <w:top w:val="none" w:sz="0" w:space="0" w:color="auto"/>
            <w:left w:val="none" w:sz="0" w:space="0" w:color="auto"/>
            <w:bottom w:val="none" w:sz="0" w:space="0" w:color="auto"/>
            <w:right w:val="none" w:sz="0" w:space="0" w:color="auto"/>
          </w:divBdr>
          <w:divsChild>
            <w:div w:id="244076711">
              <w:marLeft w:val="0"/>
              <w:marRight w:val="0"/>
              <w:marTop w:val="0"/>
              <w:marBottom w:val="0"/>
              <w:divBdr>
                <w:top w:val="none" w:sz="0" w:space="0" w:color="auto"/>
                <w:left w:val="none" w:sz="0" w:space="0" w:color="auto"/>
                <w:bottom w:val="none" w:sz="0" w:space="0" w:color="auto"/>
                <w:right w:val="none" w:sz="0" w:space="0" w:color="auto"/>
              </w:divBdr>
              <w:divsChild>
                <w:div w:id="1392576273">
                  <w:marLeft w:val="0"/>
                  <w:marRight w:val="0"/>
                  <w:marTop w:val="0"/>
                  <w:marBottom w:val="0"/>
                  <w:divBdr>
                    <w:top w:val="none" w:sz="0" w:space="0" w:color="auto"/>
                    <w:left w:val="none" w:sz="0" w:space="0" w:color="auto"/>
                    <w:bottom w:val="none" w:sz="0" w:space="0" w:color="auto"/>
                    <w:right w:val="none" w:sz="0" w:space="0" w:color="auto"/>
                  </w:divBdr>
                  <w:divsChild>
                    <w:div w:id="1904680400">
                      <w:marLeft w:val="0"/>
                      <w:marRight w:val="0"/>
                      <w:marTop w:val="0"/>
                      <w:marBottom w:val="0"/>
                      <w:divBdr>
                        <w:top w:val="none" w:sz="0" w:space="0" w:color="auto"/>
                        <w:left w:val="none" w:sz="0" w:space="0" w:color="auto"/>
                        <w:bottom w:val="none" w:sz="0" w:space="0" w:color="auto"/>
                        <w:right w:val="none" w:sz="0" w:space="0" w:color="auto"/>
                      </w:divBdr>
                      <w:divsChild>
                        <w:div w:id="1159685804">
                          <w:marLeft w:val="0"/>
                          <w:marRight w:val="0"/>
                          <w:marTop w:val="0"/>
                          <w:marBottom w:val="0"/>
                          <w:divBdr>
                            <w:top w:val="none" w:sz="0" w:space="0" w:color="auto"/>
                            <w:left w:val="none" w:sz="0" w:space="0" w:color="auto"/>
                            <w:bottom w:val="none" w:sz="0" w:space="0" w:color="auto"/>
                            <w:right w:val="none" w:sz="0" w:space="0" w:color="auto"/>
                          </w:divBdr>
                          <w:divsChild>
                            <w:div w:id="7918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6279">
          <w:marLeft w:val="0"/>
          <w:marRight w:val="0"/>
          <w:marTop w:val="0"/>
          <w:marBottom w:val="0"/>
          <w:divBdr>
            <w:top w:val="none" w:sz="0" w:space="0" w:color="auto"/>
            <w:left w:val="none" w:sz="0" w:space="0" w:color="auto"/>
            <w:bottom w:val="none" w:sz="0" w:space="0" w:color="auto"/>
            <w:right w:val="none" w:sz="0" w:space="0" w:color="auto"/>
          </w:divBdr>
          <w:divsChild>
            <w:div w:id="1864827539">
              <w:marLeft w:val="0"/>
              <w:marRight w:val="0"/>
              <w:marTop w:val="0"/>
              <w:marBottom w:val="0"/>
              <w:divBdr>
                <w:top w:val="none" w:sz="0" w:space="0" w:color="auto"/>
                <w:left w:val="none" w:sz="0" w:space="0" w:color="auto"/>
                <w:bottom w:val="none" w:sz="0" w:space="0" w:color="auto"/>
                <w:right w:val="none" w:sz="0" w:space="0" w:color="auto"/>
              </w:divBdr>
              <w:divsChild>
                <w:div w:id="93404360">
                  <w:marLeft w:val="0"/>
                  <w:marRight w:val="0"/>
                  <w:marTop w:val="0"/>
                  <w:marBottom w:val="0"/>
                  <w:divBdr>
                    <w:top w:val="none" w:sz="0" w:space="0" w:color="auto"/>
                    <w:left w:val="none" w:sz="0" w:space="0" w:color="auto"/>
                    <w:bottom w:val="none" w:sz="0" w:space="0" w:color="auto"/>
                    <w:right w:val="none" w:sz="0" w:space="0" w:color="auto"/>
                  </w:divBdr>
                  <w:divsChild>
                    <w:div w:id="1917470899">
                      <w:marLeft w:val="0"/>
                      <w:marRight w:val="0"/>
                      <w:marTop w:val="0"/>
                      <w:marBottom w:val="0"/>
                      <w:divBdr>
                        <w:top w:val="none" w:sz="0" w:space="0" w:color="auto"/>
                        <w:left w:val="none" w:sz="0" w:space="0" w:color="auto"/>
                        <w:bottom w:val="none" w:sz="0" w:space="0" w:color="auto"/>
                        <w:right w:val="none" w:sz="0" w:space="0" w:color="auto"/>
                      </w:divBdr>
                      <w:divsChild>
                        <w:div w:id="1410427391">
                          <w:marLeft w:val="0"/>
                          <w:marRight w:val="0"/>
                          <w:marTop w:val="0"/>
                          <w:marBottom w:val="0"/>
                          <w:divBdr>
                            <w:top w:val="none" w:sz="0" w:space="0" w:color="auto"/>
                            <w:left w:val="none" w:sz="0" w:space="0" w:color="auto"/>
                            <w:bottom w:val="none" w:sz="0" w:space="0" w:color="auto"/>
                            <w:right w:val="none" w:sz="0" w:space="0" w:color="auto"/>
                          </w:divBdr>
                          <w:divsChild>
                            <w:div w:id="21031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661238">
          <w:marLeft w:val="0"/>
          <w:marRight w:val="0"/>
          <w:marTop w:val="0"/>
          <w:marBottom w:val="0"/>
          <w:divBdr>
            <w:top w:val="none" w:sz="0" w:space="0" w:color="auto"/>
            <w:left w:val="none" w:sz="0" w:space="0" w:color="auto"/>
            <w:bottom w:val="none" w:sz="0" w:space="0" w:color="auto"/>
            <w:right w:val="none" w:sz="0" w:space="0" w:color="auto"/>
          </w:divBdr>
          <w:divsChild>
            <w:div w:id="1950776440">
              <w:marLeft w:val="0"/>
              <w:marRight w:val="0"/>
              <w:marTop w:val="0"/>
              <w:marBottom w:val="0"/>
              <w:divBdr>
                <w:top w:val="none" w:sz="0" w:space="0" w:color="auto"/>
                <w:left w:val="none" w:sz="0" w:space="0" w:color="auto"/>
                <w:bottom w:val="none" w:sz="0" w:space="0" w:color="auto"/>
                <w:right w:val="none" w:sz="0" w:space="0" w:color="auto"/>
              </w:divBdr>
              <w:divsChild>
                <w:div w:id="1117793663">
                  <w:marLeft w:val="0"/>
                  <w:marRight w:val="0"/>
                  <w:marTop w:val="0"/>
                  <w:marBottom w:val="0"/>
                  <w:divBdr>
                    <w:top w:val="none" w:sz="0" w:space="0" w:color="auto"/>
                    <w:left w:val="none" w:sz="0" w:space="0" w:color="auto"/>
                    <w:bottom w:val="none" w:sz="0" w:space="0" w:color="auto"/>
                    <w:right w:val="none" w:sz="0" w:space="0" w:color="auto"/>
                  </w:divBdr>
                  <w:divsChild>
                    <w:div w:id="1447848025">
                      <w:marLeft w:val="0"/>
                      <w:marRight w:val="0"/>
                      <w:marTop w:val="0"/>
                      <w:marBottom w:val="0"/>
                      <w:divBdr>
                        <w:top w:val="none" w:sz="0" w:space="0" w:color="auto"/>
                        <w:left w:val="none" w:sz="0" w:space="0" w:color="auto"/>
                        <w:bottom w:val="none" w:sz="0" w:space="0" w:color="auto"/>
                        <w:right w:val="none" w:sz="0" w:space="0" w:color="auto"/>
                      </w:divBdr>
                      <w:divsChild>
                        <w:div w:id="2094081676">
                          <w:marLeft w:val="0"/>
                          <w:marRight w:val="0"/>
                          <w:marTop w:val="0"/>
                          <w:marBottom w:val="0"/>
                          <w:divBdr>
                            <w:top w:val="none" w:sz="0" w:space="0" w:color="auto"/>
                            <w:left w:val="none" w:sz="0" w:space="0" w:color="auto"/>
                            <w:bottom w:val="none" w:sz="0" w:space="0" w:color="auto"/>
                            <w:right w:val="none" w:sz="0" w:space="0" w:color="auto"/>
                          </w:divBdr>
                          <w:divsChild>
                            <w:div w:id="1990674720">
                              <w:marLeft w:val="0"/>
                              <w:marRight w:val="0"/>
                              <w:marTop w:val="0"/>
                              <w:marBottom w:val="0"/>
                              <w:divBdr>
                                <w:top w:val="none" w:sz="0" w:space="0" w:color="auto"/>
                                <w:left w:val="none" w:sz="0" w:space="0" w:color="auto"/>
                                <w:bottom w:val="none" w:sz="0" w:space="0" w:color="auto"/>
                                <w:right w:val="none" w:sz="0" w:space="0" w:color="auto"/>
                              </w:divBdr>
                              <w:divsChild>
                                <w:div w:id="11579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641601">
          <w:marLeft w:val="0"/>
          <w:marRight w:val="0"/>
          <w:marTop w:val="0"/>
          <w:marBottom w:val="0"/>
          <w:divBdr>
            <w:top w:val="none" w:sz="0" w:space="0" w:color="auto"/>
            <w:left w:val="none" w:sz="0" w:space="0" w:color="auto"/>
            <w:bottom w:val="none" w:sz="0" w:space="0" w:color="auto"/>
            <w:right w:val="none" w:sz="0" w:space="0" w:color="auto"/>
          </w:divBdr>
          <w:divsChild>
            <w:div w:id="603347756">
              <w:marLeft w:val="0"/>
              <w:marRight w:val="0"/>
              <w:marTop w:val="0"/>
              <w:marBottom w:val="0"/>
              <w:divBdr>
                <w:top w:val="none" w:sz="0" w:space="0" w:color="auto"/>
                <w:left w:val="none" w:sz="0" w:space="0" w:color="auto"/>
                <w:bottom w:val="none" w:sz="0" w:space="0" w:color="auto"/>
                <w:right w:val="none" w:sz="0" w:space="0" w:color="auto"/>
              </w:divBdr>
              <w:divsChild>
                <w:div w:id="199709983">
                  <w:marLeft w:val="0"/>
                  <w:marRight w:val="0"/>
                  <w:marTop w:val="0"/>
                  <w:marBottom w:val="0"/>
                  <w:divBdr>
                    <w:top w:val="none" w:sz="0" w:space="0" w:color="auto"/>
                    <w:left w:val="none" w:sz="0" w:space="0" w:color="auto"/>
                    <w:bottom w:val="none" w:sz="0" w:space="0" w:color="auto"/>
                    <w:right w:val="none" w:sz="0" w:space="0" w:color="auto"/>
                  </w:divBdr>
                  <w:divsChild>
                    <w:div w:id="599874553">
                      <w:marLeft w:val="0"/>
                      <w:marRight w:val="0"/>
                      <w:marTop w:val="0"/>
                      <w:marBottom w:val="0"/>
                      <w:divBdr>
                        <w:top w:val="none" w:sz="0" w:space="0" w:color="auto"/>
                        <w:left w:val="none" w:sz="0" w:space="0" w:color="auto"/>
                        <w:bottom w:val="none" w:sz="0" w:space="0" w:color="auto"/>
                        <w:right w:val="none" w:sz="0" w:space="0" w:color="auto"/>
                      </w:divBdr>
                      <w:divsChild>
                        <w:div w:id="2096397739">
                          <w:marLeft w:val="0"/>
                          <w:marRight w:val="0"/>
                          <w:marTop w:val="0"/>
                          <w:marBottom w:val="0"/>
                          <w:divBdr>
                            <w:top w:val="none" w:sz="0" w:space="0" w:color="auto"/>
                            <w:left w:val="none" w:sz="0" w:space="0" w:color="auto"/>
                            <w:bottom w:val="none" w:sz="0" w:space="0" w:color="auto"/>
                            <w:right w:val="none" w:sz="0" w:space="0" w:color="auto"/>
                          </w:divBdr>
                          <w:divsChild>
                            <w:div w:id="2014381426">
                              <w:marLeft w:val="0"/>
                              <w:marRight w:val="0"/>
                              <w:marTop w:val="0"/>
                              <w:marBottom w:val="0"/>
                              <w:divBdr>
                                <w:top w:val="none" w:sz="0" w:space="0" w:color="auto"/>
                                <w:left w:val="none" w:sz="0" w:space="0" w:color="auto"/>
                                <w:bottom w:val="none" w:sz="0" w:space="0" w:color="auto"/>
                                <w:right w:val="none" w:sz="0" w:space="0" w:color="auto"/>
                              </w:divBdr>
                              <w:divsChild>
                                <w:div w:id="4342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89">
          <w:marLeft w:val="0"/>
          <w:marRight w:val="0"/>
          <w:marTop w:val="0"/>
          <w:marBottom w:val="0"/>
          <w:divBdr>
            <w:top w:val="none" w:sz="0" w:space="0" w:color="auto"/>
            <w:left w:val="none" w:sz="0" w:space="0" w:color="auto"/>
            <w:bottom w:val="none" w:sz="0" w:space="0" w:color="auto"/>
            <w:right w:val="none" w:sz="0" w:space="0" w:color="auto"/>
          </w:divBdr>
          <w:divsChild>
            <w:div w:id="2046979275">
              <w:marLeft w:val="0"/>
              <w:marRight w:val="0"/>
              <w:marTop w:val="0"/>
              <w:marBottom w:val="0"/>
              <w:divBdr>
                <w:top w:val="none" w:sz="0" w:space="0" w:color="auto"/>
                <w:left w:val="none" w:sz="0" w:space="0" w:color="auto"/>
                <w:bottom w:val="none" w:sz="0" w:space="0" w:color="auto"/>
                <w:right w:val="none" w:sz="0" w:space="0" w:color="auto"/>
              </w:divBdr>
              <w:divsChild>
                <w:div w:id="2018656107">
                  <w:marLeft w:val="0"/>
                  <w:marRight w:val="0"/>
                  <w:marTop w:val="0"/>
                  <w:marBottom w:val="0"/>
                  <w:divBdr>
                    <w:top w:val="none" w:sz="0" w:space="0" w:color="auto"/>
                    <w:left w:val="none" w:sz="0" w:space="0" w:color="auto"/>
                    <w:bottom w:val="none" w:sz="0" w:space="0" w:color="auto"/>
                    <w:right w:val="none" w:sz="0" w:space="0" w:color="auto"/>
                  </w:divBdr>
                  <w:divsChild>
                    <w:div w:id="1319765542">
                      <w:marLeft w:val="0"/>
                      <w:marRight w:val="0"/>
                      <w:marTop w:val="0"/>
                      <w:marBottom w:val="0"/>
                      <w:divBdr>
                        <w:top w:val="none" w:sz="0" w:space="0" w:color="auto"/>
                        <w:left w:val="none" w:sz="0" w:space="0" w:color="auto"/>
                        <w:bottom w:val="none" w:sz="0" w:space="0" w:color="auto"/>
                        <w:right w:val="none" w:sz="0" w:space="0" w:color="auto"/>
                      </w:divBdr>
                      <w:divsChild>
                        <w:div w:id="978457537">
                          <w:marLeft w:val="0"/>
                          <w:marRight w:val="0"/>
                          <w:marTop w:val="0"/>
                          <w:marBottom w:val="0"/>
                          <w:divBdr>
                            <w:top w:val="none" w:sz="0" w:space="0" w:color="auto"/>
                            <w:left w:val="none" w:sz="0" w:space="0" w:color="auto"/>
                            <w:bottom w:val="none" w:sz="0" w:space="0" w:color="auto"/>
                            <w:right w:val="none" w:sz="0" w:space="0" w:color="auto"/>
                          </w:divBdr>
                          <w:divsChild>
                            <w:div w:id="4409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592543">
          <w:marLeft w:val="0"/>
          <w:marRight w:val="0"/>
          <w:marTop w:val="0"/>
          <w:marBottom w:val="0"/>
          <w:divBdr>
            <w:top w:val="none" w:sz="0" w:space="0" w:color="auto"/>
            <w:left w:val="none" w:sz="0" w:space="0" w:color="auto"/>
            <w:bottom w:val="none" w:sz="0" w:space="0" w:color="auto"/>
            <w:right w:val="none" w:sz="0" w:space="0" w:color="auto"/>
          </w:divBdr>
          <w:divsChild>
            <w:div w:id="1258320789">
              <w:marLeft w:val="0"/>
              <w:marRight w:val="0"/>
              <w:marTop w:val="0"/>
              <w:marBottom w:val="0"/>
              <w:divBdr>
                <w:top w:val="none" w:sz="0" w:space="0" w:color="auto"/>
                <w:left w:val="none" w:sz="0" w:space="0" w:color="auto"/>
                <w:bottom w:val="none" w:sz="0" w:space="0" w:color="auto"/>
                <w:right w:val="none" w:sz="0" w:space="0" w:color="auto"/>
              </w:divBdr>
              <w:divsChild>
                <w:div w:id="1481507015">
                  <w:marLeft w:val="0"/>
                  <w:marRight w:val="0"/>
                  <w:marTop w:val="0"/>
                  <w:marBottom w:val="0"/>
                  <w:divBdr>
                    <w:top w:val="none" w:sz="0" w:space="0" w:color="auto"/>
                    <w:left w:val="none" w:sz="0" w:space="0" w:color="auto"/>
                    <w:bottom w:val="none" w:sz="0" w:space="0" w:color="auto"/>
                    <w:right w:val="none" w:sz="0" w:space="0" w:color="auto"/>
                  </w:divBdr>
                  <w:divsChild>
                    <w:div w:id="383912679">
                      <w:marLeft w:val="0"/>
                      <w:marRight w:val="0"/>
                      <w:marTop w:val="0"/>
                      <w:marBottom w:val="0"/>
                      <w:divBdr>
                        <w:top w:val="none" w:sz="0" w:space="0" w:color="auto"/>
                        <w:left w:val="none" w:sz="0" w:space="0" w:color="auto"/>
                        <w:bottom w:val="none" w:sz="0" w:space="0" w:color="auto"/>
                        <w:right w:val="none" w:sz="0" w:space="0" w:color="auto"/>
                      </w:divBdr>
                      <w:divsChild>
                        <w:div w:id="539317805">
                          <w:marLeft w:val="0"/>
                          <w:marRight w:val="0"/>
                          <w:marTop w:val="0"/>
                          <w:marBottom w:val="0"/>
                          <w:divBdr>
                            <w:top w:val="none" w:sz="0" w:space="0" w:color="auto"/>
                            <w:left w:val="none" w:sz="0" w:space="0" w:color="auto"/>
                            <w:bottom w:val="none" w:sz="0" w:space="0" w:color="auto"/>
                            <w:right w:val="none" w:sz="0" w:space="0" w:color="auto"/>
                          </w:divBdr>
                          <w:divsChild>
                            <w:div w:id="14533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94501">
          <w:marLeft w:val="0"/>
          <w:marRight w:val="0"/>
          <w:marTop w:val="0"/>
          <w:marBottom w:val="0"/>
          <w:divBdr>
            <w:top w:val="none" w:sz="0" w:space="0" w:color="auto"/>
            <w:left w:val="none" w:sz="0" w:space="0" w:color="auto"/>
            <w:bottom w:val="none" w:sz="0" w:space="0" w:color="auto"/>
            <w:right w:val="none" w:sz="0" w:space="0" w:color="auto"/>
          </w:divBdr>
          <w:divsChild>
            <w:div w:id="324403939">
              <w:marLeft w:val="0"/>
              <w:marRight w:val="0"/>
              <w:marTop w:val="0"/>
              <w:marBottom w:val="0"/>
              <w:divBdr>
                <w:top w:val="none" w:sz="0" w:space="0" w:color="auto"/>
                <w:left w:val="none" w:sz="0" w:space="0" w:color="auto"/>
                <w:bottom w:val="none" w:sz="0" w:space="0" w:color="auto"/>
                <w:right w:val="none" w:sz="0" w:space="0" w:color="auto"/>
              </w:divBdr>
              <w:divsChild>
                <w:div w:id="878736005">
                  <w:marLeft w:val="0"/>
                  <w:marRight w:val="0"/>
                  <w:marTop w:val="0"/>
                  <w:marBottom w:val="0"/>
                  <w:divBdr>
                    <w:top w:val="none" w:sz="0" w:space="0" w:color="auto"/>
                    <w:left w:val="none" w:sz="0" w:space="0" w:color="auto"/>
                    <w:bottom w:val="none" w:sz="0" w:space="0" w:color="auto"/>
                    <w:right w:val="none" w:sz="0" w:space="0" w:color="auto"/>
                  </w:divBdr>
                  <w:divsChild>
                    <w:div w:id="206450075">
                      <w:marLeft w:val="0"/>
                      <w:marRight w:val="0"/>
                      <w:marTop w:val="0"/>
                      <w:marBottom w:val="0"/>
                      <w:divBdr>
                        <w:top w:val="none" w:sz="0" w:space="0" w:color="auto"/>
                        <w:left w:val="none" w:sz="0" w:space="0" w:color="auto"/>
                        <w:bottom w:val="none" w:sz="0" w:space="0" w:color="auto"/>
                        <w:right w:val="none" w:sz="0" w:space="0" w:color="auto"/>
                      </w:divBdr>
                      <w:divsChild>
                        <w:div w:id="833183814">
                          <w:marLeft w:val="0"/>
                          <w:marRight w:val="0"/>
                          <w:marTop w:val="0"/>
                          <w:marBottom w:val="0"/>
                          <w:divBdr>
                            <w:top w:val="none" w:sz="0" w:space="0" w:color="auto"/>
                            <w:left w:val="none" w:sz="0" w:space="0" w:color="auto"/>
                            <w:bottom w:val="none" w:sz="0" w:space="0" w:color="auto"/>
                            <w:right w:val="none" w:sz="0" w:space="0" w:color="auto"/>
                          </w:divBdr>
                          <w:divsChild>
                            <w:div w:id="8954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4436">
          <w:marLeft w:val="0"/>
          <w:marRight w:val="0"/>
          <w:marTop w:val="0"/>
          <w:marBottom w:val="0"/>
          <w:divBdr>
            <w:top w:val="none" w:sz="0" w:space="0" w:color="auto"/>
            <w:left w:val="none" w:sz="0" w:space="0" w:color="auto"/>
            <w:bottom w:val="none" w:sz="0" w:space="0" w:color="auto"/>
            <w:right w:val="none" w:sz="0" w:space="0" w:color="auto"/>
          </w:divBdr>
          <w:divsChild>
            <w:div w:id="418799101">
              <w:marLeft w:val="0"/>
              <w:marRight w:val="0"/>
              <w:marTop w:val="0"/>
              <w:marBottom w:val="0"/>
              <w:divBdr>
                <w:top w:val="none" w:sz="0" w:space="0" w:color="auto"/>
                <w:left w:val="none" w:sz="0" w:space="0" w:color="auto"/>
                <w:bottom w:val="none" w:sz="0" w:space="0" w:color="auto"/>
                <w:right w:val="none" w:sz="0" w:space="0" w:color="auto"/>
              </w:divBdr>
              <w:divsChild>
                <w:div w:id="746074469">
                  <w:marLeft w:val="0"/>
                  <w:marRight w:val="0"/>
                  <w:marTop w:val="0"/>
                  <w:marBottom w:val="0"/>
                  <w:divBdr>
                    <w:top w:val="none" w:sz="0" w:space="0" w:color="auto"/>
                    <w:left w:val="none" w:sz="0" w:space="0" w:color="auto"/>
                    <w:bottom w:val="none" w:sz="0" w:space="0" w:color="auto"/>
                    <w:right w:val="none" w:sz="0" w:space="0" w:color="auto"/>
                  </w:divBdr>
                  <w:divsChild>
                    <w:div w:id="1511023240">
                      <w:marLeft w:val="0"/>
                      <w:marRight w:val="0"/>
                      <w:marTop w:val="0"/>
                      <w:marBottom w:val="0"/>
                      <w:divBdr>
                        <w:top w:val="none" w:sz="0" w:space="0" w:color="auto"/>
                        <w:left w:val="none" w:sz="0" w:space="0" w:color="auto"/>
                        <w:bottom w:val="none" w:sz="0" w:space="0" w:color="auto"/>
                        <w:right w:val="none" w:sz="0" w:space="0" w:color="auto"/>
                      </w:divBdr>
                      <w:divsChild>
                        <w:div w:id="1347711463">
                          <w:marLeft w:val="0"/>
                          <w:marRight w:val="0"/>
                          <w:marTop w:val="0"/>
                          <w:marBottom w:val="0"/>
                          <w:divBdr>
                            <w:top w:val="none" w:sz="0" w:space="0" w:color="auto"/>
                            <w:left w:val="none" w:sz="0" w:space="0" w:color="auto"/>
                            <w:bottom w:val="none" w:sz="0" w:space="0" w:color="auto"/>
                            <w:right w:val="none" w:sz="0" w:space="0" w:color="auto"/>
                          </w:divBdr>
                          <w:divsChild>
                            <w:div w:id="839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738086">
          <w:marLeft w:val="0"/>
          <w:marRight w:val="0"/>
          <w:marTop w:val="0"/>
          <w:marBottom w:val="0"/>
          <w:divBdr>
            <w:top w:val="none" w:sz="0" w:space="0" w:color="auto"/>
            <w:left w:val="none" w:sz="0" w:space="0" w:color="auto"/>
            <w:bottom w:val="none" w:sz="0" w:space="0" w:color="auto"/>
            <w:right w:val="none" w:sz="0" w:space="0" w:color="auto"/>
          </w:divBdr>
          <w:divsChild>
            <w:div w:id="1671181110">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sChild>
                    <w:div w:id="167907374">
                      <w:marLeft w:val="0"/>
                      <w:marRight w:val="0"/>
                      <w:marTop w:val="0"/>
                      <w:marBottom w:val="0"/>
                      <w:divBdr>
                        <w:top w:val="none" w:sz="0" w:space="0" w:color="auto"/>
                        <w:left w:val="none" w:sz="0" w:space="0" w:color="auto"/>
                        <w:bottom w:val="none" w:sz="0" w:space="0" w:color="auto"/>
                        <w:right w:val="none" w:sz="0" w:space="0" w:color="auto"/>
                      </w:divBdr>
                      <w:divsChild>
                        <w:div w:id="1467818510">
                          <w:marLeft w:val="0"/>
                          <w:marRight w:val="0"/>
                          <w:marTop w:val="0"/>
                          <w:marBottom w:val="0"/>
                          <w:divBdr>
                            <w:top w:val="none" w:sz="0" w:space="0" w:color="auto"/>
                            <w:left w:val="none" w:sz="0" w:space="0" w:color="auto"/>
                            <w:bottom w:val="none" w:sz="0" w:space="0" w:color="auto"/>
                            <w:right w:val="none" w:sz="0" w:space="0" w:color="auto"/>
                          </w:divBdr>
                          <w:divsChild>
                            <w:div w:id="326835194">
                              <w:marLeft w:val="0"/>
                              <w:marRight w:val="0"/>
                              <w:marTop w:val="0"/>
                              <w:marBottom w:val="0"/>
                              <w:divBdr>
                                <w:top w:val="none" w:sz="0" w:space="0" w:color="auto"/>
                                <w:left w:val="none" w:sz="0" w:space="0" w:color="auto"/>
                                <w:bottom w:val="none" w:sz="0" w:space="0" w:color="auto"/>
                                <w:right w:val="none" w:sz="0" w:space="0" w:color="auto"/>
                              </w:divBdr>
                              <w:divsChild>
                                <w:div w:id="6424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534816">
          <w:marLeft w:val="0"/>
          <w:marRight w:val="0"/>
          <w:marTop w:val="0"/>
          <w:marBottom w:val="0"/>
          <w:divBdr>
            <w:top w:val="none" w:sz="0" w:space="0" w:color="auto"/>
            <w:left w:val="none" w:sz="0" w:space="0" w:color="auto"/>
            <w:bottom w:val="none" w:sz="0" w:space="0" w:color="auto"/>
            <w:right w:val="none" w:sz="0" w:space="0" w:color="auto"/>
          </w:divBdr>
          <w:divsChild>
            <w:div w:id="636374984">
              <w:marLeft w:val="0"/>
              <w:marRight w:val="0"/>
              <w:marTop w:val="0"/>
              <w:marBottom w:val="0"/>
              <w:divBdr>
                <w:top w:val="none" w:sz="0" w:space="0" w:color="auto"/>
                <w:left w:val="none" w:sz="0" w:space="0" w:color="auto"/>
                <w:bottom w:val="none" w:sz="0" w:space="0" w:color="auto"/>
                <w:right w:val="none" w:sz="0" w:space="0" w:color="auto"/>
              </w:divBdr>
              <w:divsChild>
                <w:div w:id="423498381">
                  <w:marLeft w:val="0"/>
                  <w:marRight w:val="0"/>
                  <w:marTop w:val="0"/>
                  <w:marBottom w:val="0"/>
                  <w:divBdr>
                    <w:top w:val="none" w:sz="0" w:space="0" w:color="auto"/>
                    <w:left w:val="none" w:sz="0" w:space="0" w:color="auto"/>
                    <w:bottom w:val="none" w:sz="0" w:space="0" w:color="auto"/>
                    <w:right w:val="none" w:sz="0" w:space="0" w:color="auto"/>
                  </w:divBdr>
                  <w:divsChild>
                    <w:div w:id="741758769">
                      <w:marLeft w:val="0"/>
                      <w:marRight w:val="0"/>
                      <w:marTop w:val="0"/>
                      <w:marBottom w:val="0"/>
                      <w:divBdr>
                        <w:top w:val="none" w:sz="0" w:space="0" w:color="auto"/>
                        <w:left w:val="none" w:sz="0" w:space="0" w:color="auto"/>
                        <w:bottom w:val="none" w:sz="0" w:space="0" w:color="auto"/>
                        <w:right w:val="none" w:sz="0" w:space="0" w:color="auto"/>
                      </w:divBdr>
                      <w:divsChild>
                        <w:div w:id="1560706962">
                          <w:marLeft w:val="0"/>
                          <w:marRight w:val="0"/>
                          <w:marTop w:val="0"/>
                          <w:marBottom w:val="0"/>
                          <w:divBdr>
                            <w:top w:val="none" w:sz="0" w:space="0" w:color="auto"/>
                            <w:left w:val="none" w:sz="0" w:space="0" w:color="auto"/>
                            <w:bottom w:val="none" w:sz="0" w:space="0" w:color="auto"/>
                            <w:right w:val="none" w:sz="0" w:space="0" w:color="auto"/>
                          </w:divBdr>
                          <w:divsChild>
                            <w:div w:id="11054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89823">
          <w:marLeft w:val="0"/>
          <w:marRight w:val="0"/>
          <w:marTop w:val="0"/>
          <w:marBottom w:val="0"/>
          <w:divBdr>
            <w:top w:val="none" w:sz="0" w:space="0" w:color="auto"/>
            <w:left w:val="none" w:sz="0" w:space="0" w:color="auto"/>
            <w:bottom w:val="none" w:sz="0" w:space="0" w:color="auto"/>
            <w:right w:val="none" w:sz="0" w:space="0" w:color="auto"/>
          </w:divBdr>
          <w:divsChild>
            <w:div w:id="1298336821">
              <w:marLeft w:val="0"/>
              <w:marRight w:val="0"/>
              <w:marTop w:val="0"/>
              <w:marBottom w:val="0"/>
              <w:divBdr>
                <w:top w:val="none" w:sz="0" w:space="0" w:color="auto"/>
                <w:left w:val="none" w:sz="0" w:space="0" w:color="auto"/>
                <w:bottom w:val="none" w:sz="0" w:space="0" w:color="auto"/>
                <w:right w:val="none" w:sz="0" w:space="0" w:color="auto"/>
              </w:divBdr>
              <w:divsChild>
                <w:div w:id="2095857937">
                  <w:marLeft w:val="0"/>
                  <w:marRight w:val="0"/>
                  <w:marTop w:val="0"/>
                  <w:marBottom w:val="0"/>
                  <w:divBdr>
                    <w:top w:val="none" w:sz="0" w:space="0" w:color="auto"/>
                    <w:left w:val="none" w:sz="0" w:space="0" w:color="auto"/>
                    <w:bottom w:val="none" w:sz="0" w:space="0" w:color="auto"/>
                    <w:right w:val="none" w:sz="0" w:space="0" w:color="auto"/>
                  </w:divBdr>
                  <w:divsChild>
                    <w:div w:id="989791676">
                      <w:marLeft w:val="0"/>
                      <w:marRight w:val="0"/>
                      <w:marTop w:val="0"/>
                      <w:marBottom w:val="0"/>
                      <w:divBdr>
                        <w:top w:val="none" w:sz="0" w:space="0" w:color="auto"/>
                        <w:left w:val="none" w:sz="0" w:space="0" w:color="auto"/>
                        <w:bottom w:val="none" w:sz="0" w:space="0" w:color="auto"/>
                        <w:right w:val="none" w:sz="0" w:space="0" w:color="auto"/>
                      </w:divBdr>
                      <w:divsChild>
                        <w:div w:id="878279827">
                          <w:marLeft w:val="0"/>
                          <w:marRight w:val="0"/>
                          <w:marTop w:val="0"/>
                          <w:marBottom w:val="0"/>
                          <w:divBdr>
                            <w:top w:val="none" w:sz="0" w:space="0" w:color="auto"/>
                            <w:left w:val="none" w:sz="0" w:space="0" w:color="auto"/>
                            <w:bottom w:val="none" w:sz="0" w:space="0" w:color="auto"/>
                            <w:right w:val="none" w:sz="0" w:space="0" w:color="auto"/>
                          </w:divBdr>
                          <w:divsChild>
                            <w:div w:id="950280779">
                              <w:marLeft w:val="0"/>
                              <w:marRight w:val="0"/>
                              <w:marTop w:val="0"/>
                              <w:marBottom w:val="0"/>
                              <w:divBdr>
                                <w:top w:val="none" w:sz="0" w:space="0" w:color="auto"/>
                                <w:left w:val="none" w:sz="0" w:space="0" w:color="auto"/>
                                <w:bottom w:val="none" w:sz="0" w:space="0" w:color="auto"/>
                                <w:right w:val="none" w:sz="0" w:space="0" w:color="auto"/>
                              </w:divBdr>
                              <w:divsChild>
                                <w:div w:id="15634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8680">
          <w:marLeft w:val="0"/>
          <w:marRight w:val="0"/>
          <w:marTop w:val="0"/>
          <w:marBottom w:val="0"/>
          <w:divBdr>
            <w:top w:val="none" w:sz="0" w:space="0" w:color="auto"/>
            <w:left w:val="none" w:sz="0" w:space="0" w:color="auto"/>
            <w:bottom w:val="none" w:sz="0" w:space="0" w:color="auto"/>
            <w:right w:val="none" w:sz="0" w:space="0" w:color="auto"/>
          </w:divBdr>
          <w:divsChild>
            <w:div w:id="1497191585">
              <w:marLeft w:val="0"/>
              <w:marRight w:val="0"/>
              <w:marTop w:val="0"/>
              <w:marBottom w:val="0"/>
              <w:divBdr>
                <w:top w:val="none" w:sz="0" w:space="0" w:color="auto"/>
                <w:left w:val="none" w:sz="0" w:space="0" w:color="auto"/>
                <w:bottom w:val="none" w:sz="0" w:space="0" w:color="auto"/>
                <w:right w:val="none" w:sz="0" w:space="0" w:color="auto"/>
              </w:divBdr>
              <w:divsChild>
                <w:div w:id="690955699">
                  <w:marLeft w:val="0"/>
                  <w:marRight w:val="0"/>
                  <w:marTop w:val="0"/>
                  <w:marBottom w:val="0"/>
                  <w:divBdr>
                    <w:top w:val="none" w:sz="0" w:space="0" w:color="auto"/>
                    <w:left w:val="none" w:sz="0" w:space="0" w:color="auto"/>
                    <w:bottom w:val="none" w:sz="0" w:space="0" w:color="auto"/>
                    <w:right w:val="none" w:sz="0" w:space="0" w:color="auto"/>
                  </w:divBdr>
                  <w:divsChild>
                    <w:div w:id="1335841462">
                      <w:marLeft w:val="0"/>
                      <w:marRight w:val="0"/>
                      <w:marTop w:val="0"/>
                      <w:marBottom w:val="0"/>
                      <w:divBdr>
                        <w:top w:val="none" w:sz="0" w:space="0" w:color="auto"/>
                        <w:left w:val="none" w:sz="0" w:space="0" w:color="auto"/>
                        <w:bottom w:val="none" w:sz="0" w:space="0" w:color="auto"/>
                        <w:right w:val="none" w:sz="0" w:space="0" w:color="auto"/>
                      </w:divBdr>
                      <w:divsChild>
                        <w:div w:id="122384694">
                          <w:marLeft w:val="0"/>
                          <w:marRight w:val="0"/>
                          <w:marTop w:val="0"/>
                          <w:marBottom w:val="0"/>
                          <w:divBdr>
                            <w:top w:val="none" w:sz="0" w:space="0" w:color="auto"/>
                            <w:left w:val="none" w:sz="0" w:space="0" w:color="auto"/>
                            <w:bottom w:val="none" w:sz="0" w:space="0" w:color="auto"/>
                            <w:right w:val="none" w:sz="0" w:space="0" w:color="auto"/>
                          </w:divBdr>
                          <w:divsChild>
                            <w:div w:id="2839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59216">
          <w:marLeft w:val="0"/>
          <w:marRight w:val="0"/>
          <w:marTop w:val="0"/>
          <w:marBottom w:val="0"/>
          <w:divBdr>
            <w:top w:val="none" w:sz="0" w:space="0" w:color="auto"/>
            <w:left w:val="none" w:sz="0" w:space="0" w:color="auto"/>
            <w:bottom w:val="none" w:sz="0" w:space="0" w:color="auto"/>
            <w:right w:val="none" w:sz="0" w:space="0" w:color="auto"/>
          </w:divBdr>
          <w:divsChild>
            <w:div w:id="475953262">
              <w:marLeft w:val="0"/>
              <w:marRight w:val="0"/>
              <w:marTop w:val="0"/>
              <w:marBottom w:val="0"/>
              <w:divBdr>
                <w:top w:val="none" w:sz="0" w:space="0" w:color="auto"/>
                <w:left w:val="none" w:sz="0" w:space="0" w:color="auto"/>
                <w:bottom w:val="none" w:sz="0" w:space="0" w:color="auto"/>
                <w:right w:val="none" w:sz="0" w:space="0" w:color="auto"/>
              </w:divBdr>
              <w:divsChild>
                <w:div w:id="853301512">
                  <w:marLeft w:val="0"/>
                  <w:marRight w:val="0"/>
                  <w:marTop w:val="0"/>
                  <w:marBottom w:val="0"/>
                  <w:divBdr>
                    <w:top w:val="none" w:sz="0" w:space="0" w:color="auto"/>
                    <w:left w:val="none" w:sz="0" w:space="0" w:color="auto"/>
                    <w:bottom w:val="none" w:sz="0" w:space="0" w:color="auto"/>
                    <w:right w:val="none" w:sz="0" w:space="0" w:color="auto"/>
                  </w:divBdr>
                  <w:divsChild>
                    <w:div w:id="248850299">
                      <w:marLeft w:val="0"/>
                      <w:marRight w:val="0"/>
                      <w:marTop w:val="0"/>
                      <w:marBottom w:val="0"/>
                      <w:divBdr>
                        <w:top w:val="none" w:sz="0" w:space="0" w:color="auto"/>
                        <w:left w:val="none" w:sz="0" w:space="0" w:color="auto"/>
                        <w:bottom w:val="none" w:sz="0" w:space="0" w:color="auto"/>
                        <w:right w:val="none" w:sz="0" w:space="0" w:color="auto"/>
                      </w:divBdr>
                      <w:divsChild>
                        <w:div w:id="1271283396">
                          <w:marLeft w:val="0"/>
                          <w:marRight w:val="0"/>
                          <w:marTop w:val="0"/>
                          <w:marBottom w:val="0"/>
                          <w:divBdr>
                            <w:top w:val="none" w:sz="0" w:space="0" w:color="auto"/>
                            <w:left w:val="none" w:sz="0" w:space="0" w:color="auto"/>
                            <w:bottom w:val="none" w:sz="0" w:space="0" w:color="auto"/>
                            <w:right w:val="none" w:sz="0" w:space="0" w:color="auto"/>
                          </w:divBdr>
                          <w:divsChild>
                            <w:div w:id="2047020969">
                              <w:marLeft w:val="0"/>
                              <w:marRight w:val="0"/>
                              <w:marTop w:val="0"/>
                              <w:marBottom w:val="0"/>
                              <w:divBdr>
                                <w:top w:val="none" w:sz="0" w:space="0" w:color="auto"/>
                                <w:left w:val="none" w:sz="0" w:space="0" w:color="auto"/>
                                <w:bottom w:val="none" w:sz="0" w:space="0" w:color="auto"/>
                                <w:right w:val="none" w:sz="0" w:space="0" w:color="auto"/>
                              </w:divBdr>
                              <w:divsChild>
                                <w:div w:id="635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786529">
          <w:marLeft w:val="0"/>
          <w:marRight w:val="0"/>
          <w:marTop w:val="0"/>
          <w:marBottom w:val="0"/>
          <w:divBdr>
            <w:top w:val="none" w:sz="0" w:space="0" w:color="auto"/>
            <w:left w:val="none" w:sz="0" w:space="0" w:color="auto"/>
            <w:bottom w:val="none" w:sz="0" w:space="0" w:color="auto"/>
            <w:right w:val="none" w:sz="0" w:space="0" w:color="auto"/>
          </w:divBdr>
          <w:divsChild>
            <w:div w:id="375201783">
              <w:marLeft w:val="0"/>
              <w:marRight w:val="0"/>
              <w:marTop w:val="0"/>
              <w:marBottom w:val="0"/>
              <w:divBdr>
                <w:top w:val="none" w:sz="0" w:space="0" w:color="auto"/>
                <w:left w:val="none" w:sz="0" w:space="0" w:color="auto"/>
                <w:bottom w:val="none" w:sz="0" w:space="0" w:color="auto"/>
                <w:right w:val="none" w:sz="0" w:space="0" w:color="auto"/>
              </w:divBdr>
              <w:divsChild>
                <w:div w:id="1269511009">
                  <w:marLeft w:val="0"/>
                  <w:marRight w:val="0"/>
                  <w:marTop w:val="0"/>
                  <w:marBottom w:val="0"/>
                  <w:divBdr>
                    <w:top w:val="none" w:sz="0" w:space="0" w:color="auto"/>
                    <w:left w:val="none" w:sz="0" w:space="0" w:color="auto"/>
                    <w:bottom w:val="none" w:sz="0" w:space="0" w:color="auto"/>
                    <w:right w:val="none" w:sz="0" w:space="0" w:color="auto"/>
                  </w:divBdr>
                  <w:divsChild>
                    <w:div w:id="787626717">
                      <w:marLeft w:val="0"/>
                      <w:marRight w:val="0"/>
                      <w:marTop w:val="0"/>
                      <w:marBottom w:val="0"/>
                      <w:divBdr>
                        <w:top w:val="none" w:sz="0" w:space="0" w:color="auto"/>
                        <w:left w:val="none" w:sz="0" w:space="0" w:color="auto"/>
                        <w:bottom w:val="none" w:sz="0" w:space="0" w:color="auto"/>
                        <w:right w:val="none" w:sz="0" w:space="0" w:color="auto"/>
                      </w:divBdr>
                      <w:divsChild>
                        <w:div w:id="1263104553">
                          <w:marLeft w:val="0"/>
                          <w:marRight w:val="0"/>
                          <w:marTop w:val="0"/>
                          <w:marBottom w:val="0"/>
                          <w:divBdr>
                            <w:top w:val="none" w:sz="0" w:space="0" w:color="auto"/>
                            <w:left w:val="none" w:sz="0" w:space="0" w:color="auto"/>
                            <w:bottom w:val="none" w:sz="0" w:space="0" w:color="auto"/>
                            <w:right w:val="none" w:sz="0" w:space="0" w:color="auto"/>
                          </w:divBdr>
                          <w:divsChild>
                            <w:div w:id="804591356">
                              <w:marLeft w:val="0"/>
                              <w:marRight w:val="0"/>
                              <w:marTop w:val="0"/>
                              <w:marBottom w:val="0"/>
                              <w:divBdr>
                                <w:top w:val="none" w:sz="0" w:space="0" w:color="auto"/>
                                <w:left w:val="none" w:sz="0" w:space="0" w:color="auto"/>
                                <w:bottom w:val="none" w:sz="0" w:space="0" w:color="auto"/>
                                <w:right w:val="none" w:sz="0" w:space="0" w:color="auto"/>
                              </w:divBdr>
                              <w:divsChild>
                                <w:div w:id="7049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562">
          <w:marLeft w:val="0"/>
          <w:marRight w:val="0"/>
          <w:marTop w:val="0"/>
          <w:marBottom w:val="0"/>
          <w:divBdr>
            <w:top w:val="none" w:sz="0" w:space="0" w:color="auto"/>
            <w:left w:val="none" w:sz="0" w:space="0" w:color="auto"/>
            <w:bottom w:val="none" w:sz="0" w:space="0" w:color="auto"/>
            <w:right w:val="none" w:sz="0" w:space="0" w:color="auto"/>
          </w:divBdr>
          <w:divsChild>
            <w:div w:id="691029126">
              <w:marLeft w:val="0"/>
              <w:marRight w:val="0"/>
              <w:marTop w:val="0"/>
              <w:marBottom w:val="0"/>
              <w:divBdr>
                <w:top w:val="none" w:sz="0" w:space="0" w:color="auto"/>
                <w:left w:val="none" w:sz="0" w:space="0" w:color="auto"/>
                <w:bottom w:val="none" w:sz="0" w:space="0" w:color="auto"/>
                <w:right w:val="none" w:sz="0" w:space="0" w:color="auto"/>
              </w:divBdr>
              <w:divsChild>
                <w:div w:id="1446578741">
                  <w:marLeft w:val="0"/>
                  <w:marRight w:val="0"/>
                  <w:marTop w:val="0"/>
                  <w:marBottom w:val="0"/>
                  <w:divBdr>
                    <w:top w:val="none" w:sz="0" w:space="0" w:color="auto"/>
                    <w:left w:val="none" w:sz="0" w:space="0" w:color="auto"/>
                    <w:bottom w:val="none" w:sz="0" w:space="0" w:color="auto"/>
                    <w:right w:val="none" w:sz="0" w:space="0" w:color="auto"/>
                  </w:divBdr>
                  <w:divsChild>
                    <w:div w:id="378627678">
                      <w:marLeft w:val="0"/>
                      <w:marRight w:val="0"/>
                      <w:marTop w:val="0"/>
                      <w:marBottom w:val="0"/>
                      <w:divBdr>
                        <w:top w:val="none" w:sz="0" w:space="0" w:color="auto"/>
                        <w:left w:val="none" w:sz="0" w:space="0" w:color="auto"/>
                        <w:bottom w:val="none" w:sz="0" w:space="0" w:color="auto"/>
                        <w:right w:val="none" w:sz="0" w:space="0" w:color="auto"/>
                      </w:divBdr>
                      <w:divsChild>
                        <w:div w:id="1243949126">
                          <w:marLeft w:val="0"/>
                          <w:marRight w:val="0"/>
                          <w:marTop w:val="0"/>
                          <w:marBottom w:val="0"/>
                          <w:divBdr>
                            <w:top w:val="none" w:sz="0" w:space="0" w:color="auto"/>
                            <w:left w:val="none" w:sz="0" w:space="0" w:color="auto"/>
                            <w:bottom w:val="none" w:sz="0" w:space="0" w:color="auto"/>
                            <w:right w:val="none" w:sz="0" w:space="0" w:color="auto"/>
                          </w:divBdr>
                          <w:divsChild>
                            <w:div w:id="426969878">
                              <w:marLeft w:val="0"/>
                              <w:marRight w:val="0"/>
                              <w:marTop w:val="0"/>
                              <w:marBottom w:val="0"/>
                              <w:divBdr>
                                <w:top w:val="none" w:sz="0" w:space="0" w:color="auto"/>
                                <w:left w:val="none" w:sz="0" w:space="0" w:color="auto"/>
                                <w:bottom w:val="none" w:sz="0" w:space="0" w:color="auto"/>
                                <w:right w:val="none" w:sz="0" w:space="0" w:color="auto"/>
                              </w:divBdr>
                              <w:divsChild>
                                <w:div w:id="1761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587395">
          <w:marLeft w:val="0"/>
          <w:marRight w:val="0"/>
          <w:marTop w:val="0"/>
          <w:marBottom w:val="0"/>
          <w:divBdr>
            <w:top w:val="none" w:sz="0" w:space="0" w:color="auto"/>
            <w:left w:val="none" w:sz="0" w:space="0" w:color="auto"/>
            <w:bottom w:val="none" w:sz="0" w:space="0" w:color="auto"/>
            <w:right w:val="none" w:sz="0" w:space="0" w:color="auto"/>
          </w:divBdr>
          <w:divsChild>
            <w:div w:id="1723597679">
              <w:marLeft w:val="0"/>
              <w:marRight w:val="0"/>
              <w:marTop w:val="0"/>
              <w:marBottom w:val="0"/>
              <w:divBdr>
                <w:top w:val="none" w:sz="0" w:space="0" w:color="auto"/>
                <w:left w:val="none" w:sz="0" w:space="0" w:color="auto"/>
                <w:bottom w:val="none" w:sz="0" w:space="0" w:color="auto"/>
                <w:right w:val="none" w:sz="0" w:space="0" w:color="auto"/>
              </w:divBdr>
              <w:divsChild>
                <w:div w:id="879558672">
                  <w:marLeft w:val="0"/>
                  <w:marRight w:val="0"/>
                  <w:marTop w:val="0"/>
                  <w:marBottom w:val="0"/>
                  <w:divBdr>
                    <w:top w:val="none" w:sz="0" w:space="0" w:color="auto"/>
                    <w:left w:val="none" w:sz="0" w:space="0" w:color="auto"/>
                    <w:bottom w:val="none" w:sz="0" w:space="0" w:color="auto"/>
                    <w:right w:val="none" w:sz="0" w:space="0" w:color="auto"/>
                  </w:divBdr>
                  <w:divsChild>
                    <w:div w:id="281546374">
                      <w:marLeft w:val="0"/>
                      <w:marRight w:val="0"/>
                      <w:marTop w:val="0"/>
                      <w:marBottom w:val="0"/>
                      <w:divBdr>
                        <w:top w:val="none" w:sz="0" w:space="0" w:color="auto"/>
                        <w:left w:val="none" w:sz="0" w:space="0" w:color="auto"/>
                        <w:bottom w:val="none" w:sz="0" w:space="0" w:color="auto"/>
                        <w:right w:val="none" w:sz="0" w:space="0" w:color="auto"/>
                      </w:divBdr>
                      <w:divsChild>
                        <w:div w:id="196940168">
                          <w:marLeft w:val="0"/>
                          <w:marRight w:val="0"/>
                          <w:marTop w:val="0"/>
                          <w:marBottom w:val="0"/>
                          <w:divBdr>
                            <w:top w:val="none" w:sz="0" w:space="0" w:color="auto"/>
                            <w:left w:val="none" w:sz="0" w:space="0" w:color="auto"/>
                            <w:bottom w:val="none" w:sz="0" w:space="0" w:color="auto"/>
                            <w:right w:val="none" w:sz="0" w:space="0" w:color="auto"/>
                          </w:divBdr>
                          <w:divsChild>
                            <w:div w:id="18149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7725">
          <w:marLeft w:val="0"/>
          <w:marRight w:val="0"/>
          <w:marTop w:val="0"/>
          <w:marBottom w:val="0"/>
          <w:divBdr>
            <w:top w:val="none" w:sz="0" w:space="0" w:color="auto"/>
            <w:left w:val="none" w:sz="0" w:space="0" w:color="auto"/>
            <w:bottom w:val="none" w:sz="0" w:space="0" w:color="auto"/>
            <w:right w:val="none" w:sz="0" w:space="0" w:color="auto"/>
          </w:divBdr>
          <w:divsChild>
            <w:div w:id="1466578957">
              <w:marLeft w:val="0"/>
              <w:marRight w:val="0"/>
              <w:marTop w:val="0"/>
              <w:marBottom w:val="0"/>
              <w:divBdr>
                <w:top w:val="none" w:sz="0" w:space="0" w:color="auto"/>
                <w:left w:val="none" w:sz="0" w:space="0" w:color="auto"/>
                <w:bottom w:val="none" w:sz="0" w:space="0" w:color="auto"/>
                <w:right w:val="none" w:sz="0" w:space="0" w:color="auto"/>
              </w:divBdr>
              <w:divsChild>
                <w:div w:id="2102793119">
                  <w:marLeft w:val="0"/>
                  <w:marRight w:val="0"/>
                  <w:marTop w:val="0"/>
                  <w:marBottom w:val="0"/>
                  <w:divBdr>
                    <w:top w:val="none" w:sz="0" w:space="0" w:color="auto"/>
                    <w:left w:val="none" w:sz="0" w:space="0" w:color="auto"/>
                    <w:bottom w:val="none" w:sz="0" w:space="0" w:color="auto"/>
                    <w:right w:val="none" w:sz="0" w:space="0" w:color="auto"/>
                  </w:divBdr>
                  <w:divsChild>
                    <w:div w:id="949705401">
                      <w:marLeft w:val="0"/>
                      <w:marRight w:val="0"/>
                      <w:marTop w:val="0"/>
                      <w:marBottom w:val="0"/>
                      <w:divBdr>
                        <w:top w:val="none" w:sz="0" w:space="0" w:color="auto"/>
                        <w:left w:val="none" w:sz="0" w:space="0" w:color="auto"/>
                        <w:bottom w:val="none" w:sz="0" w:space="0" w:color="auto"/>
                        <w:right w:val="none" w:sz="0" w:space="0" w:color="auto"/>
                      </w:divBdr>
                      <w:divsChild>
                        <w:div w:id="24403726">
                          <w:marLeft w:val="0"/>
                          <w:marRight w:val="0"/>
                          <w:marTop w:val="0"/>
                          <w:marBottom w:val="0"/>
                          <w:divBdr>
                            <w:top w:val="none" w:sz="0" w:space="0" w:color="auto"/>
                            <w:left w:val="none" w:sz="0" w:space="0" w:color="auto"/>
                            <w:bottom w:val="none" w:sz="0" w:space="0" w:color="auto"/>
                            <w:right w:val="none" w:sz="0" w:space="0" w:color="auto"/>
                          </w:divBdr>
                          <w:divsChild>
                            <w:div w:id="1438984425">
                              <w:marLeft w:val="0"/>
                              <w:marRight w:val="0"/>
                              <w:marTop w:val="0"/>
                              <w:marBottom w:val="0"/>
                              <w:divBdr>
                                <w:top w:val="none" w:sz="0" w:space="0" w:color="auto"/>
                                <w:left w:val="none" w:sz="0" w:space="0" w:color="auto"/>
                                <w:bottom w:val="none" w:sz="0" w:space="0" w:color="auto"/>
                                <w:right w:val="none" w:sz="0" w:space="0" w:color="auto"/>
                              </w:divBdr>
                              <w:divsChild>
                                <w:div w:id="7179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04501">
          <w:marLeft w:val="0"/>
          <w:marRight w:val="0"/>
          <w:marTop w:val="0"/>
          <w:marBottom w:val="0"/>
          <w:divBdr>
            <w:top w:val="none" w:sz="0" w:space="0" w:color="auto"/>
            <w:left w:val="none" w:sz="0" w:space="0" w:color="auto"/>
            <w:bottom w:val="none" w:sz="0" w:space="0" w:color="auto"/>
            <w:right w:val="none" w:sz="0" w:space="0" w:color="auto"/>
          </w:divBdr>
          <w:divsChild>
            <w:div w:id="525556608">
              <w:marLeft w:val="0"/>
              <w:marRight w:val="0"/>
              <w:marTop w:val="0"/>
              <w:marBottom w:val="0"/>
              <w:divBdr>
                <w:top w:val="none" w:sz="0" w:space="0" w:color="auto"/>
                <w:left w:val="none" w:sz="0" w:space="0" w:color="auto"/>
                <w:bottom w:val="none" w:sz="0" w:space="0" w:color="auto"/>
                <w:right w:val="none" w:sz="0" w:space="0" w:color="auto"/>
              </w:divBdr>
              <w:divsChild>
                <w:div w:id="1566377154">
                  <w:marLeft w:val="0"/>
                  <w:marRight w:val="0"/>
                  <w:marTop w:val="0"/>
                  <w:marBottom w:val="0"/>
                  <w:divBdr>
                    <w:top w:val="none" w:sz="0" w:space="0" w:color="auto"/>
                    <w:left w:val="none" w:sz="0" w:space="0" w:color="auto"/>
                    <w:bottom w:val="none" w:sz="0" w:space="0" w:color="auto"/>
                    <w:right w:val="none" w:sz="0" w:space="0" w:color="auto"/>
                  </w:divBdr>
                  <w:divsChild>
                    <w:div w:id="1655790721">
                      <w:marLeft w:val="0"/>
                      <w:marRight w:val="0"/>
                      <w:marTop w:val="0"/>
                      <w:marBottom w:val="0"/>
                      <w:divBdr>
                        <w:top w:val="none" w:sz="0" w:space="0" w:color="auto"/>
                        <w:left w:val="none" w:sz="0" w:space="0" w:color="auto"/>
                        <w:bottom w:val="none" w:sz="0" w:space="0" w:color="auto"/>
                        <w:right w:val="none" w:sz="0" w:space="0" w:color="auto"/>
                      </w:divBdr>
                      <w:divsChild>
                        <w:div w:id="1699623001">
                          <w:marLeft w:val="0"/>
                          <w:marRight w:val="0"/>
                          <w:marTop w:val="0"/>
                          <w:marBottom w:val="0"/>
                          <w:divBdr>
                            <w:top w:val="none" w:sz="0" w:space="0" w:color="auto"/>
                            <w:left w:val="none" w:sz="0" w:space="0" w:color="auto"/>
                            <w:bottom w:val="none" w:sz="0" w:space="0" w:color="auto"/>
                            <w:right w:val="none" w:sz="0" w:space="0" w:color="auto"/>
                          </w:divBdr>
                          <w:divsChild>
                            <w:div w:id="970868820">
                              <w:marLeft w:val="0"/>
                              <w:marRight w:val="0"/>
                              <w:marTop w:val="0"/>
                              <w:marBottom w:val="0"/>
                              <w:divBdr>
                                <w:top w:val="none" w:sz="0" w:space="0" w:color="auto"/>
                                <w:left w:val="none" w:sz="0" w:space="0" w:color="auto"/>
                                <w:bottom w:val="none" w:sz="0" w:space="0" w:color="auto"/>
                                <w:right w:val="none" w:sz="0" w:space="0" w:color="auto"/>
                              </w:divBdr>
                              <w:divsChild>
                                <w:div w:id="11569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2171">
          <w:marLeft w:val="0"/>
          <w:marRight w:val="0"/>
          <w:marTop w:val="0"/>
          <w:marBottom w:val="0"/>
          <w:divBdr>
            <w:top w:val="none" w:sz="0" w:space="0" w:color="auto"/>
            <w:left w:val="none" w:sz="0" w:space="0" w:color="auto"/>
            <w:bottom w:val="none" w:sz="0" w:space="0" w:color="auto"/>
            <w:right w:val="none" w:sz="0" w:space="0" w:color="auto"/>
          </w:divBdr>
          <w:divsChild>
            <w:div w:id="298847005">
              <w:marLeft w:val="0"/>
              <w:marRight w:val="0"/>
              <w:marTop w:val="0"/>
              <w:marBottom w:val="0"/>
              <w:divBdr>
                <w:top w:val="none" w:sz="0" w:space="0" w:color="auto"/>
                <w:left w:val="none" w:sz="0" w:space="0" w:color="auto"/>
                <w:bottom w:val="none" w:sz="0" w:space="0" w:color="auto"/>
                <w:right w:val="none" w:sz="0" w:space="0" w:color="auto"/>
              </w:divBdr>
              <w:divsChild>
                <w:div w:id="1834104699">
                  <w:marLeft w:val="0"/>
                  <w:marRight w:val="0"/>
                  <w:marTop w:val="0"/>
                  <w:marBottom w:val="0"/>
                  <w:divBdr>
                    <w:top w:val="none" w:sz="0" w:space="0" w:color="auto"/>
                    <w:left w:val="none" w:sz="0" w:space="0" w:color="auto"/>
                    <w:bottom w:val="none" w:sz="0" w:space="0" w:color="auto"/>
                    <w:right w:val="none" w:sz="0" w:space="0" w:color="auto"/>
                  </w:divBdr>
                  <w:divsChild>
                    <w:div w:id="593779748">
                      <w:marLeft w:val="0"/>
                      <w:marRight w:val="0"/>
                      <w:marTop w:val="0"/>
                      <w:marBottom w:val="0"/>
                      <w:divBdr>
                        <w:top w:val="none" w:sz="0" w:space="0" w:color="auto"/>
                        <w:left w:val="none" w:sz="0" w:space="0" w:color="auto"/>
                        <w:bottom w:val="none" w:sz="0" w:space="0" w:color="auto"/>
                        <w:right w:val="none" w:sz="0" w:space="0" w:color="auto"/>
                      </w:divBdr>
                      <w:divsChild>
                        <w:div w:id="1285620807">
                          <w:marLeft w:val="0"/>
                          <w:marRight w:val="0"/>
                          <w:marTop w:val="0"/>
                          <w:marBottom w:val="0"/>
                          <w:divBdr>
                            <w:top w:val="none" w:sz="0" w:space="0" w:color="auto"/>
                            <w:left w:val="none" w:sz="0" w:space="0" w:color="auto"/>
                            <w:bottom w:val="none" w:sz="0" w:space="0" w:color="auto"/>
                            <w:right w:val="none" w:sz="0" w:space="0" w:color="auto"/>
                          </w:divBdr>
                          <w:divsChild>
                            <w:div w:id="9958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37260">
          <w:marLeft w:val="0"/>
          <w:marRight w:val="0"/>
          <w:marTop w:val="0"/>
          <w:marBottom w:val="0"/>
          <w:divBdr>
            <w:top w:val="none" w:sz="0" w:space="0" w:color="auto"/>
            <w:left w:val="none" w:sz="0" w:space="0" w:color="auto"/>
            <w:bottom w:val="none" w:sz="0" w:space="0" w:color="auto"/>
            <w:right w:val="none" w:sz="0" w:space="0" w:color="auto"/>
          </w:divBdr>
          <w:divsChild>
            <w:div w:id="1555390940">
              <w:marLeft w:val="0"/>
              <w:marRight w:val="0"/>
              <w:marTop w:val="0"/>
              <w:marBottom w:val="0"/>
              <w:divBdr>
                <w:top w:val="none" w:sz="0" w:space="0" w:color="auto"/>
                <w:left w:val="none" w:sz="0" w:space="0" w:color="auto"/>
                <w:bottom w:val="none" w:sz="0" w:space="0" w:color="auto"/>
                <w:right w:val="none" w:sz="0" w:space="0" w:color="auto"/>
              </w:divBdr>
              <w:divsChild>
                <w:div w:id="438067052">
                  <w:marLeft w:val="0"/>
                  <w:marRight w:val="0"/>
                  <w:marTop w:val="0"/>
                  <w:marBottom w:val="0"/>
                  <w:divBdr>
                    <w:top w:val="none" w:sz="0" w:space="0" w:color="auto"/>
                    <w:left w:val="none" w:sz="0" w:space="0" w:color="auto"/>
                    <w:bottom w:val="none" w:sz="0" w:space="0" w:color="auto"/>
                    <w:right w:val="none" w:sz="0" w:space="0" w:color="auto"/>
                  </w:divBdr>
                  <w:divsChild>
                    <w:div w:id="857235330">
                      <w:marLeft w:val="0"/>
                      <w:marRight w:val="0"/>
                      <w:marTop w:val="0"/>
                      <w:marBottom w:val="0"/>
                      <w:divBdr>
                        <w:top w:val="none" w:sz="0" w:space="0" w:color="auto"/>
                        <w:left w:val="none" w:sz="0" w:space="0" w:color="auto"/>
                        <w:bottom w:val="none" w:sz="0" w:space="0" w:color="auto"/>
                        <w:right w:val="none" w:sz="0" w:space="0" w:color="auto"/>
                      </w:divBdr>
                      <w:divsChild>
                        <w:div w:id="779960289">
                          <w:marLeft w:val="0"/>
                          <w:marRight w:val="0"/>
                          <w:marTop w:val="0"/>
                          <w:marBottom w:val="0"/>
                          <w:divBdr>
                            <w:top w:val="none" w:sz="0" w:space="0" w:color="auto"/>
                            <w:left w:val="none" w:sz="0" w:space="0" w:color="auto"/>
                            <w:bottom w:val="none" w:sz="0" w:space="0" w:color="auto"/>
                            <w:right w:val="none" w:sz="0" w:space="0" w:color="auto"/>
                          </w:divBdr>
                          <w:divsChild>
                            <w:div w:id="8340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882757">
          <w:marLeft w:val="0"/>
          <w:marRight w:val="0"/>
          <w:marTop w:val="0"/>
          <w:marBottom w:val="0"/>
          <w:divBdr>
            <w:top w:val="none" w:sz="0" w:space="0" w:color="auto"/>
            <w:left w:val="none" w:sz="0" w:space="0" w:color="auto"/>
            <w:bottom w:val="none" w:sz="0" w:space="0" w:color="auto"/>
            <w:right w:val="none" w:sz="0" w:space="0" w:color="auto"/>
          </w:divBdr>
          <w:divsChild>
            <w:div w:id="77750948">
              <w:marLeft w:val="0"/>
              <w:marRight w:val="0"/>
              <w:marTop w:val="0"/>
              <w:marBottom w:val="0"/>
              <w:divBdr>
                <w:top w:val="none" w:sz="0" w:space="0" w:color="auto"/>
                <w:left w:val="none" w:sz="0" w:space="0" w:color="auto"/>
                <w:bottom w:val="none" w:sz="0" w:space="0" w:color="auto"/>
                <w:right w:val="none" w:sz="0" w:space="0" w:color="auto"/>
              </w:divBdr>
              <w:divsChild>
                <w:div w:id="739450448">
                  <w:marLeft w:val="0"/>
                  <w:marRight w:val="0"/>
                  <w:marTop w:val="0"/>
                  <w:marBottom w:val="0"/>
                  <w:divBdr>
                    <w:top w:val="none" w:sz="0" w:space="0" w:color="auto"/>
                    <w:left w:val="none" w:sz="0" w:space="0" w:color="auto"/>
                    <w:bottom w:val="none" w:sz="0" w:space="0" w:color="auto"/>
                    <w:right w:val="none" w:sz="0" w:space="0" w:color="auto"/>
                  </w:divBdr>
                  <w:divsChild>
                    <w:div w:id="1377390235">
                      <w:marLeft w:val="0"/>
                      <w:marRight w:val="0"/>
                      <w:marTop w:val="0"/>
                      <w:marBottom w:val="0"/>
                      <w:divBdr>
                        <w:top w:val="none" w:sz="0" w:space="0" w:color="auto"/>
                        <w:left w:val="none" w:sz="0" w:space="0" w:color="auto"/>
                        <w:bottom w:val="none" w:sz="0" w:space="0" w:color="auto"/>
                        <w:right w:val="none" w:sz="0" w:space="0" w:color="auto"/>
                      </w:divBdr>
                      <w:divsChild>
                        <w:div w:id="1324355053">
                          <w:marLeft w:val="0"/>
                          <w:marRight w:val="0"/>
                          <w:marTop w:val="0"/>
                          <w:marBottom w:val="0"/>
                          <w:divBdr>
                            <w:top w:val="none" w:sz="0" w:space="0" w:color="auto"/>
                            <w:left w:val="none" w:sz="0" w:space="0" w:color="auto"/>
                            <w:bottom w:val="none" w:sz="0" w:space="0" w:color="auto"/>
                            <w:right w:val="none" w:sz="0" w:space="0" w:color="auto"/>
                          </w:divBdr>
                          <w:divsChild>
                            <w:div w:id="744033169">
                              <w:marLeft w:val="0"/>
                              <w:marRight w:val="0"/>
                              <w:marTop w:val="0"/>
                              <w:marBottom w:val="0"/>
                              <w:divBdr>
                                <w:top w:val="none" w:sz="0" w:space="0" w:color="auto"/>
                                <w:left w:val="none" w:sz="0" w:space="0" w:color="auto"/>
                                <w:bottom w:val="none" w:sz="0" w:space="0" w:color="auto"/>
                                <w:right w:val="none" w:sz="0" w:space="0" w:color="auto"/>
                              </w:divBdr>
                              <w:divsChild>
                                <w:div w:id="13859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80855">
          <w:marLeft w:val="0"/>
          <w:marRight w:val="0"/>
          <w:marTop w:val="0"/>
          <w:marBottom w:val="0"/>
          <w:divBdr>
            <w:top w:val="none" w:sz="0" w:space="0" w:color="auto"/>
            <w:left w:val="none" w:sz="0" w:space="0" w:color="auto"/>
            <w:bottom w:val="none" w:sz="0" w:space="0" w:color="auto"/>
            <w:right w:val="none" w:sz="0" w:space="0" w:color="auto"/>
          </w:divBdr>
          <w:divsChild>
            <w:div w:id="594871622">
              <w:marLeft w:val="0"/>
              <w:marRight w:val="0"/>
              <w:marTop w:val="0"/>
              <w:marBottom w:val="0"/>
              <w:divBdr>
                <w:top w:val="none" w:sz="0" w:space="0" w:color="auto"/>
                <w:left w:val="none" w:sz="0" w:space="0" w:color="auto"/>
                <w:bottom w:val="none" w:sz="0" w:space="0" w:color="auto"/>
                <w:right w:val="none" w:sz="0" w:space="0" w:color="auto"/>
              </w:divBdr>
              <w:divsChild>
                <w:div w:id="1559128753">
                  <w:marLeft w:val="0"/>
                  <w:marRight w:val="0"/>
                  <w:marTop w:val="0"/>
                  <w:marBottom w:val="0"/>
                  <w:divBdr>
                    <w:top w:val="none" w:sz="0" w:space="0" w:color="auto"/>
                    <w:left w:val="none" w:sz="0" w:space="0" w:color="auto"/>
                    <w:bottom w:val="none" w:sz="0" w:space="0" w:color="auto"/>
                    <w:right w:val="none" w:sz="0" w:space="0" w:color="auto"/>
                  </w:divBdr>
                  <w:divsChild>
                    <w:div w:id="1953319583">
                      <w:marLeft w:val="0"/>
                      <w:marRight w:val="0"/>
                      <w:marTop w:val="0"/>
                      <w:marBottom w:val="0"/>
                      <w:divBdr>
                        <w:top w:val="none" w:sz="0" w:space="0" w:color="auto"/>
                        <w:left w:val="none" w:sz="0" w:space="0" w:color="auto"/>
                        <w:bottom w:val="none" w:sz="0" w:space="0" w:color="auto"/>
                        <w:right w:val="none" w:sz="0" w:space="0" w:color="auto"/>
                      </w:divBdr>
                      <w:divsChild>
                        <w:div w:id="299920111">
                          <w:marLeft w:val="0"/>
                          <w:marRight w:val="0"/>
                          <w:marTop w:val="0"/>
                          <w:marBottom w:val="0"/>
                          <w:divBdr>
                            <w:top w:val="none" w:sz="0" w:space="0" w:color="auto"/>
                            <w:left w:val="none" w:sz="0" w:space="0" w:color="auto"/>
                            <w:bottom w:val="none" w:sz="0" w:space="0" w:color="auto"/>
                            <w:right w:val="none" w:sz="0" w:space="0" w:color="auto"/>
                          </w:divBdr>
                          <w:divsChild>
                            <w:div w:id="988900070">
                              <w:marLeft w:val="0"/>
                              <w:marRight w:val="0"/>
                              <w:marTop w:val="0"/>
                              <w:marBottom w:val="0"/>
                              <w:divBdr>
                                <w:top w:val="none" w:sz="0" w:space="0" w:color="auto"/>
                                <w:left w:val="none" w:sz="0" w:space="0" w:color="auto"/>
                                <w:bottom w:val="none" w:sz="0" w:space="0" w:color="auto"/>
                                <w:right w:val="none" w:sz="0" w:space="0" w:color="auto"/>
                              </w:divBdr>
                              <w:divsChild>
                                <w:div w:id="1451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62370">
          <w:marLeft w:val="0"/>
          <w:marRight w:val="0"/>
          <w:marTop w:val="0"/>
          <w:marBottom w:val="0"/>
          <w:divBdr>
            <w:top w:val="none" w:sz="0" w:space="0" w:color="auto"/>
            <w:left w:val="none" w:sz="0" w:space="0" w:color="auto"/>
            <w:bottom w:val="none" w:sz="0" w:space="0" w:color="auto"/>
            <w:right w:val="none" w:sz="0" w:space="0" w:color="auto"/>
          </w:divBdr>
          <w:divsChild>
            <w:div w:id="1646080523">
              <w:marLeft w:val="0"/>
              <w:marRight w:val="0"/>
              <w:marTop w:val="0"/>
              <w:marBottom w:val="0"/>
              <w:divBdr>
                <w:top w:val="none" w:sz="0" w:space="0" w:color="auto"/>
                <w:left w:val="none" w:sz="0" w:space="0" w:color="auto"/>
                <w:bottom w:val="none" w:sz="0" w:space="0" w:color="auto"/>
                <w:right w:val="none" w:sz="0" w:space="0" w:color="auto"/>
              </w:divBdr>
              <w:divsChild>
                <w:div w:id="1853831838">
                  <w:marLeft w:val="0"/>
                  <w:marRight w:val="0"/>
                  <w:marTop w:val="0"/>
                  <w:marBottom w:val="0"/>
                  <w:divBdr>
                    <w:top w:val="none" w:sz="0" w:space="0" w:color="auto"/>
                    <w:left w:val="none" w:sz="0" w:space="0" w:color="auto"/>
                    <w:bottom w:val="none" w:sz="0" w:space="0" w:color="auto"/>
                    <w:right w:val="none" w:sz="0" w:space="0" w:color="auto"/>
                  </w:divBdr>
                  <w:divsChild>
                    <w:div w:id="751312754">
                      <w:marLeft w:val="0"/>
                      <w:marRight w:val="0"/>
                      <w:marTop w:val="0"/>
                      <w:marBottom w:val="0"/>
                      <w:divBdr>
                        <w:top w:val="none" w:sz="0" w:space="0" w:color="auto"/>
                        <w:left w:val="none" w:sz="0" w:space="0" w:color="auto"/>
                        <w:bottom w:val="none" w:sz="0" w:space="0" w:color="auto"/>
                        <w:right w:val="none" w:sz="0" w:space="0" w:color="auto"/>
                      </w:divBdr>
                      <w:divsChild>
                        <w:div w:id="51511948">
                          <w:marLeft w:val="0"/>
                          <w:marRight w:val="0"/>
                          <w:marTop w:val="0"/>
                          <w:marBottom w:val="0"/>
                          <w:divBdr>
                            <w:top w:val="none" w:sz="0" w:space="0" w:color="auto"/>
                            <w:left w:val="none" w:sz="0" w:space="0" w:color="auto"/>
                            <w:bottom w:val="none" w:sz="0" w:space="0" w:color="auto"/>
                            <w:right w:val="none" w:sz="0" w:space="0" w:color="auto"/>
                          </w:divBdr>
                          <w:divsChild>
                            <w:div w:id="1243488638">
                              <w:marLeft w:val="0"/>
                              <w:marRight w:val="0"/>
                              <w:marTop w:val="0"/>
                              <w:marBottom w:val="0"/>
                              <w:divBdr>
                                <w:top w:val="none" w:sz="0" w:space="0" w:color="auto"/>
                                <w:left w:val="none" w:sz="0" w:space="0" w:color="auto"/>
                                <w:bottom w:val="none" w:sz="0" w:space="0" w:color="auto"/>
                                <w:right w:val="none" w:sz="0" w:space="0" w:color="auto"/>
                              </w:divBdr>
                              <w:divsChild>
                                <w:div w:id="9262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68183">
          <w:marLeft w:val="0"/>
          <w:marRight w:val="0"/>
          <w:marTop w:val="0"/>
          <w:marBottom w:val="0"/>
          <w:divBdr>
            <w:top w:val="none" w:sz="0" w:space="0" w:color="auto"/>
            <w:left w:val="none" w:sz="0" w:space="0" w:color="auto"/>
            <w:bottom w:val="none" w:sz="0" w:space="0" w:color="auto"/>
            <w:right w:val="none" w:sz="0" w:space="0" w:color="auto"/>
          </w:divBdr>
          <w:divsChild>
            <w:div w:id="99375500">
              <w:marLeft w:val="0"/>
              <w:marRight w:val="0"/>
              <w:marTop w:val="0"/>
              <w:marBottom w:val="0"/>
              <w:divBdr>
                <w:top w:val="none" w:sz="0" w:space="0" w:color="auto"/>
                <w:left w:val="none" w:sz="0" w:space="0" w:color="auto"/>
                <w:bottom w:val="none" w:sz="0" w:space="0" w:color="auto"/>
                <w:right w:val="none" w:sz="0" w:space="0" w:color="auto"/>
              </w:divBdr>
              <w:divsChild>
                <w:div w:id="1994337036">
                  <w:marLeft w:val="0"/>
                  <w:marRight w:val="0"/>
                  <w:marTop w:val="0"/>
                  <w:marBottom w:val="0"/>
                  <w:divBdr>
                    <w:top w:val="none" w:sz="0" w:space="0" w:color="auto"/>
                    <w:left w:val="none" w:sz="0" w:space="0" w:color="auto"/>
                    <w:bottom w:val="none" w:sz="0" w:space="0" w:color="auto"/>
                    <w:right w:val="none" w:sz="0" w:space="0" w:color="auto"/>
                  </w:divBdr>
                  <w:divsChild>
                    <w:div w:id="226496112">
                      <w:marLeft w:val="0"/>
                      <w:marRight w:val="0"/>
                      <w:marTop w:val="0"/>
                      <w:marBottom w:val="0"/>
                      <w:divBdr>
                        <w:top w:val="none" w:sz="0" w:space="0" w:color="auto"/>
                        <w:left w:val="none" w:sz="0" w:space="0" w:color="auto"/>
                        <w:bottom w:val="none" w:sz="0" w:space="0" w:color="auto"/>
                        <w:right w:val="none" w:sz="0" w:space="0" w:color="auto"/>
                      </w:divBdr>
                      <w:divsChild>
                        <w:div w:id="21632889">
                          <w:marLeft w:val="0"/>
                          <w:marRight w:val="0"/>
                          <w:marTop w:val="0"/>
                          <w:marBottom w:val="0"/>
                          <w:divBdr>
                            <w:top w:val="none" w:sz="0" w:space="0" w:color="auto"/>
                            <w:left w:val="none" w:sz="0" w:space="0" w:color="auto"/>
                            <w:bottom w:val="none" w:sz="0" w:space="0" w:color="auto"/>
                            <w:right w:val="none" w:sz="0" w:space="0" w:color="auto"/>
                          </w:divBdr>
                          <w:divsChild>
                            <w:div w:id="1671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227601">
          <w:marLeft w:val="0"/>
          <w:marRight w:val="0"/>
          <w:marTop w:val="0"/>
          <w:marBottom w:val="0"/>
          <w:divBdr>
            <w:top w:val="none" w:sz="0" w:space="0" w:color="auto"/>
            <w:left w:val="none" w:sz="0" w:space="0" w:color="auto"/>
            <w:bottom w:val="none" w:sz="0" w:space="0" w:color="auto"/>
            <w:right w:val="none" w:sz="0" w:space="0" w:color="auto"/>
          </w:divBdr>
          <w:divsChild>
            <w:div w:id="12613062">
              <w:marLeft w:val="0"/>
              <w:marRight w:val="0"/>
              <w:marTop w:val="0"/>
              <w:marBottom w:val="0"/>
              <w:divBdr>
                <w:top w:val="none" w:sz="0" w:space="0" w:color="auto"/>
                <w:left w:val="none" w:sz="0" w:space="0" w:color="auto"/>
                <w:bottom w:val="none" w:sz="0" w:space="0" w:color="auto"/>
                <w:right w:val="none" w:sz="0" w:space="0" w:color="auto"/>
              </w:divBdr>
              <w:divsChild>
                <w:div w:id="1025592919">
                  <w:marLeft w:val="0"/>
                  <w:marRight w:val="0"/>
                  <w:marTop w:val="0"/>
                  <w:marBottom w:val="0"/>
                  <w:divBdr>
                    <w:top w:val="none" w:sz="0" w:space="0" w:color="auto"/>
                    <w:left w:val="none" w:sz="0" w:space="0" w:color="auto"/>
                    <w:bottom w:val="none" w:sz="0" w:space="0" w:color="auto"/>
                    <w:right w:val="none" w:sz="0" w:space="0" w:color="auto"/>
                  </w:divBdr>
                  <w:divsChild>
                    <w:div w:id="1884831119">
                      <w:marLeft w:val="0"/>
                      <w:marRight w:val="0"/>
                      <w:marTop w:val="0"/>
                      <w:marBottom w:val="0"/>
                      <w:divBdr>
                        <w:top w:val="none" w:sz="0" w:space="0" w:color="auto"/>
                        <w:left w:val="none" w:sz="0" w:space="0" w:color="auto"/>
                        <w:bottom w:val="none" w:sz="0" w:space="0" w:color="auto"/>
                        <w:right w:val="none" w:sz="0" w:space="0" w:color="auto"/>
                      </w:divBdr>
                      <w:divsChild>
                        <w:div w:id="1888102439">
                          <w:marLeft w:val="0"/>
                          <w:marRight w:val="0"/>
                          <w:marTop w:val="0"/>
                          <w:marBottom w:val="0"/>
                          <w:divBdr>
                            <w:top w:val="none" w:sz="0" w:space="0" w:color="auto"/>
                            <w:left w:val="none" w:sz="0" w:space="0" w:color="auto"/>
                            <w:bottom w:val="none" w:sz="0" w:space="0" w:color="auto"/>
                            <w:right w:val="none" w:sz="0" w:space="0" w:color="auto"/>
                          </w:divBdr>
                          <w:divsChild>
                            <w:div w:id="7263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622104">
          <w:marLeft w:val="0"/>
          <w:marRight w:val="0"/>
          <w:marTop w:val="0"/>
          <w:marBottom w:val="0"/>
          <w:divBdr>
            <w:top w:val="none" w:sz="0" w:space="0" w:color="auto"/>
            <w:left w:val="none" w:sz="0" w:space="0" w:color="auto"/>
            <w:bottom w:val="none" w:sz="0" w:space="0" w:color="auto"/>
            <w:right w:val="none" w:sz="0" w:space="0" w:color="auto"/>
          </w:divBdr>
          <w:divsChild>
            <w:div w:id="1401517364">
              <w:marLeft w:val="0"/>
              <w:marRight w:val="0"/>
              <w:marTop w:val="0"/>
              <w:marBottom w:val="0"/>
              <w:divBdr>
                <w:top w:val="none" w:sz="0" w:space="0" w:color="auto"/>
                <w:left w:val="none" w:sz="0" w:space="0" w:color="auto"/>
                <w:bottom w:val="none" w:sz="0" w:space="0" w:color="auto"/>
                <w:right w:val="none" w:sz="0" w:space="0" w:color="auto"/>
              </w:divBdr>
              <w:divsChild>
                <w:div w:id="153300854">
                  <w:marLeft w:val="0"/>
                  <w:marRight w:val="0"/>
                  <w:marTop w:val="0"/>
                  <w:marBottom w:val="0"/>
                  <w:divBdr>
                    <w:top w:val="none" w:sz="0" w:space="0" w:color="auto"/>
                    <w:left w:val="none" w:sz="0" w:space="0" w:color="auto"/>
                    <w:bottom w:val="none" w:sz="0" w:space="0" w:color="auto"/>
                    <w:right w:val="none" w:sz="0" w:space="0" w:color="auto"/>
                  </w:divBdr>
                  <w:divsChild>
                    <w:div w:id="1486386494">
                      <w:marLeft w:val="0"/>
                      <w:marRight w:val="0"/>
                      <w:marTop w:val="0"/>
                      <w:marBottom w:val="0"/>
                      <w:divBdr>
                        <w:top w:val="none" w:sz="0" w:space="0" w:color="auto"/>
                        <w:left w:val="none" w:sz="0" w:space="0" w:color="auto"/>
                        <w:bottom w:val="none" w:sz="0" w:space="0" w:color="auto"/>
                        <w:right w:val="none" w:sz="0" w:space="0" w:color="auto"/>
                      </w:divBdr>
                      <w:divsChild>
                        <w:div w:id="1685134383">
                          <w:marLeft w:val="0"/>
                          <w:marRight w:val="0"/>
                          <w:marTop w:val="0"/>
                          <w:marBottom w:val="0"/>
                          <w:divBdr>
                            <w:top w:val="none" w:sz="0" w:space="0" w:color="auto"/>
                            <w:left w:val="none" w:sz="0" w:space="0" w:color="auto"/>
                            <w:bottom w:val="none" w:sz="0" w:space="0" w:color="auto"/>
                            <w:right w:val="none" w:sz="0" w:space="0" w:color="auto"/>
                          </w:divBdr>
                          <w:divsChild>
                            <w:div w:id="9037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129188">
          <w:marLeft w:val="0"/>
          <w:marRight w:val="0"/>
          <w:marTop w:val="0"/>
          <w:marBottom w:val="0"/>
          <w:divBdr>
            <w:top w:val="none" w:sz="0" w:space="0" w:color="auto"/>
            <w:left w:val="none" w:sz="0" w:space="0" w:color="auto"/>
            <w:bottom w:val="none" w:sz="0" w:space="0" w:color="auto"/>
            <w:right w:val="none" w:sz="0" w:space="0" w:color="auto"/>
          </w:divBdr>
          <w:divsChild>
            <w:div w:id="891161704">
              <w:marLeft w:val="0"/>
              <w:marRight w:val="0"/>
              <w:marTop w:val="0"/>
              <w:marBottom w:val="0"/>
              <w:divBdr>
                <w:top w:val="none" w:sz="0" w:space="0" w:color="auto"/>
                <w:left w:val="none" w:sz="0" w:space="0" w:color="auto"/>
                <w:bottom w:val="none" w:sz="0" w:space="0" w:color="auto"/>
                <w:right w:val="none" w:sz="0" w:space="0" w:color="auto"/>
              </w:divBdr>
              <w:divsChild>
                <w:div w:id="1911036431">
                  <w:marLeft w:val="0"/>
                  <w:marRight w:val="0"/>
                  <w:marTop w:val="0"/>
                  <w:marBottom w:val="0"/>
                  <w:divBdr>
                    <w:top w:val="none" w:sz="0" w:space="0" w:color="auto"/>
                    <w:left w:val="none" w:sz="0" w:space="0" w:color="auto"/>
                    <w:bottom w:val="none" w:sz="0" w:space="0" w:color="auto"/>
                    <w:right w:val="none" w:sz="0" w:space="0" w:color="auto"/>
                  </w:divBdr>
                  <w:divsChild>
                    <w:div w:id="484782240">
                      <w:marLeft w:val="0"/>
                      <w:marRight w:val="0"/>
                      <w:marTop w:val="0"/>
                      <w:marBottom w:val="0"/>
                      <w:divBdr>
                        <w:top w:val="none" w:sz="0" w:space="0" w:color="auto"/>
                        <w:left w:val="none" w:sz="0" w:space="0" w:color="auto"/>
                        <w:bottom w:val="none" w:sz="0" w:space="0" w:color="auto"/>
                        <w:right w:val="none" w:sz="0" w:space="0" w:color="auto"/>
                      </w:divBdr>
                      <w:divsChild>
                        <w:div w:id="1768236766">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3596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082927">
          <w:marLeft w:val="0"/>
          <w:marRight w:val="0"/>
          <w:marTop w:val="0"/>
          <w:marBottom w:val="0"/>
          <w:divBdr>
            <w:top w:val="none" w:sz="0" w:space="0" w:color="auto"/>
            <w:left w:val="none" w:sz="0" w:space="0" w:color="auto"/>
            <w:bottom w:val="none" w:sz="0" w:space="0" w:color="auto"/>
            <w:right w:val="none" w:sz="0" w:space="0" w:color="auto"/>
          </w:divBdr>
          <w:divsChild>
            <w:div w:id="1282607625">
              <w:marLeft w:val="0"/>
              <w:marRight w:val="0"/>
              <w:marTop w:val="0"/>
              <w:marBottom w:val="0"/>
              <w:divBdr>
                <w:top w:val="none" w:sz="0" w:space="0" w:color="auto"/>
                <w:left w:val="none" w:sz="0" w:space="0" w:color="auto"/>
                <w:bottom w:val="none" w:sz="0" w:space="0" w:color="auto"/>
                <w:right w:val="none" w:sz="0" w:space="0" w:color="auto"/>
              </w:divBdr>
              <w:divsChild>
                <w:div w:id="874583063">
                  <w:marLeft w:val="0"/>
                  <w:marRight w:val="0"/>
                  <w:marTop w:val="0"/>
                  <w:marBottom w:val="0"/>
                  <w:divBdr>
                    <w:top w:val="none" w:sz="0" w:space="0" w:color="auto"/>
                    <w:left w:val="none" w:sz="0" w:space="0" w:color="auto"/>
                    <w:bottom w:val="none" w:sz="0" w:space="0" w:color="auto"/>
                    <w:right w:val="none" w:sz="0" w:space="0" w:color="auto"/>
                  </w:divBdr>
                  <w:divsChild>
                    <w:div w:id="1937515721">
                      <w:marLeft w:val="0"/>
                      <w:marRight w:val="0"/>
                      <w:marTop w:val="0"/>
                      <w:marBottom w:val="0"/>
                      <w:divBdr>
                        <w:top w:val="none" w:sz="0" w:space="0" w:color="auto"/>
                        <w:left w:val="none" w:sz="0" w:space="0" w:color="auto"/>
                        <w:bottom w:val="none" w:sz="0" w:space="0" w:color="auto"/>
                        <w:right w:val="none" w:sz="0" w:space="0" w:color="auto"/>
                      </w:divBdr>
                      <w:divsChild>
                        <w:div w:id="483206760">
                          <w:marLeft w:val="0"/>
                          <w:marRight w:val="0"/>
                          <w:marTop w:val="0"/>
                          <w:marBottom w:val="0"/>
                          <w:divBdr>
                            <w:top w:val="none" w:sz="0" w:space="0" w:color="auto"/>
                            <w:left w:val="none" w:sz="0" w:space="0" w:color="auto"/>
                            <w:bottom w:val="none" w:sz="0" w:space="0" w:color="auto"/>
                            <w:right w:val="none" w:sz="0" w:space="0" w:color="auto"/>
                          </w:divBdr>
                          <w:divsChild>
                            <w:div w:id="2122600307">
                              <w:marLeft w:val="0"/>
                              <w:marRight w:val="0"/>
                              <w:marTop w:val="0"/>
                              <w:marBottom w:val="0"/>
                              <w:divBdr>
                                <w:top w:val="none" w:sz="0" w:space="0" w:color="auto"/>
                                <w:left w:val="none" w:sz="0" w:space="0" w:color="auto"/>
                                <w:bottom w:val="none" w:sz="0" w:space="0" w:color="auto"/>
                                <w:right w:val="none" w:sz="0" w:space="0" w:color="auto"/>
                              </w:divBdr>
                              <w:divsChild>
                                <w:div w:id="8011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35657">
      <w:bodyDiv w:val="1"/>
      <w:marLeft w:val="0"/>
      <w:marRight w:val="0"/>
      <w:marTop w:val="0"/>
      <w:marBottom w:val="0"/>
      <w:divBdr>
        <w:top w:val="none" w:sz="0" w:space="0" w:color="auto"/>
        <w:left w:val="none" w:sz="0" w:space="0" w:color="auto"/>
        <w:bottom w:val="none" w:sz="0" w:space="0" w:color="auto"/>
        <w:right w:val="none" w:sz="0" w:space="0" w:color="auto"/>
      </w:divBdr>
    </w:div>
    <w:div w:id="2079404762">
      <w:bodyDiv w:val="1"/>
      <w:marLeft w:val="0"/>
      <w:marRight w:val="0"/>
      <w:marTop w:val="0"/>
      <w:marBottom w:val="0"/>
      <w:divBdr>
        <w:top w:val="none" w:sz="0" w:space="0" w:color="auto"/>
        <w:left w:val="none" w:sz="0" w:space="0" w:color="auto"/>
        <w:bottom w:val="none" w:sz="0" w:space="0" w:color="auto"/>
        <w:right w:val="none" w:sz="0" w:space="0" w:color="auto"/>
      </w:divBdr>
      <w:divsChild>
        <w:div w:id="1148862028">
          <w:marLeft w:val="0"/>
          <w:marRight w:val="0"/>
          <w:marTop w:val="0"/>
          <w:marBottom w:val="0"/>
          <w:divBdr>
            <w:top w:val="none" w:sz="0" w:space="0" w:color="auto"/>
            <w:left w:val="none" w:sz="0" w:space="0" w:color="auto"/>
            <w:bottom w:val="none" w:sz="0" w:space="0" w:color="auto"/>
            <w:right w:val="none" w:sz="0" w:space="0" w:color="auto"/>
          </w:divBdr>
          <w:divsChild>
            <w:div w:id="1829862530">
              <w:marLeft w:val="0"/>
              <w:marRight w:val="0"/>
              <w:marTop w:val="0"/>
              <w:marBottom w:val="0"/>
              <w:divBdr>
                <w:top w:val="none" w:sz="0" w:space="0" w:color="auto"/>
                <w:left w:val="none" w:sz="0" w:space="0" w:color="auto"/>
                <w:bottom w:val="none" w:sz="0" w:space="0" w:color="auto"/>
                <w:right w:val="none" w:sz="0" w:space="0" w:color="auto"/>
              </w:divBdr>
              <w:divsChild>
                <w:div w:id="1828091475">
                  <w:marLeft w:val="0"/>
                  <w:marRight w:val="0"/>
                  <w:marTop w:val="0"/>
                  <w:marBottom w:val="0"/>
                  <w:divBdr>
                    <w:top w:val="none" w:sz="0" w:space="0" w:color="auto"/>
                    <w:left w:val="none" w:sz="0" w:space="0" w:color="auto"/>
                    <w:bottom w:val="none" w:sz="0" w:space="0" w:color="auto"/>
                    <w:right w:val="none" w:sz="0" w:space="0" w:color="auto"/>
                  </w:divBdr>
                  <w:divsChild>
                    <w:div w:id="2085644241">
                      <w:marLeft w:val="0"/>
                      <w:marRight w:val="0"/>
                      <w:marTop w:val="0"/>
                      <w:marBottom w:val="0"/>
                      <w:divBdr>
                        <w:top w:val="none" w:sz="0" w:space="0" w:color="auto"/>
                        <w:left w:val="none" w:sz="0" w:space="0" w:color="auto"/>
                        <w:bottom w:val="none" w:sz="0" w:space="0" w:color="auto"/>
                        <w:right w:val="none" w:sz="0" w:space="0" w:color="auto"/>
                      </w:divBdr>
                      <w:divsChild>
                        <w:div w:id="1738091780">
                          <w:marLeft w:val="0"/>
                          <w:marRight w:val="0"/>
                          <w:marTop w:val="0"/>
                          <w:marBottom w:val="0"/>
                          <w:divBdr>
                            <w:top w:val="none" w:sz="0" w:space="0" w:color="auto"/>
                            <w:left w:val="none" w:sz="0" w:space="0" w:color="auto"/>
                            <w:bottom w:val="none" w:sz="0" w:space="0" w:color="auto"/>
                            <w:right w:val="none" w:sz="0" w:space="0" w:color="auto"/>
                          </w:divBdr>
                          <w:divsChild>
                            <w:div w:id="1487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8812">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09765030">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2994337">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 w:id="2132044203">
      <w:bodyDiv w:val="1"/>
      <w:marLeft w:val="0"/>
      <w:marRight w:val="0"/>
      <w:marTop w:val="0"/>
      <w:marBottom w:val="0"/>
      <w:divBdr>
        <w:top w:val="none" w:sz="0" w:space="0" w:color="auto"/>
        <w:left w:val="none" w:sz="0" w:space="0" w:color="auto"/>
        <w:bottom w:val="none" w:sz="0" w:space="0" w:color="auto"/>
        <w:right w:val="none" w:sz="0" w:space="0" w:color="auto"/>
      </w:divBdr>
    </w:div>
    <w:div w:id="21352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microsoft.com/office/2014/relationships/chartEx" Target="charts/chartEx1.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image" Target="media/image6.png"/><Relationship Id="rId50" Type="http://schemas.openxmlformats.org/officeDocument/2006/relationships/chart" Target="charts/chart3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chart" Target="charts/chart19.xml"/><Relationship Id="rId38" Type="http://schemas.openxmlformats.org/officeDocument/2006/relationships/chart" Target="charts/chart24.xml"/><Relationship Id="rId46" Type="http://schemas.microsoft.com/office/2014/relationships/chartEx" Target="charts/chartEx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4/relationships/chartEx" Target="charts/chartEx2.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2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image" Target="media/image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microsoft.com/office/2014/relationships/chartEx" Target="charts/chartEx3.xml"/><Relationship Id="rId48" Type="http://schemas.microsoft.com/office/2014/relationships/chartEx" Target="charts/chartEx5.xml"/><Relationship Id="rId8" Type="http://schemas.openxmlformats.org/officeDocument/2006/relationships/image" Target="media/image1.jpeg"/><Relationship Id="rId51" Type="http://schemas.openxmlformats.org/officeDocument/2006/relationships/chart" Target="charts/chart3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nazmije.g.krasniqi\Desktop\Copy%20of%20tabela%20te%20dhenat%20nga%20komunat%202025%20majlinda%2008%20Prill%202026.xlsx" TargetMode="External"/></Relationships>
</file>

<file path=word/charts/_rels/chart1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2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8.xlsx"/></Relationships>
</file>

<file path=word/charts/_rels/chart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Style" Target="style80.xml"/><Relationship Id="rId2" Type="http://schemas.openxmlformats.org/officeDocument/2006/relationships/image" Target="../media/image20.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80.xml"/></Relationships>
</file>

<file path=word/charts/_rels/chartEx2.xml.rels><?xml version="1.0" encoding="UTF-8" standalone="yes"?>
<Relationships xmlns="http://schemas.openxmlformats.org/package/2006/relationships"><Relationship Id="rId3" Type="http://schemas.microsoft.com/office/2011/relationships/chartStyle" Target="style130.xml"/><Relationship Id="rId2" Type="http://schemas.openxmlformats.org/officeDocument/2006/relationships/image" Target="../media/image20.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5" Type="http://schemas.openxmlformats.org/officeDocument/2006/relationships/themeOverride" Target="../theme/themeOverride1.xml"/><Relationship Id="rId4" Type="http://schemas.microsoft.com/office/2011/relationships/chartColorStyle" Target="colors130.xml"/></Relationships>
</file>

<file path=word/charts/_rels/chartEx3.xml.rels><?xml version="1.0" encoding="UTF-8" standalone="yes"?>
<Relationships xmlns="http://schemas.openxmlformats.org/package/2006/relationships"><Relationship Id="rId3" Type="http://schemas.microsoft.com/office/2011/relationships/chartStyle" Target="style310.xml"/><Relationship Id="rId2" Type="http://schemas.openxmlformats.org/officeDocument/2006/relationships/image" Target="../media/image20.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10.xml"/></Relationships>
</file>

<file path=word/charts/_rels/chartEx4.xml.rels><?xml version="1.0" encoding="UTF-8" standalone="yes"?>
<Relationships xmlns="http://schemas.openxmlformats.org/package/2006/relationships"><Relationship Id="rId3" Type="http://schemas.microsoft.com/office/2011/relationships/chartStyle" Target="style33.xml"/><Relationship Id="rId2" Type="http://schemas.openxmlformats.org/officeDocument/2006/relationships/image" Target="../media/image20.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3.xml"/></Relationships>
</file>

<file path=word/charts/_rels/chartEx5.xml.rels><?xml version="1.0" encoding="UTF-8" standalone="yes"?>
<Relationships xmlns="http://schemas.openxmlformats.org/package/2006/relationships"><Relationship Id="rId3" Type="http://schemas.microsoft.com/office/2011/relationships/chartStyle" Target="style34.xml"/><Relationship Id="rId2" Type="http://schemas.openxmlformats.org/officeDocument/2006/relationships/image" Target="../media/image20.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'!$J$7</c:f>
              <c:strCache>
                <c:ptCount val="1"/>
                <c:pt idx="0">
                  <c:v>Njoftimi për mbledhjet e Kuvendit të  Komunave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'!$I$8:$I$45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'!$J$8:$J$45</c:f>
              <c:numCache>
                <c:formatCode>General</c:formatCode>
                <c:ptCount val="38"/>
                <c:pt idx="0">
                  <c:v>14</c:v>
                </c:pt>
                <c:pt idx="1">
                  <c:v>11</c:v>
                </c:pt>
                <c:pt idx="2">
                  <c:v>9</c:v>
                </c:pt>
                <c:pt idx="3">
                  <c:v>10</c:v>
                </c:pt>
                <c:pt idx="4">
                  <c:v>20</c:v>
                </c:pt>
                <c:pt idx="5">
                  <c:v>14</c:v>
                </c:pt>
                <c:pt idx="6">
                  <c:v>14</c:v>
                </c:pt>
                <c:pt idx="7">
                  <c:v>9</c:v>
                </c:pt>
                <c:pt idx="8">
                  <c:v>10</c:v>
                </c:pt>
                <c:pt idx="9">
                  <c:v>12</c:v>
                </c:pt>
                <c:pt idx="10">
                  <c:v>12</c:v>
                </c:pt>
                <c:pt idx="11">
                  <c:v>14</c:v>
                </c:pt>
                <c:pt idx="12">
                  <c:v>13</c:v>
                </c:pt>
                <c:pt idx="13">
                  <c:v>1</c:v>
                </c:pt>
                <c:pt idx="14">
                  <c:v>9</c:v>
                </c:pt>
                <c:pt idx="15">
                  <c:v>11</c:v>
                </c:pt>
                <c:pt idx="16">
                  <c:v>7</c:v>
                </c:pt>
                <c:pt idx="17">
                  <c:v>4</c:v>
                </c:pt>
                <c:pt idx="18">
                  <c:v>18</c:v>
                </c:pt>
                <c:pt idx="19">
                  <c:v>3</c:v>
                </c:pt>
                <c:pt idx="20">
                  <c:v>9</c:v>
                </c:pt>
                <c:pt idx="21">
                  <c:v>12</c:v>
                </c:pt>
                <c:pt idx="22">
                  <c:v>26</c:v>
                </c:pt>
                <c:pt idx="23">
                  <c:v>13</c:v>
                </c:pt>
                <c:pt idx="24">
                  <c:v>13</c:v>
                </c:pt>
                <c:pt idx="25">
                  <c:v>0</c:v>
                </c:pt>
                <c:pt idx="26">
                  <c:v>15</c:v>
                </c:pt>
                <c:pt idx="27">
                  <c:v>0</c:v>
                </c:pt>
                <c:pt idx="28">
                  <c:v>9</c:v>
                </c:pt>
                <c:pt idx="29">
                  <c:v>10</c:v>
                </c:pt>
                <c:pt idx="30">
                  <c:v>15</c:v>
                </c:pt>
                <c:pt idx="31">
                  <c:v>14</c:v>
                </c:pt>
                <c:pt idx="32">
                  <c:v>0</c:v>
                </c:pt>
                <c:pt idx="33">
                  <c:v>0</c:v>
                </c:pt>
                <c:pt idx="34">
                  <c:v>0</c:v>
                </c:pt>
                <c:pt idx="35">
                  <c:v>3</c:v>
                </c:pt>
                <c:pt idx="36">
                  <c:v>3</c:v>
                </c:pt>
                <c:pt idx="37">
                  <c:v>16</c:v>
                </c:pt>
              </c:numCache>
            </c:numRef>
          </c:val>
          <c:extLst xmlns:c16r2="http://schemas.microsoft.com/office/drawing/2015/06/chart">
            <c:ext xmlns:c16="http://schemas.microsoft.com/office/drawing/2014/chart" uri="{C3380CC4-5D6E-409C-BE32-E72D297353CC}">
              <c16:uniqueId val="{00000000-C733-4824-82F0-7447F56BECA4}"/>
            </c:ext>
          </c:extLst>
        </c:ser>
        <c:dLbls>
          <c:showLegendKey val="0"/>
          <c:showVal val="1"/>
          <c:showCatName val="0"/>
          <c:showSerName val="0"/>
          <c:showPercent val="0"/>
          <c:showBubbleSize val="0"/>
        </c:dLbls>
        <c:gapWidth val="150"/>
        <c:overlap val="-25"/>
        <c:axId val="548975160"/>
        <c:axId val="548975552"/>
      </c:barChart>
      <c:catAx>
        <c:axId val="54897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sq-AL"/>
          </a:p>
        </c:txPr>
        <c:crossAx val="548975552"/>
        <c:crosses val="autoZero"/>
        <c:auto val="1"/>
        <c:lblAlgn val="ctr"/>
        <c:lblOffset val="100"/>
        <c:noMultiLvlLbl val="0"/>
      </c:catAx>
      <c:valAx>
        <c:axId val="548975552"/>
        <c:scaling>
          <c:orientation val="minMax"/>
        </c:scaling>
        <c:delete val="1"/>
        <c:axPos val="l"/>
        <c:numFmt formatCode="General" sourceLinked="1"/>
        <c:majorTickMark val="none"/>
        <c:minorTickMark val="none"/>
        <c:tickLblPos val="nextTo"/>
        <c:crossAx val="548975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28803716608595E-2"/>
          <c:y val="0.12377859709929169"/>
          <c:w val="0.95354239256678286"/>
          <c:h val="0.52763535281871154"/>
        </c:manualLayout>
      </c:layout>
      <c:bar3DChart>
        <c:barDir val="col"/>
        <c:grouping val="stacked"/>
        <c:varyColors val="0"/>
        <c:ser>
          <c:idx val="0"/>
          <c:order val="0"/>
          <c:tx>
            <c:strRef>
              <c:f>'PUBLIKIMI K.K PLANET STRATEGJIK'!$W$8</c:f>
              <c:strCache>
                <c:ptCount val="1"/>
                <c:pt idx="0">
                  <c:v>Planet dhe dokumente strategjike</c:v>
                </c:pt>
              </c:strCache>
            </c:strRef>
          </c:tx>
          <c:spPr>
            <a:solidFill>
              <a:schemeClr val="accent1"/>
            </a:solidFill>
            <a:ln>
              <a:noFill/>
            </a:ln>
            <a:effectLst/>
            <a:sp3d/>
          </c:spPr>
          <c:invertIfNegative val="0"/>
          <c:dLbls>
            <c:dLbl>
              <c:idx val="0"/>
              <c:layout>
                <c:manualLayout>
                  <c:x val="1.0558547143912998E-2"/>
                  <c:y val="-9.4534711964549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FC-4105-B9ED-4F9C5C56D70D}"/>
                </c:ext>
                <c:ext xmlns:c15="http://schemas.microsoft.com/office/drawing/2012/chart" uri="{CE6537A1-D6FC-4f65-9D91-7224C49458BB}"/>
              </c:extLst>
            </c:dLbl>
            <c:dLbl>
              <c:idx val="1"/>
              <c:layout>
                <c:manualLayout>
                  <c:x val="6.3351282863477985E-3"/>
                  <c:y val="-0.135893648449039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FC-4105-B9ED-4F9C5C56D70D}"/>
                </c:ext>
                <c:ext xmlns:c15="http://schemas.microsoft.com/office/drawing/2012/chart" uri="{CE6537A1-D6FC-4f65-9D91-7224C49458BB}"/>
              </c:extLst>
            </c:dLbl>
            <c:dLbl>
              <c:idx val="2"/>
              <c:layout>
                <c:manualLayout>
                  <c:x val="7.3909830007390775E-3"/>
                  <c:y val="-0.153618906942392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7FC-4105-B9ED-4F9C5C56D70D}"/>
                </c:ext>
                <c:ext xmlns:c15="http://schemas.microsoft.com/office/drawing/2012/chart" uri="{CE6537A1-D6FC-4f65-9D91-7224C49458BB}"/>
              </c:extLst>
            </c:dLbl>
            <c:dLbl>
              <c:idx val="3"/>
              <c:layout>
                <c:manualLayout>
                  <c:x val="-1.935711281548811E-17"/>
                  <c:y val="-6.4992614475627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FC-4105-B9ED-4F9C5C56D70D}"/>
                </c:ext>
                <c:ext xmlns:c15="http://schemas.microsoft.com/office/drawing/2012/chart" uri="{CE6537A1-D6FC-4f65-9D91-7224C49458BB}"/>
              </c:extLst>
            </c:dLbl>
            <c:dLbl>
              <c:idx val="4"/>
              <c:layout>
                <c:manualLayout>
                  <c:x val="8.446837715130398E-3"/>
                  <c:y val="-0.12407680945347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7FC-4105-B9ED-4F9C5C56D70D}"/>
                </c:ext>
                <c:ext xmlns:c15="http://schemas.microsoft.com/office/drawing/2012/chart" uri="{CE6537A1-D6FC-4f65-9D91-7224C49458BB}"/>
              </c:extLst>
            </c:dLbl>
            <c:dLbl>
              <c:idx val="5"/>
              <c:layout>
                <c:manualLayout>
                  <c:x val="1.2670256572695597E-2"/>
                  <c:y val="-0.212703101920236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FC-4105-B9ED-4F9C5C56D70D}"/>
                </c:ext>
                <c:ext xmlns:c15="http://schemas.microsoft.com/office/drawing/2012/chart" uri="{CE6537A1-D6FC-4f65-9D91-7224C49458BB}"/>
              </c:extLst>
            </c:dLbl>
            <c:dLbl>
              <c:idx val="6"/>
              <c:layout>
                <c:manualLayout>
                  <c:x val="0"/>
                  <c:y val="-4.7267355982274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7FC-4105-B9ED-4F9C5C56D70D}"/>
                </c:ext>
                <c:ext xmlns:c15="http://schemas.microsoft.com/office/drawing/2012/chart" uri="{CE6537A1-D6FC-4f65-9D91-7224C49458BB}"/>
              </c:extLst>
            </c:dLbl>
            <c:dLbl>
              <c:idx val="7"/>
              <c:layout>
                <c:manualLayout>
                  <c:x val="4.22341885756516E-3"/>
                  <c:y val="-8.862629246676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7FC-4105-B9ED-4F9C5C56D70D}"/>
                </c:ext>
                <c:ext xmlns:c15="http://schemas.microsoft.com/office/drawing/2012/chart" uri="{CE6537A1-D6FC-4f65-9D91-7224C49458BB}"/>
              </c:extLst>
            </c:dLbl>
            <c:dLbl>
              <c:idx val="8"/>
              <c:layout>
                <c:manualLayout>
                  <c:x val="6.3351282863477595E-3"/>
                  <c:y val="-0.16543574593796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FC-4105-B9ED-4F9C5C56D70D}"/>
                </c:ext>
                <c:ext xmlns:c15="http://schemas.microsoft.com/office/drawing/2012/chart" uri="{CE6537A1-D6FC-4f65-9D91-7224C49458BB}"/>
              </c:extLst>
            </c:dLbl>
            <c:dLbl>
              <c:idx val="9"/>
              <c:layout>
                <c:manualLayout>
                  <c:x val="2.1117094287825995E-3"/>
                  <c:y val="-0.12407680945347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7FC-4105-B9ED-4F9C5C56D70D}"/>
                </c:ext>
                <c:ext xmlns:c15="http://schemas.microsoft.com/office/drawing/2012/chart" uri="{CE6537A1-D6FC-4f65-9D91-7224C49458BB}"/>
              </c:extLst>
            </c:dLbl>
            <c:dLbl>
              <c:idx val="10"/>
              <c:layout>
                <c:manualLayout>
                  <c:x val="2.1117094287825995E-3"/>
                  <c:y val="-0.106351550960118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FC-4105-B9ED-4F9C5C56D70D}"/>
                </c:ext>
                <c:ext xmlns:c15="http://schemas.microsoft.com/office/drawing/2012/chart" uri="{CE6537A1-D6FC-4f65-9D91-7224C49458BB}"/>
              </c:extLst>
            </c:dLbl>
            <c:dLbl>
              <c:idx val="11"/>
              <c:layout>
                <c:manualLayout>
                  <c:x val="4.22341885756516E-3"/>
                  <c:y val="-0.147710487444608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FC-4105-B9ED-4F9C5C56D70D}"/>
                </c:ext>
                <c:ext xmlns:c15="http://schemas.microsoft.com/office/drawing/2012/chart" uri="{CE6537A1-D6FC-4f65-9D91-7224C49458BB}"/>
              </c:extLst>
            </c:dLbl>
            <c:dLbl>
              <c:idx val="13"/>
              <c:layout>
                <c:manualLayout>
                  <c:x val="0"/>
                  <c:y val="-0.147710487444608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FC-4105-B9ED-4F9C5C56D70D}"/>
                </c:ext>
                <c:ext xmlns:c15="http://schemas.microsoft.com/office/drawing/2012/chart" uri="{CE6537A1-D6FC-4f65-9D91-7224C49458BB}"/>
              </c:extLst>
            </c:dLbl>
            <c:dLbl>
              <c:idx val="14"/>
              <c:layout>
                <c:manualLayout>
                  <c:x val="-4.223418857565199E-3"/>
                  <c:y val="-0.183161004431314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FC-4105-B9ED-4F9C5C56D70D}"/>
                </c:ext>
                <c:ext xmlns:c15="http://schemas.microsoft.com/office/drawing/2012/chart" uri="{CE6537A1-D6FC-4f65-9D91-7224C49458BB}"/>
              </c:extLst>
            </c:dLbl>
            <c:dLbl>
              <c:idx val="15"/>
              <c:layout>
                <c:manualLayout>
                  <c:x val="6.3351282863477985E-3"/>
                  <c:y val="-0.129985228951255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FC-4105-B9ED-4F9C5C56D70D}"/>
                </c:ext>
                <c:ext xmlns:c15="http://schemas.microsoft.com/office/drawing/2012/chart" uri="{CE6537A1-D6FC-4f65-9D91-7224C49458BB}"/>
              </c:extLst>
            </c:dLbl>
            <c:dLbl>
              <c:idx val="16"/>
              <c:layout>
                <c:manualLayout>
                  <c:x val="-7.7428451261952442E-17"/>
                  <c:y val="-4.7267355982274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FC-4105-B9ED-4F9C5C56D70D}"/>
                </c:ext>
                <c:ext xmlns:c15="http://schemas.microsoft.com/office/drawing/2012/chart" uri="{CE6537A1-D6FC-4f65-9D91-7224C49458BB}"/>
              </c:extLst>
            </c:dLbl>
            <c:dLbl>
              <c:idx val="17"/>
              <c:layout>
                <c:manualLayout>
                  <c:x val="0"/>
                  <c:y val="-0.194977843426883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7FC-4105-B9ED-4F9C5C56D70D}"/>
                </c:ext>
                <c:ext xmlns:c15="http://schemas.microsoft.com/office/drawing/2012/chart" uri="{CE6537A1-D6FC-4f65-9D91-7224C49458BB}"/>
              </c:extLst>
            </c:dLbl>
            <c:dLbl>
              <c:idx val="19"/>
              <c:layout>
                <c:manualLayout>
                  <c:x val="0"/>
                  <c:y val="-5.90841949778434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7FC-4105-B9ED-4F9C5C56D70D}"/>
                </c:ext>
                <c:ext xmlns:c15="http://schemas.microsoft.com/office/drawing/2012/chart" uri="{CE6537A1-D6FC-4f65-9D91-7224C49458BB}"/>
              </c:extLst>
            </c:dLbl>
            <c:dLbl>
              <c:idx val="20"/>
              <c:layout>
                <c:manualLayout>
                  <c:x val="-4.2234188575652762E-3"/>
                  <c:y val="-0.147710487444608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7FC-4105-B9ED-4F9C5C56D70D}"/>
                </c:ext>
                <c:ext xmlns:c15="http://schemas.microsoft.com/office/drawing/2012/chart" uri="{CE6537A1-D6FC-4f65-9D91-7224C49458BB}"/>
              </c:extLst>
            </c:dLbl>
            <c:dLbl>
              <c:idx val="21"/>
              <c:layout>
                <c:manualLayout>
                  <c:x val="0"/>
                  <c:y val="-0.2067946824224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FC-4105-B9ED-4F9C5C56D70D}"/>
                </c:ext>
                <c:ext xmlns:c15="http://schemas.microsoft.com/office/drawing/2012/chart" uri="{CE6537A1-D6FC-4f65-9D91-7224C49458BB}"/>
              </c:extLst>
            </c:dLbl>
            <c:dLbl>
              <c:idx val="22"/>
              <c:layout>
                <c:manualLayout>
                  <c:x val="-6.3351282863478757E-3"/>
                  <c:y val="-7.68094534711965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7FC-4105-B9ED-4F9C5C56D70D}"/>
                </c:ext>
                <c:ext xmlns:c15="http://schemas.microsoft.com/office/drawing/2012/chart" uri="{CE6537A1-D6FC-4f65-9D91-7224C49458BB}"/>
              </c:extLst>
            </c:dLbl>
            <c:dLbl>
              <c:idx val="23"/>
              <c:layout>
                <c:manualLayout>
                  <c:x val="0"/>
                  <c:y val="-0.100443131462333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7FC-4105-B9ED-4F9C5C56D70D}"/>
                </c:ext>
                <c:ext xmlns:c15="http://schemas.microsoft.com/office/drawing/2012/chart" uri="{CE6537A1-D6FC-4f65-9D91-7224C49458BB}"/>
              </c:extLst>
            </c:dLbl>
            <c:dLbl>
              <c:idx val="24"/>
              <c:layout>
                <c:manualLayout>
                  <c:x val="1.4781966001478119E-2"/>
                  <c:y val="-0.129985228951255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7FC-4105-B9ED-4F9C5C56D70D}"/>
                </c:ext>
                <c:ext xmlns:c15="http://schemas.microsoft.com/office/drawing/2012/chart" uri="{CE6537A1-D6FC-4f65-9D91-7224C49458BB}"/>
              </c:extLst>
            </c:dLbl>
            <c:dLbl>
              <c:idx val="25"/>
              <c:layout>
                <c:manualLayout>
                  <c:x val="2.1117094287825995E-3"/>
                  <c:y val="-7.68094534711965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7FC-4105-B9ED-4F9C5C56D70D}"/>
                </c:ext>
                <c:ext xmlns:c15="http://schemas.microsoft.com/office/drawing/2012/chart" uri="{CE6537A1-D6FC-4f65-9D91-7224C49458BB}"/>
              </c:extLst>
            </c:dLbl>
            <c:dLbl>
              <c:idx val="26"/>
              <c:layout>
                <c:manualLayout>
                  <c:x val="-2.1117094287825995E-3"/>
                  <c:y val="-0.200886262924667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FC-4105-B9ED-4F9C5C56D70D}"/>
                </c:ext>
                <c:ext xmlns:c15="http://schemas.microsoft.com/office/drawing/2012/chart" uri="{CE6537A1-D6FC-4f65-9D91-7224C49458BB}"/>
              </c:extLst>
            </c:dLbl>
            <c:dLbl>
              <c:idx val="27"/>
              <c:layout>
                <c:manualLayout>
                  <c:x val="1.0558547143912998E-2"/>
                  <c:y val="-0.177252584933530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7FC-4105-B9ED-4F9C5C56D70D}"/>
                </c:ext>
                <c:ext xmlns:c15="http://schemas.microsoft.com/office/drawing/2012/chart" uri="{CE6537A1-D6FC-4f65-9D91-7224C49458BB}"/>
              </c:extLst>
            </c:dLbl>
            <c:dLbl>
              <c:idx val="28"/>
              <c:layout>
                <c:manualLayout>
                  <c:x val="1.0558547143913076E-2"/>
                  <c:y val="-0.124076809453471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FC-4105-B9ED-4F9C5C56D70D}"/>
                </c:ext>
                <c:ext xmlns:c15="http://schemas.microsoft.com/office/drawing/2012/chart" uri="{CE6537A1-D6FC-4f65-9D91-7224C49458BB}"/>
              </c:extLst>
            </c:dLbl>
            <c:dLbl>
              <c:idx val="29"/>
              <c:layout>
                <c:manualLayout>
                  <c:x val="6.3351282863477985E-3"/>
                  <c:y val="-0.100443131462333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7FC-4105-B9ED-4F9C5C56D70D}"/>
                </c:ext>
                <c:ext xmlns:c15="http://schemas.microsoft.com/office/drawing/2012/chart" uri="{CE6537A1-D6FC-4f65-9D91-7224C49458BB}"/>
              </c:extLst>
            </c:dLbl>
            <c:dLbl>
              <c:idx val="30"/>
              <c:layout>
                <c:manualLayout>
                  <c:x val="1.0558547143912998E-2"/>
                  <c:y val="-0.165435745937961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7FC-4105-B9ED-4F9C5C56D70D}"/>
                </c:ext>
                <c:ext xmlns:c15="http://schemas.microsoft.com/office/drawing/2012/chart" uri="{CE6537A1-D6FC-4f65-9D91-7224C49458BB}"/>
              </c:extLst>
            </c:dLbl>
            <c:dLbl>
              <c:idx val="31"/>
              <c:layout>
                <c:manualLayout>
                  <c:x val="1.2670256572695597E-2"/>
                  <c:y val="-0.177252584933530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FC-4105-B9ED-4F9C5C56D70D}"/>
                </c:ext>
                <c:ext xmlns:c15="http://schemas.microsoft.com/office/drawing/2012/chart" uri="{CE6537A1-D6FC-4f65-9D91-7224C49458BB}"/>
              </c:extLst>
            </c:dLbl>
            <c:dLbl>
              <c:idx val="32"/>
              <c:layout>
                <c:manualLayout>
                  <c:x val="1.6893675430260796E-2"/>
                  <c:y val="-0.118168389955686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7FC-4105-B9ED-4F9C5C56D70D}"/>
                </c:ext>
                <c:ext xmlns:c15="http://schemas.microsoft.com/office/drawing/2012/chart" uri="{CE6537A1-D6FC-4f65-9D91-7224C49458BB}"/>
              </c:extLst>
            </c:dLbl>
            <c:dLbl>
              <c:idx val="33"/>
              <c:layout>
                <c:manualLayout>
                  <c:x val="1.2670256572695597E-2"/>
                  <c:y val="-0.218611521418020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FC-4105-B9ED-4F9C5C56D70D}"/>
                </c:ext>
                <c:ext xmlns:c15="http://schemas.microsoft.com/office/drawing/2012/chart" uri="{CE6537A1-D6FC-4f65-9D91-7224C49458BB}"/>
              </c:extLst>
            </c:dLbl>
            <c:dLbl>
              <c:idx val="35"/>
              <c:layout>
                <c:manualLayout>
                  <c:x val="2.1117094287824447E-3"/>
                  <c:y val="-9.4534711964549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7FC-4105-B9ED-4F9C5C56D70D}"/>
                </c:ext>
                <c:ext xmlns:c15="http://schemas.microsoft.com/office/drawing/2012/chart" uri="{CE6537A1-D6FC-4f65-9D91-7224C49458BB}"/>
              </c:extLst>
            </c:dLbl>
            <c:dLbl>
              <c:idx val="36"/>
              <c:layout>
                <c:manualLayout>
                  <c:x val="4.223418857565199E-3"/>
                  <c:y val="-0.171344165435745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FC-4105-B9ED-4F9C5C56D7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STRATEGJIK'!$V$9:$V$48</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STRATEGJIK'!$W$9:$W$48</c:f>
              <c:numCache>
                <c:formatCode>General</c:formatCode>
                <c:ptCount val="40"/>
                <c:pt idx="0">
                  <c:v>0</c:v>
                </c:pt>
                <c:pt idx="1">
                  <c:v>0</c:v>
                </c:pt>
                <c:pt idx="2">
                  <c:v>0</c:v>
                </c:pt>
                <c:pt idx="3">
                  <c:v>1</c:v>
                </c:pt>
                <c:pt idx="4">
                  <c:v>1</c:v>
                </c:pt>
                <c:pt idx="5">
                  <c:v>1</c:v>
                </c:pt>
                <c:pt idx="6">
                  <c:v>1</c:v>
                </c:pt>
                <c:pt idx="7">
                  <c:v>2</c:v>
                </c:pt>
                <c:pt idx="8">
                  <c:v>2</c:v>
                </c:pt>
                <c:pt idx="9">
                  <c:v>0</c:v>
                </c:pt>
                <c:pt idx="10">
                  <c:v>0</c:v>
                </c:pt>
                <c:pt idx="11">
                  <c:v>1</c:v>
                </c:pt>
                <c:pt idx="12">
                  <c:v>1</c:v>
                </c:pt>
                <c:pt idx="13">
                  <c:v>0</c:v>
                </c:pt>
                <c:pt idx="14">
                  <c:v>3</c:v>
                </c:pt>
                <c:pt idx="15">
                  <c:v>1</c:v>
                </c:pt>
                <c:pt idx="16">
                  <c:v>1</c:v>
                </c:pt>
                <c:pt idx="17">
                  <c:v>1</c:v>
                </c:pt>
                <c:pt idx="18">
                  <c:v>6</c:v>
                </c:pt>
                <c:pt idx="19">
                  <c:v>0</c:v>
                </c:pt>
                <c:pt idx="20">
                  <c:v>0</c:v>
                </c:pt>
                <c:pt idx="21">
                  <c:v>3</c:v>
                </c:pt>
                <c:pt idx="22">
                  <c:v>0</c:v>
                </c:pt>
                <c:pt idx="23">
                  <c:v>5</c:v>
                </c:pt>
                <c:pt idx="24">
                  <c:v>2</c:v>
                </c:pt>
                <c:pt idx="25">
                  <c:v>0</c:v>
                </c:pt>
                <c:pt idx="26">
                  <c:v>0</c:v>
                </c:pt>
                <c:pt idx="27">
                  <c:v>0</c:v>
                </c:pt>
                <c:pt idx="28">
                  <c:v>2</c:v>
                </c:pt>
                <c:pt idx="29">
                  <c:v>0</c:v>
                </c:pt>
                <c:pt idx="30">
                  <c:v>2</c:v>
                </c:pt>
                <c:pt idx="31">
                  <c:v>2</c:v>
                </c:pt>
                <c:pt idx="32">
                  <c:v>0</c:v>
                </c:pt>
                <c:pt idx="33">
                  <c:v>0</c:v>
                </c:pt>
                <c:pt idx="34">
                  <c:v>0</c:v>
                </c:pt>
                <c:pt idx="35">
                  <c:v>0</c:v>
                </c:pt>
                <c:pt idx="36">
                  <c:v>0</c:v>
                </c:pt>
                <c:pt idx="37">
                  <c:v>0</c:v>
                </c:pt>
                <c:pt idx="38">
                  <c:v>19</c:v>
                </c:pt>
              </c:numCache>
            </c:numRef>
          </c:val>
          <c:extLst xmlns:c16r2="http://schemas.microsoft.com/office/drawing/2015/06/chart">
            <c:ext xmlns:c16="http://schemas.microsoft.com/office/drawing/2014/chart" uri="{C3380CC4-5D6E-409C-BE32-E72D297353CC}">
              <c16:uniqueId val="{00000000-E7FC-4105-B9ED-4F9C5C56D70D}"/>
            </c:ext>
          </c:extLst>
        </c:ser>
        <c:dLbls>
          <c:showLegendKey val="0"/>
          <c:showVal val="1"/>
          <c:showCatName val="0"/>
          <c:showSerName val="0"/>
          <c:showPercent val="0"/>
          <c:showBubbleSize val="0"/>
        </c:dLbls>
        <c:gapWidth val="95"/>
        <c:gapDepth val="95"/>
        <c:shape val="box"/>
        <c:axId val="554615464"/>
        <c:axId val="554611936"/>
        <c:axId val="0"/>
      </c:bar3DChart>
      <c:catAx>
        <c:axId val="554615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4611936"/>
        <c:crosses val="autoZero"/>
        <c:auto val="1"/>
        <c:lblAlgn val="ctr"/>
        <c:lblOffset val="100"/>
        <c:noMultiLvlLbl val="0"/>
      </c:catAx>
      <c:valAx>
        <c:axId val="554611936"/>
        <c:scaling>
          <c:orientation val="minMax"/>
        </c:scaling>
        <c:delete val="1"/>
        <c:axPos val="l"/>
        <c:numFmt formatCode="General" sourceLinked="1"/>
        <c:majorTickMark val="none"/>
        <c:minorTickMark val="none"/>
        <c:tickLblPos val="nextTo"/>
        <c:crossAx val="554615464"/>
        <c:crosses val="autoZero"/>
        <c:crossBetween val="between"/>
      </c:valAx>
      <c:spPr>
        <a:blipFill>
          <a:blip xmlns:r="http://schemas.openxmlformats.org/officeDocument/2006/relationships" r:embed="rId3"/>
          <a:tile tx="0" ty="0" sx="100000" sy="100000" flip="none" algn="tl"/>
        </a:blip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41813042600446E-2"/>
          <c:y val="0.16608859475387663"/>
          <c:w val="0.95519418424841362"/>
          <c:h val="0.54084171770195388"/>
        </c:manualLayout>
      </c:layout>
      <c:barChart>
        <c:barDir val="col"/>
        <c:grouping val="stacked"/>
        <c:varyColors val="0"/>
        <c:ser>
          <c:idx val="0"/>
          <c:order val="0"/>
          <c:tx>
            <c:strRef>
              <c:f>'PUBLIKIMI K.K PLANET STRATEGJIK'!$Z$8</c:f>
              <c:strCache>
                <c:ptCount val="1"/>
                <c:pt idx="0">
                  <c:v>Harta zonale </c:v>
                </c:pt>
              </c:strCache>
            </c:strRef>
          </c:tx>
          <c:spPr>
            <a:solidFill>
              <a:schemeClr val="accent1"/>
            </a:solidFill>
            <a:ln>
              <a:noFill/>
            </a:ln>
            <a:effectLst/>
          </c:spPr>
          <c:invertIfNegative val="0"/>
          <c:dLbls>
            <c:dLbl>
              <c:idx val="0"/>
              <c:layout>
                <c:manualLayout>
                  <c:x val="4.5146726862302479E-3"/>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03-4223-87C1-5AFCA48FB66B}"/>
                </c:ext>
                <c:ext xmlns:c15="http://schemas.microsoft.com/office/drawing/2012/chart" uri="{CE6537A1-D6FC-4f65-9D91-7224C49458BB}"/>
              </c:extLst>
            </c:dLbl>
            <c:dLbl>
              <c:idx val="2"/>
              <c:layout>
                <c:manualLayout>
                  <c:x val="3.0097817908201654E-3"/>
                  <c:y val="-0.152777777777777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03-4223-87C1-5AFCA48FB66B}"/>
                </c:ext>
                <c:ext xmlns:c15="http://schemas.microsoft.com/office/drawing/2012/chart" uri="{CE6537A1-D6FC-4f65-9D91-7224C49458BB}"/>
              </c:extLst>
            </c:dLbl>
            <c:dLbl>
              <c:idx val="3"/>
              <c:layout>
                <c:manualLayout>
                  <c:x val="9.029345372460482E-3"/>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03-4223-87C1-5AFCA48FB66B}"/>
                </c:ext>
                <c:ext xmlns:c15="http://schemas.microsoft.com/office/drawing/2012/chart" uri="{CE6537A1-D6FC-4f65-9D91-7224C49458BB}"/>
              </c:extLst>
            </c:dLbl>
            <c:dLbl>
              <c:idx val="4"/>
              <c:layout>
                <c:manualLayout>
                  <c:x val="2.4078254326561323E-2"/>
                  <c:y val="-0.28240740740740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03-4223-87C1-5AFCA48FB66B}"/>
                </c:ext>
                <c:ext xmlns:c15="http://schemas.microsoft.com/office/drawing/2012/chart" uri="{CE6537A1-D6FC-4f65-9D91-7224C49458BB}"/>
              </c:extLst>
            </c:dLbl>
            <c:dLbl>
              <c:idx val="5"/>
              <c:layout>
                <c:manualLayout>
                  <c:x val="6.0195635816403309E-3"/>
                  <c:y val="-0.10185185185185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03-4223-87C1-5AFCA48FB66B}"/>
                </c:ext>
                <c:ext xmlns:c15="http://schemas.microsoft.com/office/drawing/2012/chart" uri="{CE6537A1-D6FC-4f65-9D91-7224C49458BB}"/>
              </c:extLst>
            </c:dLbl>
            <c:dLbl>
              <c:idx val="6"/>
              <c:layout>
                <c:manualLayout>
                  <c:x val="4.514672686230221E-3"/>
                  <c:y val="-0.115740740740740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03-4223-87C1-5AFCA48FB66B}"/>
                </c:ext>
                <c:ext xmlns:c15="http://schemas.microsoft.com/office/drawing/2012/chart" uri="{CE6537A1-D6FC-4f65-9D91-7224C49458BB}"/>
              </c:extLst>
            </c:dLbl>
            <c:dLbl>
              <c:idx val="7"/>
              <c:layout>
                <c:manualLayout>
                  <c:x val="0"/>
                  <c:y val="-0.129629629629629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E03-4223-87C1-5AFCA48FB66B}"/>
                </c:ext>
                <c:ext xmlns:c15="http://schemas.microsoft.com/office/drawing/2012/chart" uri="{CE6537A1-D6FC-4f65-9D91-7224C49458BB}"/>
              </c:extLst>
            </c:dLbl>
            <c:dLbl>
              <c:idx val="8"/>
              <c:layout>
                <c:manualLayout>
                  <c:x val="-1.504890895410138E-3"/>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E03-4223-87C1-5AFCA48FB66B}"/>
                </c:ext>
                <c:ext xmlns:c15="http://schemas.microsoft.com/office/drawing/2012/chart" uri="{CE6537A1-D6FC-4f65-9D91-7224C49458BB}"/>
              </c:extLst>
            </c:dLbl>
            <c:dLbl>
              <c:idx val="9"/>
              <c:layout>
                <c:manualLayout>
                  <c:x val="5.5178695402705158E-17"/>
                  <c:y val="-0.194444444444444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03-4223-87C1-5AFCA48FB66B}"/>
                </c:ext>
                <c:ext xmlns:c15="http://schemas.microsoft.com/office/drawing/2012/chart" uri="{CE6537A1-D6FC-4f65-9D91-7224C49458BB}"/>
              </c:extLst>
            </c:dLbl>
            <c:dLbl>
              <c:idx val="11"/>
              <c:layout>
                <c:manualLayout>
                  <c:x val="-5.5178695402705158E-17"/>
                  <c:y val="-0.14814814814814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E03-4223-87C1-5AFCA48FB66B}"/>
                </c:ext>
                <c:ext xmlns:c15="http://schemas.microsoft.com/office/drawing/2012/chart" uri="{CE6537A1-D6FC-4f65-9D91-7224C49458BB}"/>
              </c:extLst>
            </c:dLbl>
            <c:dLbl>
              <c:idx val="12"/>
              <c:layout>
                <c:manualLayout>
                  <c:x val="9.0293453724604959E-3"/>
                  <c:y val="-0.291666666666666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E03-4223-87C1-5AFCA48FB66B}"/>
                </c:ext>
                <c:ext xmlns:c15="http://schemas.microsoft.com/office/drawing/2012/chart" uri="{CE6537A1-D6FC-4f65-9D91-7224C49458BB}"/>
              </c:extLst>
            </c:dLbl>
            <c:dLbl>
              <c:idx val="13"/>
              <c:layout>
                <c:manualLayout>
                  <c:x val="6.0195635816402762E-3"/>
                  <c:y val="-0.180555555555555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E03-4223-87C1-5AFCA48FB66B}"/>
                </c:ext>
                <c:ext xmlns:c15="http://schemas.microsoft.com/office/drawing/2012/chart" uri="{CE6537A1-D6FC-4f65-9D91-7224C49458BB}"/>
              </c:extLst>
            </c:dLbl>
            <c:dLbl>
              <c:idx val="14"/>
              <c:layout>
                <c:manualLayout>
                  <c:x val="4.5146726862302479E-3"/>
                  <c:y val="-0.152777777777777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E03-4223-87C1-5AFCA48FB66B}"/>
                </c:ext>
                <c:ext xmlns:c15="http://schemas.microsoft.com/office/drawing/2012/chart" uri="{CE6537A1-D6FC-4f65-9D91-7224C49458BB}"/>
              </c:extLst>
            </c:dLbl>
            <c:dLbl>
              <c:idx val="15"/>
              <c:layout>
                <c:manualLayout>
                  <c:x val="9.0293453724604421E-3"/>
                  <c:y val="-0.203703703703703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E03-4223-87C1-5AFCA48FB66B}"/>
                </c:ext>
                <c:ext xmlns:c15="http://schemas.microsoft.com/office/drawing/2012/chart" uri="{CE6537A1-D6FC-4f65-9D91-7224C49458BB}"/>
              </c:extLst>
            </c:dLbl>
            <c:dLbl>
              <c:idx val="16"/>
              <c:layout>
                <c:manualLayout>
                  <c:x val="2.2573363431151131E-2"/>
                  <c:y val="-0.245370370370370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E03-4223-87C1-5AFCA48FB66B}"/>
                </c:ext>
                <c:ext xmlns:c15="http://schemas.microsoft.com/office/drawing/2012/chart" uri="{CE6537A1-D6FC-4f65-9D91-7224C49458BB}"/>
              </c:extLst>
            </c:dLbl>
            <c:dLbl>
              <c:idx val="17"/>
              <c:layout>
                <c:manualLayout>
                  <c:x val="4.5146726862302479E-3"/>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E03-4223-87C1-5AFCA48FB66B}"/>
                </c:ext>
                <c:ext xmlns:c15="http://schemas.microsoft.com/office/drawing/2012/chart" uri="{CE6537A1-D6FC-4f65-9D91-7224C49458BB}"/>
              </c:extLst>
            </c:dLbl>
            <c:dLbl>
              <c:idx val="18"/>
              <c:layout>
                <c:manualLayout>
                  <c:x val="0"/>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E03-4223-87C1-5AFCA48FB66B}"/>
                </c:ext>
                <c:ext xmlns:c15="http://schemas.microsoft.com/office/drawing/2012/chart" uri="{CE6537A1-D6FC-4f65-9D91-7224C49458BB}"/>
              </c:extLst>
            </c:dLbl>
            <c:dLbl>
              <c:idx val="19"/>
              <c:layout>
                <c:manualLayout>
                  <c:x val="0"/>
                  <c:y val="-0.199074074074074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E03-4223-87C1-5AFCA48FB66B}"/>
                </c:ext>
                <c:ext xmlns:c15="http://schemas.microsoft.com/office/drawing/2012/chart" uri="{CE6537A1-D6FC-4f65-9D91-7224C49458BB}"/>
              </c:extLst>
            </c:dLbl>
            <c:dLbl>
              <c:idx val="20"/>
              <c:layout>
                <c:manualLayout>
                  <c:x val="9.0293453724604959E-3"/>
                  <c:y val="-0.194444444444444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E03-4223-87C1-5AFCA48FB66B}"/>
                </c:ext>
                <c:ext xmlns:c15="http://schemas.microsoft.com/office/drawing/2012/chart" uri="{CE6537A1-D6FC-4f65-9D91-7224C49458BB}"/>
              </c:extLst>
            </c:dLbl>
            <c:dLbl>
              <c:idx val="21"/>
              <c:layout>
                <c:manualLayout>
                  <c:x val="1.8058690744920992E-2"/>
                  <c:y val="-0.240740740740740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E03-4223-87C1-5AFCA48FB66B}"/>
                </c:ext>
                <c:ext xmlns:c15="http://schemas.microsoft.com/office/drawing/2012/chart" uri="{CE6537A1-D6FC-4f65-9D91-7224C49458BB}"/>
              </c:extLst>
            </c:dLbl>
            <c:dLbl>
              <c:idx val="23"/>
              <c:layout>
                <c:manualLayout>
                  <c:x val="3.0097817908201654E-3"/>
                  <c:y val="-0.1111111111111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E03-4223-87C1-5AFCA48FB66B}"/>
                </c:ext>
                <c:ext xmlns:c15="http://schemas.microsoft.com/office/drawing/2012/chart" uri="{CE6537A1-D6FC-4f65-9D91-7224C49458BB}"/>
              </c:extLst>
            </c:dLbl>
            <c:dLbl>
              <c:idx val="24"/>
              <c:layout>
                <c:manualLayout>
                  <c:x val="7.5244544770504138E-3"/>
                  <c:y val="-0.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E03-4223-87C1-5AFCA48FB66B}"/>
                </c:ext>
                <c:ext xmlns:c15="http://schemas.microsoft.com/office/drawing/2012/chart" uri="{CE6537A1-D6FC-4f65-9D91-7224C49458BB}"/>
              </c:extLst>
            </c:dLbl>
            <c:dLbl>
              <c:idx val="26"/>
              <c:layout>
                <c:manualLayout>
                  <c:x val="-1.1035739080541032E-16"/>
                  <c:y val="-0.106481481481481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E03-4223-87C1-5AFCA48FB66B}"/>
                </c:ext>
                <c:ext xmlns:c15="http://schemas.microsoft.com/office/drawing/2012/chart" uri="{CE6537A1-D6FC-4f65-9D91-7224C49458BB}"/>
              </c:extLst>
            </c:dLbl>
            <c:dLbl>
              <c:idx val="27"/>
              <c:layout>
                <c:manualLayout>
                  <c:x val="-3.009781790820276E-3"/>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E03-4223-87C1-5AFCA48FB66B}"/>
                </c:ext>
                <c:ext xmlns:c15="http://schemas.microsoft.com/office/drawing/2012/chart" uri="{CE6537A1-D6FC-4f65-9D91-7224C49458BB}"/>
              </c:extLst>
            </c:dLbl>
            <c:dLbl>
              <c:idx val="28"/>
              <c:layout>
                <c:manualLayout>
                  <c:x val="0"/>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E03-4223-87C1-5AFCA48FB66B}"/>
                </c:ext>
                <c:ext xmlns:c15="http://schemas.microsoft.com/office/drawing/2012/chart" uri="{CE6537A1-D6FC-4f65-9D91-7224C49458BB}"/>
              </c:extLst>
            </c:dLbl>
            <c:dLbl>
              <c:idx val="29"/>
              <c:layout>
                <c:manualLayout>
                  <c:x val="-9.0293453724604959E-3"/>
                  <c:y val="-0.226851851851851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E03-4223-87C1-5AFCA48FB66B}"/>
                </c:ext>
                <c:ext xmlns:c15="http://schemas.microsoft.com/office/drawing/2012/chart" uri="{CE6537A1-D6FC-4f65-9D91-7224C49458BB}"/>
              </c:extLst>
            </c:dLbl>
            <c:dLbl>
              <c:idx val="30"/>
              <c:layout>
                <c:manualLayout>
                  <c:x val="0"/>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4E03-4223-87C1-5AFCA48FB66B}"/>
                </c:ext>
                <c:ext xmlns:c15="http://schemas.microsoft.com/office/drawing/2012/chart" uri="{CE6537A1-D6FC-4f65-9D91-7224C49458BB}"/>
              </c:extLst>
            </c:dLbl>
            <c:dLbl>
              <c:idx val="31"/>
              <c:layout>
                <c:manualLayout>
                  <c:x val="-4.5146726862302479E-3"/>
                  <c:y val="-0.199074074074074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E03-4223-87C1-5AFCA48FB66B}"/>
                </c:ext>
                <c:ext xmlns:c15="http://schemas.microsoft.com/office/drawing/2012/chart" uri="{CE6537A1-D6FC-4f65-9D91-7224C49458BB}"/>
              </c:extLst>
            </c:dLbl>
            <c:dLbl>
              <c:idx val="32"/>
              <c:layout>
                <c:manualLayout>
                  <c:x val="-1.053423626787069E-2"/>
                  <c:y val="-0.25462962962962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E03-4223-87C1-5AFCA48FB66B}"/>
                </c:ext>
                <c:ext xmlns:c15="http://schemas.microsoft.com/office/drawing/2012/chart" uri="{CE6537A1-D6FC-4f65-9D91-7224C49458BB}"/>
              </c:extLst>
            </c:dLbl>
            <c:dLbl>
              <c:idx val="33"/>
              <c:layout>
                <c:manualLayout>
                  <c:x val="-3.0097817908201654E-3"/>
                  <c:y val="-0.125000000000000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E03-4223-87C1-5AFCA48FB66B}"/>
                </c:ext>
                <c:ext xmlns:c15="http://schemas.microsoft.com/office/drawing/2012/chart" uri="{CE6537A1-D6FC-4f65-9D91-7224C49458BB}"/>
              </c:extLst>
            </c:dLbl>
            <c:dLbl>
              <c:idx val="34"/>
              <c:layout>
                <c:manualLayout>
                  <c:x val="-1.1035739080541032E-16"/>
                  <c:y val="-0.115740740740740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4E03-4223-87C1-5AFCA48FB66B}"/>
                </c:ext>
                <c:ext xmlns:c15="http://schemas.microsoft.com/office/drawing/2012/chart" uri="{CE6537A1-D6FC-4f65-9D91-7224C49458BB}"/>
              </c:extLst>
            </c:dLbl>
            <c:dLbl>
              <c:idx val="35"/>
              <c:layout>
                <c:manualLayout>
                  <c:x val="0"/>
                  <c:y val="-0.120370370370370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E03-4223-87C1-5AFCA48FB66B}"/>
                </c:ext>
                <c:ext xmlns:c15="http://schemas.microsoft.com/office/drawing/2012/chart" uri="{CE6537A1-D6FC-4f65-9D91-7224C49458BB}"/>
              </c:extLst>
            </c:dLbl>
            <c:dLbl>
              <c:idx val="36"/>
              <c:layout>
                <c:manualLayout>
                  <c:x val="-3.0097817908203862E-3"/>
                  <c:y val="-0.180555555555555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4E03-4223-87C1-5AFCA48FB6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STRATEGJIK'!$Y$9:$Y$47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STRATEGJIK'!$Z$9:$Z$47</c:f>
              <c:numCache>
                <c:formatCode>General</c:formatCode>
                <c:ptCount val="39"/>
                <c:pt idx="0">
                  <c:v>1</c:v>
                </c:pt>
                <c:pt idx="1">
                  <c:v>0</c:v>
                </c:pt>
                <c:pt idx="2">
                  <c:v>1</c:v>
                </c:pt>
                <c:pt idx="3">
                  <c:v>1</c:v>
                </c:pt>
                <c:pt idx="4">
                  <c:v>0</c:v>
                </c:pt>
                <c:pt idx="5">
                  <c:v>1</c:v>
                </c:pt>
                <c:pt idx="6">
                  <c:v>0</c:v>
                </c:pt>
                <c:pt idx="7">
                  <c:v>0</c:v>
                </c:pt>
                <c:pt idx="8">
                  <c:v>1</c:v>
                </c:pt>
                <c:pt idx="9">
                  <c:v>0</c:v>
                </c:pt>
                <c:pt idx="10">
                  <c:v>1</c:v>
                </c:pt>
                <c:pt idx="11">
                  <c:v>1</c:v>
                </c:pt>
                <c:pt idx="12">
                  <c:v>1</c:v>
                </c:pt>
                <c:pt idx="13">
                  <c:v>0</c:v>
                </c:pt>
                <c:pt idx="14">
                  <c:v>1</c:v>
                </c:pt>
                <c:pt idx="15">
                  <c:v>0</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1</c:v>
                </c:pt>
                <c:pt idx="31">
                  <c:v>0</c:v>
                </c:pt>
                <c:pt idx="32">
                  <c:v>0</c:v>
                </c:pt>
                <c:pt idx="33">
                  <c:v>0</c:v>
                </c:pt>
                <c:pt idx="34">
                  <c:v>0</c:v>
                </c:pt>
                <c:pt idx="35">
                  <c:v>0</c:v>
                </c:pt>
                <c:pt idx="36">
                  <c:v>0</c:v>
                </c:pt>
                <c:pt idx="37">
                  <c:v>0</c:v>
                </c:pt>
                <c:pt idx="38">
                  <c:v>19</c:v>
                </c:pt>
              </c:numCache>
            </c:numRef>
          </c:val>
          <c:extLst xmlns:c16r2="http://schemas.microsoft.com/office/drawing/2015/06/chart">
            <c:ext xmlns:c16="http://schemas.microsoft.com/office/drawing/2014/chart" uri="{C3380CC4-5D6E-409C-BE32-E72D297353CC}">
              <c16:uniqueId val="{00000021-4E03-4223-87C1-5AFCA48FB66B}"/>
            </c:ext>
          </c:extLst>
        </c:ser>
        <c:dLbls>
          <c:showLegendKey val="0"/>
          <c:showVal val="1"/>
          <c:showCatName val="0"/>
          <c:showSerName val="0"/>
          <c:showPercent val="0"/>
          <c:showBubbleSize val="0"/>
        </c:dLbls>
        <c:gapWidth val="95"/>
        <c:overlap val="100"/>
        <c:axId val="554614288"/>
        <c:axId val="554609192"/>
      </c:barChart>
      <c:catAx>
        <c:axId val="55461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4609192"/>
        <c:crosses val="autoZero"/>
        <c:auto val="1"/>
        <c:lblAlgn val="ctr"/>
        <c:lblOffset val="100"/>
        <c:noMultiLvlLbl val="0"/>
      </c:catAx>
      <c:valAx>
        <c:axId val="554609192"/>
        <c:scaling>
          <c:orientation val="minMax"/>
        </c:scaling>
        <c:delete val="1"/>
        <c:axPos val="l"/>
        <c:numFmt formatCode="General" sourceLinked="1"/>
        <c:majorTickMark val="none"/>
        <c:minorTickMark val="none"/>
        <c:tickLblPos val="nextTo"/>
        <c:crossAx val="554614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'!$O$7:$O$8</c:f>
              <c:strCache>
                <c:ptCount val="2"/>
                <c:pt idx="1">
                  <c:v>Rregullore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'!$O$9:$O$47</c:f>
              <c:numCache>
                <c:formatCode>General</c:formatCode>
                <c:ptCount val="39"/>
                <c:pt idx="0">
                  <c:v>0</c:v>
                </c:pt>
                <c:pt idx="1">
                  <c:v>1</c:v>
                </c:pt>
                <c:pt idx="2">
                  <c:v>0</c:v>
                </c:pt>
                <c:pt idx="3">
                  <c:v>1</c:v>
                </c:pt>
                <c:pt idx="4">
                  <c:v>1</c:v>
                </c:pt>
                <c:pt idx="5">
                  <c:v>1</c:v>
                </c:pt>
                <c:pt idx="6">
                  <c:v>0</c:v>
                </c:pt>
                <c:pt idx="7">
                  <c:v>1</c:v>
                </c:pt>
                <c:pt idx="8">
                  <c:v>1</c:v>
                </c:pt>
                <c:pt idx="9">
                  <c:v>1</c:v>
                </c:pt>
                <c:pt idx="10">
                  <c:v>1</c:v>
                </c:pt>
                <c:pt idx="11">
                  <c:v>1</c:v>
                </c:pt>
                <c:pt idx="12">
                  <c:v>1</c:v>
                </c:pt>
                <c:pt idx="13">
                  <c:v>0</c:v>
                </c:pt>
                <c:pt idx="14">
                  <c:v>1</c:v>
                </c:pt>
                <c:pt idx="15">
                  <c:v>1</c:v>
                </c:pt>
                <c:pt idx="16">
                  <c:v>1</c:v>
                </c:pt>
                <c:pt idx="17">
                  <c:v>0</c:v>
                </c:pt>
                <c:pt idx="18">
                  <c:v>0</c:v>
                </c:pt>
                <c:pt idx="19">
                  <c:v>0</c:v>
                </c:pt>
                <c:pt idx="20">
                  <c:v>1</c:v>
                </c:pt>
                <c:pt idx="21">
                  <c:v>1</c:v>
                </c:pt>
                <c:pt idx="22">
                  <c:v>0</c:v>
                </c:pt>
                <c:pt idx="23">
                  <c:v>1</c:v>
                </c:pt>
                <c:pt idx="24">
                  <c:v>1</c:v>
                </c:pt>
                <c:pt idx="25">
                  <c:v>0</c:v>
                </c:pt>
                <c:pt idx="26">
                  <c:v>1</c:v>
                </c:pt>
                <c:pt idx="27">
                  <c:v>0</c:v>
                </c:pt>
                <c:pt idx="28">
                  <c:v>1</c:v>
                </c:pt>
                <c:pt idx="29">
                  <c:v>1</c:v>
                </c:pt>
                <c:pt idx="30">
                  <c:v>0</c:v>
                </c:pt>
                <c:pt idx="31">
                  <c:v>1</c:v>
                </c:pt>
                <c:pt idx="32">
                  <c:v>0</c:v>
                </c:pt>
                <c:pt idx="33">
                  <c:v>0</c:v>
                </c:pt>
                <c:pt idx="34">
                  <c:v>0</c:v>
                </c:pt>
                <c:pt idx="35">
                  <c:v>1</c:v>
                </c:pt>
                <c:pt idx="36">
                  <c:v>0</c:v>
                </c:pt>
                <c:pt idx="37">
                  <c:v>0</c:v>
                </c:pt>
                <c:pt idx="38">
                  <c:v>22</c:v>
                </c:pt>
              </c:numCache>
            </c:numRef>
          </c:val>
          <c:extLst xmlns:c16r2="http://schemas.microsoft.com/office/drawing/2015/06/chart">
            <c:ext xmlns:c16="http://schemas.microsoft.com/office/drawing/2014/chart" uri="{C3380CC4-5D6E-409C-BE32-E72D297353CC}">
              <c16:uniqueId val="{00000000-FEC1-4583-A22A-7E7295737EE8}"/>
            </c:ext>
          </c:extLst>
        </c:ser>
        <c:ser>
          <c:idx val="1"/>
          <c:order val="1"/>
          <c:tx>
            <c:strRef>
              <c:f>'AKTET E  KUVENDIT '!$P$7:$P$8</c:f>
              <c:strCache>
                <c:ptCount val="2"/>
                <c:pt idx="1">
                  <c:v>Rregullore për transparencë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'!$P$9:$P$47</c:f>
              <c:numCache>
                <c:formatCode>General</c:formatCode>
                <c:ptCount val="39"/>
                <c:pt idx="36">
                  <c:v>0</c:v>
                </c:pt>
              </c:numCache>
            </c:numRef>
          </c:val>
          <c:extLst xmlns:c16r2="http://schemas.microsoft.com/office/drawing/2015/06/chart">
            <c:ext xmlns:c16="http://schemas.microsoft.com/office/drawing/2014/chart" uri="{C3380CC4-5D6E-409C-BE32-E72D297353CC}">
              <c16:uniqueId val="{00000001-FEC1-4583-A22A-7E7295737EE8}"/>
            </c:ext>
          </c:extLst>
        </c:ser>
        <c:dLbls>
          <c:showLegendKey val="0"/>
          <c:showVal val="1"/>
          <c:showCatName val="0"/>
          <c:showSerName val="0"/>
          <c:showPercent val="0"/>
          <c:showBubbleSize val="0"/>
        </c:dLbls>
        <c:gapWidth val="150"/>
        <c:overlap val="-25"/>
        <c:axId val="539937696"/>
        <c:axId val="539938088"/>
      </c:barChart>
      <c:catAx>
        <c:axId val="5399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sq-AL"/>
          </a:p>
        </c:txPr>
        <c:crossAx val="539938088"/>
        <c:crosses val="autoZero"/>
        <c:auto val="1"/>
        <c:lblAlgn val="ctr"/>
        <c:lblOffset val="100"/>
        <c:noMultiLvlLbl val="0"/>
      </c:catAx>
      <c:valAx>
        <c:axId val="539938088"/>
        <c:scaling>
          <c:orientation val="minMax"/>
        </c:scaling>
        <c:delete val="1"/>
        <c:axPos val="l"/>
        <c:numFmt formatCode="General" sourceLinked="1"/>
        <c:majorTickMark val="none"/>
        <c:minorTickMark val="none"/>
        <c:tickLblPos val="nextTo"/>
        <c:crossAx val="539937696"/>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STRATEGJIK'!$M$6:$M$7</c:f>
              <c:strCache>
                <c:ptCount val="2"/>
                <c:pt idx="1">
                  <c:v>Plani integritetit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STRATEGJIK'!$L$8:$L$46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STRATEGJIK'!$M$8:$M$46</c:f>
              <c:numCache>
                <c:formatCode>General</c:formatCode>
                <c:ptCount val="39"/>
                <c:pt idx="0">
                  <c:v>1</c:v>
                </c:pt>
                <c:pt idx="1">
                  <c:v>1</c:v>
                </c:pt>
                <c:pt idx="2">
                  <c:v>0</c:v>
                </c:pt>
                <c:pt idx="3">
                  <c:v>0</c:v>
                </c:pt>
                <c:pt idx="4">
                  <c:v>1</c:v>
                </c:pt>
                <c:pt idx="5">
                  <c:v>1</c:v>
                </c:pt>
                <c:pt idx="6">
                  <c:v>0</c:v>
                </c:pt>
                <c:pt idx="7">
                  <c:v>1</c:v>
                </c:pt>
                <c:pt idx="8">
                  <c:v>1</c:v>
                </c:pt>
                <c:pt idx="9">
                  <c:v>0</c:v>
                </c:pt>
                <c:pt idx="10">
                  <c:v>1</c:v>
                </c:pt>
                <c:pt idx="11">
                  <c:v>1</c:v>
                </c:pt>
                <c:pt idx="12">
                  <c:v>1</c:v>
                </c:pt>
                <c:pt idx="13">
                  <c:v>1</c:v>
                </c:pt>
                <c:pt idx="14">
                  <c:v>1</c:v>
                </c:pt>
                <c:pt idx="15">
                  <c:v>1</c:v>
                </c:pt>
                <c:pt idx="16">
                  <c:v>1</c:v>
                </c:pt>
                <c:pt idx="17">
                  <c:v>0</c:v>
                </c:pt>
                <c:pt idx="18">
                  <c:v>1</c:v>
                </c:pt>
                <c:pt idx="19">
                  <c:v>1</c:v>
                </c:pt>
                <c:pt idx="20">
                  <c:v>0</c:v>
                </c:pt>
                <c:pt idx="21">
                  <c:v>1</c:v>
                </c:pt>
                <c:pt idx="22">
                  <c:v>0</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20</c:v>
                </c:pt>
              </c:numCache>
            </c:numRef>
          </c:val>
          <c:extLst xmlns:c16r2="http://schemas.microsoft.com/office/drawing/2015/06/chart">
            <c:ext xmlns:c16="http://schemas.microsoft.com/office/drawing/2014/chart" uri="{C3380CC4-5D6E-409C-BE32-E72D297353CC}">
              <c16:uniqueId val="{00000000-9E4E-4C68-B6BC-CDE5C00861FE}"/>
            </c:ext>
          </c:extLst>
        </c:ser>
        <c:dLbls>
          <c:showLegendKey val="0"/>
          <c:showVal val="1"/>
          <c:showCatName val="0"/>
          <c:showSerName val="0"/>
          <c:showPercent val="0"/>
          <c:showBubbleSize val="0"/>
        </c:dLbls>
        <c:gapWidth val="150"/>
        <c:overlap val="-25"/>
        <c:axId val="539929072"/>
        <c:axId val="539931816"/>
      </c:barChart>
      <c:catAx>
        <c:axId val="5399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39931816"/>
        <c:crosses val="autoZero"/>
        <c:auto val="1"/>
        <c:lblAlgn val="ctr"/>
        <c:lblOffset val="100"/>
        <c:noMultiLvlLbl val="0"/>
      </c:catAx>
      <c:valAx>
        <c:axId val="539931816"/>
        <c:scaling>
          <c:orientation val="minMax"/>
        </c:scaling>
        <c:delete val="1"/>
        <c:axPos val="l"/>
        <c:numFmt formatCode="General" sourceLinked="1"/>
        <c:majorTickMark val="none"/>
        <c:minorTickMark val="none"/>
        <c:tickLblPos val="nextTo"/>
        <c:crossAx val="539929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a:latin typeface="Century Schoolbook" panose="02040604050505020304" pitchFamily="18" charset="0"/>
        </a:defRPr>
      </a:pPr>
      <a:endParaRPr lang="sq-A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'!$W$2</c:f>
              <c:strCache>
                <c:ptCount val="1"/>
                <c:pt idx="0">
                  <c:v>Publikimi i vendimeve të kryetarit të komunës</c:v>
                </c:pt>
              </c:strCache>
            </c:strRef>
          </c:tx>
          <c:spPr>
            <a:solidFill>
              <a:schemeClr val="accent1"/>
            </a:solidFill>
            <a:ln>
              <a:noFill/>
            </a:ln>
            <a:effectLst/>
          </c:spPr>
          <c:invertIfNegative val="0"/>
          <c:dLbls>
            <c:dLbl>
              <c:idx val="0"/>
              <c:layout>
                <c:manualLayout>
                  <c:x val="1.265689273283409E-2"/>
                  <c:y val="-0.125509883903357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5B8-4826-9717-2FDC1BC4BA6B}"/>
                </c:ext>
                <c:ext xmlns:c15="http://schemas.microsoft.com/office/drawing/2012/chart" uri="{CE6537A1-D6FC-4f65-9D91-7224C49458BB}"/>
              </c:extLst>
            </c:dLbl>
            <c:dLbl>
              <c:idx val="1"/>
              <c:layout>
                <c:manualLayout>
                  <c:x val="2.7423267587807193E-2"/>
                  <c:y val="-0.320050203953561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B8-4826-9717-2FDC1BC4BA6B}"/>
                </c:ext>
                <c:ext xmlns:c15="http://schemas.microsoft.com/office/drawing/2012/chart" uri="{CE6537A1-D6FC-4f65-9D91-7224C49458BB}"/>
              </c:extLst>
            </c:dLbl>
            <c:dLbl>
              <c:idx val="3"/>
              <c:layout>
                <c:manualLayout>
                  <c:x val="0"/>
                  <c:y val="-6.90304361468466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5B8-4826-9717-2FDC1BC4BA6B}"/>
                </c:ext>
                <c:ext xmlns:c15="http://schemas.microsoft.com/office/drawing/2012/chart" uri="{CE6537A1-D6FC-4f65-9D91-7224C49458BB}"/>
              </c:extLst>
            </c:dLbl>
            <c:dLbl>
              <c:idx val="4"/>
              <c:layout>
                <c:manualLayout>
                  <c:x val="-1.933669607377786E-17"/>
                  <c:y val="-0.301223721368057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B8-4826-9717-2FDC1BC4BA6B}"/>
                </c:ext>
                <c:ext xmlns:c15="http://schemas.microsoft.com/office/drawing/2012/chart" uri="{CE6537A1-D6FC-4f65-9D91-7224C49458BB}"/>
              </c:extLst>
            </c:dLbl>
            <c:dLbl>
              <c:idx val="7"/>
              <c:layout>
                <c:manualLayout>
                  <c:x val="1.4766374854973065E-2"/>
                  <c:y val="-0.194540320050204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B8-4826-9717-2FDC1BC4BA6B}"/>
                </c:ext>
                <c:ext xmlns:c15="http://schemas.microsoft.com/office/drawing/2012/chart" uri="{CE6537A1-D6FC-4f65-9D91-7224C49458BB}"/>
              </c:extLst>
            </c:dLbl>
            <c:dLbl>
              <c:idx val="9"/>
              <c:layout>
                <c:manualLayout>
                  <c:x val="6.3284463664170449E-3"/>
                  <c:y val="-0.200815814245371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B8-4826-9717-2FDC1BC4BA6B}"/>
                </c:ext>
                <c:ext xmlns:c15="http://schemas.microsoft.com/office/drawing/2012/chart" uri="{CE6537A1-D6FC-4f65-9D91-7224C49458BB}"/>
              </c:extLst>
            </c:dLbl>
            <c:dLbl>
              <c:idx val="10"/>
              <c:layout>
                <c:manualLayout>
                  <c:x val="2.1094821221390148E-3"/>
                  <c:y val="-0.301223721368057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5B8-4826-9717-2FDC1BC4BA6B}"/>
                </c:ext>
                <c:ext xmlns:c15="http://schemas.microsoft.com/office/drawing/2012/chart" uri="{CE6537A1-D6FC-4f65-9D91-7224C49458BB}"/>
              </c:extLst>
            </c:dLbl>
            <c:dLbl>
              <c:idx val="11"/>
              <c:layout>
                <c:manualLayout>
                  <c:x val="4.2189642442780296E-3"/>
                  <c:y val="-7.5305930342014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5B8-4826-9717-2FDC1BC4BA6B}"/>
                </c:ext>
                <c:ext xmlns:c15="http://schemas.microsoft.com/office/drawing/2012/chart" uri="{CE6537A1-D6FC-4f65-9D91-7224C49458BB}"/>
              </c:extLst>
            </c:dLbl>
            <c:dLbl>
              <c:idx val="13"/>
              <c:layout>
                <c:manualLayout>
                  <c:x val="-2.3204303343529242E-2"/>
                  <c:y val="-0.219642296830875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5B8-4826-9717-2FDC1BC4BA6B}"/>
                </c:ext>
                <c:ext xmlns:c15="http://schemas.microsoft.com/office/drawing/2012/chart" uri="{CE6537A1-D6FC-4f65-9D91-7224C49458BB}"/>
              </c:extLst>
            </c:dLbl>
            <c:dLbl>
              <c:idx val="14"/>
              <c:layout>
                <c:manualLayout>
                  <c:x val="4.2189642442780296E-3"/>
                  <c:y val="-0.213366802635707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B8-4826-9717-2FDC1BC4BA6B}"/>
                </c:ext>
                <c:ext xmlns:c15="http://schemas.microsoft.com/office/drawing/2012/chart" uri="{CE6537A1-D6FC-4f65-9D91-7224C49458BB}"/>
              </c:extLst>
            </c:dLbl>
            <c:dLbl>
              <c:idx val="15"/>
              <c:layout>
                <c:manualLayout>
                  <c:x val="2.3204303343529162E-2"/>
                  <c:y val="-0.12550988390335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5B8-4826-9717-2FDC1BC4BA6B}"/>
                </c:ext>
                <c:ext xmlns:c15="http://schemas.microsoft.com/office/drawing/2012/chart" uri="{CE6537A1-D6FC-4f65-9D91-7224C49458BB}"/>
              </c:extLst>
            </c:dLbl>
            <c:dLbl>
              <c:idx val="18"/>
              <c:layout>
                <c:manualLayout>
                  <c:x val="8.4379284885559829E-3"/>
                  <c:y val="-0.163162849074364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5B8-4826-9717-2FDC1BC4BA6B}"/>
                </c:ext>
                <c:ext xmlns:c15="http://schemas.microsoft.com/office/drawing/2012/chart" uri="{CE6537A1-D6FC-4f65-9D91-7224C49458BB}"/>
              </c:extLst>
            </c:dLbl>
            <c:dLbl>
              <c:idx val="21"/>
              <c:layout>
                <c:manualLayout>
                  <c:x val="-6.3284463664170449E-3"/>
                  <c:y val="-0.219642296830875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B8-4826-9717-2FDC1BC4BA6B}"/>
                </c:ext>
                <c:ext xmlns:c15="http://schemas.microsoft.com/office/drawing/2012/chart" uri="{CE6537A1-D6FC-4f65-9D91-7224C49458BB}"/>
              </c:extLst>
            </c:dLbl>
            <c:dLbl>
              <c:idx val="23"/>
              <c:layout>
                <c:manualLayout>
                  <c:x val="2.953274970994613E-2"/>
                  <c:y val="-0.219642296830875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5B8-4826-9717-2FDC1BC4BA6B}"/>
                </c:ext>
                <c:ext xmlns:c15="http://schemas.microsoft.com/office/drawing/2012/chart" uri="{CE6537A1-D6FC-4f65-9D91-7224C49458BB}"/>
              </c:extLst>
            </c:dLbl>
            <c:dLbl>
              <c:idx val="24"/>
              <c:layout>
                <c:manualLayout>
                  <c:x val="3.164223183208522E-2"/>
                  <c:y val="-0.100407907122685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5B8-4826-9717-2FDC1BC4BA6B}"/>
                </c:ext>
                <c:ext xmlns:c15="http://schemas.microsoft.com/office/drawing/2012/chart" uri="{CE6537A1-D6FC-4f65-9D91-7224C49458BB}"/>
              </c:extLst>
            </c:dLbl>
            <c:dLbl>
              <c:idx val="26"/>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mn-lt"/>
                      <a:ea typeface="+mn-ea"/>
                      <a:cs typeface="+mn-cs"/>
                    </a:defRPr>
                  </a:pPr>
                  <a:endParaRPr lang="sq-A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5B8-4826-9717-2FDC1BC4BA6B}"/>
                </c:ext>
                <c:ext xmlns:c15="http://schemas.microsoft.com/office/drawing/2012/chart" uri="{CE6537A1-D6FC-4f65-9D91-7224C49458BB}">
                  <c15:spPr xmlns:c15="http://schemas.microsoft.com/office/drawing/2012/chart">
                    <a:prstGeom prst="rect">
                      <a:avLst/>
                    </a:prstGeom>
                    <a:noFill/>
                    <a:ln>
                      <a:noFill/>
                    </a:ln>
                  </c15:spPr>
                </c:ext>
              </c:extLst>
            </c:dLbl>
            <c:dLbl>
              <c:idx val="28"/>
              <c:layout>
                <c:manualLayout>
                  <c:x val="1.265689273283409E-2"/>
                  <c:y val="-0.232193285221211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B8-4826-9717-2FDC1BC4BA6B}"/>
                </c:ext>
                <c:ext xmlns:c15="http://schemas.microsoft.com/office/drawing/2012/chart" uri="{CE6537A1-D6FC-4f65-9D91-7224C49458BB}"/>
              </c:extLst>
            </c:dLbl>
            <c:dLbl>
              <c:idx val="30"/>
              <c:layout>
                <c:manualLayout>
                  <c:x val="2.1094821221390149E-2"/>
                  <c:y val="-0.251019767806714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5B8-4826-9717-2FDC1BC4BA6B}"/>
                </c:ext>
                <c:ext xmlns:c15="http://schemas.microsoft.com/office/drawing/2012/chart" uri="{CE6537A1-D6FC-4f65-9D91-7224C49458BB}"/>
              </c:extLst>
            </c:dLbl>
            <c:dLbl>
              <c:idx val="35"/>
              <c:layout>
                <c:manualLayout>
                  <c:x val="-1.0547410610695074E-2"/>
                  <c:y val="-0.219642296830875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5B8-4826-9717-2FDC1BC4BA6B}"/>
                </c:ext>
                <c:ext xmlns:c15="http://schemas.microsoft.com/office/drawing/2012/chart" uri="{CE6537A1-D6FC-4f65-9D91-7224C49458BB}"/>
              </c:extLst>
            </c:dLbl>
            <c:dLbl>
              <c:idx val="37"/>
              <c:layout>
                <c:manualLayout>
                  <c:x val="0"/>
                  <c:y val="-0.125509883903357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5B8-4826-9717-2FDC1BC4BA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'!$V$3:$V$41</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'!$W$3:$W$41</c:f>
              <c:numCache>
                <c:formatCode>General</c:formatCode>
                <c:ptCount val="39"/>
                <c:pt idx="0">
                  <c:v>301</c:v>
                </c:pt>
                <c:pt idx="1">
                  <c:v>169</c:v>
                </c:pt>
                <c:pt idx="2">
                  <c:v>0</c:v>
                </c:pt>
                <c:pt idx="3">
                  <c:v>189</c:v>
                </c:pt>
                <c:pt idx="4">
                  <c:v>88</c:v>
                </c:pt>
                <c:pt idx="5">
                  <c:v>5</c:v>
                </c:pt>
                <c:pt idx="6">
                  <c:v>22</c:v>
                </c:pt>
                <c:pt idx="7">
                  <c:v>1</c:v>
                </c:pt>
                <c:pt idx="8">
                  <c:v>0</c:v>
                </c:pt>
                <c:pt idx="9">
                  <c:v>0</c:v>
                </c:pt>
                <c:pt idx="10">
                  <c:v>257</c:v>
                </c:pt>
                <c:pt idx="11">
                  <c:v>5</c:v>
                </c:pt>
                <c:pt idx="12">
                  <c:v>49</c:v>
                </c:pt>
                <c:pt idx="13">
                  <c:v>115</c:v>
                </c:pt>
                <c:pt idx="14">
                  <c:v>111</c:v>
                </c:pt>
                <c:pt idx="15">
                  <c:v>47</c:v>
                </c:pt>
                <c:pt idx="16">
                  <c:v>43</c:v>
                </c:pt>
                <c:pt idx="17">
                  <c:v>0</c:v>
                </c:pt>
                <c:pt idx="18">
                  <c:v>134</c:v>
                </c:pt>
                <c:pt idx="19">
                  <c:v>0</c:v>
                </c:pt>
                <c:pt idx="20">
                  <c:v>0</c:v>
                </c:pt>
                <c:pt idx="21">
                  <c:v>234</c:v>
                </c:pt>
                <c:pt idx="22">
                  <c:v>152</c:v>
                </c:pt>
                <c:pt idx="23">
                  <c:v>415</c:v>
                </c:pt>
                <c:pt idx="24">
                  <c:v>517</c:v>
                </c:pt>
                <c:pt idx="25">
                  <c:v>0</c:v>
                </c:pt>
                <c:pt idx="26">
                  <c:v>66</c:v>
                </c:pt>
                <c:pt idx="27">
                  <c:v>0</c:v>
                </c:pt>
                <c:pt idx="28">
                  <c:v>167</c:v>
                </c:pt>
                <c:pt idx="29">
                  <c:v>15</c:v>
                </c:pt>
                <c:pt idx="30">
                  <c:v>48</c:v>
                </c:pt>
                <c:pt idx="31">
                  <c:v>42</c:v>
                </c:pt>
                <c:pt idx="32">
                  <c:v>0</c:v>
                </c:pt>
                <c:pt idx="33">
                  <c:v>0</c:v>
                </c:pt>
                <c:pt idx="34">
                  <c:v>0</c:v>
                </c:pt>
                <c:pt idx="35">
                  <c:v>247</c:v>
                </c:pt>
                <c:pt idx="36">
                  <c:v>10</c:v>
                </c:pt>
                <c:pt idx="37">
                  <c:v>475</c:v>
                </c:pt>
                <c:pt idx="38">
                  <c:v>3934</c:v>
                </c:pt>
              </c:numCache>
            </c:numRef>
          </c:val>
          <c:extLst xmlns:c16r2="http://schemas.microsoft.com/office/drawing/2015/06/chart">
            <c:ext xmlns:c16="http://schemas.microsoft.com/office/drawing/2014/chart" uri="{C3380CC4-5D6E-409C-BE32-E72D297353CC}">
              <c16:uniqueId val="{00000000-35B8-4826-9717-2FDC1BC4BA6B}"/>
            </c:ext>
          </c:extLst>
        </c:ser>
        <c:dLbls>
          <c:showLegendKey val="0"/>
          <c:showVal val="1"/>
          <c:showCatName val="0"/>
          <c:showSerName val="0"/>
          <c:showPercent val="0"/>
          <c:showBubbleSize val="0"/>
        </c:dLbls>
        <c:gapWidth val="150"/>
        <c:overlap val="-25"/>
        <c:axId val="539932600"/>
        <c:axId val="539929464"/>
      </c:barChart>
      <c:catAx>
        <c:axId val="53993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39929464"/>
        <c:crosses val="autoZero"/>
        <c:auto val="1"/>
        <c:lblAlgn val="ctr"/>
        <c:lblOffset val="100"/>
        <c:noMultiLvlLbl val="0"/>
      </c:catAx>
      <c:valAx>
        <c:axId val="539929464"/>
        <c:scaling>
          <c:orientation val="minMax"/>
        </c:scaling>
        <c:delete val="1"/>
        <c:axPos val="l"/>
        <c:numFmt formatCode="General" sourceLinked="1"/>
        <c:majorTickMark val="none"/>
        <c:minorTickMark val="none"/>
        <c:tickLblPos val="nextTo"/>
        <c:crossAx val="539932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'!$AP$3</c:f>
              <c:strCache>
                <c:ptCount val="1"/>
                <c:pt idx="0">
                  <c:v>Plani i punës së Kryetarit të komunës</c:v>
                </c:pt>
              </c:strCache>
            </c:strRef>
          </c:tx>
          <c:spPr>
            <a:solidFill>
              <a:schemeClr val="accent1"/>
            </a:solidFill>
            <a:ln>
              <a:noFill/>
            </a:ln>
            <a:effectLst/>
          </c:spPr>
          <c:invertIfNegative val="0"/>
          <c:dLbls>
            <c:dLbl>
              <c:idx val="0"/>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06-4455-B69A-9C19671284B3}"/>
                </c:ext>
                <c:ext xmlns:c15="http://schemas.microsoft.com/office/drawing/2012/chart" uri="{CE6537A1-D6FC-4f65-9D91-7224C49458BB}"/>
              </c:extLst>
            </c:dLbl>
            <c:dLbl>
              <c:idx val="15"/>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14-485F-A4D4-BABD86E001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'!$AO$4:$AO$43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'!$AP$4:$AP$43</c:f>
              <c:numCache>
                <c:formatCode>General</c:formatCode>
                <c:ptCount val="40"/>
                <c:pt idx="0">
                  <c:v>0</c:v>
                </c:pt>
                <c:pt idx="1">
                  <c:v>1</c:v>
                </c:pt>
                <c:pt idx="2">
                  <c:v>0</c:v>
                </c:pt>
                <c:pt idx="3">
                  <c:v>1</c:v>
                </c:pt>
                <c:pt idx="4">
                  <c:v>2</c:v>
                </c:pt>
                <c:pt idx="5">
                  <c:v>1</c:v>
                </c:pt>
                <c:pt idx="6">
                  <c:v>0</c:v>
                </c:pt>
                <c:pt idx="7">
                  <c:v>0</c:v>
                </c:pt>
                <c:pt idx="8">
                  <c:v>0</c:v>
                </c:pt>
                <c:pt idx="9">
                  <c:v>0</c:v>
                </c:pt>
                <c:pt idx="10">
                  <c:v>1</c:v>
                </c:pt>
                <c:pt idx="11">
                  <c:v>1</c:v>
                </c:pt>
                <c:pt idx="12">
                  <c:v>1</c:v>
                </c:pt>
                <c:pt idx="13">
                  <c:v>1</c:v>
                </c:pt>
                <c:pt idx="14">
                  <c:v>1</c:v>
                </c:pt>
                <c:pt idx="15">
                  <c:v>0</c:v>
                </c:pt>
                <c:pt idx="16">
                  <c:v>1</c:v>
                </c:pt>
                <c:pt idx="17">
                  <c:v>0</c:v>
                </c:pt>
                <c:pt idx="18">
                  <c:v>1</c:v>
                </c:pt>
                <c:pt idx="19">
                  <c:v>0</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1</c:v>
                </c:pt>
                <c:pt idx="36">
                  <c:v>0</c:v>
                </c:pt>
                <c:pt idx="37">
                  <c:v>0</c:v>
                </c:pt>
                <c:pt idx="38">
                  <c:v>20</c:v>
                </c:pt>
              </c:numCache>
            </c:numRef>
          </c:val>
          <c:extLst xmlns:c16r2="http://schemas.microsoft.com/office/drawing/2015/06/chart">
            <c:ext xmlns:c16="http://schemas.microsoft.com/office/drawing/2014/chart" uri="{C3380CC4-5D6E-409C-BE32-E72D297353CC}">
              <c16:uniqueId val="{00000001-7D06-4455-B69A-9C19671284B3}"/>
            </c:ext>
          </c:extLst>
        </c:ser>
        <c:dLbls>
          <c:showLegendKey val="0"/>
          <c:showVal val="1"/>
          <c:showCatName val="0"/>
          <c:showSerName val="0"/>
          <c:showPercent val="0"/>
          <c:showBubbleSize val="0"/>
        </c:dLbls>
        <c:gapWidth val="150"/>
        <c:overlap val="-25"/>
        <c:axId val="539934168"/>
        <c:axId val="539934560"/>
      </c:barChart>
      <c:catAx>
        <c:axId val="53993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39934560"/>
        <c:crosses val="autoZero"/>
        <c:auto val="1"/>
        <c:lblAlgn val="ctr"/>
        <c:lblOffset val="100"/>
        <c:noMultiLvlLbl val="0"/>
      </c:catAx>
      <c:valAx>
        <c:axId val="539934560"/>
        <c:scaling>
          <c:orientation val="minMax"/>
        </c:scaling>
        <c:delete val="1"/>
        <c:axPos val="l"/>
        <c:numFmt formatCode="General" sourceLinked="1"/>
        <c:majorTickMark val="none"/>
        <c:minorTickMark val="none"/>
        <c:tickLblPos val="nextTo"/>
        <c:crossAx val="539934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'!$AM$2:$AM$3</c:f>
              <c:strCache>
                <c:ptCount val="2"/>
                <c:pt idx="1">
                  <c:v>Publikimi i Raportit të kryetarit të komunës</c:v>
                </c:pt>
              </c:strCache>
            </c:strRef>
          </c:tx>
          <c:spPr>
            <a:solidFill>
              <a:schemeClr val="accent1"/>
            </a:solidFill>
            <a:ln>
              <a:noFill/>
            </a:ln>
            <a:effectLst/>
          </c:spPr>
          <c:invertIfNegative val="0"/>
          <c:dLbls>
            <c:dLbl>
              <c:idx val="0"/>
              <c:layout>
                <c:manualLayout>
                  <c:x val="-2.2158209616662972E-3"/>
                  <c:y val="-0.304798962386511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D3-4C03-8497-52AAE7375595}"/>
                </c:ext>
                <c:ext xmlns:c15="http://schemas.microsoft.com/office/drawing/2012/chart" uri="{CE6537A1-D6FC-4f65-9D91-7224C49458BB}"/>
              </c:extLst>
            </c:dLbl>
            <c:dLbl>
              <c:idx val="1"/>
              <c:layout>
                <c:manualLayout>
                  <c:x val="-2.2158209616663024E-3"/>
                  <c:y val="-0.214007782101167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D3-4C03-8497-52AAE7375595}"/>
                </c:ext>
                <c:ext xmlns:c15="http://schemas.microsoft.com/office/drawing/2012/chart" uri="{CE6537A1-D6FC-4f65-9D91-7224C49458BB}"/>
              </c:extLst>
            </c:dLbl>
            <c:dLbl>
              <c:idx val="4"/>
              <c:layout>
                <c:manualLayout>
                  <c:x val="-4.4316419233326153E-3"/>
                  <c:y val="-0.272373285537751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D3-4C03-8497-52AAE7375595}"/>
                </c:ext>
                <c:ext xmlns:c15="http://schemas.microsoft.com/office/drawing/2012/chart" uri="{CE6537A1-D6FC-4f65-9D91-7224C49458BB}">
                  <c15:layout>
                    <c:manualLayout>
                      <c:w val="2.6600843407758167E-2"/>
                      <c:h val="8.6543705383130595E-2"/>
                    </c:manualLayout>
                  </c15:layout>
                </c:ext>
              </c:extLst>
            </c:dLbl>
            <c:dLbl>
              <c:idx val="5"/>
              <c:layout>
                <c:manualLayout>
                  <c:x val="-2.2158209616663176E-3"/>
                  <c:y val="-0.233463035019455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D3-4C03-8497-52AAE7375595}"/>
                </c:ext>
                <c:ext xmlns:c15="http://schemas.microsoft.com/office/drawing/2012/chart" uri="{CE6537A1-D6FC-4f65-9D91-7224C49458BB}"/>
              </c:extLst>
            </c:dLbl>
            <c:dLbl>
              <c:idx val="8"/>
              <c:layout>
                <c:manualLayout>
                  <c:x val="-2.2158209616662972E-3"/>
                  <c:y val="-0.188067444876783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DD3-4C03-8497-52AAE7375595}"/>
                </c:ext>
                <c:ext xmlns:c15="http://schemas.microsoft.com/office/drawing/2012/chart" uri="{CE6537A1-D6FC-4f65-9D91-7224C49458BB}"/>
              </c:extLst>
            </c:dLbl>
            <c:dLbl>
              <c:idx val="9"/>
              <c:layout>
                <c:manualLayout>
                  <c:x val="-2.2158209616662972E-3"/>
                  <c:y val="-0.239948119325551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DD3-4C03-8497-52AAE7375595}"/>
                </c:ext>
                <c:ext xmlns:c15="http://schemas.microsoft.com/office/drawing/2012/chart" uri="{CE6537A1-D6FC-4f65-9D91-7224C49458BB}"/>
              </c:extLst>
            </c:dLbl>
            <c:dLbl>
              <c:idx val="12"/>
              <c:layout>
                <c:manualLayout>
                  <c:x val="-8.8632838466652306E-3"/>
                  <c:y val="-0.24643320363164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DD3-4C03-8497-52AAE7375595}"/>
                </c:ext>
                <c:ext xmlns:c15="http://schemas.microsoft.com/office/drawing/2012/chart" uri="{CE6537A1-D6FC-4f65-9D91-7224C49458BB}"/>
              </c:extLst>
            </c:dLbl>
            <c:dLbl>
              <c:idx val="13"/>
              <c:layout>
                <c:manualLayout>
                  <c:x val="-6.6474628849988917E-3"/>
                  <c:y val="-0.239948119325551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DD3-4C03-8497-52AAE7375595}"/>
                </c:ext>
                <c:ext xmlns:c15="http://schemas.microsoft.com/office/drawing/2012/chart" uri="{CE6537A1-D6FC-4f65-9D91-7224C49458BB}"/>
              </c:extLst>
            </c:dLbl>
            <c:dLbl>
              <c:idx val="16"/>
              <c:layout>
                <c:manualLayout>
                  <c:x val="-1.3294925769997783E-2"/>
                  <c:y val="-0.207522697795071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DD3-4C03-8497-52AAE7375595}"/>
                </c:ext>
                <c:ext xmlns:c15="http://schemas.microsoft.com/office/drawing/2012/chart" uri="{CE6537A1-D6FC-4f65-9D91-7224C49458BB}"/>
              </c:extLst>
            </c:dLbl>
            <c:dLbl>
              <c:idx val="17"/>
              <c:layout>
                <c:manualLayout>
                  <c:x val="-1.3294925769997783E-2"/>
                  <c:y val="-0.220492866407263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DD3-4C03-8497-52AAE7375595}"/>
                </c:ext>
                <c:ext xmlns:c15="http://schemas.microsoft.com/office/drawing/2012/chart" uri="{CE6537A1-D6FC-4f65-9D91-7224C49458BB}"/>
              </c:extLst>
            </c:dLbl>
            <c:dLbl>
              <c:idx val="21"/>
              <c:layout>
                <c:manualLayout>
                  <c:x val="2.2158209616662972E-3"/>
                  <c:y val="-0.207522697795071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DD3-4C03-8497-52AAE7375595}"/>
                </c:ext>
                <c:ext xmlns:c15="http://schemas.microsoft.com/office/drawing/2012/chart" uri="{CE6537A1-D6FC-4f65-9D91-7224C49458BB}"/>
              </c:extLst>
            </c:dLbl>
            <c:dLbl>
              <c:idx val="23"/>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1A-444E-B8CA-95D12F75AB9B}"/>
                </c:ext>
                <c:ext xmlns:c15="http://schemas.microsoft.com/office/drawing/2012/chart" uri="{CE6537A1-D6FC-4f65-9D91-7224C49458BB}"/>
              </c:extLst>
            </c:dLbl>
            <c:dLbl>
              <c:idx val="24"/>
              <c:layout>
                <c:manualLayout>
                  <c:x val="-1.9942388654996677E-2"/>
                  <c:y val="-0.259403372243839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DD3-4C03-8497-52AAE7375595}"/>
                </c:ext>
                <c:ext xmlns:c15="http://schemas.microsoft.com/office/drawing/2012/chart" uri="{CE6537A1-D6FC-4f65-9D91-7224C49458BB}"/>
              </c:extLst>
            </c:dLbl>
            <c:dLbl>
              <c:idx val="25"/>
              <c:layout>
                <c:manualLayout>
                  <c:x val="-6.6474628849989732E-3"/>
                  <c:y val="-0.207522697795071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DD3-4C03-8497-52AAE7375595}"/>
                </c:ext>
                <c:ext xmlns:c15="http://schemas.microsoft.com/office/drawing/2012/chart" uri="{CE6537A1-D6FC-4f65-9D91-7224C49458BB}"/>
              </c:extLst>
            </c:dLbl>
            <c:dLbl>
              <c:idx val="27"/>
              <c:layout>
                <c:manualLayout>
                  <c:x val="-1.1079104808331486E-2"/>
                  <c:y val="-0.201037613488975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DD3-4C03-8497-52AAE7375595}"/>
                </c:ext>
                <c:ext xmlns:c15="http://schemas.microsoft.com/office/drawing/2012/chart" uri="{CE6537A1-D6FC-4f65-9D91-7224C49458BB}"/>
              </c:extLst>
            </c:dLbl>
            <c:dLbl>
              <c:idx val="30"/>
              <c:layout>
                <c:manualLayout>
                  <c:x val="-1.7726567693330461E-2"/>
                  <c:y val="-0.194552529182879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DD3-4C03-8497-52AAE7375595}"/>
                </c:ext>
                <c:ext xmlns:c15="http://schemas.microsoft.com/office/drawing/2012/chart" uri="{CE6537A1-D6FC-4f65-9D91-7224C49458BB}"/>
              </c:extLst>
            </c:dLbl>
            <c:dLbl>
              <c:idx val="33"/>
              <c:layout>
                <c:manualLayout>
                  <c:x val="0"/>
                  <c:y val="-0.207522697795071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DD3-4C03-8497-52AAE7375595}"/>
                </c:ext>
                <c:ext xmlns:c15="http://schemas.microsoft.com/office/drawing/2012/chart" uri="{CE6537A1-D6FC-4f65-9D91-7224C49458BB}"/>
              </c:extLst>
            </c:dLbl>
            <c:dLbl>
              <c:idx val="36"/>
              <c:layout>
                <c:manualLayout>
                  <c:x val="-1.9942388654996677E-2"/>
                  <c:y val="-0.278858625162127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DD3-4C03-8497-52AAE7375595}"/>
                </c:ext>
                <c:ext xmlns:c15="http://schemas.microsoft.com/office/drawing/2012/chart" uri="{CE6537A1-D6FC-4f65-9D91-7224C49458BB}"/>
              </c:extLst>
            </c:dLbl>
            <c:dLbl>
              <c:idx val="38"/>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1A-444E-B8CA-95D12F75AB9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1</c:v>
                </c:pt>
                <c:pt idx="1">
                  <c:v>1</c:v>
                </c:pt>
                <c:pt idx="2">
                  <c:v>0</c:v>
                </c:pt>
                <c:pt idx="3">
                  <c:v>1</c:v>
                </c:pt>
                <c:pt idx="4">
                  <c:v>1</c:v>
                </c:pt>
                <c:pt idx="5">
                  <c:v>1</c:v>
                </c:pt>
                <c:pt idx="6">
                  <c:v>1</c:v>
                </c:pt>
                <c:pt idx="7">
                  <c:v>1</c:v>
                </c:pt>
                <c:pt idx="8">
                  <c:v>0</c:v>
                </c:pt>
                <c:pt idx="9">
                  <c:v>0</c:v>
                </c:pt>
                <c:pt idx="10">
                  <c:v>1</c:v>
                </c:pt>
                <c:pt idx="11">
                  <c:v>0</c:v>
                </c:pt>
                <c:pt idx="12">
                  <c:v>0</c:v>
                </c:pt>
                <c:pt idx="13">
                  <c:v>0</c:v>
                </c:pt>
                <c:pt idx="14">
                  <c:v>1</c:v>
                </c:pt>
                <c:pt idx="15">
                  <c:v>1</c:v>
                </c:pt>
                <c:pt idx="16">
                  <c:v>1</c:v>
                </c:pt>
                <c:pt idx="17">
                  <c:v>0</c:v>
                </c:pt>
                <c:pt idx="18">
                  <c:v>1</c:v>
                </c:pt>
                <c:pt idx="19">
                  <c:v>0</c:v>
                </c:pt>
                <c:pt idx="20">
                  <c:v>1</c:v>
                </c:pt>
                <c:pt idx="21">
                  <c:v>0</c:v>
                </c:pt>
                <c:pt idx="22">
                  <c:v>0</c:v>
                </c:pt>
                <c:pt idx="23">
                  <c:v>2</c:v>
                </c:pt>
                <c:pt idx="24">
                  <c:v>1</c:v>
                </c:pt>
                <c:pt idx="25">
                  <c:v>0</c:v>
                </c:pt>
                <c:pt idx="26">
                  <c:v>1</c:v>
                </c:pt>
                <c:pt idx="27">
                  <c:v>0</c:v>
                </c:pt>
                <c:pt idx="28">
                  <c:v>1</c:v>
                </c:pt>
                <c:pt idx="29">
                  <c:v>1</c:v>
                </c:pt>
                <c:pt idx="30">
                  <c:v>1</c:v>
                </c:pt>
                <c:pt idx="31">
                  <c:v>1</c:v>
                </c:pt>
                <c:pt idx="32">
                  <c:v>0</c:v>
                </c:pt>
                <c:pt idx="33">
                  <c:v>0</c:v>
                </c:pt>
                <c:pt idx="34">
                  <c:v>0</c:v>
                </c:pt>
                <c:pt idx="35">
                  <c:v>1</c:v>
                </c:pt>
                <c:pt idx="36">
                  <c:v>0</c:v>
                </c:pt>
                <c:pt idx="37">
                  <c:v>1</c:v>
                </c:pt>
                <c:pt idx="38">
                  <c:v>23</c:v>
                </c:pt>
              </c:numCache>
            </c:numRef>
          </c:val>
          <c:extLst xmlns:c16r2="http://schemas.microsoft.com/office/drawing/2015/06/chart">
            <c:ext xmlns:c16="http://schemas.microsoft.com/office/drawing/2014/chart" uri="{C3380CC4-5D6E-409C-BE32-E72D297353CC}">
              <c16:uniqueId val="{00000000-5DD3-4C03-8497-52AAE7375595}"/>
            </c:ext>
          </c:extLst>
        </c:ser>
        <c:dLbls>
          <c:showLegendKey val="0"/>
          <c:showVal val="1"/>
          <c:showCatName val="0"/>
          <c:showSerName val="0"/>
          <c:showPercent val="0"/>
          <c:showBubbleSize val="0"/>
        </c:dLbls>
        <c:gapWidth val="150"/>
        <c:overlap val="-25"/>
        <c:axId val="559911696"/>
        <c:axId val="559912480"/>
      </c:barChart>
      <c:catAx>
        <c:axId val="55991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9912480"/>
        <c:crosses val="autoZero"/>
        <c:auto val="1"/>
        <c:lblAlgn val="ctr"/>
        <c:lblOffset val="100"/>
        <c:noMultiLvlLbl val="0"/>
      </c:catAx>
      <c:valAx>
        <c:axId val="559912480"/>
        <c:scaling>
          <c:orientation val="minMax"/>
        </c:scaling>
        <c:delete val="1"/>
        <c:axPos val="l"/>
        <c:numFmt formatCode="General" sourceLinked="1"/>
        <c:majorTickMark val="none"/>
        <c:minorTickMark val="none"/>
        <c:tickLblPos val="nextTo"/>
        <c:crossAx val="559911696"/>
        <c:crosses val="autoZero"/>
        <c:crossBetween val="between"/>
      </c:valAx>
      <c:spPr>
        <a:blipFill>
          <a:blip xmlns:r="http://schemas.openxmlformats.org/officeDocument/2006/relationships" r:embed="rId3"/>
          <a:tile tx="0" ty="0" sx="100000" sy="100000" flip="none" algn="tl"/>
        </a:blip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'!$AJ$3</c:f>
              <c:strCache>
                <c:ptCount val="1"/>
                <c:pt idx="0">
                  <c:v>Takimet publike të Kryetarit të Komunës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'!$AI$4:$AI$43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'!$AJ$4:$AJ$43</c:f>
              <c:numCache>
                <c:formatCode>General</c:formatCode>
                <c:ptCount val="40"/>
                <c:pt idx="0">
                  <c:v>0</c:v>
                </c:pt>
                <c:pt idx="1">
                  <c:v>2</c:v>
                </c:pt>
                <c:pt idx="2">
                  <c:v>0</c:v>
                </c:pt>
                <c:pt idx="3">
                  <c:v>2</c:v>
                </c:pt>
                <c:pt idx="4">
                  <c:v>2</c:v>
                </c:pt>
                <c:pt idx="5">
                  <c:v>2</c:v>
                </c:pt>
                <c:pt idx="6">
                  <c:v>0</c:v>
                </c:pt>
                <c:pt idx="7">
                  <c:v>0</c:v>
                </c:pt>
                <c:pt idx="8">
                  <c:v>2</c:v>
                </c:pt>
                <c:pt idx="9">
                  <c:v>0</c:v>
                </c:pt>
                <c:pt idx="10">
                  <c:v>2</c:v>
                </c:pt>
                <c:pt idx="11">
                  <c:v>2</c:v>
                </c:pt>
                <c:pt idx="12">
                  <c:v>0</c:v>
                </c:pt>
                <c:pt idx="13">
                  <c:v>2</c:v>
                </c:pt>
                <c:pt idx="14">
                  <c:v>2</c:v>
                </c:pt>
                <c:pt idx="15">
                  <c:v>2</c:v>
                </c:pt>
                <c:pt idx="16">
                  <c:v>2</c:v>
                </c:pt>
                <c:pt idx="17">
                  <c:v>0</c:v>
                </c:pt>
                <c:pt idx="18">
                  <c:v>1</c:v>
                </c:pt>
                <c:pt idx="19">
                  <c:v>0</c:v>
                </c:pt>
                <c:pt idx="20">
                  <c:v>2</c:v>
                </c:pt>
                <c:pt idx="21">
                  <c:v>2</c:v>
                </c:pt>
                <c:pt idx="22">
                  <c:v>1</c:v>
                </c:pt>
                <c:pt idx="23">
                  <c:v>2</c:v>
                </c:pt>
                <c:pt idx="24">
                  <c:v>2</c:v>
                </c:pt>
                <c:pt idx="25">
                  <c:v>0</c:v>
                </c:pt>
                <c:pt idx="26">
                  <c:v>2</c:v>
                </c:pt>
                <c:pt idx="27">
                  <c:v>0</c:v>
                </c:pt>
                <c:pt idx="28">
                  <c:v>2</c:v>
                </c:pt>
                <c:pt idx="29">
                  <c:v>1</c:v>
                </c:pt>
                <c:pt idx="30">
                  <c:v>2</c:v>
                </c:pt>
                <c:pt idx="31">
                  <c:v>2</c:v>
                </c:pt>
                <c:pt idx="32">
                  <c:v>0</c:v>
                </c:pt>
                <c:pt idx="33">
                  <c:v>0</c:v>
                </c:pt>
                <c:pt idx="34">
                  <c:v>0</c:v>
                </c:pt>
                <c:pt idx="35">
                  <c:v>0</c:v>
                </c:pt>
                <c:pt idx="36">
                  <c:v>0</c:v>
                </c:pt>
                <c:pt idx="37">
                  <c:v>2</c:v>
                </c:pt>
                <c:pt idx="38">
                  <c:v>24</c:v>
                </c:pt>
              </c:numCache>
            </c:numRef>
          </c:val>
          <c:extLst xmlns:c16r2="http://schemas.microsoft.com/office/drawing/2015/06/chart">
            <c:ext xmlns:c16="http://schemas.microsoft.com/office/drawing/2014/chart" uri="{C3380CC4-5D6E-409C-BE32-E72D297353CC}">
              <c16:uniqueId val="{00000000-375A-48B4-B822-2C8C89242FDD}"/>
            </c:ext>
          </c:extLst>
        </c:ser>
        <c:dLbls>
          <c:showLegendKey val="0"/>
          <c:showVal val="1"/>
          <c:showCatName val="0"/>
          <c:showSerName val="0"/>
          <c:showPercent val="0"/>
          <c:showBubbleSize val="0"/>
        </c:dLbls>
        <c:gapWidth val="150"/>
        <c:overlap val="-25"/>
        <c:axId val="559908560"/>
        <c:axId val="559911304"/>
      </c:barChart>
      <c:catAx>
        <c:axId val="55990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9911304"/>
        <c:crosses val="autoZero"/>
        <c:auto val="1"/>
        <c:lblAlgn val="ctr"/>
        <c:lblOffset val="100"/>
        <c:noMultiLvlLbl val="0"/>
      </c:catAx>
      <c:valAx>
        <c:axId val="559911304"/>
        <c:scaling>
          <c:orientation val="minMax"/>
        </c:scaling>
        <c:delete val="1"/>
        <c:axPos val="l"/>
        <c:numFmt formatCode="General" sourceLinked="1"/>
        <c:majorTickMark val="none"/>
        <c:minorTickMark val="none"/>
        <c:tickLblPos val="nextTo"/>
        <c:crossAx val="559908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17367650136011E-2"/>
          <c:y val="0.21120211893074609"/>
          <c:w val="0.96652019250889309"/>
          <c:h val="0.4374112913673725"/>
        </c:manualLayout>
      </c:layout>
      <c:barChart>
        <c:barDir val="col"/>
        <c:grouping val="clustered"/>
        <c:varyColors val="0"/>
        <c:ser>
          <c:idx val="0"/>
          <c:order val="0"/>
          <c:tx>
            <c:strRef>
              <c:f>'AKTET E KRYETARIT '!$AM$3</c:f>
              <c:strCache>
                <c:ptCount val="1"/>
                <c:pt idx="0">
                  <c:v>Lista e pronave komunale, pronave të cilat planifikohen të jepen në shfrytëzim,</c:v>
                </c:pt>
              </c:strCache>
            </c:strRef>
          </c:tx>
          <c:spPr>
            <a:solidFill>
              <a:schemeClr val="accent1"/>
            </a:solidFill>
            <a:ln>
              <a:noFill/>
            </a:ln>
            <a:effectLst/>
          </c:spPr>
          <c:invertIfNegative val="0"/>
          <c:dLbls>
            <c:dLbl>
              <c:idx val="38"/>
              <c:layout>
                <c:manualLayout>
                  <c:x val="-2.8347143480156999E-2"/>
                  <c:y val="-8.0267558528428096E-2"/>
                </c:manualLayout>
              </c:layout>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DE-4207-A42D-2B3284688A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0</c:v>
                </c:pt>
                <c:pt idx="1">
                  <c:v>1</c:v>
                </c:pt>
                <c:pt idx="2">
                  <c:v>0</c:v>
                </c:pt>
                <c:pt idx="3">
                  <c:v>1</c:v>
                </c:pt>
                <c:pt idx="4">
                  <c:v>0</c:v>
                </c:pt>
                <c:pt idx="5">
                  <c:v>1</c:v>
                </c:pt>
                <c:pt idx="6">
                  <c:v>1</c:v>
                </c:pt>
                <c:pt idx="7">
                  <c:v>1</c:v>
                </c:pt>
                <c:pt idx="8">
                  <c:v>0</c:v>
                </c:pt>
                <c:pt idx="9">
                  <c:v>0</c:v>
                </c:pt>
                <c:pt idx="10">
                  <c:v>1</c:v>
                </c:pt>
                <c:pt idx="11">
                  <c:v>1</c:v>
                </c:pt>
                <c:pt idx="12">
                  <c:v>1</c:v>
                </c:pt>
                <c:pt idx="13">
                  <c:v>0</c:v>
                </c:pt>
                <c:pt idx="14">
                  <c:v>1</c:v>
                </c:pt>
                <c:pt idx="15">
                  <c:v>1</c:v>
                </c:pt>
                <c:pt idx="16">
                  <c:v>1</c:v>
                </c:pt>
                <c:pt idx="17">
                  <c:v>0</c:v>
                </c:pt>
                <c:pt idx="18">
                  <c:v>1</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20</c:v>
                </c:pt>
              </c:numCache>
            </c:numRef>
          </c:val>
          <c:extLst xmlns:c16r2="http://schemas.microsoft.com/office/drawing/2015/06/chart">
            <c:ext xmlns:c16="http://schemas.microsoft.com/office/drawing/2014/chart" uri="{C3380CC4-5D6E-409C-BE32-E72D297353CC}">
              <c16:uniqueId val="{00000000-188A-43DB-8C56-AAF2C5580DC5}"/>
            </c:ext>
          </c:extLst>
        </c:ser>
        <c:ser>
          <c:idx val="1"/>
          <c:order val="1"/>
          <c:tx>
            <c:strRef>
              <c:f>'AKTET E KRYETARIT '!$AN$3</c:f>
              <c:strCache>
                <c:ptCount val="1"/>
                <c:pt idx="0">
                  <c:v>Lista e pronave komunale të dhëna në shfrytëzim </c:v>
                </c:pt>
              </c:strCache>
            </c:strRef>
          </c:tx>
          <c:spPr>
            <a:solidFill>
              <a:schemeClr val="accent2"/>
            </a:solidFill>
            <a:ln>
              <a:noFill/>
            </a:ln>
            <a:effectLst/>
          </c:spPr>
          <c:invertIfNegative val="0"/>
          <c:dLbls>
            <c:dLbl>
              <c:idx val="0"/>
              <c:layout>
                <c:manualLayout>
                  <c:x val="0"/>
                  <c:y val="-0.137111517367458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8A-43DB-8C56-AAF2C5580DC5}"/>
                </c:ext>
                <c:ext xmlns:c15="http://schemas.microsoft.com/office/drawing/2012/chart" uri="{CE6537A1-D6FC-4f65-9D91-7224C49458BB}"/>
              </c:extLst>
            </c:dLbl>
            <c:dLbl>
              <c:idx val="1"/>
              <c:layout>
                <c:manualLayout>
                  <c:x val="1.0462439840970915E-2"/>
                  <c:y val="-0.15996343692870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8A-43DB-8C56-AAF2C5580DC5}"/>
                </c:ext>
                <c:ext xmlns:c15="http://schemas.microsoft.com/office/drawing/2012/chart" uri="{CE6537A1-D6FC-4f65-9D91-7224C49458BB}"/>
              </c:extLst>
            </c:dLbl>
            <c:dLbl>
              <c:idx val="2"/>
              <c:layout>
                <c:manualLayout>
                  <c:x val="6.2774639045825482E-3"/>
                  <c:y val="-0.182815356489945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8A-43DB-8C56-AAF2C5580DC5}"/>
                </c:ext>
                <c:ext xmlns:c15="http://schemas.microsoft.com/office/drawing/2012/chart" uri="{CE6537A1-D6FC-4f65-9D91-7224C49458BB}"/>
              </c:extLst>
            </c:dLbl>
            <c:dLbl>
              <c:idx val="3"/>
              <c:layout>
                <c:manualLayout>
                  <c:x val="4.1849759363883658E-3"/>
                  <c:y val="-0.12340036563071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8A-43DB-8C56-AAF2C5580DC5}"/>
                </c:ext>
                <c:ext xmlns:c15="http://schemas.microsoft.com/office/drawing/2012/chart" uri="{CE6537A1-D6FC-4f65-9D91-7224C49458BB}"/>
              </c:extLst>
            </c:dLbl>
            <c:dLbl>
              <c:idx val="4"/>
              <c:layout>
                <c:manualLayout>
                  <c:x val="1.0462439840970896E-2"/>
                  <c:y val="-0.12340036563071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8A-43DB-8C56-AAF2C5580DC5}"/>
                </c:ext>
                <c:ext xmlns:c15="http://schemas.microsoft.com/office/drawing/2012/chart" uri="{CE6537A1-D6FC-4f65-9D91-7224C49458BB}"/>
              </c:extLst>
            </c:dLbl>
            <c:dLbl>
              <c:idx val="5"/>
              <c:layout>
                <c:manualLayout>
                  <c:x val="8.3699518727767125E-3"/>
                  <c:y val="-0.12340036563071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8A-43DB-8C56-AAF2C5580DC5}"/>
                </c:ext>
                <c:ext xmlns:c15="http://schemas.microsoft.com/office/drawing/2012/chart" uri="{CE6537A1-D6FC-4f65-9D91-7224C49458BB}"/>
              </c:extLst>
            </c:dLbl>
            <c:dLbl>
              <c:idx val="6"/>
              <c:layout>
                <c:manualLayout>
                  <c:x val="4.1849759363883658E-3"/>
                  <c:y val="-0.164533820840950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88A-43DB-8C56-AAF2C5580DC5}"/>
                </c:ext>
                <c:ext xmlns:c15="http://schemas.microsoft.com/office/drawing/2012/chart" uri="{CE6537A1-D6FC-4f65-9D91-7224C49458BB}"/>
              </c:extLst>
            </c:dLbl>
            <c:dLbl>
              <c:idx val="7"/>
              <c:layout>
                <c:manualLayout>
                  <c:x val="6.2774639045825482E-3"/>
                  <c:y val="-0.164533820840950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88A-43DB-8C56-AAF2C5580DC5}"/>
                </c:ext>
                <c:ext xmlns:c15="http://schemas.microsoft.com/office/drawing/2012/chart" uri="{CE6537A1-D6FC-4f65-9D91-7224C49458BB}"/>
              </c:extLst>
            </c:dLbl>
            <c:dLbl>
              <c:idx val="8"/>
              <c:layout>
                <c:manualLayout>
                  <c:x val="6.2774639045825482E-3"/>
                  <c:y val="-0.164533820840950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88A-43DB-8C56-AAF2C5580DC5}"/>
                </c:ext>
                <c:ext xmlns:c15="http://schemas.microsoft.com/office/drawing/2012/chart" uri="{CE6537A1-D6FC-4f65-9D91-7224C49458BB}"/>
              </c:extLst>
            </c:dLbl>
            <c:dLbl>
              <c:idx val="9"/>
              <c:layout>
                <c:manualLayout>
                  <c:x val="0"/>
                  <c:y val="-0.187385740402193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88A-43DB-8C56-AAF2C5580DC5}"/>
                </c:ext>
                <c:ext xmlns:c15="http://schemas.microsoft.com/office/drawing/2012/chart" uri="{CE6537A1-D6FC-4f65-9D91-7224C49458BB}"/>
              </c:extLst>
            </c:dLbl>
            <c:dLbl>
              <c:idx val="10"/>
              <c:layout>
                <c:manualLayout>
                  <c:x val="6.2774639045825101E-3"/>
                  <c:y val="-0.187385740402193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88A-43DB-8C56-AAF2C5580DC5}"/>
                </c:ext>
                <c:ext xmlns:c15="http://schemas.microsoft.com/office/drawing/2012/chart" uri="{CE6537A1-D6FC-4f65-9D91-7224C49458BB}"/>
              </c:extLst>
            </c:dLbl>
            <c:dLbl>
              <c:idx val="11"/>
              <c:layout>
                <c:manualLayout>
                  <c:x val="6.2774639045825101E-3"/>
                  <c:y val="-0.214808043875685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88A-43DB-8C56-AAF2C5580DC5}"/>
                </c:ext>
                <c:ext xmlns:c15="http://schemas.microsoft.com/office/drawing/2012/chart" uri="{CE6537A1-D6FC-4f65-9D91-7224C49458BB}"/>
              </c:extLst>
            </c:dLbl>
            <c:dLbl>
              <c:idx val="12"/>
              <c:layout>
                <c:manualLayout>
                  <c:x val="1.2554927809165058E-2"/>
                  <c:y val="-0.182815356489945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88A-43DB-8C56-AAF2C5580DC5}"/>
                </c:ext>
                <c:ext xmlns:c15="http://schemas.microsoft.com/office/drawing/2012/chart" uri="{CE6537A1-D6FC-4f65-9D91-7224C49458BB}"/>
              </c:extLst>
            </c:dLbl>
            <c:dLbl>
              <c:idx val="13"/>
              <c:layout>
                <c:manualLayout>
                  <c:x val="4.1849759363883276E-3"/>
                  <c:y val="-0.141681901279707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88A-43DB-8C56-AAF2C5580DC5}"/>
                </c:ext>
                <c:ext xmlns:c15="http://schemas.microsoft.com/office/drawing/2012/chart" uri="{CE6537A1-D6FC-4f65-9D91-7224C49458BB}"/>
              </c:extLst>
            </c:dLbl>
            <c:dLbl>
              <c:idx val="14"/>
              <c:layout>
                <c:manualLayout>
                  <c:x val="-7.6723672515374723E-17"/>
                  <c:y val="-0.169104204753199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88A-43DB-8C56-AAF2C5580DC5}"/>
                </c:ext>
                <c:ext xmlns:c15="http://schemas.microsoft.com/office/drawing/2012/chart" uri="{CE6537A1-D6FC-4f65-9D91-7224C49458BB}"/>
              </c:extLst>
            </c:dLbl>
            <c:dLbl>
              <c:idx val="15"/>
              <c:layout>
                <c:manualLayout>
                  <c:x val="0"/>
                  <c:y val="-0.182815356489945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88A-43DB-8C56-AAF2C5580DC5}"/>
                </c:ext>
                <c:ext xmlns:c15="http://schemas.microsoft.com/office/drawing/2012/chart" uri="{CE6537A1-D6FC-4f65-9D91-7224C49458BB}"/>
              </c:extLst>
            </c:dLbl>
            <c:dLbl>
              <c:idx val="16"/>
              <c:layout>
                <c:manualLayout>
                  <c:x val="2.0924879681941829E-3"/>
                  <c:y val="-0.173674588665447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88A-43DB-8C56-AAF2C5580DC5}"/>
                </c:ext>
                <c:ext xmlns:c15="http://schemas.microsoft.com/office/drawing/2012/chart" uri="{CE6537A1-D6FC-4f65-9D91-7224C49458BB}"/>
              </c:extLst>
            </c:dLbl>
            <c:dLbl>
              <c:idx val="17"/>
              <c:layout>
                <c:manualLayout>
                  <c:x val="6.2774639045825482E-3"/>
                  <c:y val="-0.182815356489945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88A-43DB-8C56-AAF2C5580DC5}"/>
                </c:ext>
                <c:ext xmlns:c15="http://schemas.microsoft.com/office/drawing/2012/chart" uri="{CE6537A1-D6FC-4f65-9D91-7224C49458BB}"/>
              </c:extLst>
            </c:dLbl>
            <c:dLbl>
              <c:idx val="18"/>
              <c:layout>
                <c:manualLayout>
                  <c:x val="1.0462439840970915E-2"/>
                  <c:y val="-0.191956124314442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88A-43DB-8C56-AAF2C5580DC5}"/>
                </c:ext>
                <c:ext xmlns:c15="http://schemas.microsoft.com/office/drawing/2012/chart" uri="{CE6537A1-D6FC-4f65-9D91-7224C49458BB}"/>
              </c:extLst>
            </c:dLbl>
            <c:dLbl>
              <c:idx val="19"/>
              <c:layout>
                <c:manualLayout>
                  <c:x val="1.255492780916502E-2"/>
                  <c:y val="-0.182815356489945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88A-43DB-8C56-AAF2C5580DC5}"/>
                </c:ext>
                <c:ext xmlns:c15="http://schemas.microsoft.com/office/drawing/2012/chart" uri="{CE6537A1-D6FC-4f65-9D91-7224C49458BB}"/>
              </c:extLst>
            </c:dLbl>
            <c:dLbl>
              <c:idx val="20"/>
              <c:layout>
                <c:manualLayout>
                  <c:x val="1.0462439840970915E-2"/>
                  <c:y val="-0.182815356489945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88A-43DB-8C56-AAF2C5580DC5}"/>
                </c:ext>
                <c:ext xmlns:c15="http://schemas.microsoft.com/office/drawing/2012/chart" uri="{CE6537A1-D6FC-4f65-9D91-7224C49458BB}"/>
              </c:extLst>
            </c:dLbl>
            <c:dLbl>
              <c:idx val="21"/>
              <c:layout>
                <c:manualLayout>
                  <c:x val="1.255492780916502E-2"/>
                  <c:y val="-0.196526508226691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88A-43DB-8C56-AAF2C5580DC5}"/>
                </c:ext>
                <c:ext xmlns:c15="http://schemas.microsoft.com/office/drawing/2012/chart" uri="{CE6537A1-D6FC-4f65-9D91-7224C49458BB}"/>
              </c:extLst>
            </c:dLbl>
            <c:dLbl>
              <c:idx val="22"/>
              <c:layout>
                <c:manualLayout>
                  <c:x val="1.255492780916502E-2"/>
                  <c:y val="-0.178244972577696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88A-43DB-8C56-AAF2C5580DC5}"/>
                </c:ext>
                <c:ext xmlns:c15="http://schemas.microsoft.com/office/drawing/2012/chart" uri="{CE6537A1-D6FC-4f65-9D91-7224C49458BB}"/>
              </c:extLst>
            </c:dLbl>
            <c:dLbl>
              <c:idx val="23"/>
              <c:layout>
                <c:manualLayout>
                  <c:x val="8.3699518727766552E-3"/>
                  <c:y val="-0.15996343692870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188A-43DB-8C56-AAF2C5580DC5}"/>
                </c:ext>
                <c:ext xmlns:c15="http://schemas.microsoft.com/office/drawing/2012/chart" uri="{CE6537A1-D6FC-4f65-9D91-7224C49458BB}"/>
              </c:extLst>
            </c:dLbl>
            <c:dLbl>
              <c:idx val="24"/>
              <c:layout>
                <c:manualLayout>
                  <c:x val="2.0924879681941061E-3"/>
                  <c:y val="-0.19652650822669107"/>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88A-43DB-8C56-AAF2C5580DC5}"/>
                </c:ext>
                <c:ext xmlns:c15="http://schemas.microsoft.com/office/drawing/2012/chart" uri="{CE6537A1-D6FC-4f65-9D91-7224C49458BB}"/>
              </c:extLst>
            </c:dLbl>
            <c:dLbl>
              <c:idx val="25"/>
              <c:layout>
                <c:manualLayout>
                  <c:x val="0"/>
                  <c:y val="-0.155393053016453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188A-43DB-8C56-AAF2C5580DC5}"/>
                </c:ext>
                <c:ext xmlns:c15="http://schemas.microsoft.com/office/drawing/2012/chart" uri="{CE6537A1-D6FC-4f65-9D91-7224C49458BB}"/>
              </c:extLst>
            </c:dLbl>
            <c:dLbl>
              <c:idx val="26"/>
              <c:layout>
                <c:manualLayout>
                  <c:x val="0"/>
                  <c:y val="-0.191956124314442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188A-43DB-8C56-AAF2C5580DC5}"/>
                </c:ext>
                <c:ext xmlns:c15="http://schemas.microsoft.com/office/drawing/2012/chart" uri="{CE6537A1-D6FC-4f65-9D91-7224C49458BB}"/>
              </c:extLst>
            </c:dLbl>
            <c:dLbl>
              <c:idx val="27"/>
              <c:layout>
                <c:manualLayout>
                  <c:x val="0"/>
                  <c:y val="-0.169104204753199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188A-43DB-8C56-AAF2C5580DC5}"/>
                </c:ext>
                <c:ext xmlns:c15="http://schemas.microsoft.com/office/drawing/2012/chart" uri="{CE6537A1-D6FC-4f65-9D91-7224C49458BB}"/>
              </c:extLst>
            </c:dLbl>
            <c:dLbl>
              <c:idx val="28"/>
              <c:layout>
                <c:manualLayout>
                  <c:x val="0"/>
                  <c:y val="-0.141681901279707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188A-43DB-8C56-AAF2C5580DC5}"/>
                </c:ext>
                <c:ext xmlns:c15="http://schemas.microsoft.com/office/drawing/2012/chart" uri="{CE6537A1-D6FC-4f65-9D91-7224C49458BB}"/>
              </c:extLst>
            </c:dLbl>
            <c:dLbl>
              <c:idx val="29"/>
              <c:layout>
                <c:manualLayout>
                  <c:x val="-2.0924879681943364E-3"/>
                  <c:y val="-0.178244972577696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188A-43DB-8C56-AAF2C5580DC5}"/>
                </c:ext>
                <c:ext xmlns:c15="http://schemas.microsoft.com/office/drawing/2012/chart" uri="{CE6537A1-D6FC-4f65-9D91-7224C49458BB}"/>
              </c:extLst>
            </c:dLbl>
            <c:dLbl>
              <c:idx val="30"/>
              <c:layout>
                <c:manualLayout>
                  <c:x val="0"/>
                  <c:y val="-0.132541133455210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188A-43DB-8C56-AAF2C5580DC5}"/>
                </c:ext>
                <c:ext xmlns:c15="http://schemas.microsoft.com/office/drawing/2012/chart" uri="{CE6537A1-D6FC-4f65-9D91-7224C49458BB}"/>
              </c:extLst>
            </c:dLbl>
            <c:dLbl>
              <c:idx val="31"/>
              <c:layout>
                <c:manualLayout>
                  <c:x val="4.1849759363883658E-3"/>
                  <c:y val="-0.146252285191956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188A-43DB-8C56-AAF2C5580DC5}"/>
                </c:ext>
                <c:ext xmlns:c15="http://schemas.microsoft.com/office/drawing/2012/chart" uri="{CE6537A1-D6FC-4f65-9D91-7224C49458BB}"/>
              </c:extLst>
            </c:dLbl>
            <c:dLbl>
              <c:idx val="32"/>
              <c:layout>
                <c:manualLayout>
                  <c:x val="0"/>
                  <c:y val="-0.182815356489945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188A-43DB-8C56-AAF2C5580DC5}"/>
                </c:ext>
                <c:ext xmlns:c15="http://schemas.microsoft.com/office/drawing/2012/chart" uri="{CE6537A1-D6FC-4f65-9D91-7224C49458BB}"/>
              </c:extLst>
            </c:dLbl>
            <c:dLbl>
              <c:idx val="33"/>
              <c:layout>
                <c:manualLayout>
                  <c:x val="-2.0924879681941829E-3"/>
                  <c:y val="-0.141681901279707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188A-43DB-8C56-AAF2C5580DC5}"/>
                </c:ext>
                <c:ext xmlns:c15="http://schemas.microsoft.com/office/drawing/2012/chart" uri="{CE6537A1-D6FC-4f65-9D91-7224C49458BB}"/>
              </c:extLst>
            </c:dLbl>
            <c:dLbl>
              <c:idx val="34"/>
              <c:layout>
                <c:manualLayout>
                  <c:x val="-4.1849759363883658E-3"/>
                  <c:y val="-0.14625228519195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188A-43DB-8C56-AAF2C5580DC5}"/>
                </c:ext>
                <c:ext xmlns:c15="http://schemas.microsoft.com/office/drawing/2012/chart" uri="{CE6537A1-D6FC-4f65-9D91-7224C49458BB}"/>
              </c:extLst>
            </c:dLbl>
            <c:dLbl>
              <c:idx val="35"/>
              <c:layout>
                <c:manualLayout>
                  <c:x val="-6.2774639045825482E-3"/>
                  <c:y val="-0.14625228519195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188A-43DB-8C56-AAF2C5580DC5}"/>
                </c:ext>
                <c:ext xmlns:c15="http://schemas.microsoft.com/office/drawing/2012/chart" uri="{CE6537A1-D6FC-4f65-9D91-7224C49458BB}"/>
              </c:extLst>
            </c:dLbl>
            <c:dLbl>
              <c:idx val="36"/>
              <c:layout>
                <c:manualLayout>
                  <c:x val="-1.0462439840970915E-2"/>
                  <c:y val="-0.137111517367458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188A-43DB-8C56-AAF2C5580DC5}"/>
                </c:ext>
                <c:ext xmlns:c15="http://schemas.microsoft.com/office/drawing/2012/chart" uri="{CE6537A1-D6FC-4f65-9D91-7224C49458BB}"/>
              </c:extLst>
            </c:dLbl>
            <c:dLbl>
              <c:idx val="37"/>
              <c:layout>
                <c:manualLayout>
                  <c:x val="-6.2774639045827018E-3"/>
                  <c:y val="-0.10968921389396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188A-43DB-8C56-AAF2C5580DC5}"/>
                </c:ext>
                <c:ext xmlns:c15="http://schemas.microsoft.com/office/drawing/2012/chart" uri="{CE6537A1-D6FC-4f65-9D91-7224C49458BB}"/>
              </c:extLst>
            </c:dLbl>
            <c:dLbl>
              <c:idx val="38"/>
              <c:layout>
                <c:manualLayout>
                  <c:x val="2.0924879681940294E-3"/>
                  <c:y val="-0.11882998171846434"/>
                </c:manualLayout>
              </c:layout>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188A-43DB-8C56-AAF2C5580D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'!$AN$4:$AN$43</c:f>
              <c:numCache>
                <c:formatCode>General</c:formatCode>
                <c:ptCount val="40"/>
                <c:pt idx="0">
                  <c:v>0</c:v>
                </c:pt>
                <c:pt idx="1">
                  <c:v>1</c:v>
                </c:pt>
                <c:pt idx="2">
                  <c:v>0</c:v>
                </c:pt>
                <c:pt idx="3">
                  <c:v>1</c:v>
                </c:pt>
                <c:pt idx="4">
                  <c:v>1</c:v>
                </c:pt>
                <c:pt idx="5">
                  <c:v>1</c:v>
                </c:pt>
                <c:pt idx="6">
                  <c:v>1</c:v>
                </c:pt>
                <c:pt idx="7">
                  <c:v>1</c:v>
                </c:pt>
                <c:pt idx="8">
                  <c:v>1</c:v>
                </c:pt>
                <c:pt idx="9">
                  <c:v>0</c:v>
                </c:pt>
                <c:pt idx="10">
                  <c:v>0</c:v>
                </c:pt>
                <c:pt idx="11">
                  <c:v>0</c:v>
                </c:pt>
                <c:pt idx="12">
                  <c:v>1</c:v>
                </c:pt>
                <c:pt idx="13">
                  <c:v>0</c:v>
                </c:pt>
                <c:pt idx="14">
                  <c:v>1</c:v>
                </c:pt>
                <c:pt idx="15">
                  <c:v>1</c:v>
                </c:pt>
                <c:pt idx="16">
                  <c:v>1</c:v>
                </c:pt>
                <c:pt idx="17">
                  <c:v>0</c:v>
                </c:pt>
                <c:pt idx="18">
                  <c:v>1</c:v>
                </c:pt>
                <c:pt idx="19">
                  <c:v>0</c:v>
                </c:pt>
                <c:pt idx="20">
                  <c:v>0</c:v>
                </c:pt>
                <c:pt idx="21">
                  <c:v>0</c:v>
                </c:pt>
                <c:pt idx="22">
                  <c:v>1</c:v>
                </c:pt>
                <c:pt idx="23">
                  <c:v>1</c:v>
                </c:pt>
                <c:pt idx="24">
                  <c:v>0</c:v>
                </c:pt>
                <c:pt idx="25">
                  <c:v>0</c:v>
                </c:pt>
                <c:pt idx="26">
                  <c:v>1</c:v>
                </c:pt>
                <c:pt idx="27">
                  <c:v>0</c:v>
                </c:pt>
                <c:pt idx="28">
                  <c:v>0</c:v>
                </c:pt>
                <c:pt idx="29">
                  <c:v>0</c:v>
                </c:pt>
                <c:pt idx="30">
                  <c:v>1</c:v>
                </c:pt>
                <c:pt idx="31">
                  <c:v>1</c:v>
                </c:pt>
                <c:pt idx="32">
                  <c:v>0</c:v>
                </c:pt>
                <c:pt idx="33">
                  <c:v>0</c:v>
                </c:pt>
                <c:pt idx="34">
                  <c:v>0</c:v>
                </c:pt>
                <c:pt idx="35">
                  <c:v>0</c:v>
                </c:pt>
                <c:pt idx="36">
                  <c:v>0</c:v>
                </c:pt>
                <c:pt idx="37">
                  <c:v>1</c:v>
                </c:pt>
                <c:pt idx="38">
                  <c:v>18</c:v>
                </c:pt>
              </c:numCache>
            </c:numRef>
          </c:val>
          <c:extLst xmlns:c16r2="http://schemas.microsoft.com/office/drawing/2015/06/chart">
            <c:ext xmlns:c16="http://schemas.microsoft.com/office/drawing/2014/chart" uri="{C3380CC4-5D6E-409C-BE32-E72D297353CC}">
              <c16:uniqueId val="{00000001-188A-43DB-8C56-AAF2C5580DC5}"/>
            </c:ext>
          </c:extLst>
        </c:ser>
        <c:dLbls>
          <c:showLegendKey val="0"/>
          <c:showVal val="1"/>
          <c:showCatName val="0"/>
          <c:showSerName val="0"/>
          <c:showPercent val="0"/>
          <c:showBubbleSize val="0"/>
        </c:dLbls>
        <c:gapWidth val="150"/>
        <c:overlap val="-25"/>
        <c:axId val="559913656"/>
        <c:axId val="559915616"/>
      </c:barChart>
      <c:catAx>
        <c:axId val="55991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sq-AL"/>
          </a:p>
        </c:txPr>
        <c:crossAx val="559915616"/>
        <c:crosses val="autoZero"/>
        <c:auto val="1"/>
        <c:lblAlgn val="ctr"/>
        <c:lblOffset val="100"/>
        <c:noMultiLvlLbl val="0"/>
      </c:catAx>
      <c:valAx>
        <c:axId val="559915616"/>
        <c:scaling>
          <c:orientation val="minMax"/>
        </c:scaling>
        <c:delete val="1"/>
        <c:axPos val="l"/>
        <c:numFmt formatCode="General" sourceLinked="1"/>
        <c:majorTickMark val="none"/>
        <c:minorTickMark val="none"/>
        <c:tickLblPos val="nextTo"/>
        <c:crossAx val="559913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3952724885097E-2"/>
          <c:y val="0.24746089339215008"/>
          <c:w val="0.95184942000437733"/>
          <c:h val="0.3284172174462896"/>
        </c:manualLayout>
      </c:layout>
      <c:barChart>
        <c:barDir val="col"/>
        <c:grouping val="clustered"/>
        <c:varyColors val="0"/>
        <c:ser>
          <c:idx val="0"/>
          <c:order val="0"/>
          <c:tx>
            <c:strRef>
              <c:f>'PUBLIKIMI K.K PLANET STRATEGJIK'!$N$7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0</c:v>
                </c:pt>
                <c:pt idx="1">
                  <c:v>1</c:v>
                </c:pt>
                <c:pt idx="2">
                  <c:v>0</c:v>
                </c:pt>
                <c:pt idx="3">
                  <c:v>0</c:v>
                </c:pt>
                <c:pt idx="4">
                  <c:v>1</c:v>
                </c:pt>
                <c:pt idx="5">
                  <c:v>1</c:v>
                </c:pt>
                <c:pt idx="6">
                  <c:v>1</c:v>
                </c:pt>
                <c:pt idx="7">
                  <c:v>1</c:v>
                </c:pt>
                <c:pt idx="8">
                  <c:v>1</c:v>
                </c:pt>
                <c:pt idx="9">
                  <c:v>0</c:v>
                </c:pt>
                <c:pt idx="10">
                  <c:v>1</c:v>
                </c:pt>
                <c:pt idx="11">
                  <c:v>0</c:v>
                </c:pt>
                <c:pt idx="12">
                  <c:v>0</c:v>
                </c:pt>
                <c:pt idx="13">
                  <c:v>0</c:v>
                </c:pt>
                <c:pt idx="14">
                  <c:v>1</c:v>
                </c:pt>
                <c:pt idx="15">
                  <c:v>1</c:v>
                </c:pt>
                <c:pt idx="16">
                  <c:v>1</c:v>
                </c:pt>
                <c:pt idx="17">
                  <c:v>0</c:v>
                </c:pt>
                <c:pt idx="18">
                  <c:v>0</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18</c:v>
                </c:pt>
              </c:numCache>
            </c:numRef>
          </c:val>
          <c:extLst xmlns:c16r2="http://schemas.microsoft.com/office/drawing/2015/06/chart">
            <c:ext xmlns:c16="http://schemas.microsoft.com/office/drawing/2014/chart" uri="{C3380CC4-5D6E-409C-BE32-E72D297353CC}">
              <c16:uniqueId val="{00000000-8EDD-4D76-A497-2A0EDC2D5B4D}"/>
            </c:ext>
          </c:extLst>
        </c:ser>
        <c:dLbls>
          <c:showLegendKey val="0"/>
          <c:showVal val="1"/>
          <c:showCatName val="0"/>
          <c:showSerName val="0"/>
          <c:showPercent val="0"/>
          <c:showBubbleSize val="0"/>
        </c:dLbls>
        <c:gapWidth val="150"/>
        <c:overlap val="-25"/>
        <c:axId val="559909736"/>
        <c:axId val="559910128"/>
      </c:barChart>
      <c:catAx>
        <c:axId val="55990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9910128"/>
        <c:crosses val="autoZero"/>
        <c:auto val="1"/>
        <c:lblAlgn val="ctr"/>
        <c:lblOffset val="100"/>
        <c:noMultiLvlLbl val="0"/>
      </c:catAx>
      <c:valAx>
        <c:axId val="559910128"/>
        <c:scaling>
          <c:orientation val="minMax"/>
        </c:scaling>
        <c:delete val="1"/>
        <c:axPos val="l"/>
        <c:numFmt formatCode="General" sourceLinked="1"/>
        <c:majorTickMark val="none"/>
        <c:minorTickMark val="none"/>
        <c:tickLblPos val="nextTo"/>
        <c:crossAx val="559909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'!$M$7</c:f>
              <c:strCache>
                <c:ptCount val="1"/>
                <c:pt idx="0">
                  <c:v>Njoftime për mbledhjet e Komitetit për Politik dhe Financa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'!$M$8:$M$46</c:f>
              <c:numCache>
                <c:formatCode>General</c:formatCode>
                <c:ptCount val="39"/>
                <c:pt idx="0">
                  <c:v>9</c:v>
                </c:pt>
                <c:pt idx="1">
                  <c:v>8</c:v>
                </c:pt>
                <c:pt idx="2">
                  <c:v>0</c:v>
                </c:pt>
                <c:pt idx="3">
                  <c:v>4</c:v>
                </c:pt>
                <c:pt idx="4">
                  <c:v>4</c:v>
                </c:pt>
                <c:pt idx="5">
                  <c:v>8</c:v>
                </c:pt>
                <c:pt idx="6">
                  <c:v>11</c:v>
                </c:pt>
                <c:pt idx="7">
                  <c:v>8</c:v>
                </c:pt>
                <c:pt idx="8">
                  <c:v>9</c:v>
                </c:pt>
                <c:pt idx="9">
                  <c:v>0</c:v>
                </c:pt>
                <c:pt idx="10">
                  <c:v>10</c:v>
                </c:pt>
                <c:pt idx="11">
                  <c:v>8</c:v>
                </c:pt>
                <c:pt idx="12">
                  <c:v>10</c:v>
                </c:pt>
                <c:pt idx="13">
                  <c:v>0</c:v>
                </c:pt>
                <c:pt idx="14">
                  <c:v>7</c:v>
                </c:pt>
                <c:pt idx="15">
                  <c:v>6</c:v>
                </c:pt>
                <c:pt idx="16">
                  <c:v>10</c:v>
                </c:pt>
                <c:pt idx="17">
                  <c:v>1</c:v>
                </c:pt>
                <c:pt idx="18">
                  <c:v>8</c:v>
                </c:pt>
                <c:pt idx="19">
                  <c:v>0</c:v>
                </c:pt>
                <c:pt idx="20">
                  <c:v>6</c:v>
                </c:pt>
                <c:pt idx="21">
                  <c:v>7</c:v>
                </c:pt>
                <c:pt idx="22">
                  <c:v>8</c:v>
                </c:pt>
                <c:pt idx="23">
                  <c:v>10</c:v>
                </c:pt>
                <c:pt idx="24">
                  <c:v>10</c:v>
                </c:pt>
                <c:pt idx="25">
                  <c:v>0</c:v>
                </c:pt>
                <c:pt idx="26">
                  <c:v>9</c:v>
                </c:pt>
                <c:pt idx="27">
                  <c:v>0</c:v>
                </c:pt>
                <c:pt idx="28">
                  <c:v>7</c:v>
                </c:pt>
                <c:pt idx="29">
                  <c:v>12</c:v>
                </c:pt>
                <c:pt idx="30">
                  <c:v>10</c:v>
                </c:pt>
                <c:pt idx="31">
                  <c:v>8</c:v>
                </c:pt>
                <c:pt idx="32">
                  <c:v>0</c:v>
                </c:pt>
                <c:pt idx="33">
                  <c:v>0</c:v>
                </c:pt>
                <c:pt idx="34">
                  <c:v>0</c:v>
                </c:pt>
                <c:pt idx="35">
                  <c:v>0</c:v>
                </c:pt>
                <c:pt idx="36">
                  <c:v>2</c:v>
                </c:pt>
                <c:pt idx="37">
                  <c:v>8</c:v>
                </c:pt>
              </c:numCache>
            </c:numRef>
          </c:val>
          <c:extLst xmlns:c16r2="http://schemas.microsoft.com/office/drawing/2015/06/chart">
            <c:ext xmlns:c16="http://schemas.microsoft.com/office/drawing/2014/chart" uri="{C3380CC4-5D6E-409C-BE32-E72D297353CC}">
              <c16:uniqueId val="{00000000-2799-4DDA-A509-925DABCC8BDA}"/>
            </c:ext>
          </c:extLst>
        </c:ser>
        <c:ser>
          <c:idx val="1"/>
          <c:order val="1"/>
          <c:tx>
            <c:strRef>
              <c:f>'PUBLIKIMI I FTESAVE '!$N$7</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'!$N$8:$N$46</c:f>
              <c:numCache>
                <c:formatCode>General</c:formatCode>
                <c:ptCount val="39"/>
              </c:numCache>
            </c:numRef>
          </c:val>
          <c:extLst xmlns:c16r2="http://schemas.microsoft.com/office/drawing/2015/06/chart">
            <c:ext xmlns:c16="http://schemas.microsoft.com/office/drawing/2014/chart" uri="{C3380CC4-5D6E-409C-BE32-E72D297353CC}">
              <c16:uniqueId val="{00000001-2799-4DDA-A509-925DABCC8BDA}"/>
            </c:ext>
          </c:extLst>
        </c:ser>
        <c:dLbls>
          <c:showLegendKey val="0"/>
          <c:showVal val="1"/>
          <c:showCatName val="0"/>
          <c:showSerName val="0"/>
          <c:showPercent val="0"/>
          <c:showBubbleSize val="0"/>
        </c:dLbls>
        <c:gapWidth val="150"/>
        <c:overlap val="-25"/>
        <c:axId val="355320136"/>
        <c:axId val="355323272"/>
      </c:barChart>
      <c:catAx>
        <c:axId val="35532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sq-AL"/>
          </a:p>
        </c:txPr>
        <c:crossAx val="355323272"/>
        <c:crosses val="autoZero"/>
        <c:auto val="1"/>
        <c:lblAlgn val="ctr"/>
        <c:lblOffset val="100"/>
        <c:noMultiLvlLbl val="0"/>
      </c:catAx>
      <c:valAx>
        <c:axId val="355323272"/>
        <c:scaling>
          <c:orientation val="minMax"/>
        </c:scaling>
        <c:delete val="1"/>
        <c:axPos val="l"/>
        <c:numFmt formatCode="General" sourceLinked="1"/>
        <c:majorTickMark val="none"/>
        <c:minorTickMark val="none"/>
        <c:tickLblPos val="nextTo"/>
        <c:crossAx val="355320136"/>
        <c:crosses val="autoZero"/>
        <c:crossBetween val="between"/>
      </c:valAx>
      <c:spPr>
        <a:noFill/>
        <a:ln>
          <a:noFill/>
        </a:ln>
        <a:effectLst/>
      </c:spPr>
    </c:plotArea>
    <c:legend>
      <c:legendPos val="t"/>
      <c:legendEntry>
        <c:idx val="0"/>
        <c:delete val="1"/>
      </c:legendEntry>
      <c:overlay val="0"/>
      <c:spPr>
        <a:solidFill>
          <a:schemeClr val="bg1"/>
        </a:solid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31928548507861E-2"/>
          <c:y val="0.21903706009306825"/>
          <c:w val="0.96577174029307944"/>
          <c:h val="0.38268179561514298"/>
        </c:manualLayout>
      </c:layout>
      <c:barChart>
        <c:barDir val="col"/>
        <c:grouping val="clustered"/>
        <c:varyColors val="0"/>
        <c:ser>
          <c:idx val="0"/>
          <c:order val="0"/>
          <c:tx>
            <c:strRef>
              <c:f>'TRANSPARENCA FINANCIARE '!$D$7</c:f>
              <c:strCache>
                <c:ptCount val="1"/>
                <c:pt idx="0">
                  <c:v>Publikimi i planit të buxhetit për vitin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'!$D$8:$D$46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27</c:v>
                </c:pt>
              </c:numCache>
            </c:numRef>
          </c:val>
          <c:extLst xmlns:c16r2="http://schemas.microsoft.com/office/drawing/2015/06/chart">
            <c:ext xmlns:c16="http://schemas.microsoft.com/office/drawing/2014/chart" uri="{C3380CC4-5D6E-409C-BE32-E72D297353CC}">
              <c16:uniqueId val="{00000000-B7B2-4332-8B76-F51B824E84E7}"/>
            </c:ext>
          </c:extLst>
        </c:ser>
        <c:dLbls>
          <c:showLegendKey val="0"/>
          <c:showVal val="1"/>
          <c:showCatName val="0"/>
          <c:showSerName val="0"/>
          <c:showPercent val="0"/>
          <c:showBubbleSize val="0"/>
        </c:dLbls>
        <c:gapWidth val="150"/>
        <c:overlap val="-25"/>
        <c:axId val="559910912"/>
        <c:axId val="559905424"/>
      </c:barChart>
      <c:catAx>
        <c:axId val="5599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9905424"/>
        <c:crosses val="autoZero"/>
        <c:auto val="1"/>
        <c:lblAlgn val="ctr"/>
        <c:lblOffset val="100"/>
        <c:noMultiLvlLbl val="0"/>
      </c:catAx>
      <c:valAx>
        <c:axId val="559905424"/>
        <c:scaling>
          <c:orientation val="minMax"/>
        </c:scaling>
        <c:delete val="1"/>
        <c:axPos val="l"/>
        <c:numFmt formatCode="General" sourceLinked="1"/>
        <c:majorTickMark val="none"/>
        <c:minorTickMark val="none"/>
        <c:tickLblPos val="nextTo"/>
        <c:crossAx val="55991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1</c:v>
                </c:pt>
                <c:pt idx="3">
                  <c:v>1</c:v>
                </c:pt>
                <c:pt idx="4">
                  <c:v>1</c:v>
                </c:pt>
                <c:pt idx="5">
                  <c:v>1</c:v>
                </c:pt>
                <c:pt idx="6">
                  <c:v>1</c:v>
                </c:pt>
                <c:pt idx="7">
                  <c:v>1</c:v>
                </c:pt>
                <c:pt idx="8">
                  <c:v>1</c:v>
                </c:pt>
                <c:pt idx="9">
                  <c:v>0</c:v>
                </c:pt>
                <c:pt idx="10">
                  <c:v>1</c:v>
                </c:pt>
                <c:pt idx="11">
                  <c:v>1</c:v>
                </c:pt>
                <c:pt idx="12">
                  <c:v>1</c:v>
                </c:pt>
                <c:pt idx="13">
                  <c:v>0</c:v>
                </c:pt>
                <c:pt idx="14">
                  <c:v>1</c:v>
                </c:pt>
                <c:pt idx="15">
                  <c:v>1</c:v>
                </c:pt>
                <c:pt idx="16">
                  <c:v>1</c:v>
                </c:pt>
                <c:pt idx="17">
                  <c:v>1</c:v>
                </c:pt>
                <c:pt idx="18">
                  <c:v>1</c:v>
                </c:pt>
                <c:pt idx="19">
                  <c:v>1</c:v>
                </c:pt>
                <c:pt idx="20">
                  <c:v>1</c:v>
                </c:pt>
                <c:pt idx="21">
                  <c:v>1</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28</c:v>
                </c:pt>
              </c:numCache>
            </c:numRef>
          </c:val>
          <c:extLst xmlns:c16r2="http://schemas.microsoft.com/office/drawing/2015/06/chart">
            <c:ext xmlns:c16="http://schemas.microsoft.com/office/drawing/2014/chart" uri="{C3380CC4-5D6E-409C-BE32-E72D297353CC}">
              <c16:uniqueId val="{00000000-A24D-4ABA-A896-A00E7A9CDB79}"/>
            </c:ext>
          </c:extLst>
        </c:ser>
        <c:dLbls>
          <c:showLegendKey val="0"/>
          <c:showVal val="1"/>
          <c:showCatName val="0"/>
          <c:showSerName val="0"/>
          <c:showPercent val="0"/>
          <c:showBubbleSize val="0"/>
        </c:dLbls>
        <c:gapWidth val="150"/>
        <c:overlap val="-25"/>
        <c:axId val="559900720"/>
        <c:axId val="559905816"/>
      </c:barChart>
      <c:catAx>
        <c:axId val="55990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9905816"/>
        <c:crosses val="autoZero"/>
        <c:auto val="1"/>
        <c:lblAlgn val="ctr"/>
        <c:lblOffset val="100"/>
        <c:noMultiLvlLbl val="0"/>
      </c:catAx>
      <c:valAx>
        <c:axId val="559905816"/>
        <c:scaling>
          <c:orientation val="minMax"/>
        </c:scaling>
        <c:delete val="1"/>
        <c:axPos val="l"/>
        <c:numFmt formatCode="General" sourceLinked="1"/>
        <c:majorTickMark val="none"/>
        <c:minorTickMark val="none"/>
        <c:tickLblPos val="nextTo"/>
        <c:crossAx val="55990072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'TRANSPARENCA FINANCIARE '!$U$7</c:f>
              <c:strCache>
                <c:ptCount val="1"/>
                <c:pt idx="0">
                  <c:v>Publikimi i raporteve periodike financiare</c:v>
                </c:pt>
              </c:strCache>
            </c:strRef>
          </c:tx>
          <c:spPr>
            <a:solidFill>
              <a:schemeClr val="accent1"/>
            </a:solidFill>
            <a:ln>
              <a:noFill/>
            </a:ln>
            <a:effectLst/>
          </c:spPr>
          <c:invertIfNegative val="0"/>
          <c:dLbls>
            <c:dLbl>
              <c:idx val="0"/>
              <c:layout>
                <c:manualLayout>
                  <c:x val="-4.4316419233325945E-3"/>
                  <c:y val="-0.148548278190411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45F-4CAC-A549-EBD248812C22}"/>
                </c:ext>
                <c:ext xmlns:c15="http://schemas.microsoft.com/office/drawing/2012/chart" uri="{CE6537A1-D6FC-4f65-9D91-7224C49458BB}"/>
              </c:extLst>
            </c:dLbl>
            <c:dLbl>
              <c:idx val="1"/>
              <c:layout>
                <c:manualLayout>
                  <c:x val="0"/>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45F-4CAC-A549-EBD248812C22}"/>
                </c:ext>
                <c:ext xmlns:c15="http://schemas.microsoft.com/office/drawing/2012/chart" uri="{CE6537A1-D6FC-4f65-9D91-7224C49458BB}"/>
              </c:extLst>
            </c:dLbl>
            <c:dLbl>
              <c:idx val="2"/>
              <c:layout>
                <c:manualLayout>
                  <c:x val="8.8632838466651785E-3"/>
                  <c:y val="-0.229574611748818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45F-4CAC-A549-EBD248812C22}"/>
                </c:ext>
                <c:ext xmlns:c15="http://schemas.microsoft.com/office/drawing/2012/chart" uri="{CE6537A1-D6FC-4f65-9D91-7224C49458BB}"/>
              </c:extLst>
            </c:dLbl>
            <c:dLbl>
              <c:idx val="3"/>
              <c:layout>
                <c:manualLayout>
                  <c:x val="2.2158209616662955E-2"/>
                  <c:y val="-0.276839972991222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45F-4CAC-A549-EBD248812C22}"/>
                </c:ext>
                <c:ext xmlns:c15="http://schemas.microsoft.com/office/drawing/2012/chart" uri="{CE6537A1-D6FC-4f65-9D91-7224C49458BB}"/>
              </c:extLst>
            </c:dLbl>
            <c:dLbl>
              <c:idx val="4"/>
              <c:layout>
                <c:manualLayout>
                  <c:x val="6.6474628849988917E-3"/>
                  <c:y val="-0.155300472653612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45F-4CAC-A549-EBD248812C22}"/>
                </c:ext>
                <c:ext xmlns:c15="http://schemas.microsoft.com/office/drawing/2012/chart" uri="{CE6537A1-D6FC-4f65-9D91-7224C49458BB}"/>
              </c:extLst>
            </c:dLbl>
            <c:dLbl>
              <c:idx val="5"/>
              <c:layout>
                <c:manualLayout>
                  <c:x val="-2.0311457508917339E-17"/>
                  <c:y val="-0.209318028359216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45F-4CAC-A549-EBD248812C22}"/>
                </c:ext>
                <c:ext xmlns:c15="http://schemas.microsoft.com/office/drawing/2012/chart" uri="{CE6537A1-D6FC-4f65-9D91-7224C49458BB}"/>
              </c:extLst>
            </c:dLbl>
            <c:dLbl>
              <c:idx val="6"/>
              <c:layout>
                <c:manualLayout>
                  <c:x val="-6.6474628849988717E-3"/>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45F-4CAC-A549-EBD248812C22}"/>
                </c:ext>
                <c:ext xmlns:c15="http://schemas.microsoft.com/office/drawing/2012/chart" uri="{CE6537A1-D6FC-4f65-9D91-7224C49458BB}"/>
              </c:extLst>
            </c:dLbl>
            <c:dLbl>
              <c:idx val="7"/>
              <c:layout>
                <c:manualLayout>
                  <c:x val="-1.1079104808331486E-2"/>
                  <c:y val="-0.20256583389601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5F-4CAC-A549-EBD248812C22}"/>
                </c:ext>
                <c:ext xmlns:c15="http://schemas.microsoft.com/office/drawing/2012/chart" uri="{CE6537A1-D6FC-4f65-9D91-7224C49458BB}"/>
              </c:extLst>
            </c:dLbl>
            <c:dLbl>
              <c:idx val="8"/>
              <c:layout>
                <c:manualLayout>
                  <c:x val="-2.2158209616662972E-3"/>
                  <c:y val="-0.155300472653612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45F-4CAC-A549-EBD248812C22}"/>
                </c:ext>
                <c:ext xmlns:c15="http://schemas.microsoft.com/office/drawing/2012/chart" uri="{CE6537A1-D6FC-4f65-9D91-7224C49458BB}"/>
              </c:extLst>
            </c:dLbl>
            <c:dLbl>
              <c:idx val="9"/>
              <c:layout>
                <c:manualLayout>
                  <c:x val="0"/>
                  <c:y val="-0.209318028359216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45F-4CAC-A549-EBD248812C22}"/>
                </c:ext>
                <c:ext xmlns:c15="http://schemas.microsoft.com/office/drawing/2012/chart" uri="{CE6537A1-D6FC-4f65-9D91-7224C49458BB}"/>
              </c:extLst>
            </c:dLbl>
            <c:dLbl>
              <c:idx val="10"/>
              <c:layout>
                <c:manualLayout>
                  <c:x val="-2.2158209616662972E-3"/>
                  <c:y val="-0.155300472653612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45F-4CAC-A549-EBD248812C22}"/>
                </c:ext>
                <c:ext xmlns:c15="http://schemas.microsoft.com/office/drawing/2012/chart" uri="{CE6537A1-D6FC-4f65-9D91-7224C49458BB}"/>
              </c:extLst>
            </c:dLbl>
            <c:dLbl>
              <c:idx val="11"/>
              <c:layout>
                <c:manualLayout>
                  <c:x val="2.2158209616662569E-3"/>
                  <c:y val="-0.121539500337609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45F-4CAC-A549-EBD248812C22}"/>
                </c:ext>
                <c:ext xmlns:c15="http://schemas.microsoft.com/office/drawing/2012/chart" uri="{CE6537A1-D6FC-4f65-9D91-7224C49458BB}"/>
              </c:extLst>
            </c:dLbl>
            <c:dLbl>
              <c:idx val="12"/>
              <c:layout>
                <c:manualLayout>
                  <c:x val="-4.0622915017834678E-17"/>
                  <c:y val="-0.182309250506414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5F-4CAC-A549-EBD248812C22}"/>
                </c:ext>
                <c:ext xmlns:c15="http://schemas.microsoft.com/office/drawing/2012/chart" uri="{CE6537A1-D6FC-4f65-9D91-7224C49458BB}"/>
              </c:extLst>
            </c:dLbl>
            <c:dLbl>
              <c:idx val="13"/>
              <c:layout>
                <c:manualLayout>
                  <c:x val="-4.4316419233325945E-3"/>
                  <c:y val="-9.4530722484807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45F-4CAC-A549-EBD248812C22}"/>
                </c:ext>
                <c:ext xmlns:c15="http://schemas.microsoft.com/office/drawing/2012/chart" uri="{CE6537A1-D6FC-4f65-9D91-7224C49458BB}"/>
              </c:extLst>
            </c:dLbl>
            <c:dLbl>
              <c:idx val="14"/>
              <c:layout>
                <c:manualLayout>
                  <c:x val="-4.4316419233325945E-3"/>
                  <c:y val="-0.189061444969615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45F-4CAC-A549-EBD248812C22}"/>
                </c:ext>
                <c:ext xmlns:c15="http://schemas.microsoft.com/office/drawing/2012/chart" uri="{CE6537A1-D6FC-4f65-9D91-7224C49458BB}"/>
              </c:extLst>
            </c:dLbl>
            <c:dLbl>
              <c:idx val="15"/>
              <c:layout>
                <c:manualLayout>
                  <c:x val="0"/>
                  <c:y val="-0.276839972991222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5F-4CAC-A549-EBD248812C22}"/>
                </c:ext>
                <c:ext xmlns:c15="http://schemas.microsoft.com/office/drawing/2012/chart" uri="{CE6537A1-D6FC-4f65-9D91-7224C49458BB}"/>
              </c:extLst>
            </c:dLbl>
            <c:dLbl>
              <c:idx val="16"/>
              <c:layout>
                <c:manualLayout>
                  <c:x val="0"/>
                  <c:y val="-0.141796083727211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45F-4CAC-A549-EBD248812C22}"/>
                </c:ext>
                <c:ext xmlns:c15="http://schemas.microsoft.com/office/drawing/2012/chart" uri="{CE6537A1-D6FC-4f65-9D91-7224C49458BB}"/>
              </c:extLst>
            </c:dLbl>
            <c:dLbl>
              <c:idx val="17"/>
              <c:layout>
                <c:manualLayout>
                  <c:x val="6.6474628849988917E-3"/>
                  <c:y val="-0.209318028359216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5F-4CAC-A549-EBD248812C22}"/>
                </c:ext>
                <c:ext xmlns:c15="http://schemas.microsoft.com/office/drawing/2012/chart" uri="{CE6537A1-D6FC-4f65-9D91-7224C49458BB}"/>
              </c:extLst>
            </c:dLbl>
            <c:dLbl>
              <c:idx val="18"/>
              <c:layout>
                <c:manualLayout>
                  <c:x val="6.647462884998811E-3"/>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5F-4CAC-A549-EBD248812C22}"/>
                </c:ext>
                <c:ext xmlns:c15="http://schemas.microsoft.com/office/drawing/2012/chart" uri="{CE6537A1-D6FC-4f65-9D91-7224C49458BB}"/>
              </c:extLst>
            </c:dLbl>
            <c:dLbl>
              <c:idx val="19"/>
              <c:layout>
                <c:manualLayout>
                  <c:x val="4.4316419233325945E-3"/>
                  <c:y val="-0.20256583389601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45F-4CAC-A549-EBD248812C22}"/>
                </c:ext>
                <c:ext xmlns:c15="http://schemas.microsoft.com/office/drawing/2012/chart" uri="{CE6537A1-D6FC-4f65-9D91-7224C49458BB}"/>
              </c:extLst>
            </c:dLbl>
            <c:dLbl>
              <c:idx val="20"/>
              <c:layout>
                <c:manualLayout>
                  <c:x val="0"/>
                  <c:y val="-0.155300472653612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45F-4CAC-A549-EBD248812C22}"/>
                </c:ext>
                <c:ext xmlns:c15="http://schemas.microsoft.com/office/drawing/2012/chart" uri="{CE6537A1-D6FC-4f65-9D91-7224C49458BB}"/>
              </c:extLst>
            </c:dLbl>
            <c:dLbl>
              <c:idx val="21"/>
              <c:layout>
                <c:manualLayout>
                  <c:x val="2.2158209616662972E-3"/>
                  <c:y val="-0.256583389601620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45F-4CAC-A549-EBD248812C22}"/>
                </c:ext>
                <c:ext xmlns:c15="http://schemas.microsoft.com/office/drawing/2012/chart" uri="{CE6537A1-D6FC-4f65-9D91-7224C49458BB}"/>
              </c:extLst>
            </c:dLbl>
            <c:dLbl>
              <c:idx val="22"/>
              <c:layout>
                <c:manualLayout>
                  <c:x val="4.4316419233325138E-3"/>
                  <c:y val="-0.209318028359216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45F-4CAC-A549-EBD248812C22}"/>
                </c:ext>
                <c:ext xmlns:c15="http://schemas.microsoft.com/office/drawing/2012/chart" uri="{CE6537A1-D6FC-4f65-9D91-7224C49458BB}"/>
              </c:extLst>
            </c:dLbl>
            <c:dLbl>
              <c:idx val="23"/>
              <c:layout>
                <c:manualLayout>
                  <c:x val="4.4316419233325945E-3"/>
                  <c:y val="-0.222822417285617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45F-4CAC-A549-EBD248812C22}"/>
                </c:ext>
                <c:ext xmlns:c15="http://schemas.microsoft.com/office/drawing/2012/chart" uri="{CE6537A1-D6FC-4f65-9D91-7224C49458BB}"/>
              </c:extLst>
            </c:dLbl>
            <c:dLbl>
              <c:idx val="24"/>
              <c:layout>
                <c:manualLayout>
                  <c:x val="6.6474628849988917E-3"/>
                  <c:y val="-0.20256583389601621"/>
                </c:manualLayout>
              </c:layout>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45F-4CAC-A549-EBD248812C22}"/>
                </c:ext>
                <c:ext xmlns:c15="http://schemas.microsoft.com/office/drawing/2012/chart" uri="{CE6537A1-D6FC-4f65-9D91-7224C49458BB}"/>
              </c:extLst>
            </c:dLbl>
            <c:dLbl>
              <c:idx val="25"/>
              <c:layout>
                <c:manualLayout>
                  <c:x val="-1.1079104808331568E-2"/>
                  <c:y val="-0.283592167454422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45F-4CAC-A549-EBD248812C22}"/>
                </c:ext>
                <c:ext xmlns:c15="http://schemas.microsoft.com/office/drawing/2012/chart" uri="{CE6537A1-D6FC-4f65-9D91-7224C49458BB}"/>
              </c:extLst>
            </c:dLbl>
            <c:dLbl>
              <c:idx val="26"/>
              <c:layout>
                <c:manualLayout>
                  <c:x val="2.215820961666135E-3"/>
                  <c:y val="-0.270087778528021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45F-4CAC-A549-EBD248812C22}"/>
                </c:ext>
                <c:ext xmlns:c15="http://schemas.microsoft.com/office/drawing/2012/chart" uri="{CE6537A1-D6FC-4f65-9D91-7224C49458BB}"/>
              </c:extLst>
            </c:dLbl>
            <c:dLbl>
              <c:idx val="27"/>
              <c:layout>
                <c:manualLayout>
                  <c:x val="4.4316419233325945E-3"/>
                  <c:y val="-0.202565833896016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45F-4CAC-A549-EBD248812C22}"/>
                </c:ext>
                <c:ext xmlns:c15="http://schemas.microsoft.com/office/drawing/2012/chart" uri="{CE6537A1-D6FC-4f65-9D91-7224C49458BB}"/>
              </c:extLst>
            </c:dLbl>
            <c:dLbl>
              <c:idx val="28"/>
              <c:layout>
                <c:manualLayout>
                  <c:x val="6.6474628849989732E-3"/>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645F-4CAC-A549-EBD248812C22}"/>
                </c:ext>
                <c:ext xmlns:c15="http://schemas.microsoft.com/office/drawing/2012/chart" uri="{CE6537A1-D6FC-4f65-9D91-7224C49458BB}"/>
              </c:extLst>
            </c:dLbl>
            <c:dLbl>
              <c:idx val="29"/>
              <c:layout>
                <c:manualLayout>
                  <c:x val="4.4316419233325138E-3"/>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645F-4CAC-A549-EBD248812C22}"/>
                </c:ext>
                <c:ext xmlns:c15="http://schemas.microsoft.com/office/drawing/2012/chart" uri="{CE6537A1-D6FC-4f65-9D91-7224C49458BB}"/>
              </c:extLst>
            </c:dLbl>
            <c:dLbl>
              <c:idx val="30"/>
              <c:layout>
                <c:manualLayout>
                  <c:x val="1.1079104808331325E-2"/>
                  <c:y val="-0.216070222822417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645F-4CAC-A549-EBD248812C22}"/>
                </c:ext>
                <c:ext xmlns:c15="http://schemas.microsoft.com/office/drawing/2012/chart" uri="{CE6537A1-D6FC-4f65-9D91-7224C49458BB}"/>
              </c:extLst>
            </c:dLbl>
            <c:dLbl>
              <c:idx val="31"/>
              <c:layout>
                <c:manualLayout>
                  <c:x val="8.8632838466651889E-3"/>
                  <c:y val="-0.310600945307224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645F-4CAC-A549-EBD248812C22}"/>
                </c:ext>
                <c:ext xmlns:c15="http://schemas.microsoft.com/office/drawing/2012/chart" uri="{CE6537A1-D6FC-4f65-9D91-7224C49458BB}"/>
              </c:extLst>
            </c:dLbl>
            <c:dLbl>
              <c:idx val="32"/>
              <c:layout>
                <c:manualLayout>
                  <c:x val="6.6474628849988917E-3"/>
                  <c:y val="-0.162052667116812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645F-4CAC-A549-EBD248812C22}"/>
                </c:ext>
                <c:ext xmlns:c15="http://schemas.microsoft.com/office/drawing/2012/chart" uri="{CE6537A1-D6FC-4f65-9D91-7224C49458BB}"/>
              </c:extLst>
            </c:dLbl>
            <c:dLbl>
              <c:idx val="33"/>
              <c:layout>
                <c:manualLayout>
                  <c:x val="2.2158209616662972E-3"/>
                  <c:y val="-0.148548278190411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645F-4CAC-A549-EBD248812C22}"/>
                </c:ext>
                <c:ext xmlns:c15="http://schemas.microsoft.com/office/drawing/2012/chart" uri="{CE6537A1-D6FC-4f65-9D91-7224C49458BB}"/>
              </c:extLst>
            </c:dLbl>
            <c:dLbl>
              <c:idx val="34"/>
              <c:layout>
                <c:manualLayout>
                  <c:x val="2.2158209616662972E-3"/>
                  <c:y val="-0.175557056043214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645F-4CAC-A549-EBD248812C22}"/>
                </c:ext>
                <c:ext xmlns:c15="http://schemas.microsoft.com/office/drawing/2012/chart" uri="{CE6537A1-D6FC-4f65-9D91-7224C49458BB}"/>
              </c:extLst>
            </c:dLbl>
            <c:dLbl>
              <c:idx val="35"/>
              <c:layout>
                <c:manualLayout>
                  <c:x val="0"/>
                  <c:y val="-0.195813639432815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645F-4CAC-A549-EBD248812C22}"/>
                </c:ext>
                <c:ext xmlns:c15="http://schemas.microsoft.com/office/drawing/2012/chart" uri="{CE6537A1-D6FC-4f65-9D91-7224C49458BB}"/>
              </c:extLst>
            </c:dLbl>
            <c:dLbl>
              <c:idx val="36"/>
              <c:layout>
                <c:manualLayout>
                  <c:x val="0"/>
                  <c:y val="-0.16880486158001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645F-4CAC-A549-EBD248812C22}"/>
                </c:ext>
                <c:ext xmlns:c15="http://schemas.microsoft.com/office/drawing/2012/chart" uri="{CE6537A1-D6FC-4f65-9D91-7224C49458BB}"/>
              </c:extLst>
            </c:dLbl>
            <c:dLbl>
              <c:idx val="37"/>
              <c:layout>
                <c:manualLayout>
                  <c:x val="-4.4316419233325945E-3"/>
                  <c:y val="-0.229574611748818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645F-4CAC-A549-EBD248812C2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'!$T$8:$T$47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'!$U$8:$U$47</c:f>
              <c:numCache>
                <c:formatCode>General</c:formatCode>
                <c:ptCount val="40"/>
                <c:pt idx="0">
                  <c:v>3</c:v>
                </c:pt>
                <c:pt idx="1">
                  <c:v>3</c:v>
                </c:pt>
                <c:pt idx="2">
                  <c:v>0</c:v>
                </c:pt>
                <c:pt idx="3">
                  <c:v>0</c:v>
                </c:pt>
                <c:pt idx="4">
                  <c:v>3</c:v>
                </c:pt>
                <c:pt idx="5">
                  <c:v>3</c:v>
                </c:pt>
                <c:pt idx="6">
                  <c:v>3</c:v>
                </c:pt>
                <c:pt idx="7">
                  <c:v>3</c:v>
                </c:pt>
                <c:pt idx="8">
                  <c:v>3</c:v>
                </c:pt>
                <c:pt idx="9">
                  <c:v>0</c:v>
                </c:pt>
                <c:pt idx="10">
                  <c:v>3</c:v>
                </c:pt>
                <c:pt idx="11">
                  <c:v>1</c:v>
                </c:pt>
                <c:pt idx="12">
                  <c:v>2</c:v>
                </c:pt>
                <c:pt idx="13">
                  <c:v>0</c:v>
                </c:pt>
                <c:pt idx="14">
                  <c:v>3</c:v>
                </c:pt>
                <c:pt idx="15">
                  <c:v>3</c:v>
                </c:pt>
                <c:pt idx="16">
                  <c:v>3</c:v>
                </c:pt>
                <c:pt idx="17">
                  <c:v>1</c:v>
                </c:pt>
                <c:pt idx="18">
                  <c:v>3</c:v>
                </c:pt>
                <c:pt idx="19">
                  <c:v>1</c:v>
                </c:pt>
                <c:pt idx="20">
                  <c:v>2</c:v>
                </c:pt>
                <c:pt idx="21">
                  <c:v>3</c:v>
                </c:pt>
                <c:pt idx="22">
                  <c:v>3</c:v>
                </c:pt>
                <c:pt idx="23">
                  <c:v>3</c:v>
                </c:pt>
                <c:pt idx="24">
                  <c:v>1</c:v>
                </c:pt>
                <c:pt idx="25">
                  <c:v>0</c:v>
                </c:pt>
                <c:pt idx="26">
                  <c:v>3</c:v>
                </c:pt>
                <c:pt idx="27">
                  <c:v>0</c:v>
                </c:pt>
                <c:pt idx="28">
                  <c:v>3</c:v>
                </c:pt>
                <c:pt idx="29">
                  <c:v>3</c:v>
                </c:pt>
                <c:pt idx="30">
                  <c:v>2</c:v>
                </c:pt>
                <c:pt idx="31">
                  <c:v>3</c:v>
                </c:pt>
                <c:pt idx="32">
                  <c:v>0</c:v>
                </c:pt>
                <c:pt idx="33">
                  <c:v>0</c:v>
                </c:pt>
                <c:pt idx="34">
                  <c:v>0</c:v>
                </c:pt>
                <c:pt idx="35">
                  <c:v>1</c:v>
                </c:pt>
                <c:pt idx="36">
                  <c:v>0</c:v>
                </c:pt>
                <c:pt idx="37">
                  <c:v>3</c:v>
                </c:pt>
                <c:pt idx="38">
                  <c:v>28</c:v>
                </c:pt>
              </c:numCache>
            </c:numRef>
          </c:val>
          <c:extLst xmlns:c16r2="http://schemas.microsoft.com/office/drawing/2015/06/chart">
            <c:ext xmlns:c16="http://schemas.microsoft.com/office/drawing/2014/chart" uri="{C3380CC4-5D6E-409C-BE32-E72D297353CC}">
              <c16:uniqueId val="{00000000-645F-4CAC-A549-EBD248812C22}"/>
            </c:ext>
          </c:extLst>
        </c:ser>
        <c:dLbls>
          <c:showLegendKey val="0"/>
          <c:showVal val="1"/>
          <c:showCatName val="0"/>
          <c:showSerName val="0"/>
          <c:showPercent val="0"/>
          <c:showBubbleSize val="0"/>
        </c:dLbls>
        <c:gapWidth val="95"/>
        <c:overlap val="100"/>
        <c:axId val="559906992"/>
        <c:axId val="596836520"/>
      </c:barChart>
      <c:catAx>
        <c:axId val="55990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96836520"/>
        <c:crosses val="autoZero"/>
        <c:auto val="1"/>
        <c:lblAlgn val="ctr"/>
        <c:lblOffset val="100"/>
        <c:noMultiLvlLbl val="0"/>
      </c:catAx>
      <c:valAx>
        <c:axId val="596836520"/>
        <c:scaling>
          <c:orientation val="minMax"/>
        </c:scaling>
        <c:delete val="1"/>
        <c:axPos val="l"/>
        <c:numFmt formatCode="General" sourceLinked="1"/>
        <c:majorTickMark val="none"/>
        <c:minorTickMark val="none"/>
        <c:tickLblPos val="nextTo"/>
        <c:crossAx val="559906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sq-A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sq-A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97458179448185E-2"/>
          <c:y val="0.17990895295902884"/>
          <c:w val="0.97547012304539493"/>
          <c:h val="0.48602774425579198"/>
        </c:manualLayout>
      </c:layout>
      <c:bar3DChart>
        <c:barDir val="col"/>
        <c:grouping val="clustered"/>
        <c:varyColors val="0"/>
        <c:ser>
          <c:idx val="0"/>
          <c:order val="0"/>
          <c:tx>
            <c:strRef>
              <c:f>'TRANSPARENCA FINANCIARE '!$O$7</c:f>
              <c:strCache>
                <c:ptCount val="1"/>
                <c:pt idx="0">
                  <c:v>Publikimi i raportit  vjetor financiar </c:v>
                </c:pt>
              </c:strCache>
            </c:strRef>
          </c:tx>
          <c:spPr>
            <a:solidFill>
              <a:schemeClr val="accent1"/>
            </a:solidFill>
            <a:ln>
              <a:noFill/>
            </a:ln>
            <a:effectLst/>
            <a:sp3d/>
          </c:spPr>
          <c:invertIfNegative val="0"/>
          <c:dLbls>
            <c:dLbl>
              <c:idx val="2"/>
              <c:layout>
                <c:manualLayout>
                  <c:x val="1.2093360744951022E-2"/>
                  <c:y val="-0.18816388467374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EF-4C57-B832-AA0B1D891253}"/>
                </c:ext>
                <c:ext xmlns:c15="http://schemas.microsoft.com/office/drawing/2012/chart" uri="{CE6537A1-D6FC-4f65-9D91-7224C49458BB}"/>
              </c:extLst>
            </c:dLbl>
            <c:dLbl>
              <c:idx val="5"/>
              <c:layout>
                <c:manualLayout>
                  <c:x val="3.386141008586286E-2"/>
                  <c:y val="-0.2488619119878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EF-4C57-B832-AA0B1D891253}"/>
                </c:ext>
                <c:ext xmlns:c15="http://schemas.microsoft.com/office/drawing/2012/chart" uri="{CE6537A1-D6FC-4f65-9D91-7224C49458BB}"/>
              </c:extLst>
            </c:dLbl>
            <c:dLbl>
              <c:idx val="7"/>
              <c:layout>
                <c:manualLayout>
                  <c:x val="3.6280082234853024E-2"/>
                  <c:y val="-0.27314112291350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EF-4C57-B832-AA0B1D891253}"/>
                </c:ext>
                <c:ext xmlns:c15="http://schemas.microsoft.com/office/drawing/2012/chart" uri="{CE6537A1-D6FC-4f65-9D91-7224C49458BB}"/>
              </c:extLst>
            </c:dLbl>
            <c:dLbl>
              <c:idx val="9"/>
              <c:layout>
                <c:manualLayout>
                  <c:x val="1.693070504293143E-2"/>
                  <c:y val="-0.339908952959028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EF-4C57-B832-AA0B1D891253}"/>
                </c:ext>
                <c:ext xmlns:c15="http://schemas.microsoft.com/office/drawing/2012/chart" uri="{CE6537A1-D6FC-4f65-9D91-7224C49458BB}"/>
              </c:extLst>
            </c:dLbl>
            <c:dLbl>
              <c:idx val="11"/>
              <c:layout>
                <c:manualLayout>
                  <c:x val="1.2093360744950977E-2"/>
                  <c:y val="-0.27314112291350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EF-4C57-B832-AA0B1D891253}"/>
                </c:ext>
                <c:ext xmlns:c15="http://schemas.microsoft.com/office/drawing/2012/chart" uri="{CE6537A1-D6FC-4f65-9D91-7224C49458BB}"/>
              </c:extLst>
            </c:dLbl>
            <c:dLbl>
              <c:idx val="13"/>
              <c:layout>
                <c:manualLayout>
                  <c:x val="2.4186721489901602E-3"/>
                  <c:y val="-0.267071320182094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EF-4C57-B832-AA0B1D891253}"/>
                </c:ext>
                <c:ext xmlns:c15="http://schemas.microsoft.com/office/drawing/2012/chart" uri="{CE6537A1-D6FC-4f65-9D91-7224C49458BB}"/>
              </c:extLst>
            </c:dLbl>
            <c:dLbl>
              <c:idx val="15"/>
              <c:layout>
                <c:manualLayout>
                  <c:x val="-2.4186721489902487E-3"/>
                  <c:y val="-0.254931714719271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EF-4C57-B832-AA0B1D891253}"/>
                </c:ext>
                <c:ext xmlns:c15="http://schemas.microsoft.com/office/drawing/2012/chart" uri="{CE6537A1-D6FC-4f65-9D91-7224C49458BB}"/>
              </c:extLst>
            </c:dLbl>
            <c:dLbl>
              <c:idx val="17"/>
              <c:layout>
                <c:manualLayout>
                  <c:x val="-2.4186721489902045E-3"/>
                  <c:y val="-0.297420333839150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EEF-4C57-B832-AA0B1D891253}"/>
                </c:ext>
                <c:ext xmlns:c15="http://schemas.microsoft.com/office/drawing/2012/chart" uri="{CE6537A1-D6FC-4f65-9D91-7224C49458BB}"/>
              </c:extLst>
            </c:dLbl>
            <c:dLbl>
              <c:idx val="19"/>
              <c:layout>
                <c:manualLayout>
                  <c:x val="-4.8373442979804089E-3"/>
                  <c:y val="-0.23065250379362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EEF-4C57-B832-AA0B1D891253}"/>
                </c:ext>
                <c:ext xmlns:c15="http://schemas.microsoft.com/office/drawing/2012/chart" uri="{CE6537A1-D6FC-4f65-9D91-7224C49458BB}"/>
              </c:extLst>
            </c:dLbl>
            <c:dLbl>
              <c:idx val="21"/>
              <c:layout>
                <c:manualLayout>
                  <c:x val="-2.4186721489902929E-3"/>
                  <c:y val="-0.303490136570561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EEF-4C57-B832-AA0B1D891253}"/>
                </c:ext>
                <c:ext xmlns:c15="http://schemas.microsoft.com/office/drawing/2012/chart" uri="{CE6537A1-D6FC-4f65-9D91-7224C49458BB}"/>
              </c:extLst>
            </c:dLbl>
            <c:dLbl>
              <c:idx val="23"/>
              <c:layout>
                <c:manualLayout>
                  <c:x val="-4.8373442979804974E-3"/>
                  <c:y val="-0.23065250379362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EEF-4C57-B832-AA0B1D891253}"/>
                </c:ext>
                <c:ext xmlns:c15="http://schemas.microsoft.com/office/drawing/2012/chart" uri="{CE6537A1-D6FC-4f65-9D91-7224C49458BB}"/>
              </c:extLst>
            </c:dLbl>
            <c:dLbl>
              <c:idx val="25"/>
              <c:layout>
                <c:manualLayout>
                  <c:x val="2.4186721489901156E-3"/>
                  <c:y val="-0.261001517450682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EEF-4C57-B832-AA0B1D891253}"/>
                </c:ext>
                <c:ext xmlns:c15="http://schemas.microsoft.com/office/drawing/2012/chart" uri="{CE6537A1-D6FC-4f65-9D91-7224C49458BB}"/>
              </c:extLst>
            </c:dLbl>
            <c:dLbl>
              <c:idx val="27"/>
              <c:layout>
                <c:manualLayout>
                  <c:x val="4.8373442979803205E-3"/>
                  <c:y val="-0.224582701062215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EEF-4C57-B832-AA0B1D891253}"/>
                </c:ext>
                <c:ext xmlns:c15="http://schemas.microsoft.com/office/drawing/2012/chart" uri="{CE6537A1-D6FC-4f65-9D91-7224C49458BB}"/>
              </c:extLst>
            </c:dLbl>
            <c:dLbl>
              <c:idx val="29"/>
              <c:layout>
                <c:manualLayout>
                  <c:x val="-7.2560164469705245E-3"/>
                  <c:y val="-0.206373292867981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EEF-4C57-B832-AA0B1D891253}"/>
                </c:ext>
                <c:ext xmlns:c15="http://schemas.microsoft.com/office/drawing/2012/chart" uri="{CE6537A1-D6FC-4f65-9D91-7224C49458BB}"/>
              </c:extLst>
            </c:dLbl>
            <c:dLbl>
              <c:idx val="31"/>
              <c:layout>
                <c:manualLayout>
                  <c:x val="-1.209336074495111E-2"/>
                  <c:y val="-0.279210925644916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EEF-4C57-B832-AA0B1D891253}"/>
                </c:ext>
                <c:ext xmlns:c15="http://schemas.microsoft.com/office/drawing/2012/chart" uri="{CE6537A1-D6FC-4f65-9D91-7224C49458BB}"/>
              </c:extLst>
            </c:dLbl>
            <c:dLbl>
              <c:idx val="33"/>
              <c:layout>
                <c:manualLayout>
                  <c:x val="0"/>
                  <c:y val="-0.333839150227617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EEF-4C57-B832-AA0B1D891253}"/>
                </c:ext>
                <c:ext xmlns:c15="http://schemas.microsoft.com/office/drawing/2012/chart" uri="{CE6537A1-D6FC-4f65-9D91-7224C49458BB}"/>
              </c:extLst>
            </c:dLbl>
            <c:dLbl>
              <c:idx val="35"/>
              <c:layout>
                <c:manualLayout>
                  <c:x val="2.4186721489902045E-3"/>
                  <c:y val="-0.285280728376327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EEF-4C57-B832-AA0B1D891253}"/>
                </c:ext>
                <c:ext xmlns:c15="http://schemas.microsoft.com/office/drawing/2012/chart" uri="{CE6537A1-D6FC-4f65-9D91-7224C49458BB}"/>
              </c:extLst>
            </c:dLbl>
            <c:dLbl>
              <c:idx val="37"/>
              <c:layout>
                <c:manualLayout>
                  <c:x val="-4.8373442979804089E-3"/>
                  <c:y val="-0.206373292867981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EEF-4C57-B832-AA0B1D8912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1</c:v>
                </c:pt>
                <c:pt idx="7">
                  <c:v>1</c:v>
                </c:pt>
                <c:pt idx="8">
                  <c:v>1</c:v>
                </c:pt>
                <c:pt idx="9">
                  <c:v>0</c:v>
                </c:pt>
                <c:pt idx="10">
                  <c:v>1</c:v>
                </c:pt>
                <c:pt idx="11">
                  <c:v>1</c:v>
                </c:pt>
                <c:pt idx="12">
                  <c:v>1</c:v>
                </c:pt>
                <c:pt idx="13">
                  <c:v>0</c:v>
                </c:pt>
                <c:pt idx="14">
                  <c:v>1</c:v>
                </c:pt>
                <c:pt idx="15">
                  <c:v>1</c:v>
                </c:pt>
                <c:pt idx="16">
                  <c:v>1</c:v>
                </c:pt>
                <c:pt idx="17">
                  <c:v>0</c:v>
                </c:pt>
                <c:pt idx="18">
                  <c:v>1</c:v>
                </c:pt>
                <c:pt idx="19">
                  <c:v>0</c:v>
                </c:pt>
                <c:pt idx="20">
                  <c:v>0</c:v>
                </c:pt>
                <c:pt idx="21">
                  <c:v>1</c:v>
                </c:pt>
                <c:pt idx="22">
                  <c:v>1</c:v>
                </c:pt>
                <c:pt idx="23">
                  <c:v>1</c:v>
                </c:pt>
                <c:pt idx="24">
                  <c:v>1</c:v>
                </c:pt>
                <c:pt idx="25">
                  <c:v>0</c:v>
                </c:pt>
                <c:pt idx="26">
                  <c:v>3</c:v>
                </c:pt>
                <c:pt idx="27">
                  <c:v>0</c:v>
                </c:pt>
                <c:pt idx="28">
                  <c:v>1</c:v>
                </c:pt>
                <c:pt idx="29">
                  <c:v>0</c:v>
                </c:pt>
                <c:pt idx="30">
                  <c:v>1</c:v>
                </c:pt>
                <c:pt idx="31">
                  <c:v>1</c:v>
                </c:pt>
                <c:pt idx="32">
                  <c:v>0</c:v>
                </c:pt>
                <c:pt idx="33">
                  <c:v>0</c:v>
                </c:pt>
                <c:pt idx="34">
                  <c:v>0</c:v>
                </c:pt>
                <c:pt idx="35">
                  <c:v>1</c:v>
                </c:pt>
                <c:pt idx="36">
                  <c:v>0</c:v>
                </c:pt>
                <c:pt idx="37">
                  <c:v>1</c:v>
                </c:pt>
                <c:pt idx="38">
                  <c:v>25</c:v>
                </c:pt>
              </c:numCache>
            </c:numRef>
          </c:val>
          <c:extLst xmlns:c16r2="http://schemas.microsoft.com/office/drawing/2015/06/chart">
            <c:ext xmlns:c16="http://schemas.microsoft.com/office/drawing/2014/chart" uri="{C3380CC4-5D6E-409C-BE32-E72D297353CC}">
              <c16:uniqueId val="{00000000-5EEF-4C57-B832-AA0B1D891253}"/>
            </c:ext>
          </c:extLst>
        </c:ser>
        <c:dLbls>
          <c:showLegendKey val="0"/>
          <c:showVal val="1"/>
          <c:showCatName val="0"/>
          <c:showSerName val="0"/>
          <c:showPercent val="0"/>
          <c:showBubbleSize val="0"/>
        </c:dLbls>
        <c:gapWidth val="150"/>
        <c:shape val="box"/>
        <c:axId val="596836912"/>
        <c:axId val="596837304"/>
        <c:axId val="0"/>
      </c:bar3DChart>
      <c:catAx>
        <c:axId val="59683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96837304"/>
        <c:crosses val="autoZero"/>
        <c:auto val="1"/>
        <c:lblAlgn val="ctr"/>
        <c:lblOffset val="100"/>
        <c:noMultiLvlLbl val="0"/>
      </c:catAx>
      <c:valAx>
        <c:axId val="596837304"/>
        <c:scaling>
          <c:orientation val="minMax"/>
        </c:scaling>
        <c:delete val="1"/>
        <c:axPos val="l"/>
        <c:numFmt formatCode="General" sourceLinked="1"/>
        <c:majorTickMark val="none"/>
        <c:minorTickMark val="none"/>
        <c:tickLblPos val="nextTo"/>
        <c:crossAx val="59683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10216784717749E-2"/>
          <c:y val="0.14608706237791955"/>
          <c:w val="0.957072333118695"/>
          <c:h val="0.45964257981455764"/>
        </c:manualLayout>
      </c:layout>
      <c:barChart>
        <c:barDir val="col"/>
        <c:grouping val="clustered"/>
        <c:varyColors val="0"/>
        <c:ser>
          <c:idx val="0"/>
          <c:order val="0"/>
          <c:tx>
            <c:strRef>
              <c:f>'TRANSPARENCA FINANCIARE '!$X$7</c:f>
              <c:strCache>
                <c:ptCount val="1"/>
                <c:pt idx="0">
                  <c:v>Publikimi i njoftimeve për  diskutime buxhetore</c:v>
                </c:pt>
              </c:strCache>
            </c:strRef>
          </c:tx>
          <c:spPr>
            <a:solidFill>
              <a:schemeClr val="accent1"/>
            </a:solidFill>
            <a:ln>
              <a:noFill/>
            </a:ln>
            <a:effectLst/>
          </c:spPr>
          <c:invertIfNegative val="0"/>
          <c:dLbls>
            <c:dLbl>
              <c:idx val="0"/>
              <c:layout>
                <c:manualLayout>
                  <c:x val="2.2158209616662972E-3"/>
                  <c:y val="-0.2281597117982588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DE-46D0-AF05-EFDE30945224}"/>
                </c:ext>
                <c:ext xmlns:c15="http://schemas.microsoft.com/office/drawing/2012/chart" uri="{CE6537A1-D6FC-4f65-9D91-7224C49458BB}"/>
              </c:extLst>
            </c:dLbl>
            <c:dLbl>
              <c:idx val="1"/>
              <c:layout>
                <c:manualLayout>
                  <c:x val="4.4316419233325849E-3"/>
                  <c:y val="-0.2341639147403182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8DE-46D0-AF05-EFDE30945224}"/>
                </c:ext>
                <c:ext xmlns:c15="http://schemas.microsoft.com/office/drawing/2012/chart" uri="{CE6537A1-D6FC-4f65-9D91-7224C49458BB}"/>
              </c:extLst>
            </c:dLbl>
            <c:dLbl>
              <c:idx val="2"/>
              <c:layout>
                <c:manualLayout>
                  <c:x val="1.7726567693330378E-2"/>
                  <c:y val="-0.2461723206244371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DE-46D0-AF05-EFDE30945224}"/>
                </c:ext>
                <c:ext xmlns:c15="http://schemas.microsoft.com/office/drawing/2012/chart" uri="{CE6537A1-D6FC-4f65-9D91-7224C49458BB}"/>
              </c:extLst>
            </c:dLbl>
            <c:dLbl>
              <c:idx val="3"/>
              <c:layout>
                <c:manualLayout>
                  <c:x val="2.2158209616662972E-3"/>
                  <c:y val="-8.40588411888321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DE-46D0-AF05-EFDE30945224}"/>
                </c:ext>
                <c:ext xmlns:c15="http://schemas.microsoft.com/office/drawing/2012/chart" uri="{CE6537A1-D6FC-4f65-9D91-7224C49458BB}"/>
              </c:extLst>
            </c:dLbl>
            <c:dLbl>
              <c:idx val="5"/>
              <c:layout>
                <c:manualLayout>
                  <c:x val="8.9212224604854912E-3"/>
                  <c:y val="-0.114266742658573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8DE-46D0-AF05-EFDE30945224}"/>
                </c:ext>
                <c:ext xmlns:c15="http://schemas.microsoft.com/office/drawing/2012/chart" uri="{CE6537A1-D6FC-4f65-9D91-7224C49458BB}"/>
              </c:extLst>
            </c:dLbl>
            <c:dLbl>
              <c:idx val="8"/>
              <c:layout>
                <c:manualLayout>
                  <c:x val="4.4316419233325537E-3"/>
                  <c:y val="-0.2281597117982587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8DE-46D0-AF05-EFDE30945224}"/>
                </c:ext>
                <c:ext xmlns:c15="http://schemas.microsoft.com/office/drawing/2012/chart" uri="{CE6537A1-D6FC-4f65-9D91-7224C49458BB}"/>
              </c:extLst>
            </c:dLbl>
            <c:dLbl>
              <c:idx val="11"/>
              <c:layout>
                <c:manualLayout>
                  <c:x val="-2.042248495373163E-3"/>
                  <c:y val="-0.3653421572479125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8DE-46D0-AF05-EFDE30945224}"/>
                </c:ext>
                <c:ext xmlns:c15="http://schemas.microsoft.com/office/drawing/2012/chart" uri="{CE6537A1-D6FC-4f65-9D91-7224C49458BB}"/>
              </c:extLst>
            </c:dLbl>
            <c:dLbl>
              <c:idx val="12"/>
              <c:layout>
                <c:manualLayout>
                  <c:x val="0"/>
                  <c:y val="-0.304520965097212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4-48DE-46D0-AF05-EFDE30945224}"/>
                </c:ext>
                <c:ext xmlns:c15="http://schemas.microsoft.com/office/drawing/2012/chart" uri="{CE6537A1-D6FC-4f65-9D91-7224C49458BB}"/>
              </c:extLst>
            </c:dLbl>
            <c:dLbl>
              <c:idx val="14"/>
              <c:layout>
                <c:manualLayout>
                  <c:x val="6.6474628849988518E-3"/>
                  <c:y val="-0.1441008706094266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8DE-46D0-AF05-EFDE30945224}"/>
                </c:ext>
                <c:ext xmlns:c15="http://schemas.microsoft.com/office/drawing/2012/chart" uri="{CE6537A1-D6FC-4f65-9D91-7224C49458BB}"/>
              </c:extLst>
            </c:dLbl>
            <c:dLbl>
              <c:idx val="17"/>
              <c:layout>
                <c:manualLayout>
                  <c:x val="1.3294925769997783E-2"/>
                  <c:y val="-0.2161513059141398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8DE-46D0-AF05-EFDE30945224}"/>
                </c:ext>
                <c:ext xmlns:c15="http://schemas.microsoft.com/office/drawing/2012/chart" uri="{CE6537A1-D6FC-4f65-9D91-7224C49458BB}"/>
              </c:extLst>
            </c:dLbl>
            <c:dLbl>
              <c:idx val="20"/>
              <c:layout>
                <c:manualLayout>
                  <c:x val="0"/>
                  <c:y val="-0.1140798558991294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8DE-46D0-AF05-EFDE30945224}"/>
                </c:ext>
                <c:ext xmlns:c15="http://schemas.microsoft.com/office/drawing/2012/chart" uri="{CE6537A1-D6FC-4f65-9D91-7224C49458BB}"/>
              </c:extLst>
            </c:dLbl>
            <c:dLbl>
              <c:idx val="22"/>
              <c:layout>
                <c:manualLayout>
                  <c:x val="2.2158209616662972E-3"/>
                  <c:y val="-0.1681176823776644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8DE-46D0-AF05-EFDE30945224}"/>
                </c:ext>
                <c:ext xmlns:c15="http://schemas.microsoft.com/office/drawing/2012/chart" uri="{CE6537A1-D6FC-4f65-9D91-7224C49458BB}"/>
              </c:extLst>
            </c:dLbl>
            <c:dLbl>
              <c:idx val="23"/>
              <c:layout>
                <c:manualLayout>
                  <c:x val="-8.8632838466651889E-3"/>
                  <c:y val="-0.1741218853197238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8DE-46D0-AF05-EFDE30945224}"/>
                </c:ext>
                <c:ext xmlns:c15="http://schemas.microsoft.com/office/drawing/2012/chart" uri="{CE6537A1-D6FC-4f65-9D91-7224C49458BB}"/>
              </c:extLst>
            </c:dLbl>
            <c:dLbl>
              <c:idx val="24"/>
              <c:layout>
                <c:manualLayout>
                  <c:x val="-8.1245830035669357E-17"/>
                  <c:y val="-3.60252176523566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48DE-46D0-AF05-EFDE30945224}"/>
                </c:ext>
                <c:ext xmlns:c15="http://schemas.microsoft.com/office/drawing/2012/chart" uri="{CE6537A1-D6FC-4f65-9D91-7224C49458BB}"/>
              </c:extLst>
            </c:dLbl>
            <c:dLbl>
              <c:idx val="27"/>
              <c:layout>
                <c:manualLayout>
                  <c:x val="-6.4391500321958287E-3"/>
                  <c:y val="-0.1003469436313434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48DE-46D0-AF05-EFDE30945224}"/>
                </c:ext>
                <c:ext xmlns:c15="http://schemas.microsoft.com/office/drawing/2012/chart" uri="{CE6537A1-D6FC-4f65-9D91-7224C49458BB}"/>
              </c:extLst>
            </c:dLbl>
            <c:dLbl>
              <c:idx val="28"/>
              <c:layout>
                <c:manualLayout>
                  <c:x val="6.647462884998811E-3"/>
                  <c:y val="-0.1981386970879615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48DE-46D0-AF05-EFDE30945224}"/>
                </c:ext>
                <c:ext xmlns:c15="http://schemas.microsoft.com/office/drawing/2012/chart" uri="{CE6537A1-D6FC-4f65-9D91-7224C49458BB}"/>
              </c:extLst>
            </c:dLbl>
            <c:dLbl>
              <c:idx val="29"/>
              <c:layout>
                <c:manualLayout>
                  <c:x val="4.4316419233325945E-3"/>
                  <c:y val="-0.1801260882617833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48DE-46D0-AF05-EFDE30945224}"/>
                </c:ext>
                <c:ext xmlns:c15="http://schemas.microsoft.com/office/drawing/2012/chart" uri="{CE6537A1-D6FC-4f65-9D91-7224C49458BB}"/>
              </c:extLst>
            </c:dLbl>
            <c:dLbl>
              <c:idx val="30"/>
              <c:layout>
                <c:manualLayout>
                  <c:x val="4.4316419233324323E-3"/>
                  <c:y val="-0.2401681176823776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48DE-46D0-AF05-EFDE30945224}"/>
                </c:ext>
                <c:ext xmlns:c15="http://schemas.microsoft.com/office/drawing/2012/chart" uri="{CE6537A1-D6FC-4f65-9D91-7224C49458BB}"/>
              </c:extLst>
            </c:dLbl>
            <c:dLbl>
              <c:idx val="31"/>
              <c:layout>
                <c:manualLayout>
                  <c:x val="4.4316419233325945E-3"/>
                  <c:y val="-0.2221555088561993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48DE-46D0-AF05-EFDE30945224}"/>
                </c:ext>
                <c:ext xmlns:c15="http://schemas.microsoft.com/office/drawing/2012/chart" uri="{CE6537A1-D6FC-4f65-9D91-7224C49458BB}"/>
              </c:extLst>
            </c:dLbl>
            <c:dLbl>
              <c:idx val="32"/>
              <c:layout>
                <c:manualLayout>
                  <c:x val="8.8632838466651889E-3"/>
                  <c:y val="-0.1981386970879615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48DE-46D0-AF05-EFDE30945224}"/>
                </c:ext>
                <c:ext xmlns:c15="http://schemas.microsoft.com/office/drawing/2012/chart" uri="{CE6537A1-D6FC-4f65-9D91-7224C49458BB}"/>
              </c:extLst>
            </c:dLbl>
            <c:dLbl>
              <c:idx val="33"/>
              <c:layout>
                <c:manualLayout>
                  <c:x val="1.1079104808331486E-2"/>
                  <c:y val="-0.20414290003002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48DE-46D0-AF05-EFDE30945224}"/>
                </c:ext>
                <c:ext xmlns:c15="http://schemas.microsoft.com/office/drawing/2012/chart" uri="{CE6537A1-D6FC-4f65-9D91-7224C49458BB}"/>
              </c:extLst>
            </c:dLbl>
            <c:dLbl>
              <c:idx val="38"/>
              <c:layout>
                <c:manualLayout>
                  <c:x val="-2.1579628830384119E-2"/>
                  <c:y val="-1.4054813773717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3-48DE-46D0-AF05-EFDE30945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'!$X$8:$X$47</c:f>
              <c:numCache>
                <c:formatCode>General</c:formatCode>
                <c:ptCount val="40"/>
                <c:pt idx="0">
                  <c:v>7</c:v>
                </c:pt>
                <c:pt idx="1">
                  <c:v>2</c:v>
                </c:pt>
                <c:pt idx="2">
                  <c:v>2</c:v>
                </c:pt>
                <c:pt idx="3">
                  <c:v>2</c:v>
                </c:pt>
                <c:pt idx="4">
                  <c:v>13</c:v>
                </c:pt>
                <c:pt idx="5">
                  <c:v>1</c:v>
                </c:pt>
                <c:pt idx="6">
                  <c:v>1</c:v>
                </c:pt>
                <c:pt idx="7">
                  <c:v>1</c:v>
                </c:pt>
                <c:pt idx="8">
                  <c:v>0</c:v>
                </c:pt>
                <c:pt idx="9">
                  <c:v>0</c:v>
                </c:pt>
                <c:pt idx="10">
                  <c:v>0</c:v>
                </c:pt>
                <c:pt idx="11">
                  <c:v>2</c:v>
                </c:pt>
                <c:pt idx="12">
                  <c:v>2</c:v>
                </c:pt>
                <c:pt idx="13">
                  <c:v>0</c:v>
                </c:pt>
                <c:pt idx="14">
                  <c:v>3</c:v>
                </c:pt>
                <c:pt idx="15">
                  <c:v>0</c:v>
                </c:pt>
                <c:pt idx="16">
                  <c:v>4</c:v>
                </c:pt>
                <c:pt idx="17">
                  <c:v>2</c:v>
                </c:pt>
                <c:pt idx="18">
                  <c:v>2</c:v>
                </c:pt>
                <c:pt idx="19">
                  <c:v>0</c:v>
                </c:pt>
                <c:pt idx="20">
                  <c:v>1</c:v>
                </c:pt>
                <c:pt idx="21">
                  <c:v>0</c:v>
                </c:pt>
                <c:pt idx="22">
                  <c:v>0</c:v>
                </c:pt>
                <c:pt idx="23">
                  <c:v>9</c:v>
                </c:pt>
                <c:pt idx="24">
                  <c:v>16</c:v>
                </c:pt>
                <c:pt idx="25">
                  <c:v>0</c:v>
                </c:pt>
                <c:pt idx="26">
                  <c:v>18</c:v>
                </c:pt>
                <c:pt idx="27">
                  <c:v>0</c:v>
                </c:pt>
                <c:pt idx="28">
                  <c:v>0</c:v>
                </c:pt>
                <c:pt idx="29">
                  <c:v>0</c:v>
                </c:pt>
                <c:pt idx="30">
                  <c:v>0</c:v>
                </c:pt>
                <c:pt idx="31">
                  <c:v>0</c:v>
                </c:pt>
                <c:pt idx="32">
                  <c:v>0</c:v>
                </c:pt>
                <c:pt idx="33">
                  <c:v>0</c:v>
                </c:pt>
                <c:pt idx="34">
                  <c:v>0</c:v>
                </c:pt>
                <c:pt idx="35">
                  <c:v>0</c:v>
                </c:pt>
                <c:pt idx="36">
                  <c:v>0</c:v>
                </c:pt>
                <c:pt idx="37">
                  <c:v>6</c:v>
                </c:pt>
                <c:pt idx="38">
                  <c:v>19</c:v>
                </c:pt>
              </c:numCache>
            </c:numRef>
          </c:val>
          <c:extLst xmlns:c16r2="http://schemas.microsoft.com/office/drawing/2015/06/chart">
            <c:ext xmlns:c16="http://schemas.microsoft.com/office/drawing/2014/chart" uri="{C3380CC4-5D6E-409C-BE32-E72D297353CC}">
              <c16:uniqueId val="{00000000-48DE-46D0-AF05-EFDE30945224}"/>
            </c:ext>
          </c:extLst>
        </c:ser>
        <c:ser>
          <c:idx val="1"/>
          <c:order val="1"/>
          <c:tx>
            <c:strRef>
              <c:f>'TRANSPARENCA FINANCIARE '!$Y$7</c:f>
              <c:strCache>
                <c:ptCount val="1"/>
                <c:pt idx="0">
                  <c:v>Raporti nga  dëgjimet buxhetore </c:v>
                </c:pt>
              </c:strCache>
            </c:strRef>
          </c:tx>
          <c:spPr>
            <a:solidFill>
              <a:schemeClr val="accent2"/>
            </a:solidFill>
            <a:ln>
              <a:noFill/>
            </a:ln>
            <a:effectLst/>
          </c:spPr>
          <c:invertIfNegative val="0"/>
          <c:dLbls>
            <c:dLbl>
              <c:idx val="3"/>
              <c:layout>
                <c:manualLayout>
                  <c:x val="2.2158209616662972E-3"/>
                  <c:y val="4.20294205944160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8DE-46D0-AF05-EFDE30945224}"/>
                </c:ext>
                <c:ext xmlns:c15="http://schemas.microsoft.com/office/drawing/2012/chart" uri="{CE6537A1-D6FC-4f65-9D91-7224C49458BB}"/>
              </c:extLst>
            </c:dLbl>
            <c:dLbl>
              <c:idx val="5"/>
              <c:layout>
                <c:manualLayout>
                  <c:x val="2.6589851539995567E-2"/>
                  <c:y val="-0.306214350045031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8DE-46D0-AF05-EFDE30945224}"/>
                </c:ext>
                <c:ext xmlns:c15="http://schemas.microsoft.com/office/drawing/2012/chart" uri="{CE6537A1-D6FC-4f65-9D91-7224C49458BB}"/>
              </c:extLst>
            </c:dLbl>
            <c:dLbl>
              <c:idx val="6"/>
              <c:layout>
                <c:manualLayout>
                  <c:x val="8.8632838466651698E-3"/>
                  <c:y val="-0.1561092764935454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8DE-46D0-AF05-EFDE30945224}"/>
                </c:ext>
                <c:ext xmlns:c15="http://schemas.microsoft.com/office/drawing/2012/chart" uri="{CE6537A1-D6FC-4f65-9D91-7224C49458BB}"/>
              </c:extLst>
            </c:dLbl>
            <c:dLbl>
              <c:idx val="7"/>
              <c:layout>
                <c:manualLayout>
                  <c:x val="8.6318515321536469E-3"/>
                  <c:y val="-9.11283838113106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2-48DE-46D0-AF05-EFDE30945224}"/>
                </c:ext>
                <c:ext xmlns:c15="http://schemas.microsoft.com/office/drawing/2012/chart" uri="{CE6537A1-D6FC-4f65-9D91-7224C49458BB}"/>
              </c:extLst>
            </c:dLbl>
            <c:dLbl>
              <c:idx val="9"/>
              <c:layout>
                <c:manualLayout>
                  <c:x val="0"/>
                  <c:y val="-0.1801260882617833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8DE-46D0-AF05-EFDE30945224}"/>
                </c:ext>
                <c:ext xmlns:c15="http://schemas.microsoft.com/office/drawing/2012/chart" uri="{CE6537A1-D6FC-4f65-9D91-7224C49458BB}"/>
              </c:extLst>
            </c:dLbl>
            <c:dLbl>
              <c:idx val="10"/>
              <c:layout>
                <c:manualLayout>
                  <c:x val="-4.0622915017834678E-17"/>
                  <c:y val="-0.1561092764935454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8DE-46D0-AF05-EFDE30945224}"/>
                </c:ext>
                <c:ext xmlns:c15="http://schemas.microsoft.com/office/drawing/2012/chart" uri="{CE6537A1-D6FC-4f65-9D91-7224C49458BB}"/>
              </c:extLst>
            </c:dLbl>
            <c:dLbl>
              <c:idx val="11"/>
              <c:layout>
                <c:manualLayout>
                  <c:x val="4.4316419233326352E-3"/>
                  <c:y val="1.20084058841188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8DE-46D0-AF05-EFDE30945224}"/>
                </c:ext>
                <c:ext xmlns:c15="http://schemas.microsoft.com/office/drawing/2012/chart" uri="{CE6537A1-D6FC-4f65-9D91-7224C49458BB}"/>
              </c:extLst>
            </c:dLbl>
            <c:dLbl>
              <c:idx val="12"/>
              <c:layout>
                <c:manualLayout>
                  <c:x val="2.2158209616662972E-3"/>
                  <c:y val="-0.1561092764935454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8DE-46D0-AF05-EFDE30945224}"/>
                </c:ext>
                <c:ext xmlns:c15="http://schemas.microsoft.com/office/drawing/2012/chart" uri="{CE6537A1-D6FC-4f65-9D91-7224C49458BB}"/>
              </c:extLst>
            </c:dLbl>
            <c:dLbl>
              <c:idx val="13"/>
              <c:layout>
                <c:manualLayout>
                  <c:x val="0"/>
                  <c:y val="-0.186130291203842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8DE-46D0-AF05-EFDE30945224}"/>
                </c:ext>
                <c:ext xmlns:c15="http://schemas.microsoft.com/office/drawing/2012/chart" uri="{CE6537A1-D6FC-4f65-9D91-7224C49458BB}"/>
              </c:extLst>
            </c:dLbl>
            <c:dLbl>
              <c:idx val="15"/>
              <c:layout>
                <c:manualLayout>
                  <c:x val="6.6474628849988917E-3"/>
                  <c:y val="-0.2341639147403182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8DE-46D0-AF05-EFDE30945224}"/>
                </c:ext>
                <c:ext xmlns:c15="http://schemas.microsoft.com/office/drawing/2012/chart" uri="{CE6537A1-D6FC-4f65-9D91-7224C49458BB}"/>
              </c:extLst>
            </c:dLbl>
            <c:dLbl>
              <c:idx val="16"/>
              <c:layout>
                <c:manualLayout>
                  <c:x val="4.4316419233325945E-3"/>
                  <c:y val="-0.204142900030021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8DE-46D0-AF05-EFDE30945224}"/>
                </c:ext>
                <c:ext xmlns:c15="http://schemas.microsoft.com/office/drawing/2012/chart" uri="{CE6537A1-D6FC-4f65-9D91-7224C49458BB}"/>
              </c:extLst>
            </c:dLbl>
            <c:dLbl>
              <c:idx val="18"/>
              <c:layout>
                <c:manualLayout>
                  <c:x val="1.1079104808331486E-2"/>
                  <c:y val="-7.80546382467727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8DE-46D0-AF05-EFDE30945224}"/>
                </c:ext>
                <c:ext xmlns:c15="http://schemas.microsoft.com/office/drawing/2012/chart" uri="{CE6537A1-D6FC-4f65-9D91-7224C49458BB}"/>
              </c:extLst>
            </c:dLbl>
            <c:dLbl>
              <c:idx val="19"/>
              <c:layout>
                <c:manualLayout>
                  <c:x val="-2.2158209616662972E-3"/>
                  <c:y val="-0.1140798558991294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8DE-46D0-AF05-EFDE30945224}"/>
                </c:ext>
                <c:ext xmlns:c15="http://schemas.microsoft.com/office/drawing/2012/chart" uri="{CE6537A1-D6FC-4f65-9D91-7224C49458BB}"/>
              </c:extLst>
            </c:dLbl>
            <c:dLbl>
              <c:idx val="20"/>
              <c:layout>
                <c:manualLayout>
                  <c:x val="1.7726567693330378E-2"/>
                  <c:y val="-0.192134494145902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8DE-46D0-AF05-EFDE30945224}"/>
                </c:ext>
                <c:ext xmlns:c15="http://schemas.microsoft.com/office/drawing/2012/chart" uri="{CE6537A1-D6FC-4f65-9D91-7224C49458BB}"/>
              </c:extLst>
            </c:dLbl>
            <c:dLbl>
              <c:idx val="21"/>
              <c:layout>
                <c:manualLayout>
                  <c:x val="-8.1245830035669357E-17"/>
                  <c:y val="-7.20504353047133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48DE-46D0-AF05-EFDE30945224}"/>
                </c:ext>
                <c:ext xmlns:c15="http://schemas.microsoft.com/office/drawing/2012/chart" uri="{CE6537A1-D6FC-4f65-9D91-7224C49458BB}"/>
              </c:extLst>
            </c:dLbl>
            <c:dLbl>
              <c:idx val="22"/>
              <c:layout>
                <c:manualLayout>
                  <c:x val="4.4316419233325138E-3"/>
                  <c:y val="-1.80126088261783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8DE-46D0-AF05-EFDE30945224}"/>
                </c:ext>
                <c:ext xmlns:c15="http://schemas.microsoft.com/office/drawing/2012/chart" uri="{CE6537A1-D6FC-4f65-9D91-7224C49458BB}"/>
              </c:extLst>
            </c:dLbl>
            <c:dLbl>
              <c:idx val="25"/>
              <c:layout>
                <c:manualLayout>
                  <c:x val="-8.1245830035669357E-17"/>
                  <c:y val="-3.00210147102972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8DE-46D0-AF05-EFDE30945224}"/>
                </c:ext>
                <c:ext xmlns:c15="http://schemas.microsoft.com/office/drawing/2012/chart" uri="{CE6537A1-D6FC-4f65-9D91-7224C49458BB}"/>
              </c:extLst>
            </c:dLbl>
            <c:dLbl>
              <c:idx val="27"/>
              <c:layout>
                <c:manualLayout>
                  <c:x val="-6.946169719778089E-5"/>
                  <c:y val="-0.192996571141889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48DE-46D0-AF05-EFDE30945224}"/>
                </c:ext>
                <c:ext xmlns:c15="http://schemas.microsoft.com/office/drawing/2012/chart" uri="{CE6537A1-D6FC-4f65-9D91-7224C49458BB}"/>
              </c:extLst>
            </c:dLbl>
            <c:dLbl>
              <c:idx val="28"/>
              <c:layout>
                <c:manualLayout>
                  <c:x val="1.3155977846619706E-2"/>
                  <c:y val="-0.2407080527442854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48DE-46D0-AF05-EFDE30945224}"/>
                </c:ext>
                <c:ext xmlns:c15="http://schemas.microsoft.com/office/drawing/2012/chart" uri="{CE6537A1-D6FC-4f65-9D91-7224C49458BB}"/>
              </c:extLst>
            </c:dLbl>
            <c:dLbl>
              <c:idx val="29"/>
              <c:layout>
                <c:manualLayout>
                  <c:x val="8.8632111584892835E-3"/>
                  <c:y val="-0.2761413080568021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48DE-46D0-AF05-EFDE30945224}"/>
                </c:ext>
                <c:ext xmlns:c15="http://schemas.microsoft.com/office/drawing/2012/chart" uri="{CE6537A1-D6FC-4f65-9D91-7224C49458BB}"/>
              </c:extLst>
            </c:dLbl>
            <c:dLbl>
              <c:idx val="30"/>
              <c:layout>
                <c:manualLayout>
                  <c:x val="4.4316419233325945E-3"/>
                  <c:y val="-9.00630441308916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48DE-46D0-AF05-EFDE30945224}"/>
                </c:ext>
                <c:ext xmlns:c15="http://schemas.microsoft.com/office/drawing/2012/chart" uri="{CE6537A1-D6FC-4f65-9D91-7224C49458BB}"/>
              </c:extLst>
            </c:dLbl>
            <c:dLbl>
              <c:idx val="31"/>
              <c:layout>
                <c:manualLayout>
                  <c:x val="6.6474628849988917E-3"/>
                  <c:y val="-5.40378264785350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48DE-46D0-AF05-EFDE30945224}"/>
                </c:ext>
                <c:ext xmlns:c15="http://schemas.microsoft.com/office/drawing/2012/chart" uri="{CE6537A1-D6FC-4f65-9D91-7224C49458BB}"/>
              </c:extLst>
            </c:dLbl>
            <c:dLbl>
              <c:idx val="32"/>
              <c:layout>
                <c:manualLayout>
                  <c:x val="1.3294925769997783E-2"/>
                  <c:y val="-9.00630441308916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48DE-46D0-AF05-EFDE30945224}"/>
                </c:ext>
                <c:ext xmlns:c15="http://schemas.microsoft.com/office/drawing/2012/chart" uri="{CE6537A1-D6FC-4f65-9D91-7224C49458BB}"/>
              </c:extLst>
            </c:dLbl>
            <c:dLbl>
              <c:idx val="33"/>
              <c:layout>
                <c:manualLayout>
                  <c:x val="1.5510746731664082E-2"/>
                  <c:y val="-7.80546382467727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48DE-46D0-AF05-EFDE30945224}"/>
                </c:ext>
                <c:ext xmlns:c15="http://schemas.microsoft.com/office/drawing/2012/chart" uri="{CE6537A1-D6FC-4f65-9D91-7224C49458BB}"/>
              </c:extLst>
            </c:dLbl>
            <c:dLbl>
              <c:idx val="34"/>
              <c:layout>
                <c:manualLayout>
                  <c:x val="1.9942388654996677E-2"/>
                  <c:y val="-0.1741218853197238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48DE-46D0-AF05-EFDE30945224}"/>
                </c:ext>
                <c:ext xmlns:c15="http://schemas.microsoft.com/office/drawing/2012/chart" uri="{CE6537A1-D6FC-4f65-9D91-7224C49458BB}"/>
              </c:extLst>
            </c:dLbl>
            <c:dLbl>
              <c:idx val="35"/>
              <c:layout>
                <c:manualLayout>
                  <c:x val="1.7726567693330378E-2"/>
                  <c:y val="-0.2281597117982587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48DE-46D0-AF05-EFDE30945224}"/>
                </c:ext>
                <c:ext xmlns:c15="http://schemas.microsoft.com/office/drawing/2012/chart" uri="{CE6537A1-D6FC-4f65-9D91-7224C49458BB}"/>
              </c:extLst>
            </c:dLbl>
            <c:dLbl>
              <c:idx val="36"/>
              <c:layout>
                <c:manualLayout>
                  <c:x val="4.4316419233325945E-3"/>
                  <c:y val="-0.1681176823776644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48DE-46D0-AF05-EFDE30945224}"/>
                </c:ext>
                <c:ext xmlns:c15="http://schemas.microsoft.com/office/drawing/2012/chart" uri="{CE6537A1-D6FC-4f65-9D91-7224C49458BB}"/>
              </c:extLst>
            </c:dLbl>
            <c:dLbl>
              <c:idx val="37"/>
              <c:layout>
                <c:manualLayout>
                  <c:x val="1.1079104808331486E-2"/>
                  <c:y val="-0.1621134794356049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48DE-46D0-AF05-EFDE309452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'!$Y$8:$Y$47</c:f>
              <c:numCache>
                <c:formatCode>General</c:formatCode>
                <c:ptCount val="40"/>
                <c:pt idx="0">
                  <c:v>0</c:v>
                </c:pt>
                <c:pt idx="1">
                  <c:v>7</c:v>
                </c:pt>
                <c:pt idx="2">
                  <c:v>0</c:v>
                </c:pt>
                <c:pt idx="3">
                  <c:v>1</c:v>
                </c:pt>
                <c:pt idx="4">
                  <c:v>1</c:v>
                </c:pt>
                <c:pt idx="5">
                  <c:v>1</c:v>
                </c:pt>
                <c:pt idx="6">
                  <c:v>1</c:v>
                </c:pt>
                <c:pt idx="7">
                  <c:v>1</c:v>
                </c:pt>
                <c:pt idx="8">
                  <c:v>3</c:v>
                </c:pt>
                <c:pt idx="9">
                  <c:v>0</c:v>
                </c:pt>
                <c:pt idx="10">
                  <c:v>1</c:v>
                </c:pt>
                <c:pt idx="11">
                  <c:v>1</c:v>
                </c:pt>
                <c:pt idx="12">
                  <c:v>1</c:v>
                </c:pt>
                <c:pt idx="13">
                  <c:v>0</c:v>
                </c:pt>
                <c:pt idx="14">
                  <c:v>1</c:v>
                </c:pt>
                <c:pt idx="15">
                  <c:v>1</c:v>
                </c:pt>
                <c:pt idx="16">
                  <c:v>3</c:v>
                </c:pt>
                <c:pt idx="17">
                  <c:v>0</c:v>
                </c:pt>
                <c:pt idx="18">
                  <c:v>3</c:v>
                </c:pt>
                <c:pt idx="19">
                  <c:v>0</c:v>
                </c:pt>
                <c:pt idx="20">
                  <c:v>1</c:v>
                </c:pt>
                <c:pt idx="21">
                  <c:v>1</c:v>
                </c:pt>
                <c:pt idx="22">
                  <c:v>0</c:v>
                </c:pt>
                <c:pt idx="23">
                  <c:v>1</c:v>
                </c:pt>
                <c:pt idx="24">
                  <c:v>2</c:v>
                </c:pt>
                <c:pt idx="25">
                  <c:v>0</c:v>
                </c:pt>
                <c:pt idx="26">
                  <c:v>1</c:v>
                </c:pt>
                <c:pt idx="27">
                  <c:v>0</c:v>
                </c:pt>
                <c:pt idx="28">
                  <c:v>1</c:v>
                </c:pt>
                <c:pt idx="29">
                  <c:v>0</c:v>
                </c:pt>
                <c:pt idx="30">
                  <c:v>0</c:v>
                </c:pt>
                <c:pt idx="31">
                  <c:v>1</c:v>
                </c:pt>
                <c:pt idx="32">
                  <c:v>0</c:v>
                </c:pt>
                <c:pt idx="33">
                  <c:v>0</c:v>
                </c:pt>
                <c:pt idx="34">
                  <c:v>0</c:v>
                </c:pt>
                <c:pt idx="35">
                  <c:v>0</c:v>
                </c:pt>
                <c:pt idx="36">
                  <c:v>0</c:v>
                </c:pt>
                <c:pt idx="37">
                  <c:v>1</c:v>
                </c:pt>
                <c:pt idx="38">
                  <c:v>23</c:v>
                </c:pt>
              </c:numCache>
            </c:numRef>
          </c:val>
          <c:extLst xmlns:c16r2="http://schemas.microsoft.com/office/drawing/2015/06/chart">
            <c:ext xmlns:c16="http://schemas.microsoft.com/office/drawing/2014/chart" uri="{C3380CC4-5D6E-409C-BE32-E72D297353CC}">
              <c16:uniqueId val="{00000001-48DE-46D0-AF05-EFDE30945224}"/>
            </c:ext>
          </c:extLst>
        </c:ser>
        <c:dLbls>
          <c:dLblPos val="outEnd"/>
          <c:showLegendKey val="0"/>
          <c:showVal val="1"/>
          <c:showCatName val="0"/>
          <c:showSerName val="0"/>
          <c:showPercent val="0"/>
          <c:showBubbleSize val="0"/>
        </c:dLbls>
        <c:gapWidth val="199"/>
        <c:axId val="596838872"/>
        <c:axId val="596842008"/>
      </c:barChart>
      <c:catAx>
        <c:axId val="59683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sq-AL"/>
          </a:p>
        </c:txPr>
        <c:crossAx val="596842008"/>
        <c:crosses val="autoZero"/>
        <c:auto val="1"/>
        <c:lblAlgn val="ctr"/>
        <c:lblOffset val="100"/>
        <c:noMultiLvlLbl val="0"/>
      </c:catAx>
      <c:valAx>
        <c:axId val="596842008"/>
        <c:scaling>
          <c:orientation val="minMax"/>
        </c:scaling>
        <c:delete val="1"/>
        <c:axPos val="l"/>
        <c:numFmt formatCode="General" sourceLinked="1"/>
        <c:majorTickMark val="none"/>
        <c:minorTickMark val="none"/>
        <c:tickLblPos val="nextTo"/>
        <c:crossAx val="596838872"/>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0458749169158155"/>
          <c:w val="0.96897850653667184"/>
          <c:h val="0.36738867963983163"/>
        </c:manualLayout>
      </c:layout>
      <c:barChart>
        <c:barDir val="col"/>
        <c:grouping val="clustered"/>
        <c:varyColors val="0"/>
        <c:ser>
          <c:idx val="0"/>
          <c:order val="0"/>
          <c:tx>
            <c:strRef>
              <c:f>'TRANSPARENCA FINANCIARE '!$AH$7</c:f>
              <c:strCache>
                <c:ptCount val="1"/>
                <c:pt idx="0">
                  <c:v>Publikimi i raportit të auditorit të jashtëm</c:v>
                </c:pt>
              </c:strCache>
            </c:strRef>
          </c:tx>
          <c:spPr>
            <a:solidFill>
              <a:schemeClr val="accent1"/>
            </a:solidFill>
            <a:ln>
              <a:noFill/>
            </a:ln>
            <a:effectLst/>
          </c:spPr>
          <c:invertIfNegative val="0"/>
          <c:dLbls>
            <c:dLbl>
              <c:idx val="23"/>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E2-48D3-B2B6-C30FF7C1512D}"/>
                </c:ext>
                <c:ext xmlns:c15="http://schemas.microsoft.com/office/drawing/2012/chart" uri="{CE6537A1-D6FC-4f65-9D91-7224C49458BB}"/>
              </c:extLst>
            </c:dLbl>
            <c:dLbl>
              <c:idx val="38"/>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E2-48D3-B2B6-C30FF7C151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'!$AG$8:$AG$47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'!$AH$8:$AH$47</c:f>
              <c:numCache>
                <c:formatCode>General</c:formatCode>
                <c:ptCount val="40"/>
                <c:pt idx="0">
                  <c:v>0</c:v>
                </c:pt>
                <c:pt idx="1">
                  <c:v>1</c:v>
                </c:pt>
                <c:pt idx="2">
                  <c:v>0</c:v>
                </c:pt>
                <c:pt idx="3">
                  <c:v>0</c:v>
                </c:pt>
                <c:pt idx="4">
                  <c:v>1</c:v>
                </c:pt>
                <c:pt idx="5">
                  <c:v>1</c:v>
                </c:pt>
                <c:pt idx="6">
                  <c:v>0</c:v>
                </c:pt>
                <c:pt idx="7">
                  <c:v>1</c:v>
                </c:pt>
                <c:pt idx="8">
                  <c:v>1</c:v>
                </c:pt>
                <c:pt idx="9">
                  <c:v>0</c:v>
                </c:pt>
                <c:pt idx="10">
                  <c:v>1</c:v>
                </c:pt>
                <c:pt idx="11">
                  <c:v>0</c:v>
                </c:pt>
                <c:pt idx="12">
                  <c:v>1</c:v>
                </c:pt>
                <c:pt idx="13">
                  <c:v>0</c:v>
                </c:pt>
                <c:pt idx="14">
                  <c:v>0</c:v>
                </c:pt>
                <c:pt idx="15">
                  <c:v>1</c:v>
                </c:pt>
                <c:pt idx="16">
                  <c:v>1</c:v>
                </c:pt>
                <c:pt idx="17">
                  <c:v>0</c:v>
                </c:pt>
                <c:pt idx="18">
                  <c:v>1</c:v>
                </c:pt>
                <c:pt idx="19">
                  <c:v>0</c:v>
                </c:pt>
                <c:pt idx="20">
                  <c:v>0</c:v>
                </c:pt>
                <c:pt idx="21">
                  <c:v>0</c:v>
                </c:pt>
                <c:pt idx="22">
                  <c:v>1</c:v>
                </c:pt>
                <c:pt idx="23">
                  <c:v>0</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16</c:v>
                </c:pt>
              </c:numCache>
            </c:numRef>
          </c:val>
          <c:extLst xmlns:c16r2="http://schemas.microsoft.com/office/drawing/2015/06/chart">
            <c:ext xmlns:c16="http://schemas.microsoft.com/office/drawing/2014/chart" uri="{C3380CC4-5D6E-409C-BE32-E72D297353CC}">
              <c16:uniqueId val="{00000000-5A95-4316-9194-A5D3FCF27B4A}"/>
            </c:ext>
          </c:extLst>
        </c:ser>
        <c:dLbls>
          <c:showLegendKey val="0"/>
          <c:showVal val="1"/>
          <c:showCatName val="0"/>
          <c:showSerName val="0"/>
          <c:showPercent val="0"/>
          <c:showBubbleSize val="0"/>
        </c:dLbls>
        <c:gapWidth val="150"/>
        <c:overlap val="-25"/>
        <c:axId val="562092624"/>
        <c:axId val="539751112"/>
      </c:barChart>
      <c:catAx>
        <c:axId val="5620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Garamond" panose="02020404030301010803" pitchFamily="18" charset="0"/>
                <a:ea typeface="Calibri" panose="020F0502020204030204" pitchFamily="34" charset="0"/>
                <a:cs typeface="Calibri" panose="020F0502020204030204" pitchFamily="34" charset="0"/>
              </a:defRPr>
            </a:pPr>
            <a:endParaRPr lang="sq-AL"/>
          </a:p>
        </c:txPr>
        <c:crossAx val="539751112"/>
        <c:crosses val="autoZero"/>
        <c:auto val="1"/>
        <c:lblAlgn val="ctr"/>
        <c:lblOffset val="100"/>
        <c:noMultiLvlLbl val="0"/>
      </c:catAx>
      <c:valAx>
        <c:axId val="539751112"/>
        <c:scaling>
          <c:orientation val="minMax"/>
        </c:scaling>
        <c:delete val="1"/>
        <c:axPos val="l"/>
        <c:numFmt formatCode="General" sourceLinked="1"/>
        <c:majorTickMark val="none"/>
        <c:minorTickMark val="none"/>
        <c:tickLblPos val="nextTo"/>
        <c:crossAx val="56209262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sq-AL"/>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'!$AL$7</c:f>
              <c:strCache>
                <c:ptCount val="1"/>
                <c:pt idx="0">
                  <c:v>Investimet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'!$AK$8:$AK$47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'!$AL$8:$AL$47</c:f>
              <c:numCache>
                <c:formatCode>General</c:formatCode>
                <c:ptCount val="40"/>
                <c:pt idx="0">
                  <c:v>0</c:v>
                </c:pt>
                <c:pt idx="1">
                  <c:v>1</c:v>
                </c:pt>
                <c:pt idx="2">
                  <c:v>0</c:v>
                </c:pt>
                <c:pt idx="3">
                  <c:v>0</c:v>
                </c:pt>
                <c:pt idx="4">
                  <c:v>0</c:v>
                </c:pt>
                <c:pt idx="5">
                  <c:v>1</c:v>
                </c:pt>
                <c:pt idx="6">
                  <c:v>1</c:v>
                </c:pt>
                <c:pt idx="7">
                  <c:v>1</c:v>
                </c:pt>
                <c:pt idx="8">
                  <c:v>0</c:v>
                </c:pt>
                <c:pt idx="9">
                  <c:v>0</c:v>
                </c:pt>
                <c:pt idx="10">
                  <c:v>0</c:v>
                </c:pt>
                <c:pt idx="11">
                  <c:v>1</c:v>
                </c:pt>
                <c:pt idx="12">
                  <c:v>1</c:v>
                </c:pt>
                <c:pt idx="13">
                  <c:v>0</c:v>
                </c:pt>
                <c:pt idx="14">
                  <c:v>1</c:v>
                </c:pt>
                <c:pt idx="15">
                  <c:v>0</c:v>
                </c:pt>
                <c:pt idx="16">
                  <c:v>0</c:v>
                </c:pt>
                <c:pt idx="17">
                  <c:v>0</c:v>
                </c:pt>
                <c:pt idx="18">
                  <c:v>0</c:v>
                </c:pt>
                <c:pt idx="19">
                  <c:v>0</c:v>
                </c:pt>
                <c:pt idx="20">
                  <c:v>0</c:v>
                </c:pt>
                <c:pt idx="21">
                  <c:v>1</c:v>
                </c:pt>
                <c:pt idx="22">
                  <c:v>1</c:v>
                </c:pt>
                <c:pt idx="23">
                  <c:v>1</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15</c:v>
                </c:pt>
              </c:numCache>
            </c:numRef>
          </c:val>
          <c:extLst xmlns:c16r2="http://schemas.microsoft.com/office/drawing/2015/06/chart">
            <c:ext xmlns:c16="http://schemas.microsoft.com/office/drawing/2014/chart" uri="{C3380CC4-5D6E-409C-BE32-E72D297353CC}">
              <c16:uniqueId val="{00000000-2D6A-4293-A023-47ED9482619B}"/>
            </c:ext>
          </c:extLst>
        </c:ser>
        <c:dLbls>
          <c:showLegendKey val="0"/>
          <c:showVal val="1"/>
          <c:showCatName val="0"/>
          <c:showSerName val="0"/>
          <c:showPercent val="0"/>
          <c:showBubbleSize val="0"/>
        </c:dLbls>
        <c:gapWidth val="150"/>
        <c:overlap val="-25"/>
        <c:axId val="539938872"/>
        <c:axId val="529430504"/>
      </c:barChart>
      <c:catAx>
        <c:axId val="53993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Garamond" panose="02020404030301010803" pitchFamily="18" charset="0"/>
                <a:ea typeface="+mn-ea"/>
                <a:cs typeface="+mn-cs"/>
              </a:defRPr>
            </a:pPr>
            <a:endParaRPr lang="sq-AL"/>
          </a:p>
        </c:txPr>
        <c:crossAx val="529430504"/>
        <c:crosses val="autoZero"/>
        <c:auto val="1"/>
        <c:lblAlgn val="ctr"/>
        <c:lblOffset val="100"/>
        <c:noMultiLvlLbl val="0"/>
      </c:catAx>
      <c:valAx>
        <c:axId val="529430504"/>
        <c:scaling>
          <c:orientation val="minMax"/>
        </c:scaling>
        <c:delete val="1"/>
        <c:axPos val="l"/>
        <c:numFmt formatCode="General" sourceLinked="1"/>
        <c:majorTickMark val="none"/>
        <c:minorTickMark val="none"/>
        <c:tickLblPos val="nextTo"/>
        <c:crossAx val="539938872"/>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sq-AL"/>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'!$O$7</c:f>
              <c:strCache>
                <c:ptCount val="1"/>
                <c:pt idx="0">
                  <c:v>Buxhetimin me pjesëmarrje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0</c:v>
                </c:pt>
                <c:pt idx="7">
                  <c:v>0</c:v>
                </c:pt>
                <c:pt idx="8">
                  <c:v>1</c:v>
                </c:pt>
                <c:pt idx="9">
                  <c:v>0</c:v>
                </c:pt>
                <c:pt idx="10">
                  <c:v>0</c:v>
                </c:pt>
                <c:pt idx="11">
                  <c:v>0</c:v>
                </c:pt>
                <c:pt idx="12">
                  <c:v>0</c:v>
                </c:pt>
                <c:pt idx="13">
                  <c:v>0</c:v>
                </c:pt>
                <c:pt idx="14">
                  <c:v>0</c:v>
                </c:pt>
                <c:pt idx="15">
                  <c:v>0</c:v>
                </c:pt>
                <c:pt idx="16">
                  <c:v>0</c:v>
                </c:pt>
                <c:pt idx="17">
                  <c:v>0</c:v>
                </c:pt>
                <c:pt idx="18">
                  <c:v>1</c:v>
                </c:pt>
                <c:pt idx="19">
                  <c:v>0</c:v>
                </c:pt>
                <c:pt idx="20">
                  <c:v>0</c:v>
                </c:pt>
                <c:pt idx="21">
                  <c:v>1</c:v>
                </c:pt>
                <c:pt idx="22">
                  <c:v>1</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11</c:v>
                </c:pt>
              </c:numCache>
            </c:numRef>
          </c:val>
          <c:extLst xmlns:c16r2="http://schemas.microsoft.com/office/drawing/2015/06/chart">
            <c:ext xmlns:c16="http://schemas.microsoft.com/office/drawing/2014/chart" uri="{C3380CC4-5D6E-409C-BE32-E72D297353CC}">
              <c16:uniqueId val="{00000000-3ECA-43DE-BE47-B959B1F77119}"/>
            </c:ext>
          </c:extLst>
        </c:ser>
        <c:dLbls>
          <c:showLegendKey val="0"/>
          <c:showVal val="1"/>
          <c:showCatName val="0"/>
          <c:showSerName val="0"/>
          <c:showPercent val="0"/>
          <c:showBubbleSize val="0"/>
        </c:dLbls>
        <c:gapWidth val="150"/>
        <c:overlap val="-25"/>
        <c:axId val="642146112"/>
        <c:axId val="642139056"/>
      </c:barChart>
      <c:catAx>
        <c:axId val="64214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q-AL"/>
          </a:p>
        </c:txPr>
        <c:crossAx val="642139056"/>
        <c:crosses val="autoZero"/>
        <c:auto val="1"/>
        <c:lblAlgn val="ctr"/>
        <c:lblOffset val="100"/>
        <c:noMultiLvlLbl val="0"/>
      </c:catAx>
      <c:valAx>
        <c:axId val="642139056"/>
        <c:scaling>
          <c:orientation val="minMax"/>
        </c:scaling>
        <c:delete val="1"/>
        <c:axPos val="l"/>
        <c:numFmt formatCode="General" sourceLinked="1"/>
        <c:majorTickMark val="none"/>
        <c:minorTickMark val="none"/>
        <c:tickLblPos val="nextTo"/>
        <c:crossAx val="642146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r>
              <a:rPr kumimoji="0" lang="en-US" sz="800" b="0" i="0" u="none" strike="noStrike" kern="0" cap="none" spc="0" normalizeH="0" baseline="0" noProof="0">
                <a:ln>
                  <a:noFill/>
                </a:ln>
                <a:solidFill>
                  <a:sysClr val="windowText" lastClr="000000">
                    <a:lumMod val="65000"/>
                    <a:lumOff val="35000"/>
                  </a:sysClr>
                </a:solidFill>
                <a:effectLst/>
                <a:uLnTx/>
                <a:uFillTx/>
                <a:latin typeface="Garamond" panose="02020404030301010803" pitchFamily="18" charset="0"/>
              </a:rPr>
              <a:t>Transparenca buxhetore në komuna  </a:t>
            </a:r>
          </a:p>
        </c:rich>
      </c:tx>
      <c:overlay val="0"/>
      <c:spPr>
        <a:noFill/>
        <a:ln>
          <a:no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endParaRPr lang="sq-AL"/>
        </a:p>
      </c:txPr>
    </c:title>
    <c:autoTitleDeleted val="0"/>
    <c:plotArea>
      <c:layout/>
      <c:lineChart>
        <c:grouping val="standard"/>
        <c:varyColors val="0"/>
        <c:ser>
          <c:idx val="0"/>
          <c:order val="0"/>
          <c:tx>
            <c:strRef>
              <c:f>'TRANSPARENCA FINANCIARE '!$C$8</c:f>
              <c:strCache>
                <c:ptCount val="1"/>
                <c:pt idx="0">
                  <c:v>Deçan</c:v>
                </c:pt>
              </c:strCache>
            </c:strRef>
          </c:tx>
          <c:spPr>
            <a:ln w="28575" cap="rnd">
              <a:solidFill>
                <a:schemeClr val="accent1"/>
              </a:solidFill>
              <a:round/>
            </a:ln>
            <a:effectLst/>
          </c:spPr>
          <c:marker>
            <c:symbol val="circle"/>
            <c:size val="5"/>
            <c:spPr>
              <a:solidFill>
                <a:schemeClr val="accent1"/>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'!$D$8:$L$8</c:f>
              <c:numCache>
                <c:formatCode>General</c:formatCode>
                <c:ptCount val="9"/>
                <c:pt idx="0">
                  <c:v>1</c:v>
                </c:pt>
                <c:pt idx="1">
                  <c:v>1</c:v>
                </c:pt>
                <c:pt idx="2">
                  <c:v>3</c:v>
                </c:pt>
                <c:pt idx="3">
                  <c:v>0</c:v>
                </c:pt>
                <c:pt idx="4">
                  <c:v>7</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0-006F-4833-81CA-3952FB0DB0AB}"/>
            </c:ext>
          </c:extLst>
        </c:ser>
        <c:ser>
          <c:idx val="1"/>
          <c:order val="1"/>
          <c:tx>
            <c:strRef>
              <c:f>'TRANSPARENCA FINANCIARE '!$C$9</c:f>
              <c:strCache>
                <c:ptCount val="1"/>
                <c:pt idx="0">
                  <c:v>Ferizaj</c:v>
                </c:pt>
              </c:strCache>
            </c:strRef>
          </c:tx>
          <c:spPr>
            <a:ln w="28575" cap="rnd">
              <a:solidFill>
                <a:schemeClr val="accent2"/>
              </a:solidFill>
              <a:round/>
            </a:ln>
            <a:effectLst/>
          </c:spPr>
          <c:marker>
            <c:symbol val="circle"/>
            <c:size val="5"/>
            <c:spPr>
              <a:solidFill>
                <a:schemeClr val="accent2"/>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'!$D$9:$L$9</c:f>
              <c:numCache>
                <c:formatCode>General</c:formatCode>
                <c:ptCount val="9"/>
                <c:pt idx="0">
                  <c:v>1</c:v>
                </c:pt>
                <c:pt idx="1">
                  <c:v>1</c:v>
                </c:pt>
                <c:pt idx="2">
                  <c:v>3</c:v>
                </c:pt>
                <c:pt idx="3">
                  <c:v>1</c:v>
                </c:pt>
                <c:pt idx="4">
                  <c:v>2</c:v>
                </c:pt>
                <c:pt idx="5">
                  <c:v>1</c:v>
                </c:pt>
                <c:pt idx="6">
                  <c:v>1</c:v>
                </c:pt>
                <c:pt idx="7">
                  <c:v>7</c:v>
                </c:pt>
                <c:pt idx="8">
                  <c:v>1</c:v>
                </c:pt>
              </c:numCache>
            </c:numRef>
          </c:val>
          <c:smooth val="0"/>
          <c:extLst xmlns:c16r2="http://schemas.microsoft.com/office/drawing/2015/06/chart">
            <c:ext xmlns:c16="http://schemas.microsoft.com/office/drawing/2014/chart" uri="{C3380CC4-5D6E-409C-BE32-E72D297353CC}">
              <c16:uniqueId val="{00000001-006F-4833-81CA-3952FB0DB0AB}"/>
            </c:ext>
          </c:extLst>
        </c:ser>
        <c:ser>
          <c:idx val="2"/>
          <c:order val="2"/>
          <c:tx>
            <c:strRef>
              <c:f>'TRANSPARENCA FINANCIARE '!$C$10</c:f>
              <c:strCache>
                <c:ptCount val="1"/>
                <c:pt idx="0">
                  <c:v>Fushe Kosovë</c:v>
                </c:pt>
              </c:strCache>
            </c:strRef>
          </c:tx>
          <c:spPr>
            <a:ln w="28575" cap="rnd">
              <a:solidFill>
                <a:schemeClr val="accent3"/>
              </a:solidFill>
              <a:round/>
            </a:ln>
            <a:effectLst/>
          </c:spPr>
          <c:marker>
            <c:symbol val="circle"/>
            <c:size val="5"/>
            <c:spPr>
              <a:solidFill>
                <a:schemeClr val="accent3"/>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'!$D$10:$L$10</c:f>
              <c:numCache>
                <c:formatCode>General</c:formatCode>
                <c:ptCount val="9"/>
                <c:pt idx="0">
                  <c:v>0</c:v>
                </c:pt>
                <c:pt idx="1">
                  <c:v>1</c:v>
                </c:pt>
                <c:pt idx="2">
                  <c:v>0</c:v>
                </c:pt>
                <c:pt idx="3">
                  <c:v>0</c:v>
                </c:pt>
                <c:pt idx="4">
                  <c:v>2</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2-006F-4833-81CA-3952FB0DB0AB}"/>
            </c:ext>
          </c:extLst>
        </c:ser>
        <c:ser>
          <c:idx val="3"/>
          <c:order val="3"/>
          <c:tx>
            <c:strRef>
              <c:f>'TRANSPARENCA FINANCIARE '!$C$11</c:f>
              <c:strCache>
                <c:ptCount val="1"/>
                <c:pt idx="0">
                  <c:v>Gjakovë</c:v>
                </c:pt>
              </c:strCache>
            </c:strRef>
          </c:tx>
          <c:spPr>
            <a:ln w="28575" cap="rnd">
              <a:solidFill>
                <a:schemeClr val="accent4"/>
              </a:solidFill>
              <a:round/>
            </a:ln>
            <a:effectLst/>
          </c:spPr>
          <c:marker>
            <c:symbol val="circle"/>
            <c:size val="5"/>
            <c:spPr>
              <a:solidFill>
                <a:schemeClr val="accent4"/>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'!$D$11:$L$11</c:f>
              <c:numCache>
                <c:formatCode>General</c:formatCode>
                <c:ptCount val="9"/>
                <c:pt idx="0">
                  <c:v>1</c:v>
                </c:pt>
                <c:pt idx="1">
                  <c:v>1</c:v>
                </c:pt>
                <c:pt idx="2">
                  <c:v>0</c:v>
                </c:pt>
                <c:pt idx="3">
                  <c:v>0</c:v>
                </c:pt>
                <c:pt idx="4">
                  <c:v>2</c:v>
                </c:pt>
                <c:pt idx="5">
                  <c:v>0</c:v>
                </c:pt>
                <c:pt idx="6">
                  <c:v>0</c:v>
                </c:pt>
                <c:pt idx="7">
                  <c:v>1</c:v>
                </c:pt>
                <c:pt idx="8">
                  <c:v>0</c:v>
                </c:pt>
              </c:numCache>
            </c:numRef>
          </c:val>
          <c:smooth val="0"/>
          <c:extLst xmlns:c16r2="http://schemas.microsoft.com/office/drawing/2015/06/chart">
            <c:ext xmlns:c16="http://schemas.microsoft.com/office/drawing/2014/chart" uri="{C3380CC4-5D6E-409C-BE32-E72D297353CC}">
              <c16:uniqueId val="{00000003-006F-4833-81CA-3952FB0DB0AB}"/>
            </c:ext>
          </c:extLst>
        </c:ser>
        <c:ser>
          <c:idx val="4"/>
          <c:order val="4"/>
          <c:tx>
            <c:strRef>
              <c:f>'TRANSPARENCA FINANCIARE '!$C$12</c:f>
              <c:strCache>
                <c:ptCount val="1"/>
                <c:pt idx="0">
                  <c:v>Gjilan </c:v>
                </c:pt>
              </c:strCache>
            </c:strRef>
          </c:tx>
          <c:spPr>
            <a:ln w="28575" cap="rnd">
              <a:solidFill>
                <a:schemeClr val="accent5"/>
              </a:solidFill>
              <a:round/>
            </a:ln>
            <a:effectLst/>
          </c:spPr>
          <c:marker>
            <c:symbol val="circle"/>
            <c:size val="5"/>
            <c:spPr>
              <a:solidFill>
                <a:schemeClr val="accent5"/>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'!$D$12:$L$12</c:f>
              <c:numCache>
                <c:formatCode>General</c:formatCode>
                <c:ptCount val="9"/>
                <c:pt idx="0">
                  <c:v>1</c:v>
                </c:pt>
                <c:pt idx="1">
                  <c:v>1</c:v>
                </c:pt>
                <c:pt idx="2">
                  <c:v>3</c:v>
                </c:pt>
                <c:pt idx="3">
                  <c:v>1</c:v>
                </c:pt>
                <c:pt idx="4">
                  <c:v>13</c:v>
                </c:pt>
                <c:pt idx="5">
                  <c:v>1</c:v>
                </c:pt>
                <c:pt idx="6">
                  <c:v>0</c:v>
                </c:pt>
                <c:pt idx="7">
                  <c:v>1</c:v>
                </c:pt>
                <c:pt idx="8">
                  <c:v>1</c:v>
                </c:pt>
              </c:numCache>
            </c:numRef>
          </c:val>
          <c:smooth val="0"/>
          <c:extLst xmlns:c16r2="http://schemas.microsoft.com/office/drawing/2015/06/chart">
            <c:ext xmlns:c16="http://schemas.microsoft.com/office/drawing/2014/chart" uri="{C3380CC4-5D6E-409C-BE32-E72D297353CC}">
              <c16:uniqueId val="{00000004-006F-4833-81CA-3952FB0DB0AB}"/>
            </c:ext>
          </c:extLst>
        </c:ser>
        <c:ser>
          <c:idx val="5"/>
          <c:order val="5"/>
          <c:tx>
            <c:strRef>
              <c:f>'TRANSPARENCA FINANCIARE '!$C$13</c:f>
              <c:strCache>
                <c:ptCount val="1"/>
                <c:pt idx="0">
                  <c:v>Gllogoc </c:v>
                </c:pt>
              </c:strCache>
            </c:strRef>
          </c:tx>
          <c:spPr>
            <a:ln w="28575" cap="rnd">
              <a:solidFill>
                <a:schemeClr val="accent6"/>
              </a:solidFill>
              <a:round/>
            </a:ln>
            <a:effectLst/>
          </c:spPr>
          <c:marker>
            <c:symbol val="circle"/>
            <c:size val="5"/>
            <c:spPr>
              <a:solidFill>
                <a:schemeClr val="accent6"/>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'!$D$13:$L$13</c:f>
              <c:numCache>
                <c:formatCode>General</c:formatCode>
                <c:ptCount val="9"/>
                <c:pt idx="0">
                  <c:v>1</c:v>
                </c:pt>
                <c:pt idx="1">
                  <c:v>1</c:v>
                </c:pt>
                <c:pt idx="2">
                  <c:v>3</c:v>
                </c:pt>
                <c:pt idx="3">
                  <c:v>1</c:v>
                </c:pt>
                <c:pt idx="4">
                  <c:v>1</c:v>
                </c:pt>
                <c:pt idx="5">
                  <c:v>1</c:v>
                </c:pt>
                <c:pt idx="6">
                  <c:v>1</c:v>
                </c:pt>
                <c:pt idx="7">
                  <c:v>1</c:v>
                </c:pt>
                <c:pt idx="8">
                  <c:v>1</c:v>
                </c:pt>
              </c:numCache>
            </c:numRef>
          </c:val>
          <c:smooth val="0"/>
          <c:extLst xmlns:c16r2="http://schemas.microsoft.com/office/drawing/2015/06/chart">
            <c:ext xmlns:c16="http://schemas.microsoft.com/office/drawing/2014/chart" uri="{C3380CC4-5D6E-409C-BE32-E72D297353CC}">
              <c16:uniqueId val="{00000005-006F-4833-81CA-3952FB0DB0AB}"/>
            </c:ext>
          </c:extLst>
        </c:ser>
        <c:ser>
          <c:idx val="6"/>
          <c:order val="6"/>
          <c:tx>
            <c:strRef>
              <c:f>'TRANSPARENCA FINANCIARE '!$C$14</c:f>
              <c:strCache>
                <c:ptCount val="1"/>
                <c:pt idx="0">
                  <c:v>Graçanicë</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'!$D$14:$L$14</c:f>
              <c:numCache>
                <c:formatCode>General</c:formatCode>
                <c:ptCount val="9"/>
                <c:pt idx="0">
                  <c:v>1</c:v>
                </c:pt>
                <c:pt idx="1">
                  <c:v>1</c:v>
                </c:pt>
                <c:pt idx="2">
                  <c:v>3</c:v>
                </c:pt>
                <c:pt idx="3">
                  <c:v>1</c:v>
                </c:pt>
                <c:pt idx="4">
                  <c:v>1</c:v>
                </c:pt>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6-006F-4833-81CA-3952FB0DB0AB}"/>
            </c:ext>
          </c:extLst>
        </c:ser>
        <c:ser>
          <c:idx val="7"/>
          <c:order val="7"/>
          <c:tx>
            <c:strRef>
              <c:f>'TRANSPARENCA FINANCIARE '!$C$15</c:f>
              <c:strCache>
                <c:ptCount val="1"/>
                <c:pt idx="0">
                  <c:v>Hani Elezit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'!$D$15:$L$15</c:f>
              <c:numCache>
                <c:formatCode>General</c:formatCode>
                <c:ptCount val="9"/>
                <c:pt idx="0">
                  <c:v>1</c:v>
                </c:pt>
                <c:pt idx="1">
                  <c:v>1</c:v>
                </c:pt>
                <c:pt idx="2">
                  <c:v>3</c:v>
                </c:pt>
                <c:pt idx="3">
                  <c:v>1</c:v>
                </c:pt>
                <c:pt idx="4">
                  <c:v>1</c:v>
                </c:pt>
                <c:pt idx="5">
                  <c:v>1</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7-006F-4833-81CA-3952FB0DB0AB}"/>
            </c:ext>
          </c:extLst>
        </c:ser>
        <c:ser>
          <c:idx val="8"/>
          <c:order val="8"/>
          <c:tx>
            <c:strRef>
              <c:f>'TRANSPARENCA FINANCIARE '!$C$16</c:f>
              <c:strCache>
                <c:ptCount val="1"/>
                <c:pt idx="0">
                  <c:v>Istog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'!$D$16:$L$16</c:f>
              <c:numCache>
                <c:formatCode>General</c:formatCode>
                <c:ptCount val="9"/>
                <c:pt idx="0">
                  <c:v>1</c:v>
                </c:pt>
                <c:pt idx="1">
                  <c:v>1</c:v>
                </c:pt>
                <c:pt idx="2">
                  <c:v>3</c:v>
                </c:pt>
                <c:pt idx="3">
                  <c:v>1</c:v>
                </c:pt>
                <c:pt idx="4">
                  <c:v>0</c:v>
                </c:pt>
                <c:pt idx="5">
                  <c:v>1</c:v>
                </c:pt>
                <c:pt idx="6">
                  <c:v>0</c:v>
                </c:pt>
                <c:pt idx="7">
                  <c:v>3</c:v>
                </c:pt>
                <c:pt idx="8">
                  <c:v>1</c:v>
                </c:pt>
              </c:numCache>
            </c:numRef>
          </c:val>
          <c:smooth val="0"/>
          <c:extLst xmlns:c16r2="http://schemas.microsoft.com/office/drawing/2015/06/chart">
            <c:ext xmlns:c16="http://schemas.microsoft.com/office/drawing/2014/chart" uri="{C3380CC4-5D6E-409C-BE32-E72D297353CC}">
              <c16:uniqueId val="{00000008-006F-4833-81CA-3952FB0DB0AB}"/>
            </c:ext>
          </c:extLst>
        </c:ser>
        <c:ser>
          <c:idx val="9"/>
          <c:order val="9"/>
          <c:tx>
            <c:strRef>
              <c:f>'TRANSPARENCA FINANCIARE '!$C$17</c:f>
              <c:strCache>
                <c:ptCount val="1"/>
                <c:pt idx="0">
                  <c:v>Junik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'!$D$17:$L$17</c:f>
              <c:numCache>
                <c:formatCode>General</c:formatCode>
                <c:ptCount val="9"/>
                <c:pt idx="0">
                  <c:v>1</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9-006F-4833-81CA-3952FB0DB0AB}"/>
            </c:ext>
          </c:extLst>
        </c:ser>
        <c:ser>
          <c:idx val="10"/>
          <c:order val="10"/>
          <c:tx>
            <c:strRef>
              <c:f>'TRANSPARENCA FINANCIARE '!$C$18</c:f>
              <c:strCache>
                <c:ptCount val="1"/>
                <c:pt idx="0">
                  <c:v>Kamenicë</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'!$D$18:$L$18</c:f>
              <c:numCache>
                <c:formatCode>General</c:formatCode>
                <c:ptCount val="9"/>
                <c:pt idx="0">
                  <c:v>1</c:v>
                </c:pt>
                <c:pt idx="1">
                  <c:v>1</c:v>
                </c:pt>
                <c:pt idx="2">
                  <c:v>3</c:v>
                </c:pt>
                <c:pt idx="3">
                  <c:v>1</c:v>
                </c:pt>
                <c:pt idx="4">
                  <c:v>0</c:v>
                </c:pt>
                <c:pt idx="5">
                  <c:v>1</c:v>
                </c:pt>
                <c:pt idx="6">
                  <c:v>0</c:v>
                </c:pt>
                <c:pt idx="7">
                  <c:v>1</c:v>
                </c:pt>
                <c:pt idx="8">
                  <c:v>0</c:v>
                </c:pt>
              </c:numCache>
            </c:numRef>
          </c:val>
          <c:smooth val="0"/>
          <c:extLst xmlns:c16r2="http://schemas.microsoft.com/office/drawing/2015/06/chart">
            <c:ext xmlns:c16="http://schemas.microsoft.com/office/drawing/2014/chart" uri="{C3380CC4-5D6E-409C-BE32-E72D297353CC}">
              <c16:uniqueId val="{0000000A-006F-4833-81CA-3952FB0DB0AB}"/>
            </c:ext>
          </c:extLst>
        </c:ser>
        <c:ser>
          <c:idx val="11"/>
          <c:order val="11"/>
          <c:tx>
            <c:strRef>
              <c:f>'TRANSPARENCA FINANCIARE '!$C$19</c:f>
              <c:strCache>
                <c:ptCount val="1"/>
                <c:pt idx="0">
                  <c:v>Kaçanik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'!$D$19:$L$19</c:f>
              <c:numCache>
                <c:formatCode>General</c:formatCode>
                <c:ptCount val="9"/>
                <c:pt idx="0">
                  <c:v>1</c:v>
                </c:pt>
                <c:pt idx="1">
                  <c:v>1</c:v>
                </c:pt>
                <c:pt idx="2">
                  <c:v>1</c:v>
                </c:pt>
                <c:pt idx="3">
                  <c:v>1</c:v>
                </c:pt>
                <c:pt idx="4">
                  <c:v>2</c:v>
                </c:pt>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B-006F-4833-81CA-3952FB0DB0AB}"/>
            </c:ext>
          </c:extLst>
        </c:ser>
        <c:ser>
          <c:idx val="12"/>
          <c:order val="12"/>
          <c:tx>
            <c:strRef>
              <c:f>'TRANSPARENCA FINANCIARE '!$C$20</c:f>
              <c:strCache>
                <c:ptCount val="1"/>
                <c:pt idx="0">
                  <c:v>Klinë</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'!$D$20:$L$20</c:f>
              <c:numCache>
                <c:formatCode>General</c:formatCode>
                <c:ptCount val="9"/>
                <c:pt idx="0">
                  <c:v>1</c:v>
                </c:pt>
                <c:pt idx="1">
                  <c:v>1</c:v>
                </c:pt>
                <c:pt idx="2">
                  <c:v>2</c:v>
                </c:pt>
                <c:pt idx="3">
                  <c:v>1</c:v>
                </c:pt>
                <c:pt idx="4">
                  <c:v>2</c:v>
                </c:pt>
                <c:pt idx="5">
                  <c:v>1</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C-006F-4833-81CA-3952FB0DB0AB}"/>
            </c:ext>
          </c:extLst>
        </c:ser>
        <c:ser>
          <c:idx val="13"/>
          <c:order val="13"/>
          <c:tx>
            <c:strRef>
              <c:f>'TRANSPARENCA FINANCIARE '!$C$21</c:f>
              <c:strCache>
                <c:ptCount val="1"/>
                <c:pt idx="0">
                  <c:v>Kllokot </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'!$D$21:$L$21</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0D-006F-4833-81CA-3952FB0DB0AB}"/>
            </c:ext>
          </c:extLst>
        </c:ser>
        <c:ser>
          <c:idx val="14"/>
          <c:order val="14"/>
          <c:tx>
            <c:strRef>
              <c:f>'TRANSPARENCA FINANCIARE '!$C$22</c:f>
              <c:strCache>
                <c:ptCount val="1"/>
                <c:pt idx="0">
                  <c:v>Lipjan </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'!$D$22:$L$22</c:f>
              <c:numCache>
                <c:formatCode>General</c:formatCode>
                <c:ptCount val="9"/>
                <c:pt idx="0">
                  <c:v>1</c:v>
                </c:pt>
                <c:pt idx="1">
                  <c:v>1</c:v>
                </c:pt>
                <c:pt idx="2">
                  <c:v>3</c:v>
                </c:pt>
                <c:pt idx="3">
                  <c:v>1</c:v>
                </c:pt>
                <c:pt idx="4">
                  <c:v>3</c:v>
                </c:pt>
                <c:pt idx="5">
                  <c:v>0</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0E-006F-4833-81CA-3952FB0DB0AB}"/>
            </c:ext>
          </c:extLst>
        </c:ser>
        <c:ser>
          <c:idx val="15"/>
          <c:order val="15"/>
          <c:tx>
            <c:strRef>
              <c:f>'TRANSPARENCA FINANCIARE '!$C$23</c:f>
              <c:strCache>
                <c:ptCount val="1"/>
                <c:pt idx="0">
                  <c:v>Malishevë</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'!$D$23:$L$23</c:f>
              <c:numCache>
                <c:formatCode>General</c:formatCode>
                <c:ptCount val="9"/>
                <c:pt idx="0">
                  <c:v>1</c:v>
                </c:pt>
                <c:pt idx="1">
                  <c:v>1</c:v>
                </c:pt>
                <c:pt idx="2">
                  <c:v>3</c:v>
                </c:pt>
                <c:pt idx="3">
                  <c:v>1</c:v>
                </c:pt>
                <c:pt idx="4">
                  <c:v>0</c:v>
                </c:pt>
                <c:pt idx="5">
                  <c:v>1</c:v>
                </c:pt>
                <c:pt idx="6">
                  <c:v>0</c:v>
                </c:pt>
                <c:pt idx="7">
                  <c:v>1</c:v>
                </c:pt>
                <c:pt idx="8">
                  <c:v>0</c:v>
                </c:pt>
              </c:numCache>
            </c:numRef>
          </c:val>
          <c:smooth val="0"/>
          <c:extLst xmlns:c16r2="http://schemas.microsoft.com/office/drawing/2015/06/chart">
            <c:ext xmlns:c16="http://schemas.microsoft.com/office/drawing/2014/chart" uri="{C3380CC4-5D6E-409C-BE32-E72D297353CC}">
              <c16:uniqueId val="{0000000F-006F-4833-81CA-3952FB0DB0AB}"/>
            </c:ext>
          </c:extLst>
        </c:ser>
        <c:ser>
          <c:idx val="16"/>
          <c:order val="16"/>
          <c:tx>
            <c:strRef>
              <c:f>'TRANSPARENCA FINANCIARE '!$C$24</c:f>
              <c:strCache>
                <c:ptCount val="1"/>
                <c:pt idx="0">
                  <c:v>Mitrovicë</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'!$D$24:$L$24</c:f>
              <c:numCache>
                <c:formatCode>General</c:formatCode>
                <c:ptCount val="9"/>
                <c:pt idx="0">
                  <c:v>1</c:v>
                </c:pt>
                <c:pt idx="1">
                  <c:v>1</c:v>
                </c:pt>
                <c:pt idx="2">
                  <c:v>3</c:v>
                </c:pt>
                <c:pt idx="3">
                  <c:v>1</c:v>
                </c:pt>
                <c:pt idx="4">
                  <c:v>4</c:v>
                </c:pt>
                <c:pt idx="5">
                  <c:v>1</c:v>
                </c:pt>
                <c:pt idx="6">
                  <c:v>0</c:v>
                </c:pt>
                <c:pt idx="7">
                  <c:v>3</c:v>
                </c:pt>
                <c:pt idx="8">
                  <c:v>0</c:v>
                </c:pt>
              </c:numCache>
            </c:numRef>
          </c:val>
          <c:smooth val="0"/>
          <c:extLst xmlns:c16r2="http://schemas.microsoft.com/office/drawing/2015/06/chart">
            <c:ext xmlns:c16="http://schemas.microsoft.com/office/drawing/2014/chart" uri="{C3380CC4-5D6E-409C-BE32-E72D297353CC}">
              <c16:uniqueId val="{00000010-006F-4833-81CA-3952FB0DB0AB}"/>
            </c:ext>
          </c:extLst>
        </c:ser>
        <c:ser>
          <c:idx val="17"/>
          <c:order val="17"/>
          <c:tx>
            <c:strRef>
              <c:f>'TRANSPARENCA FINANCIARE '!$C$25</c:f>
              <c:strCache>
                <c:ptCount val="1"/>
                <c:pt idx="0">
                  <c:v>Novobërdë</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'!$D$25:$L$25</c:f>
              <c:numCache>
                <c:formatCode>General</c:formatCode>
                <c:ptCount val="9"/>
                <c:pt idx="0">
                  <c:v>0</c:v>
                </c:pt>
                <c:pt idx="1">
                  <c:v>1</c:v>
                </c:pt>
                <c:pt idx="2">
                  <c:v>1</c:v>
                </c:pt>
                <c:pt idx="3">
                  <c:v>0</c:v>
                </c:pt>
                <c:pt idx="4">
                  <c:v>2</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1-006F-4833-81CA-3952FB0DB0AB}"/>
            </c:ext>
          </c:extLst>
        </c:ser>
        <c:ser>
          <c:idx val="18"/>
          <c:order val="18"/>
          <c:tx>
            <c:strRef>
              <c:f>'TRANSPARENCA FINANCIARE '!$C$26</c:f>
              <c:strCache>
                <c:ptCount val="1"/>
                <c:pt idx="0">
                  <c:v>Obiliq</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'!$D$26:$L$26</c:f>
              <c:numCache>
                <c:formatCode>General</c:formatCode>
                <c:ptCount val="9"/>
                <c:pt idx="0">
                  <c:v>1</c:v>
                </c:pt>
                <c:pt idx="1">
                  <c:v>1</c:v>
                </c:pt>
                <c:pt idx="2">
                  <c:v>3</c:v>
                </c:pt>
                <c:pt idx="3">
                  <c:v>1</c:v>
                </c:pt>
                <c:pt idx="4">
                  <c:v>2</c:v>
                </c:pt>
                <c:pt idx="5">
                  <c:v>1</c:v>
                </c:pt>
                <c:pt idx="6">
                  <c:v>0</c:v>
                </c:pt>
                <c:pt idx="7">
                  <c:v>3</c:v>
                </c:pt>
                <c:pt idx="8">
                  <c:v>1</c:v>
                </c:pt>
              </c:numCache>
            </c:numRef>
          </c:val>
          <c:smooth val="0"/>
          <c:extLst xmlns:c16r2="http://schemas.microsoft.com/office/drawing/2015/06/chart">
            <c:ext xmlns:c16="http://schemas.microsoft.com/office/drawing/2014/chart" uri="{C3380CC4-5D6E-409C-BE32-E72D297353CC}">
              <c16:uniqueId val="{00000012-006F-4833-81CA-3952FB0DB0AB}"/>
            </c:ext>
          </c:extLst>
        </c:ser>
        <c:ser>
          <c:idx val="19"/>
          <c:order val="19"/>
          <c:tx>
            <c:strRef>
              <c:f>'TRANSPARENCA FINANCIARE '!$C$27</c:f>
              <c:strCache>
                <c:ptCount val="1"/>
                <c:pt idx="0">
                  <c:v>Partesh </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'!$D$27:$L$27</c:f>
              <c:numCache>
                <c:formatCode>General</c:formatCode>
                <c:ptCount val="9"/>
                <c:pt idx="0">
                  <c:v>0</c:v>
                </c:pt>
                <c:pt idx="1">
                  <c:v>1</c:v>
                </c:pt>
                <c:pt idx="2">
                  <c:v>1</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3-006F-4833-81CA-3952FB0DB0AB}"/>
            </c:ext>
          </c:extLst>
        </c:ser>
        <c:ser>
          <c:idx val="20"/>
          <c:order val="20"/>
          <c:tx>
            <c:strRef>
              <c:f>'TRANSPARENCA FINANCIARE '!$C$28</c:f>
              <c:strCache>
                <c:ptCount val="1"/>
                <c:pt idx="0">
                  <c:v>Pejë </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'!$D$28:$L$28</c:f>
              <c:numCache>
                <c:formatCode>General</c:formatCode>
                <c:ptCount val="9"/>
                <c:pt idx="0">
                  <c:v>1</c:v>
                </c:pt>
                <c:pt idx="1">
                  <c:v>1</c:v>
                </c:pt>
                <c:pt idx="2">
                  <c:v>2</c:v>
                </c:pt>
                <c:pt idx="3">
                  <c:v>0</c:v>
                </c:pt>
                <c:pt idx="4">
                  <c:v>1</c:v>
                </c:pt>
                <c:pt idx="5">
                  <c:v>0</c:v>
                </c:pt>
                <c:pt idx="6">
                  <c:v>0</c:v>
                </c:pt>
                <c:pt idx="7">
                  <c:v>1</c:v>
                </c:pt>
                <c:pt idx="8">
                  <c:v>0</c:v>
                </c:pt>
              </c:numCache>
            </c:numRef>
          </c:val>
          <c:smooth val="0"/>
          <c:extLst xmlns:c16r2="http://schemas.microsoft.com/office/drawing/2015/06/chart">
            <c:ext xmlns:c16="http://schemas.microsoft.com/office/drawing/2014/chart" uri="{C3380CC4-5D6E-409C-BE32-E72D297353CC}">
              <c16:uniqueId val="{00000014-006F-4833-81CA-3952FB0DB0AB}"/>
            </c:ext>
          </c:extLst>
        </c:ser>
        <c:ser>
          <c:idx val="21"/>
          <c:order val="21"/>
          <c:tx>
            <c:strRef>
              <c:f>'TRANSPARENCA FINANCIARE '!$C$29</c:f>
              <c:strCache>
                <c:ptCount val="1"/>
                <c:pt idx="0">
                  <c:v>Podujevë</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'!$D$29:$L$29</c:f>
              <c:numCache>
                <c:formatCode>General</c:formatCode>
                <c:ptCount val="9"/>
                <c:pt idx="0">
                  <c:v>1</c:v>
                </c:pt>
                <c:pt idx="1">
                  <c:v>1</c:v>
                </c:pt>
                <c:pt idx="2">
                  <c:v>3</c:v>
                </c:pt>
                <c:pt idx="3">
                  <c:v>1</c:v>
                </c:pt>
                <c:pt idx="4">
                  <c:v>0</c:v>
                </c:pt>
                <c:pt idx="5">
                  <c:v>0</c:v>
                </c:pt>
                <c:pt idx="6">
                  <c:v>1</c:v>
                </c:pt>
                <c:pt idx="7">
                  <c:v>1</c:v>
                </c:pt>
                <c:pt idx="8">
                  <c:v>1</c:v>
                </c:pt>
              </c:numCache>
            </c:numRef>
          </c:val>
          <c:smooth val="0"/>
          <c:extLst xmlns:c16r2="http://schemas.microsoft.com/office/drawing/2015/06/chart">
            <c:ext xmlns:c16="http://schemas.microsoft.com/office/drawing/2014/chart" uri="{C3380CC4-5D6E-409C-BE32-E72D297353CC}">
              <c16:uniqueId val="{00000015-006F-4833-81CA-3952FB0DB0AB}"/>
            </c:ext>
          </c:extLst>
        </c:ser>
        <c:ser>
          <c:idx val="22"/>
          <c:order val="22"/>
          <c:tx>
            <c:strRef>
              <c:f>'TRANSPARENCA FINANCIARE '!$C$30</c:f>
              <c:strCache>
                <c:ptCount val="1"/>
                <c:pt idx="0">
                  <c:v>Prishtinë</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'!$D$30:$L$30</c:f>
              <c:numCache>
                <c:formatCode>General</c:formatCode>
                <c:ptCount val="9"/>
                <c:pt idx="0">
                  <c:v>1</c:v>
                </c:pt>
                <c:pt idx="1">
                  <c:v>1</c:v>
                </c:pt>
                <c:pt idx="2">
                  <c:v>3</c:v>
                </c:pt>
                <c:pt idx="3">
                  <c:v>1</c:v>
                </c:pt>
                <c:pt idx="4">
                  <c:v>0</c:v>
                </c:pt>
                <c:pt idx="5">
                  <c:v>1</c:v>
                </c:pt>
                <c:pt idx="6">
                  <c:v>1</c:v>
                </c:pt>
                <c:pt idx="7">
                  <c:v>0</c:v>
                </c:pt>
                <c:pt idx="8">
                  <c:v>1</c:v>
                </c:pt>
              </c:numCache>
            </c:numRef>
          </c:val>
          <c:smooth val="0"/>
          <c:extLst xmlns:c16r2="http://schemas.microsoft.com/office/drawing/2015/06/chart">
            <c:ext xmlns:c16="http://schemas.microsoft.com/office/drawing/2014/chart" uri="{C3380CC4-5D6E-409C-BE32-E72D297353CC}">
              <c16:uniqueId val="{00000016-006F-4833-81CA-3952FB0DB0AB}"/>
            </c:ext>
          </c:extLst>
        </c:ser>
        <c:ser>
          <c:idx val="24"/>
          <c:order val="23"/>
          <c:tx>
            <c:strRef>
              <c:f>'TRANSPARENCA FINANCIARE '!$C$32</c:f>
              <c:strCache>
                <c:ptCount val="1"/>
                <c:pt idx="0">
                  <c:v>Rahovec</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'!$D$32:$L$32</c:f>
              <c:numCache>
                <c:formatCode>General</c:formatCode>
                <c:ptCount val="9"/>
                <c:pt idx="0">
                  <c:v>1</c:v>
                </c:pt>
                <c:pt idx="1">
                  <c:v>1</c:v>
                </c:pt>
                <c:pt idx="2">
                  <c:v>1</c:v>
                </c:pt>
                <c:pt idx="3">
                  <c:v>1</c:v>
                </c:pt>
                <c:pt idx="4">
                  <c:v>16</c:v>
                </c:pt>
                <c:pt idx="5">
                  <c:v>1</c:v>
                </c:pt>
                <c:pt idx="6">
                  <c:v>1</c:v>
                </c:pt>
                <c:pt idx="7">
                  <c:v>2</c:v>
                </c:pt>
                <c:pt idx="8">
                  <c:v>1</c:v>
                </c:pt>
              </c:numCache>
            </c:numRef>
          </c:val>
          <c:smooth val="0"/>
          <c:extLst xmlns:c16r2="http://schemas.microsoft.com/office/drawing/2015/06/chart">
            <c:ext xmlns:c16="http://schemas.microsoft.com/office/drawing/2014/chart" uri="{C3380CC4-5D6E-409C-BE32-E72D297353CC}">
              <c16:uniqueId val="{00000017-006F-4833-81CA-3952FB0DB0AB}"/>
            </c:ext>
          </c:extLst>
        </c:ser>
        <c:ser>
          <c:idx val="25"/>
          <c:order val="24"/>
          <c:tx>
            <c:strRef>
              <c:f>'TRANSPARENCA FINANCIARE '!$C$33</c:f>
              <c:strCache>
                <c:ptCount val="1"/>
                <c:pt idx="0">
                  <c:v>Ranillug </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'!$D$33:$L$33</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8-006F-4833-81CA-3952FB0DB0AB}"/>
            </c:ext>
          </c:extLst>
        </c:ser>
        <c:ser>
          <c:idx val="26"/>
          <c:order val="25"/>
          <c:tx>
            <c:strRef>
              <c:f>'TRANSPARENCA FINANCIARE '!$C$34</c:f>
              <c:strCache>
                <c:ptCount val="1"/>
                <c:pt idx="0">
                  <c:v>Shtime </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'!$D$34:$L$34</c:f>
              <c:numCache>
                <c:formatCode>General</c:formatCode>
                <c:ptCount val="9"/>
                <c:pt idx="0">
                  <c:v>1</c:v>
                </c:pt>
                <c:pt idx="1">
                  <c:v>1</c:v>
                </c:pt>
                <c:pt idx="2">
                  <c:v>3</c:v>
                </c:pt>
                <c:pt idx="3">
                  <c:v>3</c:v>
                </c:pt>
                <c:pt idx="4">
                  <c:v>18</c:v>
                </c:pt>
                <c:pt idx="5">
                  <c:v>1</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19-006F-4833-81CA-3952FB0DB0AB}"/>
            </c:ext>
          </c:extLst>
        </c:ser>
        <c:ser>
          <c:idx val="27"/>
          <c:order val="26"/>
          <c:tx>
            <c:strRef>
              <c:f>'TRANSPARENCA FINANCIARE '!$C$35</c:f>
              <c:strCache>
                <c:ptCount val="1"/>
                <c:pt idx="0">
                  <c:v>Shtërpcë</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'!$D$35:$L$35</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A-006F-4833-81CA-3952FB0DB0AB}"/>
            </c:ext>
          </c:extLst>
        </c:ser>
        <c:ser>
          <c:idx val="28"/>
          <c:order val="27"/>
          <c:tx>
            <c:strRef>
              <c:f>'TRANSPARENCA FINANCIARE '!$C$36</c:f>
              <c:strCache>
                <c:ptCount val="1"/>
                <c:pt idx="0">
                  <c:v>Skenderaj </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'!$D$36:$L$36</c:f>
              <c:numCache>
                <c:formatCode>General</c:formatCode>
                <c:ptCount val="9"/>
                <c:pt idx="0">
                  <c:v>1</c:v>
                </c:pt>
                <c:pt idx="1">
                  <c:v>1</c:v>
                </c:pt>
                <c:pt idx="2">
                  <c:v>3</c:v>
                </c:pt>
                <c:pt idx="3">
                  <c:v>1</c:v>
                </c:pt>
                <c:pt idx="4">
                  <c:v>0</c:v>
                </c:pt>
                <c:pt idx="5">
                  <c:v>1</c:v>
                </c:pt>
                <c:pt idx="6">
                  <c:v>1</c:v>
                </c:pt>
                <c:pt idx="7">
                  <c:v>1</c:v>
                </c:pt>
                <c:pt idx="8">
                  <c:v>1</c:v>
                </c:pt>
              </c:numCache>
            </c:numRef>
          </c:val>
          <c:smooth val="0"/>
          <c:extLst xmlns:c16r2="http://schemas.microsoft.com/office/drawing/2015/06/chart">
            <c:ext xmlns:c16="http://schemas.microsoft.com/office/drawing/2014/chart" uri="{C3380CC4-5D6E-409C-BE32-E72D297353CC}">
              <c16:uniqueId val="{0000001B-006F-4833-81CA-3952FB0DB0AB}"/>
            </c:ext>
          </c:extLst>
        </c:ser>
        <c:ser>
          <c:idx val="29"/>
          <c:order val="28"/>
          <c:tx>
            <c:strRef>
              <c:f>'TRANSPARENCA FINANCIARE '!$C$37</c:f>
              <c:strCache>
                <c:ptCount val="1"/>
                <c:pt idx="0">
                  <c:v>Suharekë</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'!$D$37:$L$37</c:f>
              <c:numCache>
                <c:formatCode>General</c:formatCode>
                <c:ptCount val="9"/>
                <c:pt idx="0">
                  <c:v>1</c:v>
                </c:pt>
                <c:pt idx="1">
                  <c:v>0</c:v>
                </c:pt>
                <c:pt idx="2">
                  <c:v>3</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C-006F-4833-81CA-3952FB0DB0AB}"/>
            </c:ext>
          </c:extLst>
        </c:ser>
        <c:ser>
          <c:idx val="30"/>
          <c:order val="29"/>
          <c:tx>
            <c:strRef>
              <c:f>'TRANSPARENCA FINANCIARE '!$C$38</c:f>
              <c:strCache>
                <c:ptCount val="1"/>
                <c:pt idx="0">
                  <c:v>Viti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'!$D$38:$L$38</c:f>
              <c:numCache>
                <c:formatCode>General</c:formatCode>
                <c:ptCount val="9"/>
                <c:pt idx="0">
                  <c:v>1</c:v>
                </c:pt>
                <c:pt idx="1">
                  <c:v>1</c:v>
                </c:pt>
                <c:pt idx="2">
                  <c:v>2</c:v>
                </c:pt>
                <c:pt idx="3">
                  <c:v>1</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D-006F-4833-81CA-3952FB0DB0AB}"/>
            </c:ext>
          </c:extLst>
        </c:ser>
        <c:ser>
          <c:idx val="31"/>
          <c:order val="30"/>
          <c:tx>
            <c:strRef>
              <c:f>'TRANSPARENCA FINANCIARE '!$C$39</c:f>
              <c:strCache>
                <c:ptCount val="1"/>
                <c:pt idx="0">
                  <c:v>Vushtrri </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'!$D$39:$L$39</c:f>
              <c:numCache>
                <c:formatCode>General</c:formatCode>
                <c:ptCount val="9"/>
                <c:pt idx="0">
                  <c:v>1</c:v>
                </c:pt>
                <c:pt idx="1">
                  <c:v>1</c:v>
                </c:pt>
                <c:pt idx="2">
                  <c:v>3</c:v>
                </c:pt>
                <c:pt idx="3">
                  <c:v>1</c:v>
                </c:pt>
                <c:pt idx="4">
                  <c:v>0</c:v>
                </c:pt>
                <c:pt idx="5">
                  <c:v>1</c:v>
                </c:pt>
                <c:pt idx="6">
                  <c:v>1</c:v>
                </c:pt>
                <c:pt idx="7">
                  <c:v>1</c:v>
                </c:pt>
                <c:pt idx="8">
                  <c:v>1</c:v>
                </c:pt>
              </c:numCache>
            </c:numRef>
          </c:val>
          <c:smooth val="0"/>
          <c:extLst xmlns:c16r2="http://schemas.microsoft.com/office/drawing/2015/06/chart">
            <c:ext xmlns:c16="http://schemas.microsoft.com/office/drawing/2014/chart" uri="{C3380CC4-5D6E-409C-BE32-E72D297353CC}">
              <c16:uniqueId val="{0000001E-006F-4833-81CA-3952FB0DB0AB}"/>
            </c:ext>
          </c:extLst>
        </c:ser>
        <c:ser>
          <c:idx val="32"/>
          <c:order val="31"/>
          <c:tx>
            <c:strRef>
              <c:f>'TRANSPARENCA FINANCIARE '!$C$40</c:f>
              <c:strCache>
                <c:ptCount val="1"/>
                <c:pt idx="0">
                  <c:v>Zubin Potoku</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'!$D$40:$L$40</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1F-006F-4833-81CA-3952FB0DB0AB}"/>
            </c:ext>
          </c:extLst>
        </c:ser>
        <c:ser>
          <c:idx val="33"/>
          <c:order val="32"/>
          <c:tx>
            <c:strRef>
              <c:f>'TRANSPARENCA FINANCIARE '!$C$41</c:f>
              <c:strCache>
                <c:ptCount val="1"/>
                <c:pt idx="0">
                  <c:v>Zveçan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'!$D$41:$L$41</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20-006F-4833-81CA-3952FB0DB0AB}"/>
            </c:ext>
          </c:extLst>
        </c:ser>
        <c:ser>
          <c:idx val="34"/>
          <c:order val="33"/>
          <c:tx>
            <c:strRef>
              <c:f>'TRANSPARENCA FINANCIARE '!$C$42</c:f>
              <c:strCache>
                <c:ptCount val="1"/>
                <c:pt idx="0">
                  <c:v>Leposaviq</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'!$D$42:$L$42</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21-006F-4833-81CA-3952FB0DB0AB}"/>
            </c:ext>
          </c:extLst>
        </c:ser>
        <c:ser>
          <c:idx val="35"/>
          <c:order val="34"/>
          <c:tx>
            <c:strRef>
              <c:f>'TRANSPARENCA FINANCIARE '!$C$43</c:f>
              <c:strCache>
                <c:ptCount val="1"/>
                <c:pt idx="0">
                  <c:v>Mitrovica Veriore</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'!$D$43:$L$43</c:f>
              <c:numCache>
                <c:formatCode>General</c:formatCode>
                <c:ptCount val="9"/>
                <c:pt idx="0">
                  <c:v>0</c:v>
                </c:pt>
                <c:pt idx="1">
                  <c:v>0</c:v>
                </c:pt>
                <c:pt idx="2">
                  <c:v>1</c:v>
                </c:pt>
                <c:pt idx="3">
                  <c:v>1</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22-006F-4833-81CA-3952FB0DB0AB}"/>
            </c:ext>
          </c:extLst>
        </c:ser>
        <c:ser>
          <c:idx val="36"/>
          <c:order val="35"/>
          <c:tx>
            <c:strRef>
              <c:f>'TRANSPARENCA FINANCIARE '!$C$44</c:f>
              <c:strCache>
                <c:ptCount val="1"/>
                <c:pt idx="0">
                  <c:v>Mamushë</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'!$D$44:$L$44</c:f>
              <c:numCache>
                <c:formatCode>General</c:formatCode>
                <c:ptCount val="9"/>
                <c:pt idx="0">
                  <c:v>0</c:v>
                </c:pt>
                <c:pt idx="1">
                  <c:v>0</c:v>
                </c:pt>
                <c:pt idx="2">
                  <c:v>0</c:v>
                </c:pt>
                <c:pt idx="3">
                  <c:v>0</c:v>
                </c:pt>
                <c:pt idx="4">
                  <c:v>0</c:v>
                </c:pt>
                <c:pt idx="5">
                  <c:v>0</c:v>
                </c:pt>
                <c:pt idx="6">
                  <c:v>0</c:v>
                </c:pt>
                <c:pt idx="7">
                  <c:v>0</c:v>
                </c:pt>
                <c:pt idx="8">
                  <c:v>0</c:v>
                </c:pt>
              </c:numCache>
            </c:numRef>
          </c:val>
          <c:smooth val="0"/>
          <c:extLst xmlns:c16r2="http://schemas.microsoft.com/office/drawing/2015/06/chart">
            <c:ext xmlns:c16="http://schemas.microsoft.com/office/drawing/2014/chart" uri="{C3380CC4-5D6E-409C-BE32-E72D297353CC}">
              <c16:uniqueId val="{00000023-006F-4833-81CA-3952FB0DB0AB}"/>
            </c:ext>
          </c:extLst>
        </c:ser>
        <c:ser>
          <c:idx val="37"/>
          <c:order val="36"/>
          <c:tx>
            <c:strRef>
              <c:f>'TRANSPARENCA FINANCIARE '!$C$45</c:f>
              <c:strCache>
                <c:ptCount val="1"/>
                <c:pt idx="0">
                  <c:v>Dragash</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'!$D$45:$L$45</c:f>
              <c:numCache>
                <c:formatCode>General</c:formatCode>
                <c:ptCount val="9"/>
                <c:pt idx="0">
                  <c:v>1</c:v>
                </c:pt>
                <c:pt idx="1">
                  <c:v>1</c:v>
                </c:pt>
                <c:pt idx="2">
                  <c:v>3</c:v>
                </c:pt>
                <c:pt idx="3">
                  <c:v>1</c:v>
                </c:pt>
                <c:pt idx="4">
                  <c:v>6</c:v>
                </c:pt>
                <c:pt idx="5">
                  <c:v>1</c:v>
                </c:pt>
                <c:pt idx="6">
                  <c:v>1</c:v>
                </c:pt>
                <c:pt idx="7">
                  <c:v>1</c:v>
                </c:pt>
                <c:pt idx="8">
                  <c:v>0</c:v>
                </c:pt>
              </c:numCache>
            </c:numRef>
          </c:val>
          <c:smooth val="0"/>
          <c:extLst xmlns:c16r2="http://schemas.microsoft.com/office/drawing/2015/06/chart">
            <c:ext xmlns:c16="http://schemas.microsoft.com/office/drawing/2014/chart" uri="{C3380CC4-5D6E-409C-BE32-E72D297353CC}">
              <c16:uniqueId val="{00000024-006F-4833-81CA-3952FB0DB0AB}"/>
            </c:ext>
          </c:extLst>
        </c:ser>
        <c:ser>
          <c:idx val="38"/>
          <c:order val="37"/>
          <c:tx>
            <c:strRef>
              <c:f>'TRANSPARENCA FINANCIARE '!$C$46</c:f>
              <c:strCache>
                <c:ptCount val="1"/>
                <c:pt idx="0">
                  <c:v>TOTALI</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'!$D$46:$L$46</c:f>
              <c:numCache>
                <c:formatCode>General</c:formatCode>
                <c:ptCount val="9"/>
                <c:pt idx="0">
                  <c:v>27</c:v>
                </c:pt>
                <c:pt idx="1">
                  <c:v>28</c:v>
                </c:pt>
                <c:pt idx="2">
                  <c:v>28</c:v>
                </c:pt>
                <c:pt idx="3">
                  <c:v>25</c:v>
                </c:pt>
                <c:pt idx="4">
                  <c:v>19</c:v>
                </c:pt>
                <c:pt idx="5">
                  <c:v>16</c:v>
                </c:pt>
                <c:pt idx="6">
                  <c:v>15</c:v>
                </c:pt>
                <c:pt idx="7">
                  <c:v>23</c:v>
                </c:pt>
                <c:pt idx="8">
                  <c:v>11</c:v>
                </c:pt>
              </c:numCache>
            </c:numRef>
          </c:val>
          <c:smooth val="0"/>
          <c:extLst xmlns:c16r2="http://schemas.microsoft.com/office/drawing/2015/06/chart">
            <c:ext xmlns:c16="http://schemas.microsoft.com/office/drawing/2014/chart" uri="{C3380CC4-5D6E-409C-BE32-E72D297353CC}">
              <c16:uniqueId val="{00000025-006F-4833-81CA-3952FB0DB0AB}"/>
            </c:ext>
          </c:extLst>
        </c:ser>
        <c:dLbls>
          <c:showLegendKey val="0"/>
          <c:showVal val="1"/>
          <c:showCatName val="0"/>
          <c:showSerName val="0"/>
          <c:showPercent val="0"/>
          <c:showBubbleSize val="0"/>
        </c:dLbls>
        <c:marker val="1"/>
        <c:smooth val="0"/>
        <c:axId val="642136704"/>
        <c:axId val="642143368"/>
      </c:lineChart>
      <c:catAx>
        <c:axId val="6421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Garamond" panose="02020404030301010803" pitchFamily="18" charset="0"/>
                <a:ea typeface="+mn-ea"/>
                <a:cs typeface="+mn-cs"/>
              </a:defRPr>
            </a:pPr>
            <a:endParaRPr lang="sq-AL"/>
          </a:p>
        </c:txPr>
        <c:crossAx val="642143368"/>
        <c:crosses val="autoZero"/>
        <c:auto val="1"/>
        <c:lblAlgn val="ctr"/>
        <c:lblOffset val="100"/>
        <c:noMultiLvlLbl val="0"/>
      </c:catAx>
      <c:valAx>
        <c:axId val="642143368"/>
        <c:scaling>
          <c:orientation val="minMax"/>
        </c:scaling>
        <c:delete val="1"/>
        <c:axPos val="l"/>
        <c:numFmt formatCode="General" sourceLinked="1"/>
        <c:majorTickMark val="none"/>
        <c:minorTickMark val="none"/>
        <c:tickLblPos val="nextTo"/>
        <c:crossAx val="64213670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14678501840224E-2"/>
          <c:y val="0.23355768647730915"/>
          <c:w val="0.97185537995237048"/>
          <c:h val="0.35370413681788127"/>
        </c:manualLayout>
      </c:layout>
      <c:barChart>
        <c:barDir val="col"/>
        <c:grouping val="clustered"/>
        <c:varyColors val="0"/>
        <c:ser>
          <c:idx val="0"/>
          <c:order val="0"/>
          <c:tx>
            <c:strRef>
              <c:f>'PROKURIMI '!$M$3:$M$7</c:f>
              <c:strCache>
                <c:ptCount val="5"/>
                <c:pt idx="4">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'!$L$8:$L$45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'PROKURIMI '!$M$8:$M$45</c:f>
              <c:numCache>
                <c:formatCode>General</c:formatCode>
                <c:ptCount val="38"/>
                <c:pt idx="0">
                  <c:v>0</c:v>
                </c:pt>
                <c:pt idx="1">
                  <c:v>1</c:v>
                </c:pt>
                <c:pt idx="2">
                  <c:v>0</c:v>
                </c:pt>
                <c:pt idx="3">
                  <c:v>0</c:v>
                </c:pt>
                <c:pt idx="4">
                  <c:v>1</c:v>
                </c:pt>
                <c:pt idx="5">
                  <c:v>1</c:v>
                </c:pt>
                <c:pt idx="6">
                  <c:v>1</c:v>
                </c:pt>
                <c:pt idx="7">
                  <c:v>0</c:v>
                </c:pt>
                <c:pt idx="8">
                  <c:v>1</c:v>
                </c:pt>
                <c:pt idx="9">
                  <c:v>0</c:v>
                </c:pt>
                <c:pt idx="10">
                  <c:v>1</c:v>
                </c:pt>
                <c:pt idx="11">
                  <c:v>1</c:v>
                </c:pt>
                <c:pt idx="12">
                  <c:v>0</c:v>
                </c:pt>
                <c:pt idx="13">
                  <c:v>0</c:v>
                </c:pt>
                <c:pt idx="14">
                  <c:v>1</c:v>
                </c:pt>
                <c:pt idx="15">
                  <c:v>1</c:v>
                </c:pt>
                <c:pt idx="16">
                  <c:v>1</c:v>
                </c:pt>
                <c:pt idx="17">
                  <c:v>0</c:v>
                </c:pt>
                <c:pt idx="18">
                  <c:v>1</c:v>
                </c:pt>
                <c:pt idx="19">
                  <c:v>0</c:v>
                </c:pt>
                <c:pt idx="20">
                  <c:v>0</c:v>
                </c:pt>
                <c:pt idx="21">
                  <c:v>1</c:v>
                </c:pt>
                <c:pt idx="22">
                  <c:v>0</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0</c:v>
                </c:pt>
              </c:numCache>
            </c:numRef>
          </c:val>
          <c:extLst xmlns:c16r2="http://schemas.microsoft.com/office/drawing/2015/06/chart">
            <c:ext xmlns:c16="http://schemas.microsoft.com/office/drawing/2014/chart" uri="{C3380CC4-5D6E-409C-BE32-E72D297353CC}">
              <c16:uniqueId val="{00000000-31C0-4A9C-B38C-0F81090F78B4}"/>
            </c:ext>
          </c:extLst>
        </c:ser>
        <c:dLbls>
          <c:showLegendKey val="0"/>
          <c:showVal val="1"/>
          <c:showCatName val="0"/>
          <c:showSerName val="0"/>
          <c:showPercent val="0"/>
          <c:showBubbleSize val="0"/>
        </c:dLbls>
        <c:gapWidth val="95"/>
        <c:axId val="642144544"/>
        <c:axId val="642140232"/>
      </c:barChart>
      <c:catAx>
        <c:axId val="6421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sq-AL"/>
          </a:p>
        </c:txPr>
        <c:crossAx val="642140232"/>
        <c:crosses val="autoZero"/>
        <c:auto val="1"/>
        <c:lblAlgn val="ctr"/>
        <c:lblOffset val="100"/>
        <c:noMultiLvlLbl val="0"/>
      </c:catAx>
      <c:valAx>
        <c:axId val="642140232"/>
        <c:scaling>
          <c:orientation val="minMax"/>
        </c:scaling>
        <c:delete val="1"/>
        <c:axPos val="l"/>
        <c:numFmt formatCode="General" sourceLinked="1"/>
        <c:majorTickMark val="none"/>
        <c:minorTickMark val="none"/>
        <c:tickLblPos val="nextTo"/>
        <c:crossAx val="642144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'!$P$7</c:f>
              <c:strCache>
                <c:ptCount val="1"/>
                <c:pt idx="0">
                  <c:v>Njoftimeve për komitetet për komunitete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j-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'!$O$8:$O$46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'!$P$8:$P$46</c:f>
              <c:numCache>
                <c:formatCode>General</c:formatCode>
                <c:ptCount val="39"/>
                <c:pt idx="0">
                  <c:v>0</c:v>
                </c:pt>
                <c:pt idx="1">
                  <c:v>4</c:v>
                </c:pt>
                <c:pt idx="2">
                  <c:v>0</c:v>
                </c:pt>
                <c:pt idx="3">
                  <c:v>0</c:v>
                </c:pt>
                <c:pt idx="4">
                  <c:v>1</c:v>
                </c:pt>
                <c:pt idx="5">
                  <c:v>0</c:v>
                </c:pt>
                <c:pt idx="6">
                  <c:v>7</c:v>
                </c:pt>
                <c:pt idx="7">
                  <c:v>9</c:v>
                </c:pt>
                <c:pt idx="8">
                  <c:v>0</c:v>
                </c:pt>
                <c:pt idx="9">
                  <c:v>0</c:v>
                </c:pt>
                <c:pt idx="10">
                  <c:v>10</c:v>
                </c:pt>
                <c:pt idx="11">
                  <c:v>9</c:v>
                </c:pt>
                <c:pt idx="12">
                  <c:v>6</c:v>
                </c:pt>
                <c:pt idx="13">
                  <c:v>0</c:v>
                </c:pt>
                <c:pt idx="14">
                  <c:v>6</c:v>
                </c:pt>
                <c:pt idx="15">
                  <c:v>7</c:v>
                </c:pt>
                <c:pt idx="16">
                  <c:v>9</c:v>
                </c:pt>
                <c:pt idx="17">
                  <c:v>1</c:v>
                </c:pt>
                <c:pt idx="18">
                  <c:v>0</c:v>
                </c:pt>
                <c:pt idx="19">
                  <c:v>0</c:v>
                </c:pt>
                <c:pt idx="20">
                  <c:v>3</c:v>
                </c:pt>
                <c:pt idx="21">
                  <c:v>5</c:v>
                </c:pt>
                <c:pt idx="22">
                  <c:v>9</c:v>
                </c:pt>
                <c:pt idx="23">
                  <c:v>5</c:v>
                </c:pt>
                <c:pt idx="24">
                  <c:v>5</c:v>
                </c:pt>
                <c:pt idx="25">
                  <c:v>0</c:v>
                </c:pt>
                <c:pt idx="26">
                  <c:v>9</c:v>
                </c:pt>
                <c:pt idx="27">
                  <c:v>0</c:v>
                </c:pt>
                <c:pt idx="28">
                  <c:v>0</c:v>
                </c:pt>
                <c:pt idx="29">
                  <c:v>0</c:v>
                </c:pt>
                <c:pt idx="30">
                  <c:v>0</c:v>
                </c:pt>
                <c:pt idx="31">
                  <c:v>11</c:v>
                </c:pt>
                <c:pt idx="32">
                  <c:v>0</c:v>
                </c:pt>
                <c:pt idx="33">
                  <c:v>0</c:v>
                </c:pt>
                <c:pt idx="34">
                  <c:v>0</c:v>
                </c:pt>
                <c:pt idx="35">
                  <c:v>0</c:v>
                </c:pt>
                <c:pt idx="36">
                  <c:v>2</c:v>
                </c:pt>
                <c:pt idx="37">
                  <c:v>8</c:v>
                </c:pt>
              </c:numCache>
            </c:numRef>
          </c:val>
          <c:extLst xmlns:c16r2="http://schemas.microsoft.com/office/drawing/2015/06/chart">
            <c:ext xmlns:c16="http://schemas.microsoft.com/office/drawing/2014/chart" uri="{C3380CC4-5D6E-409C-BE32-E72D297353CC}">
              <c16:uniqueId val="{00000000-A5FA-4784-94BD-379D6C3B9BFA}"/>
            </c:ext>
          </c:extLst>
        </c:ser>
        <c:dLbls>
          <c:showLegendKey val="0"/>
          <c:showVal val="1"/>
          <c:showCatName val="0"/>
          <c:showSerName val="0"/>
          <c:showPercent val="0"/>
          <c:showBubbleSize val="0"/>
        </c:dLbls>
        <c:gapWidth val="150"/>
        <c:overlap val="-25"/>
        <c:axId val="355322488"/>
        <c:axId val="355317000"/>
      </c:barChart>
      <c:catAx>
        <c:axId val="3553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sq-AL"/>
          </a:p>
        </c:txPr>
        <c:crossAx val="355317000"/>
        <c:crosses val="autoZero"/>
        <c:auto val="1"/>
        <c:lblAlgn val="ctr"/>
        <c:lblOffset val="100"/>
        <c:noMultiLvlLbl val="0"/>
      </c:catAx>
      <c:valAx>
        <c:axId val="355317000"/>
        <c:scaling>
          <c:orientation val="minMax"/>
        </c:scaling>
        <c:delete val="1"/>
        <c:axPos val="l"/>
        <c:numFmt formatCode="General" sourceLinked="1"/>
        <c:majorTickMark val="none"/>
        <c:minorTickMark val="none"/>
        <c:tickLblPos val="nextTo"/>
        <c:crossAx val="355322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i="1">
          <a:latin typeface="+mj-lt"/>
        </a:defRPr>
      </a:pPr>
      <a:endParaRPr lang="sq-A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'!$R$4</c:f>
              <c:strCache>
                <c:ptCount val="1"/>
                <c:pt idx="0">
                  <c:v>Publikimi i projekt-propozimeve te publikuar për konsultime publike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8"/>
              <c:layout>
                <c:manualLayout>
                  <c:x val="-1.0580890911014707E-2"/>
                  <c:y val="-0.2308499475341028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C89-4652-B9CB-798E6DA81382}"/>
                </c:ext>
                <c:ext xmlns:c15="http://schemas.microsoft.com/office/drawing/2012/chart" uri="{CE6537A1-D6FC-4f65-9D91-7224C49458BB}"/>
              </c:extLst>
            </c:dLbl>
            <c:dLbl>
              <c:idx val="30"/>
              <c:layout>
                <c:manualLayout>
                  <c:x val="2.1161781822029413E-3"/>
                  <c:y val="-0.115424973767051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C89-4652-B9CB-798E6DA81382}"/>
                </c:ext>
                <c:ext xmlns:c15="http://schemas.microsoft.com/office/drawing/2012/chart" uri="{CE6537A1-D6FC-4f65-9D91-7224C49458BB}"/>
              </c:extLst>
            </c:dLbl>
            <c:dLbl>
              <c:idx val="31"/>
              <c:layout>
                <c:manualLayout>
                  <c:x val="6.3485345466088245E-3"/>
                  <c:y val="-0.2046169989506820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C89-4652-B9CB-798E6DA813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q-A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'!$R$5:$R$43</c:f>
              <c:numCache>
                <c:formatCode>General</c:formatCode>
                <c:ptCount val="39"/>
                <c:pt idx="0">
                  <c:v>0</c:v>
                </c:pt>
                <c:pt idx="1">
                  <c:v>0</c:v>
                </c:pt>
                <c:pt idx="2">
                  <c:v>0</c:v>
                </c:pt>
                <c:pt idx="3">
                  <c:v>0</c:v>
                </c:pt>
                <c:pt idx="4">
                  <c:v>2</c:v>
                </c:pt>
                <c:pt idx="5">
                  <c:v>4</c:v>
                </c:pt>
                <c:pt idx="6">
                  <c:v>1</c:v>
                </c:pt>
                <c:pt idx="7">
                  <c:v>3</c:v>
                </c:pt>
                <c:pt idx="8">
                  <c:v>3</c:v>
                </c:pt>
                <c:pt idx="9">
                  <c:v>3</c:v>
                </c:pt>
                <c:pt idx="10">
                  <c:v>11</c:v>
                </c:pt>
                <c:pt idx="11">
                  <c:v>3</c:v>
                </c:pt>
                <c:pt idx="12">
                  <c:v>3</c:v>
                </c:pt>
                <c:pt idx="13">
                  <c:v>0</c:v>
                </c:pt>
                <c:pt idx="14">
                  <c:v>4</c:v>
                </c:pt>
                <c:pt idx="15">
                  <c:v>1</c:v>
                </c:pt>
                <c:pt idx="16">
                  <c:v>3</c:v>
                </c:pt>
                <c:pt idx="17">
                  <c:v>0</c:v>
                </c:pt>
                <c:pt idx="18">
                  <c:v>0</c:v>
                </c:pt>
                <c:pt idx="19">
                  <c:v>0</c:v>
                </c:pt>
                <c:pt idx="20">
                  <c:v>10</c:v>
                </c:pt>
                <c:pt idx="21">
                  <c:v>3</c:v>
                </c:pt>
                <c:pt idx="22">
                  <c:v>0</c:v>
                </c:pt>
                <c:pt idx="23">
                  <c:v>8</c:v>
                </c:pt>
                <c:pt idx="24">
                  <c:v>0</c:v>
                </c:pt>
                <c:pt idx="25">
                  <c:v>0</c:v>
                </c:pt>
                <c:pt idx="26">
                  <c:v>7</c:v>
                </c:pt>
                <c:pt idx="27">
                  <c:v>0</c:v>
                </c:pt>
                <c:pt idx="28">
                  <c:v>0</c:v>
                </c:pt>
                <c:pt idx="29">
                  <c:v>0</c:v>
                </c:pt>
                <c:pt idx="30">
                  <c:v>2</c:v>
                </c:pt>
                <c:pt idx="31">
                  <c:v>3</c:v>
                </c:pt>
                <c:pt idx="32">
                  <c:v>0</c:v>
                </c:pt>
                <c:pt idx="33">
                  <c:v>0</c:v>
                </c:pt>
                <c:pt idx="34">
                  <c:v>0</c:v>
                </c:pt>
                <c:pt idx="35">
                  <c:v>0</c:v>
                </c:pt>
                <c:pt idx="36">
                  <c:v>0</c:v>
                </c:pt>
                <c:pt idx="37">
                  <c:v>0</c:v>
                </c:pt>
                <c:pt idx="38">
                  <c:v>19</c:v>
                </c:pt>
              </c:numCache>
            </c:numRef>
          </c:val>
          <c:extLst xmlns:c16r2="http://schemas.microsoft.com/office/drawing/2015/06/chart">
            <c:ext xmlns:c16="http://schemas.microsoft.com/office/drawing/2014/chart" uri="{C3380CC4-5D6E-409C-BE32-E72D297353CC}">
              <c16:uniqueId val="{00000000-3C89-4652-B9CB-798E6DA81382}"/>
            </c:ext>
          </c:extLst>
        </c:ser>
        <c:ser>
          <c:idx val="1"/>
          <c:order val="1"/>
          <c:tx>
            <c:strRef>
              <c:f>'KONSULLTIMET PUBLIKE '!$S$4</c:f>
              <c:strCache>
                <c:ptCount val="1"/>
                <c:pt idx="0">
                  <c:v>Memorandumet shpjeguese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8.4647127288117567E-3"/>
                  <c:y val="-0.2203567681007345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3C89-4652-B9CB-798E6DA81382}"/>
                </c:ext>
                <c:ext xmlns:c15="http://schemas.microsoft.com/office/drawing/2012/chart" uri="{CE6537A1-D6FC-4f65-9D91-7224C49458BB}"/>
              </c:extLst>
            </c:dLbl>
            <c:dLbl>
              <c:idx val="1"/>
              <c:layout>
                <c:manualLayout>
                  <c:x val="1.481324727542058E-2"/>
                  <c:y val="-0.2623294858342077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3C89-4652-B9CB-798E6DA81382}"/>
                </c:ext>
                <c:ext xmlns:c15="http://schemas.microsoft.com/office/drawing/2012/chart" uri="{CE6537A1-D6FC-4f65-9D91-7224C49458BB}"/>
              </c:extLst>
            </c:dLbl>
            <c:dLbl>
              <c:idx val="2"/>
              <c:layout>
                <c:manualLayout>
                  <c:x val="1.269706909321763E-2"/>
                  <c:y val="-0.194123819517313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3C89-4652-B9CB-798E6DA81382}"/>
                </c:ext>
                <c:ext xmlns:c15="http://schemas.microsoft.com/office/drawing/2012/chart" uri="{CE6537A1-D6FC-4f65-9D91-7224C49458BB}"/>
              </c:extLst>
            </c:dLbl>
            <c:dLbl>
              <c:idx val="3"/>
              <c:layout>
                <c:manualLayout>
                  <c:x val="1.0580890911014688E-2"/>
                  <c:y val="-0.15215110178384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3C89-4652-B9CB-798E6DA81382}"/>
                </c:ext>
                <c:ext xmlns:c15="http://schemas.microsoft.com/office/drawing/2012/chart" uri="{CE6537A1-D6FC-4f65-9D91-7224C49458BB}"/>
              </c:extLst>
            </c:dLbl>
            <c:dLbl>
              <c:idx val="4"/>
              <c:layout>
                <c:manualLayout>
                  <c:x val="1.6929425457623531E-2"/>
                  <c:y val="-0.2256033578174186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89-4652-B9CB-798E6DA81382}"/>
                </c:ext>
                <c:ext xmlns:c15="http://schemas.microsoft.com/office/drawing/2012/chart" uri="{CE6537A1-D6FC-4f65-9D91-7224C49458BB}"/>
              </c:extLst>
            </c:dLbl>
            <c:dLbl>
              <c:idx val="7"/>
              <c:layout>
                <c:manualLayout>
                  <c:x val="0"/>
                  <c:y val="-0.299055613850996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89-4652-B9CB-798E6DA81382}"/>
                </c:ext>
                <c:ext xmlns:c15="http://schemas.microsoft.com/office/drawing/2012/chart" uri="{CE6537A1-D6FC-4f65-9D91-7224C49458BB}"/>
              </c:extLst>
            </c:dLbl>
            <c:dLbl>
              <c:idx val="8"/>
              <c:layout>
                <c:manualLayout>
                  <c:x val="4.2323563644058827E-3"/>
                  <c:y val="-0.2151101783840503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89-4652-B9CB-798E6DA81382}"/>
                </c:ext>
                <c:ext xmlns:c15="http://schemas.microsoft.com/office/drawing/2012/chart" uri="{CE6537A1-D6FC-4f65-9D91-7224C49458BB}"/>
              </c:extLst>
            </c:dLbl>
            <c:dLbl>
              <c:idx val="9"/>
              <c:layout>
                <c:manualLayout>
                  <c:x val="2.1161781822029413E-3"/>
                  <c:y val="-0.188877229800629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C89-4652-B9CB-798E6DA81382}"/>
                </c:ext>
                <c:ext xmlns:c15="http://schemas.microsoft.com/office/drawing/2012/chart" uri="{CE6537A1-D6FC-4f65-9D91-7224C49458BB}"/>
              </c:extLst>
            </c:dLbl>
            <c:dLbl>
              <c:idx val="11"/>
              <c:layout>
                <c:manualLayout>
                  <c:x val="2.1161781822028637E-3"/>
                  <c:y val="-0.15215110178384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89-4652-B9CB-798E6DA81382}"/>
                </c:ext>
                <c:ext xmlns:c15="http://schemas.microsoft.com/office/drawing/2012/chart" uri="{CE6537A1-D6FC-4f65-9D91-7224C49458BB}"/>
              </c:extLst>
            </c:dLbl>
            <c:dLbl>
              <c:idx val="12"/>
              <c:layout>
                <c:manualLayout>
                  <c:x val="0"/>
                  <c:y val="-0.1469045120671564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C89-4652-B9CB-798E6DA81382}"/>
                </c:ext>
                <c:ext xmlns:c15="http://schemas.microsoft.com/office/drawing/2012/chart" uri="{CE6537A1-D6FC-4f65-9D91-7224C49458BB}"/>
              </c:extLst>
            </c:dLbl>
            <c:dLbl>
              <c:idx val="13"/>
              <c:layout>
                <c:manualLayout>
                  <c:x val="0"/>
                  <c:y val="-8.91920251836307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89-4652-B9CB-798E6DA81382}"/>
                </c:ext>
                <c:ext xmlns:c15="http://schemas.microsoft.com/office/drawing/2012/chart" uri="{CE6537A1-D6FC-4f65-9D91-7224C49458BB}"/>
              </c:extLst>
            </c:dLbl>
            <c:dLbl>
              <c:idx val="14"/>
              <c:layout>
                <c:manualLayout>
                  <c:x val="1.0580890911014707E-2"/>
                  <c:y val="-0.2256033578174187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C89-4652-B9CB-798E6DA81382}"/>
                </c:ext>
                <c:ext xmlns:c15="http://schemas.microsoft.com/office/drawing/2012/chart" uri="{CE6537A1-D6FC-4f65-9D91-7224C49458BB}"/>
              </c:extLst>
            </c:dLbl>
            <c:dLbl>
              <c:idx val="15"/>
              <c:layout>
                <c:manualLayout>
                  <c:x val="-2.1161781822029413E-3"/>
                  <c:y val="-0.2151101783840503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C89-4652-B9CB-798E6DA81382}"/>
                </c:ext>
                <c:ext xmlns:c15="http://schemas.microsoft.com/office/drawing/2012/chart" uri="{CE6537A1-D6FC-4f65-9D91-7224C49458BB}"/>
              </c:extLst>
            </c:dLbl>
            <c:dLbl>
              <c:idx val="16"/>
              <c:layout>
                <c:manualLayout>
                  <c:x val="-4.2323563644058827E-3"/>
                  <c:y val="-0.267576075550891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C89-4652-B9CB-798E6DA81382}"/>
                </c:ext>
                <c:ext xmlns:c15="http://schemas.microsoft.com/office/drawing/2012/chart" uri="{CE6537A1-D6FC-4f65-9D91-7224C49458BB}"/>
              </c:extLst>
            </c:dLbl>
            <c:dLbl>
              <c:idx val="17"/>
              <c:layout>
                <c:manualLayout>
                  <c:x val="-2.1161781822029413E-3"/>
                  <c:y val="-0.2046169989506821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C89-4652-B9CB-798E6DA81382}"/>
                </c:ext>
                <c:ext xmlns:c15="http://schemas.microsoft.com/office/drawing/2012/chart" uri="{CE6537A1-D6FC-4f65-9D91-7224C49458BB}"/>
              </c:extLst>
            </c:dLbl>
            <c:dLbl>
              <c:idx val="18"/>
              <c:layout>
                <c:manualLayout>
                  <c:x val="-4.2323563644059608E-3"/>
                  <c:y val="-0.1783840503672613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C89-4652-B9CB-798E6DA81382}"/>
                </c:ext>
                <c:ext xmlns:c15="http://schemas.microsoft.com/office/drawing/2012/chart" uri="{CE6537A1-D6FC-4f65-9D91-7224C49458BB}"/>
              </c:extLst>
            </c:dLbl>
            <c:dLbl>
              <c:idx val="19"/>
              <c:layout>
                <c:manualLayout>
                  <c:x val="-7.7592303661194747E-17"/>
                  <c:y val="-0.2518363064008394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C89-4652-B9CB-798E6DA81382}"/>
                </c:ext>
                <c:ext xmlns:c15="http://schemas.microsoft.com/office/drawing/2012/chart" uri="{CE6537A1-D6FC-4f65-9D91-7224C49458BB}"/>
              </c:extLst>
            </c:dLbl>
            <c:dLbl>
              <c:idx val="21"/>
              <c:layout>
                <c:manualLayout>
                  <c:x val="0"/>
                  <c:y val="-0.199370409233997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C89-4652-B9CB-798E6DA81382}"/>
                </c:ext>
                <c:ext xmlns:c15="http://schemas.microsoft.com/office/drawing/2012/chart" uri="{CE6537A1-D6FC-4f65-9D91-7224C49458BB}"/>
              </c:extLst>
            </c:dLbl>
            <c:dLbl>
              <c:idx val="22"/>
              <c:layout>
                <c:manualLayout>
                  <c:x val="-2.1161781822029413E-3"/>
                  <c:y val="-0.1469045120671564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C89-4652-B9CB-798E6DA81382}"/>
                </c:ext>
                <c:ext xmlns:c15="http://schemas.microsoft.com/office/drawing/2012/chart" uri="{CE6537A1-D6FC-4f65-9D91-7224C49458BB}"/>
              </c:extLst>
            </c:dLbl>
            <c:dLbl>
              <c:idx val="24"/>
              <c:layout>
                <c:manualLayout>
                  <c:x val="-2.1161781822029413E-3"/>
                  <c:y val="-0.1783840503672613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C89-4652-B9CB-798E6DA81382}"/>
                </c:ext>
                <c:ext xmlns:c15="http://schemas.microsoft.com/office/drawing/2012/chart" uri="{CE6537A1-D6FC-4f65-9D91-7224C49458BB}"/>
              </c:extLst>
            </c:dLbl>
            <c:dLbl>
              <c:idx val="25"/>
              <c:layout>
                <c:manualLayout>
                  <c:x val="0"/>
                  <c:y val="-0.194123819517313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C89-4652-B9CB-798E6DA81382}"/>
                </c:ext>
                <c:ext xmlns:c15="http://schemas.microsoft.com/office/drawing/2012/chart" uri="{CE6537A1-D6FC-4f65-9D91-7224C49458BB}"/>
              </c:extLst>
            </c:dLbl>
            <c:dLbl>
              <c:idx val="27"/>
              <c:layout>
                <c:manualLayout>
                  <c:x val="-4.2323563644059608E-3"/>
                  <c:y val="-0.2833158447009444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C89-4652-B9CB-798E6DA81382}"/>
                </c:ext>
                <c:ext xmlns:c15="http://schemas.microsoft.com/office/drawing/2012/chart" uri="{CE6537A1-D6FC-4f65-9D91-7224C49458BB}"/>
              </c:extLst>
            </c:dLbl>
            <c:dLbl>
              <c:idx val="29"/>
              <c:layout>
                <c:manualLayout>
                  <c:x val="-1.5518460732238949E-16"/>
                  <c:y val="-0.215110178384050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C89-4652-B9CB-798E6DA81382}"/>
                </c:ext>
                <c:ext xmlns:c15="http://schemas.microsoft.com/office/drawing/2012/chart" uri="{CE6537A1-D6FC-4f65-9D91-7224C49458BB}"/>
              </c:extLst>
            </c:dLbl>
            <c:dLbl>
              <c:idx val="32"/>
              <c:layout>
                <c:manualLayout>
                  <c:x val="2.1161781822027861E-3"/>
                  <c:y val="-0.131164742917103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C89-4652-B9CB-798E6DA81382}"/>
                </c:ext>
                <c:ext xmlns:c15="http://schemas.microsoft.com/office/drawing/2012/chart" uri="{CE6537A1-D6FC-4f65-9D91-7224C49458BB}"/>
              </c:extLst>
            </c:dLbl>
            <c:dLbl>
              <c:idx val="33"/>
              <c:layout>
                <c:manualLayout>
                  <c:x val="2.1161781822029413E-3"/>
                  <c:y val="-0.215110178384050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C89-4652-B9CB-798E6DA81382}"/>
                </c:ext>
                <c:ext xmlns:c15="http://schemas.microsoft.com/office/drawing/2012/chart" uri="{CE6537A1-D6FC-4f65-9D91-7224C49458BB}"/>
              </c:extLst>
            </c:dLbl>
            <c:dLbl>
              <c:idx val="34"/>
              <c:layout>
                <c:manualLayout>
                  <c:x val="-6.3485345466089797E-3"/>
                  <c:y val="-0.173137460650577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C89-4652-B9CB-798E6DA81382}"/>
                </c:ext>
                <c:ext xmlns:c15="http://schemas.microsoft.com/office/drawing/2012/chart" uri="{CE6537A1-D6FC-4f65-9D91-7224C49458BB}"/>
              </c:extLst>
            </c:dLbl>
            <c:dLbl>
              <c:idx val="35"/>
              <c:layout>
                <c:manualLayout>
                  <c:x val="-8.4647127288119215E-3"/>
                  <c:y val="-0.2098635886673662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C89-4652-B9CB-798E6DA81382}"/>
                </c:ext>
                <c:ext xmlns:c15="http://schemas.microsoft.com/office/drawing/2012/chart" uri="{CE6537A1-D6FC-4f65-9D91-7224C49458BB}"/>
              </c:extLst>
            </c:dLbl>
            <c:dLbl>
              <c:idx val="36"/>
              <c:layout>
                <c:manualLayout>
                  <c:x val="-1.0580890911014863E-2"/>
                  <c:y val="-0.2413431269674712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C89-4652-B9CB-798E6DA81382}"/>
                </c:ext>
                <c:ext xmlns:c15="http://schemas.microsoft.com/office/drawing/2012/chart" uri="{CE6537A1-D6FC-4f65-9D91-7224C49458BB}"/>
              </c:extLst>
            </c:dLbl>
            <c:dLbl>
              <c:idx val="37"/>
              <c:layout>
                <c:manualLayout>
                  <c:x val="-6.3485345466088245E-3"/>
                  <c:y val="-0.2256033578174187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3C89-4652-B9CB-798E6DA813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sq-A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'!$S$5:$S$43</c:f>
              <c:numCache>
                <c:formatCode>General</c:formatCode>
                <c:ptCount val="39"/>
                <c:pt idx="0">
                  <c:v>0</c:v>
                </c:pt>
                <c:pt idx="1">
                  <c:v>0</c:v>
                </c:pt>
                <c:pt idx="2">
                  <c:v>0</c:v>
                </c:pt>
                <c:pt idx="3">
                  <c:v>0</c:v>
                </c:pt>
                <c:pt idx="4">
                  <c:v>0</c:v>
                </c:pt>
                <c:pt idx="5">
                  <c:v>0</c:v>
                </c:pt>
                <c:pt idx="6">
                  <c:v>0</c:v>
                </c:pt>
                <c:pt idx="7">
                  <c:v>0</c:v>
                </c:pt>
                <c:pt idx="8">
                  <c:v>0</c:v>
                </c:pt>
                <c:pt idx="9">
                  <c:v>0</c:v>
                </c:pt>
                <c:pt idx="10">
                  <c:v>11</c:v>
                </c:pt>
                <c:pt idx="11">
                  <c:v>0</c:v>
                </c:pt>
                <c:pt idx="12">
                  <c:v>0</c:v>
                </c:pt>
                <c:pt idx="13">
                  <c:v>0</c:v>
                </c:pt>
                <c:pt idx="14">
                  <c:v>0</c:v>
                </c:pt>
                <c:pt idx="15">
                  <c:v>0</c:v>
                </c:pt>
                <c:pt idx="16">
                  <c:v>0</c:v>
                </c:pt>
                <c:pt idx="17">
                  <c:v>0</c:v>
                </c:pt>
                <c:pt idx="18">
                  <c:v>0</c:v>
                </c:pt>
                <c:pt idx="19">
                  <c:v>0</c:v>
                </c:pt>
                <c:pt idx="20">
                  <c:v>0</c:v>
                </c:pt>
                <c:pt idx="21">
                  <c:v>0</c:v>
                </c:pt>
                <c:pt idx="22">
                  <c:v>0</c:v>
                </c:pt>
                <c:pt idx="23">
                  <c:v>8</c:v>
                </c:pt>
                <c:pt idx="24">
                  <c:v>0</c:v>
                </c:pt>
                <c:pt idx="25">
                  <c:v>0</c:v>
                </c:pt>
                <c:pt idx="26">
                  <c:v>0</c:v>
                </c:pt>
                <c:pt idx="27">
                  <c:v>0</c:v>
                </c:pt>
                <c:pt idx="29">
                  <c:v>0</c:v>
                </c:pt>
                <c:pt idx="32">
                  <c:v>0</c:v>
                </c:pt>
                <c:pt idx="33">
                  <c:v>0</c:v>
                </c:pt>
                <c:pt idx="34">
                  <c:v>0</c:v>
                </c:pt>
                <c:pt idx="35">
                  <c:v>0</c:v>
                </c:pt>
                <c:pt idx="36">
                  <c:v>0</c:v>
                </c:pt>
                <c:pt idx="37">
                  <c:v>0</c:v>
                </c:pt>
                <c:pt idx="38">
                  <c:v>2</c:v>
                </c:pt>
              </c:numCache>
            </c:numRef>
          </c:val>
          <c:extLst xmlns:c16r2="http://schemas.microsoft.com/office/drawing/2015/06/chart">
            <c:ext xmlns:c16="http://schemas.microsoft.com/office/drawing/2014/chart" uri="{C3380CC4-5D6E-409C-BE32-E72D297353CC}">
              <c16:uniqueId val="{00000001-3C89-4652-B9CB-798E6DA81382}"/>
            </c:ext>
          </c:extLst>
        </c:ser>
        <c:dLbls>
          <c:dLblPos val="ctr"/>
          <c:showLegendKey val="0"/>
          <c:showVal val="1"/>
          <c:showCatName val="0"/>
          <c:showSerName val="0"/>
          <c:showPercent val="0"/>
          <c:showBubbleSize val="0"/>
        </c:dLbls>
        <c:gapWidth val="150"/>
        <c:overlap val="100"/>
        <c:axId val="642138664"/>
        <c:axId val="642144936"/>
      </c:barChart>
      <c:catAx>
        <c:axId val="642138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2"/>
                </a:solidFill>
                <a:latin typeface="+mj-lt"/>
                <a:ea typeface="+mn-ea"/>
                <a:cs typeface="+mn-cs"/>
              </a:defRPr>
            </a:pPr>
            <a:endParaRPr lang="sq-AL"/>
          </a:p>
        </c:txPr>
        <c:crossAx val="642144936"/>
        <c:crosses val="autoZero"/>
        <c:auto val="1"/>
        <c:lblAlgn val="ctr"/>
        <c:lblOffset val="100"/>
        <c:noMultiLvlLbl val="0"/>
      </c:catAx>
      <c:valAx>
        <c:axId val="642144936"/>
        <c:scaling>
          <c:orientation val="minMax"/>
        </c:scaling>
        <c:delete val="1"/>
        <c:axPos val="l"/>
        <c:numFmt formatCode="General" sourceLinked="1"/>
        <c:majorTickMark val="none"/>
        <c:minorTickMark val="none"/>
        <c:tickLblPos val="nextTo"/>
        <c:crossAx val="642138664"/>
        <c:crosses val="autoZero"/>
        <c:crossBetween val="between"/>
      </c:valAx>
      <c:spPr>
        <a:blipFill>
          <a:blip xmlns:r="http://schemas.openxmlformats.org/officeDocument/2006/relationships" r:embed="rId3"/>
          <a:tile tx="0" ty="0" sx="100000" sy="100000" flip="none" algn="tl"/>
        </a:blip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2">
          <a:lumMod val="15000"/>
          <a:lumOff val="85000"/>
        </a:schemeClr>
      </a:solidFill>
      <a:round/>
    </a:ln>
    <a:effectLst/>
  </c:spPr>
  <c:txPr>
    <a:bodyPr/>
    <a:lstStyle/>
    <a:p>
      <a:pPr>
        <a:defRPr/>
      </a:pPr>
      <a:endParaRPr lang="sq-A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'!$W$4</c:f>
              <c:strCache>
                <c:ptCount val="1"/>
                <c:pt idx="0">
                  <c:v>Raporti  për  konsultime publik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'!$W$5:$W$43</c:f>
              <c:numCache>
                <c:formatCode>General</c:formatCode>
                <c:ptCount val="39"/>
                <c:pt idx="0">
                  <c:v>0</c:v>
                </c:pt>
                <c:pt idx="1">
                  <c:v>4</c:v>
                </c:pt>
                <c:pt idx="2">
                  <c:v>0</c:v>
                </c:pt>
                <c:pt idx="3">
                  <c:v>2</c:v>
                </c:pt>
                <c:pt idx="4">
                  <c:v>3</c:v>
                </c:pt>
                <c:pt idx="5">
                  <c:v>5</c:v>
                </c:pt>
                <c:pt idx="6">
                  <c:v>0</c:v>
                </c:pt>
                <c:pt idx="7">
                  <c:v>1</c:v>
                </c:pt>
                <c:pt idx="8">
                  <c:v>0</c:v>
                </c:pt>
                <c:pt idx="9">
                  <c:v>1</c:v>
                </c:pt>
                <c:pt idx="10">
                  <c:v>13</c:v>
                </c:pt>
                <c:pt idx="11">
                  <c:v>3</c:v>
                </c:pt>
                <c:pt idx="12">
                  <c:v>3</c:v>
                </c:pt>
                <c:pt idx="13">
                  <c:v>0</c:v>
                </c:pt>
                <c:pt idx="14">
                  <c:v>4</c:v>
                </c:pt>
                <c:pt idx="15">
                  <c:v>1</c:v>
                </c:pt>
                <c:pt idx="16">
                  <c:v>3</c:v>
                </c:pt>
                <c:pt idx="17">
                  <c:v>0</c:v>
                </c:pt>
                <c:pt idx="18">
                  <c:v>1</c:v>
                </c:pt>
                <c:pt idx="19">
                  <c:v>0</c:v>
                </c:pt>
                <c:pt idx="20">
                  <c:v>1</c:v>
                </c:pt>
                <c:pt idx="21">
                  <c:v>0</c:v>
                </c:pt>
                <c:pt idx="22">
                  <c:v>0</c:v>
                </c:pt>
                <c:pt idx="23">
                  <c:v>7</c:v>
                </c:pt>
                <c:pt idx="24">
                  <c:v>1</c:v>
                </c:pt>
                <c:pt idx="25">
                  <c:v>0</c:v>
                </c:pt>
                <c:pt idx="26">
                  <c:v>9</c:v>
                </c:pt>
                <c:pt idx="27">
                  <c:v>0</c:v>
                </c:pt>
                <c:pt idx="28">
                  <c:v>2</c:v>
                </c:pt>
                <c:pt idx="29">
                  <c:v>0</c:v>
                </c:pt>
                <c:pt idx="30">
                  <c:v>0</c:v>
                </c:pt>
                <c:pt idx="31">
                  <c:v>3</c:v>
                </c:pt>
                <c:pt idx="32">
                  <c:v>0</c:v>
                </c:pt>
                <c:pt idx="33">
                  <c:v>0</c:v>
                </c:pt>
                <c:pt idx="34">
                  <c:v>0</c:v>
                </c:pt>
                <c:pt idx="35">
                  <c:v>0</c:v>
                </c:pt>
                <c:pt idx="36">
                  <c:v>0</c:v>
                </c:pt>
                <c:pt idx="37">
                  <c:v>0</c:v>
                </c:pt>
                <c:pt idx="38">
                  <c:v>18</c:v>
                </c:pt>
              </c:numCache>
            </c:numRef>
          </c:val>
          <c:extLst xmlns:c16r2="http://schemas.microsoft.com/office/drawing/2015/06/chart">
            <c:ext xmlns:c16="http://schemas.microsoft.com/office/drawing/2014/chart" uri="{C3380CC4-5D6E-409C-BE32-E72D297353CC}">
              <c16:uniqueId val="{00000000-E277-4C16-AAF0-A2A0C4FCB72D}"/>
            </c:ext>
          </c:extLst>
        </c:ser>
        <c:ser>
          <c:idx val="1"/>
          <c:order val="1"/>
          <c:tx>
            <c:strRef>
              <c:f>'KONSULLTIMET PUBLIKE '!$X$4</c:f>
              <c:strCache>
                <c:ptCount val="1"/>
                <c:pt idx="0">
                  <c:v>Raporti vjetor I konsultimeve publike </c:v>
                </c:pt>
              </c:strCache>
            </c:strRef>
          </c:tx>
          <c:spPr>
            <a:solidFill>
              <a:schemeClr val="accent2"/>
            </a:solidFill>
            <a:ln>
              <a:noFill/>
            </a:ln>
            <a:effectLst/>
          </c:spPr>
          <c:invertIfNegative val="0"/>
          <c:dLbls>
            <c:dLbl>
              <c:idx val="0"/>
              <c:layout>
                <c:manualLayout>
                  <c:x val="0"/>
                  <c:y val="-0.1857923497267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77-4C16-AAF0-A2A0C4FCB72D}"/>
                </c:ext>
                <c:ext xmlns:c15="http://schemas.microsoft.com/office/drawing/2012/chart" uri="{CE6537A1-D6FC-4f65-9D91-7224C49458BB}"/>
              </c:extLst>
            </c:dLbl>
            <c:dLbl>
              <c:idx val="1"/>
              <c:layout>
                <c:manualLayout>
                  <c:x val="6.6474628849988917E-3"/>
                  <c:y val="-0.180327868852459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77-4C16-AAF0-A2A0C4FCB72D}"/>
                </c:ext>
                <c:ext xmlns:c15="http://schemas.microsoft.com/office/drawing/2012/chart" uri="{CE6537A1-D6FC-4f65-9D91-7224C49458BB}"/>
              </c:extLst>
            </c:dLbl>
            <c:dLbl>
              <c:idx val="2"/>
              <c:layout>
                <c:manualLayout>
                  <c:x val="2.2158209616662972E-3"/>
                  <c:y val="-0.1857923497267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77-4C16-AAF0-A2A0C4FCB72D}"/>
                </c:ext>
                <c:ext xmlns:c15="http://schemas.microsoft.com/office/drawing/2012/chart" uri="{CE6537A1-D6FC-4f65-9D91-7224C49458BB}"/>
              </c:extLst>
            </c:dLbl>
            <c:dLbl>
              <c:idx val="3"/>
              <c:layout>
                <c:manualLayout>
                  <c:x val="2.2158209616662972E-3"/>
                  <c:y val="-0.267759562841530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77-4C16-AAF0-A2A0C4FCB72D}"/>
                </c:ext>
                <c:ext xmlns:c15="http://schemas.microsoft.com/office/drawing/2012/chart" uri="{CE6537A1-D6FC-4f65-9D91-7224C49458BB}"/>
              </c:extLst>
            </c:dLbl>
            <c:dLbl>
              <c:idx val="4"/>
              <c:layout>
                <c:manualLayout>
                  <c:x val="-2.0311457508917339E-17"/>
                  <c:y val="-0.15846994535519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277-4C16-AAF0-A2A0C4FCB72D}"/>
                </c:ext>
                <c:ext xmlns:c15="http://schemas.microsoft.com/office/drawing/2012/chart" uri="{CE6537A1-D6FC-4f65-9D91-7224C49458BB}"/>
              </c:extLst>
            </c:dLbl>
            <c:dLbl>
              <c:idx val="5"/>
              <c:layout>
                <c:manualLayout>
                  <c:x val="-2.2158209616662972E-3"/>
                  <c:y val="-0.13661202185792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77-4C16-AAF0-A2A0C4FCB72D}"/>
                </c:ext>
                <c:ext xmlns:c15="http://schemas.microsoft.com/office/drawing/2012/chart" uri="{CE6537A1-D6FC-4f65-9D91-7224C49458BB}"/>
              </c:extLst>
            </c:dLbl>
            <c:dLbl>
              <c:idx val="6"/>
              <c:layout>
                <c:manualLayout>
                  <c:x val="2.2158209616662972E-3"/>
                  <c:y val="-0.180327868852459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77-4C16-AAF0-A2A0C4FCB72D}"/>
                </c:ext>
                <c:ext xmlns:c15="http://schemas.microsoft.com/office/drawing/2012/chart" uri="{CE6537A1-D6FC-4f65-9D91-7224C49458BB}"/>
              </c:extLst>
            </c:dLbl>
            <c:dLbl>
              <c:idx val="7"/>
              <c:layout>
                <c:manualLayout>
                  <c:x val="4.4316419233325537E-3"/>
                  <c:y val="-0.174863387978142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77-4C16-AAF0-A2A0C4FCB72D}"/>
                </c:ext>
                <c:ext xmlns:c15="http://schemas.microsoft.com/office/drawing/2012/chart" uri="{CE6537A1-D6FC-4f65-9D91-7224C49458BB}"/>
              </c:extLst>
            </c:dLbl>
            <c:dLbl>
              <c:idx val="8"/>
              <c:layout>
                <c:manualLayout>
                  <c:x val="6.6474628849988917E-3"/>
                  <c:y val="-0.169398907103825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77-4C16-AAF0-A2A0C4FCB72D}"/>
                </c:ext>
                <c:ext xmlns:c15="http://schemas.microsoft.com/office/drawing/2012/chart" uri="{CE6537A1-D6FC-4f65-9D91-7224C49458BB}"/>
              </c:extLst>
            </c:dLbl>
            <c:dLbl>
              <c:idx val="9"/>
              <c:layout>
                <c:manualLayout>
                  <c:x val="2.2158209616662972E-3"/>
                  <c:y val="-0.10382513661202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77-4C16-AAF0-A2A0C4FCB72D}"/>
                </c:ext>
                <c:ext xmlns:c15="http://schemas.microsoft.com/office/drawing/2012/chart" uri="{CE6537A1-D6FC-4f65-9D91-7224C49458BB}"/>
              </c:extLst>
            </c:dLbl>
            <c:dLbl>
              <c:idx val="11"/>
              <c:layout>
                <c:manualLayout>
                  <c:x val="-4.0622915017834678E-17"/>
                  <c:y val="-0.125683060109289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77-4C16-AAF0-A2A0C4FCB72D}"/>
                </c:ext>
                <c:ext xmlns:c15="http://schemas.microsoft.com/office/drawing/2012/chart" uri="{CE6537A1-D6FC-4f65-9D91-7224C49458BB}"/>
              </c:extLst>
            </c:dLbl>
            <c:dLbl>
              <c:idx val="12"/>
              <c:layout>
                <c:manualLayout>
                  <c:x val="0"/>
                  <c:y val="-0.13661202185792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277-4C16-AAF0-A2A0C4FCB72D}"/>
                </c:ext>
                <c:ext xmlns:c15="http://schemas.microsoft.com/office/drawing/2012/chart" uri="{CE6537A1-D6FC-4f65-9D91-7224C49458BB}"/>
              </c:extLst>
            </c:dLbl>
            <c:dLbl>
              <c:idx val="13"/>
              <c:layout>
                <c:manualLayout>
                  <c:x val="0"/>
                  <c:y val="-0.15300546448087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277-4C16-AAF0-A2A0C4FCB72D}"/>
                </c:ext>
                <c:ext xmlns:c15="http://schemas.microsoft.com/office/drawing/2012/chart" uri="{CE6537A1-D6FC-4f65-9D91-7224C49458BB}"/>
              </c:extLst>
            </c:dLbl>
            <c:dLbl>
              <c:idx val="14"/>
              <c:layout>
                <c:manualLayout>
                  <c:x val="0"/>
                  <c:y val="-0.14754098360655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277-4C16-AAF0-A2A0C4FCB72D}"/>
                </c:ext>
                <c:ext xmlns:c15="http://schemas.microsoft.com/office/drawing/2012/chart" uri="{CE6537A1-D6FC-4f65-9D91-7224C49458BB}"/>
              </c:extLst>
            </c:dLbl>
            <c:dLbl>
              <c:idx val="15"/>
              <c:layout>
                <c:manualLayout>
                  <c:x val="4.4316419233325138E-3"/>
                  <c:y val="-0.185792349726775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277-4C16-AAF0-A2A0C4FCB72D}"/>
                </c:ext>
                <c:ext xmlns:c15="http://schemas.microsoft.com/office/drawing/2012/chart" uri="{CE6537A1-D6FC-4f65-9D91-7224C49458BB}"/>
              </c:extLst>
            </c:dLbl>
            <c:dLbl>
              <c:idx val="16"/>
              <c:layout>
                <c:manualLayout>
                  <c:x val="6.6474628849988917E-3"/>
                  <c:y val="-0.169398907103825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277-4C16-AAF0-A2A0C4FCB72D}"/>
                </c:ext>
                <c:ext xmlns:c15="http://schemas.microsoft.com/office/drawing/2012/chart" uri="{CE6537A1-D6FC-4f65-9D91-7224C49458BB}"/>
              </c:extLst>
            </c:dLbl>
            <c:dLbl>
              <c:idx val="17"/>
              <c:layout>
                <c:manualLayout>
                  <c:x val="8.8632838466651889E-3"/>
                  <c:y val="-0.180327868852459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277-4C16-AAF0-A2A0C4FCB72D}"/>
                </c:ext>
                <c:ext xmlns:c15="http://schemas.microsoft.com/office/drawing/2012/chart" uri="{CE6537A1-D6FC-4f65-9D91-7224C49458BB}"/>
              </c:extLst>
            </c:dLbl>
            <c:dLbl>
              <c:idx val="18"/>
              <c:layout>
                <c:manualLayout>
                  <c:x val="6.647462884998811E-3"/>
                  <c:y val="-0.15846994535519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277-4C16-AAF0-A2A0C4FCB72D}"/>
                </c:ext>
                <c:ext xmlns:c15="http://schemas.microsoft.com/office/drawing/2012/chart" uri="{CE6537A1-D6FC-4f65-9D91-7224C49458BB}"/>
              </c:extLst>
            </c:dLbl>
            <c:dLbl>
              <c:idx val="19"/>
              <c:layout>
                <c:manualLayout>
                  <c:x val="6.647462884998811E-3"/>
                  <c:y val="-0.21311475409836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277-4C16-AAF0-A2A0C4FCB72D}"/>
                </c:ext>
                <c:ext xmlns:c15="http://schemas.microsoft.com/office/drawing/2012/chart" uri="{CE6537A1-D6FC-4f65-9D91-7224C49458BB}"/>
              </c:extLst>
            </c:dLbl>
            <c:dLbl>
              <c:idx val="20"/>
              <c:layout>
                <c:manualLayout>
                  <c:x val="0"/>
                  <c:y val="-0.153005464480874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277-4C16-AAF0-A2A0C4FCB72D}"/>
                </c:ext>
                <c:ext xmlns:c15="http://schemas.microsoft.com/office/drawing/2012/chart" uri="{CE6537A1-D6FC-4f65-9D91-7224C49458BB}"/>
              </c:extLst>
            </c:dLbl>
            <c:dLbl>
              <c:idx val="21"/>
              <c:layout>
                <c:manualLayout>
                  <c:x val="0"/>
                  <c:y val="-0.131147540983606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277-4C16-AAF0-A2A0C4FCB72D}"/>
                </c:ext>
                <c:ext xmlns:c15="http://schemas.microsoft.com/office/drawing/2012/chart" uri="{CE6537A1-D6FC-4f65-9D91-7224C49458BB}"/>
              </c:extLst>
            </c:dLbl>
            <c:dLbl>
              <c:idx val="22"/>
              <c:layout>
                <c:manualLayout>
                  <c:x val="0"/>
                  <c:y val="-0.174863387978142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277-4C16-AAF0-A2A0C4FCB72D}"/>
                </c:ext>
                <c:ext xmlns:c15="http://schemas.microsoft.com/office/drawing/2012/chart" uri="{CE6537A1-D6FC-4f65-9D91-7224C49458BB}"/>
              </c:extLst>
            </c:dLbl>
            <c:dLbl>
              <c:idx val="24"/>
              <c:layout>
                <c:manualLayout>
                  <c:x val="-1.1079104808331486E-2"/>
                  <c:y val="-0.14754098360655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277-4C16-AAF0-A2A0C4FCB72D}"/>
                </c:ext>
                <c:ext xmlns:c15="http://schemas.microsoft.com/office/drawing/2012/chart" uri="{CE6537A1-D6FC-4f65-9D91-7224C49458BB}"/>
              </c:extLst>
            </c:dLbl>
            <c:dLbl>
              <c:idx val="25"/>
              <c:layout>
                <c:manualLayout>
                  <c:x val="-8.1245830035669357E-17"/>
                  <c:y val="-0.14754098360655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277-4C16-AAF0-A2A0C4FCB72D}"/>
                </c:ext>
                <c:ext xmlns:c15="http://schemas.microsoft.com/office/drawing/2012/chart" uri="{CE6537A1-D6FC-4f65-9D91-7224C49458BB}"/>
              </c:extLst>
            </c:dLbl>
            <c:dLbl>
              <c:idx val="27"/>
              <c:layout>
                <c:manualLayout>
                  <c:x val="-6.6474628849989732E-3"/>
                  <c:y val="-0.207650273224043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277-4C16-AAF0-A2A0C4FCB72D}"/>
                </c:ext>
                <c:ext xmlns:c15="http://schemas.microsoft.com/office/drawing/2012/chart" uri="{CE6537A1-D6FC-4f65-9D91-7224C49458BB}"/>
              </c:extLst>
            </c:dLbl>
            <c:dLbl>
              <c:idx val="28"/>
              <c:layout>
                <c:manualLayout>
                  <c:x val="0"/>
                  <c:y val="-0.191256830601092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277-4C16-AAF0-A2A0C4FCB72D}"/>
                </c:ext>
                <c:ext xmlns:c15="http://schemas.microsoft.com/office/drawing/2012/chart" uri="{CE6537A1-D6FC-4f65-9D91-7224C49458BB}"/>
              </c:extLst>
            </c:dLbl>
            <c:dLbl>
              <c:idx val="29"/>
              <c:layout>
                <c:manualLayout>
                  <c:x val="-2.2158209616662972E-3"/>
                  <c:y val="-0.1857923497267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277-4C16-AAF0-A2A0C4FCB72D}"/>
                </c:ext>
                <c:ext xmlns:c15="http://schemas.microsoft.com/office/drawing/2012/chart" uri="{CE6537A1-D6FC-4f65-9D91-7224C49458BB}"/>
              </c:extLst>
            </c:dLbl>
            <c:dLbl>
              <c:idx val="30"/>
              <c:layout>
                <c:manualLayout>
                  <c:x val="4.4316419233325945E-3"/>
                  <c:y val="-0.174863387978142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277-4C16-AAF0-A2A0C4FCB72D}"/>
                </c:ext>
                <c:ext xmlns:c15="http://schemas.microsoft.com/office/drawing/2012/chart" uri="{CE6537A1-D6FC-4f65-9D91-7224C49458BB}"/>
              </c:extLst>
            </c:dLbl>
            <c:dLbl>
              <c:idx val="31"/>
              <c:layout>
                <c:manualLayout>
                  <c:x val="8.8632838466651889E-3"/>
                  <c:y val="-0.15846994535519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277-4C16-AAF0-A2A0C4FCB72D}"/>
                </c:ext>
                <c:ext xmlns:c15="http://schemas.microsoft.com/office/drawing/2012/chart" uri="{CE6537A1-D6FC-4f65-9D91-7224C49458BB}"/>
              </c:extLst>
            </c:dLbl>
            <c:dLbl>
              <c:idx val="32"/>
              <c:layout>
                <c:manualLayout>
                  <c:x val="8.8632838466651889E-3"/>
                  <c:y val="-0.147540983606557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277-4C16-AAF0-A2A0C4FCB72D}"/>
                </c:ext>
                <c:ext xmlns:c15="http://schemas.microsoft.com/office/drawing/2012/chart" uri="{CE6537A1-D6FC-4f65-9D91-7224C49458BB}"/>
              </c:extLst>
            </c:dLbl>
            <c:dLbl>
              <c:idx val="33"/>
              <c:layout>
                <c:manualLayout>
                  <c:x val="1.3294925769997783E-2"/>
                  <c:y val="-0.180327868852459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277-4C16-AAF0-A2A0C4FCB72D}"/>
                </c:ext>
                <c:ext xmlns:c15="http://schemas.microsoft.com/office/drawing/2012/chart" uri="{CE6537A1-D6FC-4f65-9D91-7224C49458BB}"/>
              </c:extLst>
            </c:dLbl>
            <c:dLbl>
              <c:idx val="34"/>
              <c:layout>
                <c:manualLayout>
                  <c:x val="1.1079104808331486E-2"/>
                  <c:y val="-0.169398907103825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277-4C16-AAF0-A2A0C4FCB72D}"/>
                </c:ext>
                <c:ext xmlns:c15="http://schemas.microsoft.com/office/drawing/2012/chart" uri="{CE6537A1-D6FC-4f65-9D91-7224C49458BB}"/>
              </c:extLst>
            </c:dLbl>
            <c:dLbl>
              <c:idx val="35"/>
              <c:layout>
                <c:manualLayout>
                  <c:x val="8.8632838466650276E-3"/>
                  <c:y val="-0.15300546448087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277-4C16-AAF0-A2A0C4FCB72D}"/>
                </c:ext>
                <c:ext xmlns:c15="http://schemas.microsoft.com/office/drawing/2012/chart" uri="{CE6537A1-D6FC-4f65-9D91-7224C49458BB}"/>
              </c:extLst>
            </c:dLbl>
            <c:dLbl>
              <c:idx val="36"/>
              <c:layout>
                <c:manualLayout>
                  <c:x val="0"/>
                  <c:y val="-0.142076502732240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E277-4C16-AAF0-A2A0C4FCB72D}"/>
                </c:ext>
                <c:ext xmlns:c15="http://schemas.microsoft.com/office/drawing/2012/chart" uri="{CE6537A1-D6FC-4f65-9D91-7224C49458BB}"/>
              </c:extLst>
            </c:dLbl>
            <c:dLbl>
              <c:idx val="37"/>
              <c:layout>
                <c:manualLayout>
                  <c:x val="-1.6249166007133871E-16"/>
                  <c:y val="-0.142076502732240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277-4C16-AAF0-A2A0C4FCB72D}"/>
                </c:ext>
                <c:ext xmlns:c15="http://schemas.microsoft.com/office/drawing/2012/chart" uri="{CE6537A1-D6FC-4f65-9D91-7224C49458BB}"/>
              </c:extLst>
            </c:dLbl>
            <c:dLbl>
              <c:idx val="38"/>
              <c:layout>
                <c:manualLayout>
                  <c:x val="-8.34313830356187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95-4B1A-8391-67A8C103F9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'!$X$5:$X$43</c:f>
              <c:numCache>
                <c:formatCode>General</c:formatCode>
                <c:ptCount val="39"/>
                <c:pt idx="0">
                  <c:v>0</c:v>
                </c:pt>
                <c:pt idx="1">
                  <c:v>1</c:v>
                </c:pt>
                <c:pt idx="2">
                  <c:v>0</c:v>
                </c:pt>
                <c:pt idx="3">
                  <c:v>0</c:v>
                </c:pt>
                <c:pt idx="4">
                  <c:v>1</c:v>
                </c:pt>
                <c:pt idx="5">
                  <c:v>1</c:v>
                </c:pt>
                <c:pt idx="6">
                  <c:v>0</c:v>
                </c:pt>
                <c:pt idx="7">
                  <c:v>1</c:v>
                </c:pt>
                <c:pt idx="8">
                  <c:v>1</c:v>
                </c:pt>
                <c:pt idx="9">
                  <c:v>0</c:v>
                </c:pt>
                <c:pt idx="10">
                  <c:v>1</c:v>
                </c:pt>
                <c:pt idx="11">
                  <c:v>1</c:v>
                </c:pt>
                <c:pt idx="12">
                  <c:v>1</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0</c:v>
                </c:pt>
                <c:pt idx="28">
                  <c:v>0</c:v>
                </c:pt>
                <c:pt idx="29">
                  <c:v>0</c:v>
                </c:pt>
                <c:pt idx="30">
                  <c:v>0</c:v>
                </c:pt>
                <c:pt idx="31">
                  <c:v>1</c:v>
                </c:pt>
                <c:pt idx="32">
                  <c:v>0</c:v>
                </c:pt>
                <c:pt idx="33">
                  <c:v>0</c:v>
                </c:pt>
                <c:pt idx="34">
                  <c:v>0</c:v>
                </c:pt>
                <c:pt idx="35">
                  <c:v>0</c:v>
                </c:pt>
                <c:pt idx="36">
                  <c:v>0</c:v>
                </c:pt>
                <c:pt idx="37">
                  <c:v>0</c:v>
                </c:pt>
                <c:pt idx="38">
                  <c:v>18</c:v>
                </c:pt>
              </c:numCache>
            </c:numRef>
          </c:val>
          <c:extLst xmlns:c16r2="http://schemas.microsoft.com/office/drawing/2015/06/chart">
            <c:ext xmlns:c16="http://schemas.microsoft.com/office/drawing/2014/chart" uri="{C3380CC4-5D6E-409C-BE32-E72D297353CC}">
              <c16:uniqueId val="{00000001-E277-4C16-AAF0-A2A0C4FCB72D}"/>
            </c:ext>
          </c:extLst>
        </c:ser>
        <c:dLbls>
          <c:showLegendKey val="0"/>
          <c:showVal val="1"/>
          <c:showCatName val="0"/>
          <c:showSerName val="0"/>
          <c:showPercent val="0"/>
          <c:showBubbleSize val="0"/>
        </c:dLbls>
        <c:gapWidth val="150"/>
        <c:overlap val="-25"/>
        <c:axId val="642146504"/>
        <c:axId val="642143760"/>
      </c:barChart>
      <c:catAx>
        <c:axId val="64214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mj-lt"/>
                <a:ea typeface="+mn-ea"/>
                <a:cs typeface="+mn-cs"/>
              </a:defRPr>
            </a:pPr>
            <a:endParaRPr lang="sq-AL"/>
          </a:p>
        </c:txPr>
        <c:crossAx val="642143760"/>
        <c:crosses val="autoZero"/>
        <c:auto val="1"/>
        <c:lblAlgn val="ctr"/>
        <c:lblOffset val="100"/>
        <c:noMultiLvlLbl val="0"/>
      </c:catAx>
      <c:valAx>
        <c:axId val="642143760"/>
        <c:scaling>
          <c:orientation val="minMax"/>
        </c:scaling>
        <c:delete val="1"/>
        <c:axPos val="l"/>
        <c:numFmt formatCode="General" sourceLinked="1"/>
        <c:majorTickMark val="none"/>
        <c:minorTickMark val="none"/>
        <c:tickLblPos val="nextTo"/>
        <c:crossAx val="642146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 </c:v>
                </c:pt>
              </c:strCache>
            </c:strRef>
          </c:tx>
          <c:spPr>
            <a:solidFill>
              <a:schemeClr val="accent1"/>
            </a:solidFill>
            <a:ln>
              <a:noFill/>
            </a:ln>
            <a:effectLst/>
          </c:spPr>
          <c:invertIfNegative val="0"/>
          <c:dLbls>
            <c:dLbl>
              <c:idx val="0"/>
              <c:layout>
                <c:manualLayout>
                  <c:x val="4.4316419233325945E-3"/>
                  <c:y val="-0.14449127031908485"/>
                </c:manualLayout>
              </c:layout>
              <c:tx>
                <c:rich>
                  <a:bodyPr/>
                  <a:lstStyle/>
                  <a:p>
                    <a:r>
                      <a:rPr lang="en-US"/>
                      <a:t>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BC-48B6-8B02-DB086E4A5925}"/>
                </c:ext>
                <c:ext xmlns:c15="http://schemas.microsoft.com/office/drawing/2012/chart" uri="{CE6537A1-D6FC-4f65-9D91-7224C49458BB}"/>
              </c:extLst>
            </c:dLbl>
            <c:dLbl>
              <c:idx val="2"/>
              <c:layout>
                <c:manualLayout>
                  <c:x val="-1.015572875445867E-17"/>
                  <c:y val="-0.156532209512342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BC-48B6-8B02-DB086E4A5925}"/>
                </c:ext>
                <c:ext xmlns:c15="http://schemas.microsoft.com/office/drawing/2012/chart" uri="{CE6537A1-D6FC-4f65-9D91-7224C49458BB}"/>
              </c:extLst>
            </c:dLbl>
            <c:dLbl>
              <c:idx val="4"/>
              <c:layout>
                <c:manualLayout>
                  <c:x val="0"/>
                  <c:y val="-0.150511739915713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BC-48B6-8B02-DB086E4A5925}"/>
                </c:ext>
                <c:ext xmlns:c15="http://schemas.microsoft.com/office/drawing/2012/chart" uri="{CE6537A1-D6FC-4f65-9D91-7224C49458BB}"/>
              </c:extLst>
            </c:dLbl>
            <c:dLbl>
              <c:idx val="6"/>
              <c:layout>
                <c:manualLayout>
                  <c:x val="-6.6474628849988917E-3"/>
                  <c:y val="-0.186634557495484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BC-48B6-8B02-DB086E4A5925}"/>
                </c:ext>
                <c:ext xmlns:c15="http://schemas.microsoft.com/office/drawing/2012/chart" uri="{CE6537A1-D6FC-4f65-9D91-7224C49458BB}"/>
              </c:extLst>
            </c:dLbl>
            <c:dLbl>
              <c:idx val="8"/>
              <c:layout>
                <c:manualLayout>
                  <c:x val="0"/>
                  <c:y val="-0.144491270319084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BC-48B6-8B02-DB086E4A5925}"/>
                </c:ext>
                <c:ext xmlns:c15="http://schemas.microsoft.com/office/drawing/2012/chart" uri="{CE6537A1-D6FC-4f65-9D91-7224C49458BB}"/>
              </c:extLst>
            </c:dLbl>
            <c:dLbl>
              <c:idx val="10"/>
              <c:layout>
                <c:manualLayout>
                  <c:x val="2.2158209616662972E-3"/>
                  <c:y val="-0.21673690547862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BC-48B6-8B02-DB086E4A5925}"/>
                </c:ext>
                <c:ext xmlns:c15="http://schemas.microsoft.com/office/drawing/2012/chart" uri="{CE6537A1-D6FC-4f65-9D91-7224C49458BB}"/>
              </c:extLst>
            </c:dLbl>
            <c:dLbl>
              <c:idx val="12"/>
              <c:layout>
                <c:manualLayout>
                  <c:x val="-4.0622915017834678E-17"/>
                  <c:y val="-0.120409391932570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BC-48B6-8B02-DB086E4A5925}"/>
                </c:ext>
                <c:ext xmlns:c15="http://schemas.microsoft.com/office/drawing/2012/chart" uri="{CE6537A1-D6FC-4f65-9D91-7224C49458BB}"/>
              </c:extLst>
            </c:dLbl>
            <c:dLbl>
              <c:idx val="14"/>
              <c:layout>
                <c:manualLayout>
                  <c:x val="-4.0622915017834678E-17"/>
                  <c:y val="-0.174593618302227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3BC-48B6-8B02-DB086E4A5925}"/>
                </c:ext>
                <c:ext xmlns:c15="http://schemas.microsoft.com/office/drawing/2012/chart" uri="{CE6537A1-D6FC-4f65-9D91-7224C49458BB}"/>
              </c:extLst>
            </c:dLbl>
            <c:dLbl>
              <c:idx val="16"/>
              <c:layout>
                <c:manualLayout>
                  <c:x val="2.2158209616662161E-3"/>
                  <c:y val="-0.168573148705599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3BC-48B6-8B02-DB086E4A5925}"/>
                </c:ext>
                <c:ext xmlns:c15="http://schemas.microsoft.com/office/drawing/2012/chart" uri="{CE6537A1-D6FC-4f65-9D91-7224C49458BB}"/>
              </c:extLst>
            </c:dLbl>
            <c:dLbl>
              <c:idx val="18"/>
              <c:layout>
                <c:manualLayout>
                  <c:x val="-8.1245830035669357E-17"/>
                  <c:y val="-0.114388922335942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3BC-48B6-8B02-DB086E4A5925}"/>
                </c:ext>
                <c:ext xmlns:c15="http://schemas.microsoft.com/office/drawing/2012/chart" uri="{CE6537A1-D6FC-4f65-9D91-7224C49458BB}"/>
              </c:extLst>
            </c:dLbl>
            <c:dLbl>
              <c:idx val="20"/>
              <c:layout>
                <c:manualLayout>
                  <c:x val="0"/>
                  <c:y val="-0.138470800722456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3BC-48B6-8B02-DB086E4A5925}"/>
                </c:ext>
                <c:ext xmlns:c15="http://schemas.microsoft.com/office/drawing/2012/chart" uri="{CE6537A1-D6FC-4f65-9D91-7224C49458BB}"/>
              </c:extLst>
            </c:dLbl>
            <c:dLbl>
              <c:idx val="22"/>
              <c:layout>
                <c:manualLayout>
                  <c:x val="-8.1245830035669357E-17"/>
                  <c:y val="-0.12040939193257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3BC-48B6-8B02-DB086E4A5925}"/>
                </c:ext>
                <c:ext xmlns:c15="http://schemas.microsoft.com/office/drawing/2012/chart" uri="{CE6537A1-D6FC-4f65-9D91-7224C49458BB}"/>
              </c:extLst>
            </c:dLbl>
            <c:dLbl>
              <c:idx val="24"/>
              <c:layout>
                <c:manualLayout>
                  <c:x val="-8.1245830035669357E-17"/>
                  <c:y val="-0.150511739915713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3BC-48B6-8B02-DB086E4A5925}"/>
                </c:ext>
                <c:ext xmlns:c15="http://schemas.microsoft.com/office/drawing/2012/chart" uri="{CE6537A1-D6FC-4f65-9D91-7224C49458BB}"/>
              </c:extLst>
            </c:dLbl>
            <c:dLbl>
              <c:idx val="26"/>
              <c:layout>
                <c:manualLayout>
                  <c:x val="-2.2158209616662972E-3"/>
                  <c:y val="-0.174593618302227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3BC-48B6-8B02-DB086E4A5925}"/>
                </c:ext>
                <c:ext xmlns:c15="http://schemas.microsoft.com/office/drawing/2012/chart" uri="{CE6537A1-D6FC-4f65-9D91-7224C49458BB}"/>
              </c:extLst>
            </c:dLbl>
            <c:dLbl>
              <c:idx val="28"/>
              <c:layout>
                <c:manualLayout>
                  <c:x val="-6.6474628849989732E-3"/>
                  <c:y val="-0.12642986152919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3BC-48B6-8B02-DB086E4A5925}"/>
                </c:ext>
                <c:ext xmlns:c15="http://schemas.microsoft.com/office/drawing/2012/chart" uri="{CE6537A1-D6FC-4f65-9D91-7224C49458BB}"/>
              </c:extLst>
            </c:dLbl>
            <c:dLbl>
              <c:idx val="30"/>
              <c:layout>
                <c:manualLayout>
                  <c:x val="-4.4316419233325945E-3"/>
                  <c:y val="-0.222757375075255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3BC-48B6-8B02-DB086E4A5925}"/>
                </c:ext>
                <c:ext xmlns:c15="http://schemas.microsoft.com/office/drawing/2012/chart" uri="{CE6537A1-D6FC-4f65-9D91-7224C49458BB}"/>
              </c:extLst>
            </c:dLbl>
            <c:dLbl>
              <c:idx val="32"/>
              <c:layout>
                <c:manualLayout>
                  <c:x val="0"/>
                  <c:y val="-0.15653220951234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3BC-48B6-8B02-DB086E4A5925}"/>
                </c:ext>
                <c:ext xmlns:c15="http://schemas.microsoft.com/office/drawing/2012/chart" uri="{CE6537A1-D6FC-4f65-9D91-7224C49458BB}"/>
              </c:extLst>
            </c:dLbl>
            <c:dLbl>
              <c:idx val="34"/>
              <c:layout>
                <c:manualLayout>
                  <c:x val="-1.1079104808331486E-2"/>
                  <c:y val="-0.132450331125827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3BC-48B6-8B02-DB086E4A5925}"/>
                </c:ext>
                <c:ext xmlns:c15="http://schemas.microsoft.com/office/drawing/2012/chart" uri="{CE6537A1-D6FC-4f65-9D91-7224C49458BB}"/>
              </c:extLst>
            </c:dLbl>
            <c:dLbl>
              <c:idx val="36"/>
              <c:layout>
                <c:manualLayout>
                  <c:x val="-1.6249166007133871E-16"/>
                  <c:y val="-0.132450331125827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3BC-48B6-8B02-DB086E4A5925}"/>
                </c:ext>
                <c:ext xmlns:c15="http://schemas.microsoft.com/office/drawing/2012/chart" uri="{CE6537A1-D6FC-4f65-9D91-7224C49458BB}"/>
              </c:extLst>
            </c:dLbl>
            <c:dLbl>
              <c:idx val="38"/>
              <c:tx>
                <c:rich>
                  <a:bodyPr/>
                  <a:lstStyle/>
                  <a:p>
                    <a:r>
                      <a:rPr lang="en-US"/>
                      <a:t>1203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8B-48CE-8F75-D57361797C3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'!$C$8:$C$46</c:f>
              <c:numCache>
                <c:formatCode>General</c:formatCode>
                <c:ptCount val="39"/>
                <c:pt idx="0">
                  <c:v>0</c:v>
                </c:pt>
                <c:pt idx="1">
                  <c:v>67</c:v>
                </c:pt>
                <c:pt idx="2">
                  <c:v>23</c:v>
                </c:pt>
                <c:pt idx="3">
                  <c:v>14</c:v>
                </c:pt>
                <c:pt idx="4">
                  <c:v>2</c:v>
                </c:pt>
                <c:pt idx="5">
                  <c:v>29</c:v>
                </c:pt>
                <c:pt idx="6">
                  <c:v>62</c:v>
                </c:pt>
                <c:pt idx="7">
                  <c:v>35</c:v>
                </c:pt>
                <c:pt idx="8">
                  <c:v>53</c:v>
                </c:pt>
                <c:pt idx="9">
                  <c:v>2</c:v>
                </c:pt>
                <c:pt idx="10">
                  <c:v>67</c:v>
                </c:pt>
                <c:pt idx="11">
                  <c:v>38</c:v>
                </c:pt>
                <c:pt idx="12">
                  <c:v>38</c:v>
                </c:pt>
                <c:pt idx="13">
                  <c:v>0</c:v>
                </c:pt>
                <c:pt idx="14">
                  <c:v>34</c:v>
                </c:pt>
                <c:pt idx="15">
                  <c:v>47</c:v>
                </c:pt>
                <c:pt idx="16">
                  <c:v>29</c:v>
                </c:pt>
                <c:pt idx="17">
                  <c:v>3</c:v>
                </c:pt>
                <c:pt idx="18">
                  <c:v>30</c:v>
                </c:pt>
                <c:pt idx="19">
                  <c:v>9</c:v>
                </c:pt>
                <c:pt idx="20">
                  <c:v>87</c:v>
                </c:pt>
                <c:pt idx="21">
                  <c:v>28</c:v>
                </c:pt>
                <c:pt idx="22">
                  <c:v>17</c:v>
                </c:pt>
                <c:pt idx="23">
                  <c:v>74</c:v>
                </c:pt>
                <c:pt idx="24">
                  <c:v>52</c:v>
                </c:pt>
                <c:pt idx="25">
                  <c:v>22</c:v>
                </c:pt>
                <c:pt idx="26">
                  <c:v>64</c:v>
                </c:pt>
                <c:pt idx="27">
                  <c:v>0</c:v>
                </c:pt>
                <c:pt idx="28">
                  <c:v>25</c:v>
                </c:pt>
                <c:pt idx="29">
                  <c:v>32</c:v>
                </c:pt>
                <c:pt idx="30">
                  <c:v>32</c:v>
                </c:pt>
                <c:pt idx="31">
                  <c:v>36</c:v>
                </c:pt>
                <c:pt idx="32">
                  <c:v>0</c:v>
                </c:pt>
                <c:pt idx="33">
                  <c:v>2</c:v>
                </c:pt>
                <c:pt idx="34">
                  <c:v>0</c:v>
                </c:pt>
                <c:pt idx="35">
                  <c:v>29</c:v>
                </c:pt>
                <c:pt idx="36">
                  <c:v>11</c:v>
                </c:pt>
                <c:pt idx="37">
                  <c:v>22</c:v>
                </c:pt>
                <c:pt idx="38">
                  <c:v>1203</c:v>
                </c:pt>
              </c:numCache>
            </c:numRef>
          </c:val>
          <c:extLst xmlns:c16r2="http://schemas.microsoft.com/office/drawing/2015/06/chart">
            <c:ext xmlns:c16="http://schemas.microsoft.com/office/drawing/2014/chart" uri="{C3380CC4-5D6E-409C-BE32-E72D297353CC}">
              <c16:uniqueId val="{00000001-D3BC-48B6-8B02-DB086E4A5925}"/>
            </c:ext>
          </c:extLst>
        </c:ser>
        <c:dLbls>
          <c:showLegendKey val="0"/>
          <c:showVal val="1"/>
          <c:showCatName val="0"/>
          <c:showSerName val="0"/>
          <c:showPercent val="0"/>
          <c:showBubbleSize val="0"/>
        </c:dLbls>
        <c:gapWidth val="150"/>
        <c:overlap val="-25"/>
        <c:axId val="355319744"/>
        <c:axId val="355313864"/>
      </c:barChart>
      <c:catAx>
        <c:axId val="3553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355313864"/>
        <c:crosses val="autoZero"/>
        <c:auto val="1"/>
        <c:lblAlgn val="ctr"/>
        <c:lblOffset val="100"/>
        <c:noMultiLvlLbl val="0"/>
      </c:catAx>
      <c:valAx>
        <c:axId val="355313864"/>
        <c:scaling>
          <c:orientation val="minMax"/>
        </c:scaling>
        <c:delete val="1"/>
        <c:axPos val="l"/>
        <c:numFmt formatCode="General" sourceLinked="1"/>
        <c:majorTickMark val="none"/>
        <c:minorTickMark val="none"/>
        <c:tickLblPos val="nextTo"/>
        <c:crossAx val="355319744"/>
        <c:crosses val="autoZero"/>
        <c:crossBetween val="between"/>
      </c:valAx>
      <c:spPr>
        <a:noFill/>
        <a:ln>
          <a:noFill/>
        </a:ln>
        <a:effectLst/>
      </c:spPr>
    </c:plotArea>
    <c:legend>
      <c:legendPos val="t"/>
      <c:layout>
        <c:manualLayout>
          <c:xMode val="edge"/>
          <c:yMode val="edge"/>
          <c:x val="0.33993312983970064"/>
          <c:y val="3.6122817579771226E-2"/>
          <c:w val="0.32438318258130194"/>
          <c:h val="9.244739199893811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sq-A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'AKTET E  KUVENDIT '!$N$1:$N$7</c:f>
              <c:strCache>
                <c:ptCount val="7"/>
                <c:pt idx="6">
                  <c:v>Numri i vendimeve të publikuara të kuvendit komunal</c:v>
                </c:pt>
              </c:strCache>
            </c:strRef>
          </c:tx>
          <c:spPr>
            <a:solidFill>
              <a:schemeClr val="accent1"/>
            </a:solidFill>
            <a:ln>
              <a:noFill/>
            </a:ln>
            <a:effectLst/>
          </c:spPr>
          <c:invertIfNegative val="0"/>
          <c:dLbls>
            <c:dLbl>
              <c:idx val="0"/>
              <c:layout>
                <c:manualLayout>
                  <c:x val="-2.2158209616662972E-3"/>
                  <c:y val="-0.12216404886561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67-4ED8-98D0-C2AA090EEFBB}"/>
                </c:ext>
                <c:ext xmlns:c15="http://schemas.microsoft.com/office/drawing/2012/chart" uri="{CE6537A1-D6FC-4f65-9D91-7224C49458BB}"/>
              </c:extLst>
            </c:dLbl>
            <c:dLbl>
              <c:idx val="1"/>
              <c:layout>
                <c:manualLayout>
                  <c:x val="1.1079104808331486E-2"/>
                  <c:y val="-0.279232111692844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A67-4ED8-98D0-C2AA090EEFBB}"/>
                </c:ext>
                <c:ext xmlns:c15="http://schemas.microsoft.com/office/drawing/2012/chart" uri="{CE6537A1-D6FC-4f65-9D91-7224C49458BB}"/>
              </c:extLst>
            </c:dLbl>
            <c:dLbl>
              <c:idx val="2"/>
              <c:layout>
                <c:manualLayout>
                  <c:x val="6.6474628849988917E-3"/>
                  <c:y val="-0.186154741128563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A67-4ED8-98D0-C2AA090EEFBB}"/>
                </c:ext>
                <c:ext xmlns:c15="http://schemas.microsoft.com/office/drawing/2012/chart" uri="{CE6537A1-D6FC-4f65-9D91-7224C49458BB}"/>
              </c:extLst>
            </c:dLbl>
            <c:dLbl>
              <c:idx val="3"/>
              <c:layout>
                <c:manualLayout>
                  <c:x val="1.5510746731664082E-2"/>
                  <c:y val="-0.180337405468295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A67-4ED8-98D0-C2AA090EEFBB}"/>
                </c:ext>
                <c:ext xmlns:c15="http://schemas.microsoft.com/office/drawing/2012/chart" uri="{CE6537A1-D6FC-4f65-9D91-7224C49458BB}"/>
              </c:extLst>
            </c:dLbl>
            <c:dLbl>
              <c:idx val="4"/>
              <c:layout>
                <c:manualLayout>
                  <c:x val="6.6474628849988917E-3"/>
                  <c:y val="-4.6538685282140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4A67-4ED8-98D0-C2AA090EEFBB}"/>
                </c:ext>
                <c:ext xmlns:c15="http://schemas.microsoft.com/office/drawing/2012/chart" uri="{CE6537A1-D6FC-4f65-9D91-7224C49458BB}"/>
              </c:extLst>
            </c:dLbl>
            <c:dLbl>
              <c:idx val="5"/>
              <c:layout>
                <c:manualLayout>
                  <c:x val="-2.0311457508917339E-17"/>
                  <c:y val="-0.12798138452588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A67-4ED8-98D0-C2AA090EEFBB}"/>
                </c:ext>
                <c:ext xmlns:c15="http://schemas.microsoft.com/office/drawing/2012/chart" uri="{CE6537A1-D6FC-4f65-9D91-7224C49458BB}"/>
              </c:extLst>
            </c:dLbl>
            <c:dLbl>
              <c:idx val="6"/>
              <c:layout>
                <c:manualLayout>
                  <c:x val="-2.2158209616662972E-3"/>
                  <c:y val="-9.3077370564281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A67-4ED8-98D0-C2AA090EEFBB}"/>
                </c:ext>
                <c:ext xmlns:c15="http://schemas.microsoft.com/office/drawing/2012/chart" uri="{CE6537A1-D6FC-4f65-9D91-7224C49458BB}"/>
              </c:extLst>
            </c:dLbl>
            <c:dLbl>
              <c:idx val="7"/>
              <c:layout>
                <c:manualLayout>
                  <c:x val="-1.3294925769997783E-2"/>
                  <c:y val="-0.27341477603257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A67-4ED8-98D0-C2AA090EEFBB}"/>
                </c:ext>
                <c:ext xmlns:c15="http://schemas.microsoft.com/office/drawing/2012/chart" uri="{CE6537A1-D6FC-4f65-9D91-7224C49458BB}"/>
              </c:extLst>
            </c:dLbl>
            <c:dLbl>
              <c:idx val="8"/>
              <c:layout>
                <c:manualLayout>
                  <c:x val="-6.6474628849988917E-3"/>
                  <c:y val="-0.174520069808027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A67-4ED8-98D0-C2AA090EEFBB}"/>
                </c:ext>
                <c:ext xmlns:c15="http://schemas.microsoft.com/office/drawing/2012/chart" uri="{CE6537A1-D6FC-4f65-9D91-7224C49458BB}"/>
              </c:extLst>
            </c:dLbl>
            <c:dLbl>
              <c:idx val="9"/>
              <c:layout>
                <c:manualLayout>
                  <c:x val="1.1079104808331486E-2"/>
                  <c:y val="-0.145433391506689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4A67-4ED8-98D0-C2AA090EEFBB}"/>
                </c:ext>
                <c:ext xmlns:c15="http://schemas.microsoft.com/office/drawing/2012/chart" uri="{CE6537A1-D6FC-4f65-9D91-7224C49458BB}"/>
              </c:extLst>
            </c:dLbl>
            <c:dLbl>
              <c:idx val="10"/>
              <c:layout>
                <c:manualLayout>
                  <c:x val="6.6474628849988917E-3"/>
                  <c:y val="-0.23269342641070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A67-4ED8-98D0-C2AA090EEFBB}"/>
                </c:ext>
                <c:ext xmlns:c15="http://schemas.microsoft.com/office/drawing/2012/chart" uri="{CE6537A1-D6FC-4f65-9D91-7224C49458BB}"/>
              </c:extLst>
            </c:dLbl>
            <c:dLbl>
              <c:idx val="11"/>
              <c:layout>
                <c:manualLayout>
                  <c:x val="-2.2158209616662972E-3"/>
                  <c:y val="-7.5625363583478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A67-4ED8-98D0-C2AA090EEFBB}"/>
                </c:ext>
                <c:ext xmlns:c15="http://schemas.microsoft.com/office/drawing/2012/chart" uri="{CE6537A1-D6FC-4f65-9D91-7224C49458BB}"/>
              </c:extLst>
            </c:dLbl>
            <c:dLbl>
              <c:idx val="12"/>
              <c:layout>
                <c:manualLayout>
                  <c:x val="2.2158209616662569E-3"/>
                  <c:y val="-0.22687609075043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A67-4ED8-98D0-C2AA090EEFBB}"/>
                </c:ext>
                <c:ext xmlns:c15="http://schemas.microsoft.com/office/drawing/2012/chart" uri="{CE6537A1-D6FC-4f65-9D91-7224C49458BB}"/>
              </c:extLst>
            </c:dLbl>
            <c:dLbl>
              <c:idx val="13"/>
              <c:layout>
                <c:manualLayout>
                  <c:x val="4.4316419233325945E-3"/>
                  <c:y val="-0.12216404886561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4A67-4ED8-98D0-C2AA090EEFBB}"/>
                </c:ext>
                <c:ext xmlns:c15="http://schemas.microsoft.com/office/drawing/2012/chart" uri="{CE6537A1-D6FC-4f65-9D91-7224C49458BB}"/>
              </c:extLst>
            </c:dLbl>
            <c:dLbl>
              <c:idx val="14"/>
              <c:layout>
                <c:manualLayout>
                  <c:x val="2.2158209616662569E-3"/>
                  <c:y val="-0.20942408376963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A67-4ED8-98D0-C2AA090EEFBB}"/>
                </c:ext>
                <c:ext xmlns:c15="http://schemas.microsoft.com/office/drawing/2012/chart" uri="{CE6537A1-D6FC-4f65-9D91-7224C49458BB}"/>
              </c:extLst>
            </c:dLbl>
            <c:dLbl>
              <c:idx val="15"/>
              <c:layout>
                <c:manualLayout>
                  <c:x val="1.3294925769997704E-2"/>
                  <c:y val="-0.273414776032577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A67-4ED8-98D0-C2AA090EEFBB}"/>
                </c:ext>
                <c:ext xmlns:c15="http://schemas.microsoft.com/office/drawing/2012/chart" uri="{CE6537A1-D6FC-4f65-9D91-7224C49458BB}"/>
              </c:extLst>
            </c:dLbl>
            <c:dLbl>
              <c:idx val="16"/>
              <c:layout>
                <c:manualLayout>
                  <c:x val="1.5510746731664082E-2"/>
                  <c:y val="-0.191972076788830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A67-4ED8-98D0-C2AA090EEFBB}"/>
                </c:ext>
                <c:ext xmlns:c15="http://schemas.microsoft.com/office/drawing/2012/chart" uri="{CE6537A1-D6FC-4f65-9D91-7224C49458BB}"/>
              </c:extLst>
            </c:dLbl>
            <c:dLbl>
              <c:idx val="17"/>
              <c:layout>
                <c:manualLayout>
                  <c:x val="6.6474628849988917E-3"/>
                  <c:y val="-5.81733566026759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4A67-4ED8-98D0-C2AA090EEFBB}"/>
                </c:ext>
                <c:ext xmlns:c15="http://schemas.microsoft.com/office/drawing/2012/chart" uri="{CE6537A1-D6FC-4f65-9D91-7224C49458BB}"/>
              </c:extLst>
            </c:dLbl>
            <c:dLbl>
              <c:idx val="18"/>
              <c:layout>
                <c:manualLayout>
                  <c:x val="1.1079104808331406E-2"/>
                  <c:y val="-0.308318789994182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A67-4ED8-98D0-C2AA090EEFBB}"/>
                </c:ext>
                <c:ext xmlns:c15="http://schemas.microsoft.com/office/drawing/2012/chart" uri="{CE6537A1-D6FC-4f65-9D91-7224C49458BB}"/>
              </c:extLst>
            </c:dLbl>
            <c:dLbl>
              <c:idx val="19"/>
              <c:layout>
                <c:manualLayout>
                  <c:x val="2.2158209616662972E-3"/>
                  <c:y val="-0.157068062827225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67-4ED8-98D0-C2AA090EEFBB}"/>
                </c:ext>
                <c:ext xmlns:c15="http://schemas.microsoft.com/office/drawing/2012/chart" uri="{CE6537A1-D6FC-4f65-9D91-7224C49458BB}"/>
              </c:extLst>
            </c:dLbl>
            <c:dLbl>
              <c:idx val="20"/>
              <c:layout>
                <c:manualLayout>
                  <c:x val="8.8632838466651889E-3"/>
                  <c:y val="-9.3077141535318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A67-4ED8-98D0-C2AA090EEFBB}"/>
                </c:ext>
                <c:ext xmlns:c15="http://schemas.microsoft.com/office/drawing/2012/chart" uri="{CE6537A1-D6FC-4f65-9D91-7224C49458BB}">
                  <c15:layout>
                    <c:manualLayout>
                      <c:w val="2.6612009749612232E-2"/>
                      <c:h val="7.763257341523408E-2"/>
                    </c:manualLayout>
                  </c15:layout>
                </c:ext>
              </c:extLst>
            </c:dLbl>
            <c:dLbl>
              <c:idx val="21"/>
              <c:layout>
                <c:manualLayout>
                  <c:x val="1.3294925769997783E-2"/>
                  <c:y val="-0.197789412449098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67-4ED8-98D0-C2AA090EEFBB}"/>
                </c:ext>
                <c:ext xmlns:c15="http://schemas.microsoft.com/office/drawing/2012/chart" uri="{CE6537A1-D6FC-4f65-9D91-7224C49458BB}"/>
              </c:extLst>
            </c:dLbl>
            <c:dLbl>
              <c:idx val="22"/>
              <c:layout>
                <c:manualLayout>
                  <c:x val="-8.1245830035669357E-17"/>
                  <c:y val="-8.1442699243746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A67-4ED8-98D0-C2AA090EEFBB}"/>
                </c:ext>
                <c:ext xmlns:c15="http://schemas.microsoft.com/office/drawing/2012/chart" uri="{CE6537A1-D6FC-4f65-9D91-7224C49458BB}"/>
              </c:extLst>
            </c:dLbl>
            <c:dLbl>
              <c:idx val="23"/>
              <c:layout>
                <c:manualLayout>
                  <c:x val="6.647462884998811E-3"/>
                  <c:y val="-0.28504944735311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4A67-4ED8-98D0-C2AA090EEFBB}"/>
                </c:ext>
                <c:ext xmlns:c15="http://schemas.microsoft.com/office/drawing/2012/chart" uri="{CE6537A1-D6FC-4f65-9D91-7224C49458BB}"/>
              </c:extLst>
            </c:dLbl>
            <c:dLbl>
              <c:idx val="24"/>
              <c:layout>
                <c:manualLayout>
                  <c:x val="0"/>
                  <c:y val="-0.19197207678883077"/>
                </c:manualLayout>
              </c:layout>
              <c:tx>
                <c:rich>
                  <a:bodyPr/>
                  <a:lstStyle/>
                  <a:p>
                    <a:r>
                      <a:rPr lang="en-US"/>
                      <a:t>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A67-4ED8-98D0-C2AA090EEFBB}"/>
                </c:ext>
                <c:ext xmlns:c15="http://schemas.microsoft.com/office/drawing/2012/chart" uri="{CE6537A1-D6FC-4f65-9D91-7224C49458BB}"/>
              </c:extLst>
            </c:dLbl>
            <c:dLbl>
              <c:idx val="25"/>
              <c:layout>
                <c:manualLayout>
                  <c:x val="-8.1245830035669357E-17"/>
                  <c:y val="-8.72600349040139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4A67-4ED8-98D0-C2AA090EEFBB}"/>
                </c:ext>
                <c:ext xmlns:c15="http://schemas.microsoft.com/office/drawing/2012/chart" uri="{CE6537A1-D6FC-4f65-9D91-7224C49458BB}"/>
              </c:extLst>
            </c:dLbl>
            <c:dLbl>
              <c:idx val="26"/>
              <c:layout>
                <c:manualLayout>
                  <c:x val="2.215820961666135E-3"/>
                  <c:y val="-0.151250727166957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A67-4ED8-98D0-C2AA090EEFBB}"/>
                </c:ext>
                <c:ext xmlns:c15="http://schemas.microsoft.com/office/drawing/2012/chart" uri="{CE6537A1-D6FC-4f65-9D91-7224C49458BB}"/>
              </c:extLst>
            </c:dLbl>
            <c:dLbl>
              <c:idx val="27"/>
              <c:layout>
                <c:manualLayout>
                  <c:x val="4.4316419233325945E-3"/>
                  <c:y val="-6.39906922629436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4A67-4ED8-98D0-C2AA090EEFBB}"/>
                </c:ext>
                <c:ext xmlns:c15="http://schemas.microsoft.com/office/drawing/2012/chart" uri="{CE6537A1-D6FC-4f65-9D91-7224C49458BB}"/>
              </c:extLst>
            </c:dLbl>
            <c:dLbl>
              <c:idx val="28"/>
              <c:layout>
                <c:manualLayout>
                  <c:x val="0"/>
                  <c:y val="-0.151250727166957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67-4ED8-98D0-C2AA090EEFBB}"/>
                </c:ext>
                <c:ext xmlns:c15="http://schemas.microsoft.com/office/drawing/2012/chart" uri="{CE6537A1-D6FC-4f65-9D91-7224C49458BB}"/>
              </c:extLst>
            </c:dLbl>
            <c:dLbl>
              <c:idx val="29"/>
              <c:layout>
                <c:manualLayout>
                  <c:x val="6.6474628849988917E-3"/>
                  <c:y val="-0.273414776032577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A67-4ED8-98D0-C2AA090EEFBB}"/>
                </c:ext>
                <c:ext xmlns:c15="http://schemas.microsoft.com/office/drawing/2012/chart" uri="{CE6537A1-D6FC-4f65-9D91-7224C49458BB}"/>
              </c:extLst>
            </c:dLbl>
            <c:dLbl>
              <c:idx val="30"/>
              <c:layout>
                <c:manualLayout>
                  <c:x val="8.7237045572401936E-8"/>
                  <c:y val="-0.1337984911571917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A67-4ED8-98D0-C2AA090EEFBB}"/>
                </c:ext>
                <c:ext xmlns:c15="http://schemas.microsoft.com/office/drawing/2012/chart" uri="{CE6537A1-D6FC-4f65-9D91-7224C49458BB}">
                  <c15:layout>
                    <c:manualLayout>
                      <c:w val="3.5475293596277414E-2"/>
                      <c:h val="0.26960465020406477"/>
                    </c:manualLayout>
                  </c15:layout>
                </c:ext>
              </c:extLst>
            </c:dLbl>
            <c:dLbl>
              <c:idx val="31"/>
              <c:layout>
                <c:manualLayout>
                  <c:x val="0"/>
                  <c:y val="-7.5625363583478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4A67-4ED8-98D0-C2AA090EEFBB}"/>
                </c:ext>
                <c:ext xmlns:c15="http://schemas.microsoft.com/office/drawing/2012/chart" uri="{CE6537A1-D6FC-4f65-9D91-7224C49458BB}"/>
              </c:extLst>
            </c:dLbl>
            <c:dLbl>
              <c:idx val="32"/>
              <c:layout>
                <c:manualLayout>
                  <c:x val="2.215820961666135E-3"/>
                  <c:y val="-0.197789412449098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67-4ED8-98D0-C2AA090EEFBB}"/>
                </c:ext>
                <c:ext xmlns:c15="http://schemas.microsoft.com/office/drawing/2012/chart" uri="{CE6537A1-D6FC-4f65-9D91-7224C49458BB}"/>
              </c:extLst>
            </c:dLbl>
            <c:dLbl>
              <c:idx val="33"/>
              <c:layout>
                <c:manualLayout>
                  <c:x val="0"/>
                  <c:y val="-5.23560209424084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4A67-4ED8-98D0-C2AA090EEFBB}"/>
                </c:ext>
                <c:ext xmlns:c15="http://schemas.microsoft.com/office/drawing/2012/chart" uri="{CE6537A1-D6FC-4f65-9D91-7224C49458BB}"/>
              </c:extLst>
            </c:dLbl>
            <c:dLbl>
              <c:idx val="34"/>
              <c:layout>
                <c:manualLayout>
                  <c:x val="0"/>
                  <c:y val="-0.244328097731239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A67-4ED8-98D0-C2AA090EEFBB}"/>
                </c:ext>
                <c:ext xmlns:c15="http://schemas.microsoft.com/office/drawing/2012/chart" uri="{CE6537A1-D6FC-4f65-9D91-7224C49458BB}"/>
              </c:extLst>
            </c:dLbl>
            <c:dLbl>
              <c:idx val="35"/>
              <c:layout>
                <c:manualLayout>
                  <c:x val="0"/>
                  <c:y val="-8.7260034904014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4A67-4ED8-98D0-C2AA090EEFBB}"/>
                </c:ext>
                <c:ext xmlns:c15="http://schemas.microsoft.com/office/drawing/2012/chart" uri="{CE6537A1-D6FC-4f65-9D91-7224C49458BB}"/>
              </c:extLst>
            </c:dLbl>
            <c:dLbl>
              <c:idx val="36"/>
              <c:layout>
                <c:manualLayout>
                  <c:x val="8.72370457348936E-8"/>
                  <c:y val="-0.180337176439332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A67-4ED8-98D0-C2AA090EEFBB}"/>
                </c:ext>
                <c:ext xmlns:c15="http://schemas.microsoft.com/office/drawing/2012/chart" uri="{CE6537A1-D6FC-4f65-9D91-7224C49458BB}">
                  <c15:layout>
                    <c:manualLayout>
                      <c:w val="8.8854420562818476E-3"/>
                      <c:h val="7.763257341523408E-2"/>
                    </c:manualLayout>
                  </c15:layout>
                </c:ext>
              </c:extLst>
            </c:dLbl>
            <c:dLbl>
              <c:idx val="38"/>
              <c:tx>
                <c:rich>
                  <a:bodyPr/>
                  <a:lstStyle/>
                  <a:p>
                    <a:r>
                      <a:rPr lang="en-US"/>
                      <a:t>1147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F3-4779-AE20-3FD782A9627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'!$N$8:$N$47</c:f>
              <c:numCache>
                <c:formatCode>General</c:formatCode>
                <c:ptCount val="40"/>
                <c:pt idx="0">
                  <c:v>0</c:v>
                </c:pt>
                <c:pt idx="1">
                  <c:v>66</c:v>
                </c:pt>
                <c:pt idx="2">
                  <c:v>22</c:v>
                </c:pt>
                <c:pt idx="3">
                  <c:v>12</c:v>
                </c:pt>
                <c:pt idx="4">
                  <c:v>0</c:v>
                </c:pt>
                <c:pt idx="5">
                  <c:v>26</c:v>
                </c:pt>
                <c:pt idx="6">
                  <c:v>62</c:v>
                </c:pt>
                <c:pt idx="7">
                  <c:v>23</c:v>
                </c:pt>
                <c:pt idx="8">
                  <c:v>45</c:v>
                </c:pt>
                <c:pt idx="9">
                  <c:v>1</c:v>
                </c:pt>
                <c:pt idx="10">
                  <c:v>67</c:v>
                </c:pt>
                <c:pt idx="11">
                  <c:v>35</c:v>
                </c:pt>
                <c:pt idx="12">
                  <c:v>37</c:v>
                </c:pt>
                <c:pt idx="13">
                  <c:v>0</c:v>
                </c:pt>
                <c:pt idx="14">
                  <c:v>34</c:v>
                </c:pt>
                <c:pt idx="15">
                  <c:v>46</c:v>
                </c:pt>
                <c:pt idx="16">
                  <c:v>28</c:v>
                </c:pt>
                <c:pt idx="17">
                  <c:v>2</c:v>
                </c:pt>
                <c:pt idx="18">
                  <c:v>26</c:v>
                </c:pt>
                <c:pt idx="19">
                  <c:v>7</c:v>
                </c:pt>
                <c:pt idx="20">
                  <c:v>85</c:v>
                </c:pt>
                <c:pt idx="21">
                  <c:v>27</c:v>
                </c:pt>
                <c:pt idx="22">
                  <c:v>16</c:v>
                </c:pt>
                <c:pt idx="23">
                  <c:v>72</c:v>
                </c:pt>
                <c:pt idx="24">
                  <c:v>50</c:v>
                </c:pt>
                <c:pt idx="25">
                  <c:v>22</c:v>
                </c:pt>
                <c:pt idx="26">
                  <c:v>61</c:v>
                </c:pt>
                <c:pt idx="27">
                  <c:v>0</c:v>
                </c:pt>
                <c:pt idx="28">
                  <c:v>23</c:v>
                </c:pt>
                <c:pt idx="29">
                  <c:v>30</c:v>
                </c:pt>
                <c:pt idx="30">
                  <c:v>31</c:v>
                </c:pt>
                <c:pt idx="31">
                  <c:v>36</c:v>
                </c:pt>
                <c:pt idx="32">
                  <c:v>0</c:v>
                </c:pt>
                <c:pt idx="33">
                  <c:v>1</c:v>
                </c:pt>
                <c:pt idx="34">
                  <c:v>0</c:v>
                </c:pt>
                <c:pt idx="35">
                  <c:v>24</c:v>
                </c:pt>
                <c:pt idx="36">
                  <c:v>11</c:v>
                </c:pt>
                <c:pt idx="37">
                  <c:v>22</c:v>
                </c:pt>
                <c:pt idx="38">
                  <c:v>1145</c:v>
                </c:pt>
              </c:numCache>
            </c:numRef>
          </c:val>
          <c:extLst xmlns:c16r2="http://schemas.microsoft.com/office/drawing/2015/06/chart">
            <c:ext xmlns:c16="http://schemas.microsoft.com/office/drawing/2014/chart" uri="{C3380CC4-5D6E-409C-BE32-E72D297353CC}">
              <c16:uniqueId val="{00000000-4A67-4ED8-98D0-C2AA090EEFBB}"/>
            </c:ext>
          </c:extLst>
        </c:ser>
        <c:dLbls>
          <c:showLegendKey val="0"/>
          <c:showVal val="1"/>
          <c:showCatName val="0"/>
          <c:showSerName val="0"/>
          <c:showPercent val="0"/>
          <c:showBubbleSize val="0"/>
        </c:dLbls>
        <c:gapWidth val="95"/>
        <c:overlap val="100"/>
        <c:axId val="355324840"/>
        <c:axId val="355314256"/>
      </c:barChart>
      <c:catAx>
        <c:axId val="3553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Book Antiqua" panose="02040602050305030304" pitchFamily="18" charset="0"/>
                <a:ea typeface="+mn-ea"/>
                <a:cs typeface="+mn-cs"/>
              </a:defRPr>
            </a:pPr>
            <a:endParaRPr lang="sq-AL"/>
          </a:p>
        </c:txPr>
        <c:crossAx val="355314256"/>
        <c:crosses val="autoZero"/>
        <c:auto val="1"/>
        <c:lblAlgn val="ctr"/>
        <c:lblOffset val="100"/>
        <c:noMultiLvlLbl val="0"/>
      </c:catAx>
      <c:valAx>
        <c:axId val="355314256"/>
        <c:scaling>
          <c:orientation val="minMax"/>
        </c:scaling>
        <c:delete val="1"/>
        <c:axPos val="l"/>
        <c:numFmt formatCode="General" sourceLinked="1"/>
        <c:majorTickMark val="none"/>
        <c:minorTickMark val="none"/>
        <c:tickLblPos val="nextTo"/>
        <c:crossAx val="3553248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sq-AL"/>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'!$N$13</c:f>
              <c:strCache>
                <c:ptCount val="1"/>
                <c:pt idx="0">
                  <c:v>Numri i rregulloreve të kuvendit të publikuara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'!$M$14:$M$53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'!$N$14:$N$53</c:f>
              <c:numCache>
                <c:formatCode>General</c:formatCode>
                <c:ptCount val="40"/>
                <c:pt idx="0">
                  <c:v>0</c:v>
                </c:pt>
                <c:pt idx="1">
                  <c:v>1</c:v>
                </c:pt>
                <c:pt idx="2">
                  <c:v>1</c:v>
                </c:pt>
                <c:pt idx="3">
                  <c:v>2</c:v>
                </c:pt>
                <c:pt idx="4">
                  <c:v>2</c:v>
                </c:pt>
                <c:pt idx="5">
                  <c:v>3</c:v>
                </c:pt>
                <c:pt idx="6">
                  <c:v>1</c:v>
                </c:pt>
                <c:pt idx="7">
                  <c:v>2</c:v>
                </c:pt>
                <c:pt idx="8">
                  <c:v>8</c:v>
                </c:pt>
                <c:pt idx="9">
                  <c:v>1</c:v>
                </c:pt>
                <c:pt idx="10">
                  <c:v>0</c:v>
                </c:pt>
                <c:pt idx="11">
                  <c:v>3</c:v>
                </c:pt>
                <c:pt idx="12">
                  <c:v>1</c:v>
                </c:pt>
                <c:pt idx="13">
                  <c:v>0</c:v>
                </c:pt>
                <c:pt idx="14">
                  <c:v>0</c:v>
                </c:pt>
                <c:pt idx="15">
                  <c:v>1</c:v>
                </c:pt>
                <c:pt idx="16">
                  <c:v>1</c:v>
                </c:pt>
                <c:pt idx="17">
                  <c:v>1</c:v>
                </c:pt>
                <c:pt idx="18">
                  <c:v>4</c:v>
                </c:pt>
                <c:pt idx="19">
                  <c:v>2</c:v>
                </c:pt>
                <c:pt idx="20">
                  <c:v>2</c:v>
                </c:pt>
                <c:pt idx="21">
                  <c:v>1</c:v>
                </c:pt>
                <c:pt idx="22">
                  <c:v>1</c:v>
                </c:pt>
                <c:pt idx="23">
                  <c:v>2</c:v>
                </c:pt>
                <c:pt idx="24">
                  <c:v>2</c:v>
                </c:pt>
                <c:pt idx="25">
                  <c:v>0</c:v>
                </c:pt>
                <c:pt idx="26">
                  <c:v>3</c:v>
                </c:pt>
                <c:pt idx="27">
                  <c:v>0</c:v>
                </c:pt>
                <c:pt idx="28">
                  <c:v>2</c:v>
                </c:pt>
                <c:pt idx="29">
                  <c:v>2</c:v>
                </c:pt>
                <c:pt idx="30">
                  <c:v>1</c:v>
                </c:pt>
                <c:pt idx="31">
                  <c:v>0</c:v>
                </c:pt>
                <c:pt idx="32">
                  <c:v>0</c:v>
                </c:pt>
                <c:pt idx="33">
                  <c:v>1</c:v>
                </c:pt>
                <c:pt idx="34">
                  <c:v>0</c:v>
                </c:pt>
                <c:pt idx="35">
                  <c:v>5</c:v>
                </c:pt>
                <c:pt idx="36">
                  <c:v>0</c:v>
                </c:pt>
                <c:pt idx="37">
                  <c:v>0</c:v>
                </c:pt>
                <c:pt idx="38">
                  <c:v>54</c:v>
                </c:pt>
              </c:numCache>
            </c:numRef>
          </c:val>
          <c:extLst xmlns:c16r2="http://schemas.microsoft.com/office/drawing/2015/06/chart">
            <c:ext xmlns:c16="http://schemas.microsoft.com/office/drawing/2014/chart" uri="{C3380CC4-5D6E-409C-BE32-E72D297353CC}">
              <c16:uniqueId val="{00000000-1A20-4551-BB32-A50139F4EE1D}"/>
            </c:ext>
          </c:extLst>
        </c:ser>
        <c:dLbls>
          <c:showLegendKey val="0"/>
          <c:showVal val="1"/>
          <c:showCatName val="0"/>
          <c:showSerName val="0"/>
          <c:showPercent val="0"/>
          <c:showBubbleSize val="0"/>
        </c:dLbls>
        <c:gapWidth val="95"/>
        <c:axId val="554607232"/>
        <c:axId val="554611544"/>
      </c:barChart>
      <c:catAx>
        <c:axId val="5546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 Antiqua" panose="02040602050305030304" pitchFamily="18" charset="0"/>
                <a:ea typeface="+mn-ea"/>
                <a:cs typeface="+mn-cs"/>
              </a:defRPr>
            </a:pPr>
            <a:endParaRPr lang="sq-AL"/>
          </a:p>
        </c:txPr>
        <c:crossAx val="554611544"/>
        <c:crosses val="autoZero"/>
        <c:auto val="1"/>
        <c:lblAlgn val="ctr"/>
        <c:lblOffset val="100"/>
        <c:noMultiLvlLbl val="0"/>
      </c:catAx>
      <c:valAx>
        <c:axId val="554611544"/>
        <c:scaling>
          <c:orientation val="minMax"/>
        </c:scaling>
        <c:delete val="1"/>
        <c:axPos val="l"/>
        <c:numFmt formatCode="General" sourceLinked="1"/>
        <c:majorTickMark val="none"/>
        <c:minorTickMark val="none"/>
        <c:tickLblPos val="nextTo"/>
        <c:crossAx val="55460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913195585606093"/>
          <c:y val="0.13557888983307784"/>
          <c:w val="0.58357499655562595"/>
          <c:h val="0.82713691546282575"/>
        </c:manualLayout>
      </c:layout>
      <c:bar3DChart>
        <c:barDir val="bar"/>
        <c:grouping val="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PROCESVERBALET!$D$8:$F$8</c:f>
              <c:numCache>
                <c:formatCode>General</c:formatCode>
                <c:ptCount val="3"/>
                <c:pt idx="0">
                  <c:v>4</c:v>
                </c:pt>
                <c:pt idx="1">
                  <c:v>6</c:v>
                </c:pt>
                <c:pt idx="2">
                  <c:v>0</c:v>
                </c:pt>
              </c:numCache>
            </c:numRef>
          </c:val>
          <c:extLst xmlns:c16r2="http://schemas.microsoft.com/office/drawing/2015/06/chart">
            <c:ext xmlns:c16="http://schemas.microsoft.com/office/drawing/2014/chart" uri="{C3380CC4-5D6E-409C-BE32-E72D297353CC}">
              <c16:uniqueId val="{00000000-0D74-4EDA-B286-59E06FA057D7}"/>
            </c:ext>
          </c:extLst>
        </c:ser>
        <c:ser>
          <c:idx val="1"/>
          <c:order val="1"/>
          <c:tx>
            <c:strRef>
              <c:f>PROCESVERBALET!$C$9</c:f>
              <c:strCache>
                <c:ptCount val="1"/>
                <c:pt idx="0">
                  <c:v>Ferizaj</c:v>
                </c:pt>
              </c:strCache>
            </c:strRef>
          </c:tx>
          <c:spPr>
            <a:solidFill>
              <a:schemeClr val="accent2"/>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PROCESVERBALET!$D$9:$F$9</c:f>
              <c:numCache>
                <c:formatCode>General</c:formatCode>
                <c:ptCount val="3"/>
                <c:pt idx="0">
                  <c:v>8</c:v>
                </c:pt>
                <c:pt idx="1">
                  <c:v>8</c:v>
                </c:pt>
                <c:pt idx="2">
                  <c:v>6</c:v>
                </c:pt>
              </c:numCache>
            </c:numRef>
          </c:val>
          <c:extLst xmlns:c16r2="http://schemas.microsoft.com/office/drawing/2015/06/chart">
            <c:ext xmlns:c16="http://schemas.microsoft.com/office/drawing/2014/chart" uri="{C3380CC4-5D6E-409C-BE32-E72D297353CC}">
              <c16:uniqueId val="{00000001-0D74-4EDA-B286-59E06FA057D7}"/>
            </c:ext>
          </c:extLst>
        </c:ser>
        <c:ser>
          <c:idx val="2"/>
          <c:order val="2"/>
          <c:tx>
            <c:strRef>
              <c:f>PROCESVERBALET!$C$10</c:f>
              <c:strCache>
                <c:ptCount val="1"/>
                <c:pt idx="0">
                  <c:v>Fushe Kosovë</c:v>
                </c:pt>
              </c:strCache>
            </c:strRef>
          </c:tx>
          <c:spPr>
            <a:solidFill>
              <a:schemeClr val="accent3"/>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PROCESVERBALET!$D$10:$F$10</c:f>
              <c:numCache>
                <c:formatCode>General</c:formatCode>
                <c:ptCount val="3"/>
                <c:pt idx="0">
                  <c:v>6</c:v>
                </c:pt>
                <c:pt idx="1">
                  <c:v>0</c:v>
                </c:pt>
                <c:pt idx="2">
                  <c:v>0</c:v>
                </c:pt>
              </c:numCache>
            </c:numRef>
          </c:val>
          <c:extLst xmlns:c16r2="http://schemas.microsoft.com/office/drawing/2015/06/chart">
            <c:ext xmlns:c16="http://schemas.microsoft.com/office/drawing/2014/chart" uri="{C3380CC4-5D6E-409C-BE32-E72D297353CC}">
              <c16:uniqueId val="{00000002-0D74-4EDA-B286-59E06FA057D7}"/>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PROCESVERBALET!$D$11:$F$11</c:f>
              <c:numCache>
                <c:formatCode>General</c:formatCode>
                <c:ptCount val="3"/>
                <c:pt idx="0">
                  <c:v>9</c:v>
                </c:pt>
                <c:pt idx="1">
                  <c:v>0</c:v>
                </c:pt>
                <c:pt idx="2">
                  <c:v>0</c:v>
                </c:pt>
              </c:numCache>
            </c:numRef>
          </c:val>
          <c:extLst xmlns:c16r2="http://schemas.microsoft.com/office/drawing/2015/06/chart">
            <c:ext xmlns:c16="http://schemas.microsoft.com/office/drawing/2014/chart" uri="{C3380CC4-5D6E-409C-BE32-E72D297353CC}">
              <c16:uniqueId val="{00000003-0D74-4EDA-B286-59E06FA057D7}"/>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PROCESVERBALET!$D$12:$F$12</c:f>
              <c:numCache>
                <c:formatCode>General</c:formatCode>
                <c:ptCount val="3"/>
                <c:pt idx="0">
                  <c:v>7</c:v>
                </c:pt>
                <c:pt idx="1">
                  <c:v>4</c:v>
                </c:pt>
                <c:pt idx="2">
                  <c:v>1</c:v>
                </c:pt>
              </c:numCache>
            </c:numRef>
          </c:val>
          <c:extLst xmlns:c16r2="http://schemas.microsoft.com/office/drawing/2015/06/chart">
            <c:ext xmlns:c16="http://schemas.microsoft.com/office/drawing/2014/chart" uri="{C3380CC4-5D6E-409C-BE32-E72D297353CC}">
              <c16:uniqueId val="{00000004-0D74-4EDA-B286-59E06FA057D7}"/>
            </c:ext>
          </c:extLst>
        </c:ser>
        <c:ser>
          <c:idx val="5"/>
          <c:order val="5"/>
          <c:tx>
            <c:strRef>
              <c:f>PROCESVERBALET!$C$13</c:f>
              <c:strCache>
                <c:ptCount val="1"/>
                <c:pt idx="0">
                  <c:v>Gllogoc </c:v>
                </c:pt>
              </c:strCache>
            </c:strRef>
          </c:tx>
          <c:spPr>
            <a:solidFill>
              <a:schemeClr val="accent6"/>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PROCESVERBALET!$D$13:$F$13</c:f>
              <c:numCache>
                <c:formatCode>General</c:formatCode>
                <c:ptCount val="3"/>
                <c:pt idx="0">
                  <c:v>8</c:v>
                </c:pt>
                <c:pt idx="1">
                  <c:v>8</c:v>
                </c:pt>
                <c:pt idx="2">
                  <c:v>0</c:v>
                </c:pt>
              </c:numCache>
            </c:numRef>
          </c:val>
          <c:extLst xmlns:c16r2="http://schemas.microsoft.com/office/drawing/2015/06/chart">
            <c:ext xmlns:c16="http://schemas.microsoft.com/office/drawing/2014/chart" uri="{C3380CC4-5D6E-409C-BE32-E72D297353CC}">
              <c16:uniqueId val="{00000005-0D74-4EDA-B286-59E06FA057D7}"/>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PROCESVERBALET!$D$14:$F$14</c:f>
              <c:numCache>
                <c:formatCode>General</c:formatCode>
                <c:ptCount val="3"/>
                <c:pt idx="0">
                  <c:v>13</c:v>
                </c:pt>
                <c:pt idx="1">
                  <c:v>0</c:v>
                </c:pt>
                <c:pt idx="2">
                  <c:v>0</c:v>
                </c:pt>
              </c:numCache>
            </c:numRef>
          </c:val>
          <c:extLst xmlns:c16r2="http://schemas.microsoft.com/office/drawing/2015/06/chart">
            <c:ext xmlns:c16="http://schemas.microsoft.com/office/drawing/2014/chart" uri="{C3380CC4-5D6E-409C-BE32-E72D297353CC}">
              <c16:uniqueId val="{00000006-0D74-4EDA-B286-59E06FA057D7}"/>
            </c:ext>
          </c:extLst>
        </c:ser>
        <c:ser>
          <c:idx val="7"/>
          <c:order val="7"/>
          <c:tx>
            <c:strRef>
              <c:f>PROCESVERBALET!$C$15</c:f>
              <c:strCache>
                <c:ptCount val="1"/>
                <c:pt idx="0">
                  <c:v>Hani Elezit </c:v>
                </c:pt>
              </c:strCache>
            </c:strRef>
          </c:tx>
          <c:spPr>
            <a:solidFill>
              <a:schemeClr val="accent2">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PROCESVERBALET!$D$15:$F$15</c:f>
              <c:numCache>
                <c:formatCode>General</c:formatCode>
                <c:ptCount val="3"/>
                <c:pt idx="0">
                  <c:v>8</c:v>
                </c:pt>
                <c:pt idx="1">
                  <c:v>8</c:v>
                </c:pt>
                <c:pt idx="2">
                  <c:v>8</c:v>
                </c:pt>
              </c:numCache>
            </c:numRef>
          </c:val>
          <c:extLst xmlns:c16r2="http://schemas.microsoft.com/office/drawing/2015/06/chart">
            <c:ext xmlns:c16="http://schemas.microsoft.com/office/drawing/2014/chart" uri="{C3380CC4-5D6E-409C-BE32-E72D297353CC}">
              <c16:uniqueId val="{00000007-0D74-4EDA-B286-59E06FA057D7}"/>
            </c:ext>
          </c:extLst>
        </c:ser>
        <c:ser>
          <c:idx val="8"/>
          <c:order val="8"/>
          <c:tx>
            <c:strRef>
              <c:f>PROCESVERBALET!$C$16</c:f>
              <c:strCache>
                <c:ptCount val="1"/>
                <c:pt idx="0">
                  <c:v>Istog </c:v>
                </c:pt>
              </c:strCache>
            </c:strRef>
          </c:tx>
          <c:spPr>
            <a:solidFill>
              <a:schemeClr val="accent3">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PROCESVERBALET!$D$16:$F$16</c:f>
              <c:numCache>
                <c:formatCode>General</c:formatCode>
                <c:ptCount val="3"/>
                <c:pt idx="0">
                  <c:v>5</c:v>
                </c:pt>
                <c:pt idx="1">
                  <c:v>7</c:v>
                </c:pt>
                <c:pt idx="2">
                  <c:v>0</c:v>
                </c:pt>
              </c:numCache>
            </c:numRef>
          </c:val>
          <c:extLst xmlns:c16r2="http://schemas.microsoft.com/office/drawing/2015/06/chart">
            <c:ext xmlns:c16="http://schemas.microsoft.com/office/drawing/2014/chart" uri="{C3380CC4-5D6E-409C-BE32-E72D297353CC}">
              <c16:uniqueId val="{00000008-0D74-4EDA-B286-59E06FA057D7}"/>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PROCESVERBALET!$D$17:$F$17</c:f>
              <c:numCache>
                <c:formatCode>General</c:formatCode>
                <c:ptCount val="3"/>
                <c:pt idx="0">
                  <c:v>10</c:v>
                </c:pt>
                <c:pt idx="1">
                  <c:v>0</c:v>
                </c:pt>
                <c:pt idx="2">
                  <c:v>0</c:v>
                </c:pt>
              </c:numCache>
            </c:numRef>
          </c:val>
          <c:extLst xmlns:c16r2="http://schemas.microsoft.com/office/drawing/2015/06/chart">
            <c:ext xmlns:c16="http://schemas.microsoft.com/office/drawing/2014/chart" uri="{C3380CC4-5D6E-409C-BE32-E72D297353CC}">
              <c16:uniqueId val="{00000009-0D74-4EDA-B286-59E06FA057D7}"/>
            </c:ext>
          </c:extLst>
        </c:ser>
        <c:ser>
          <c:idx val="10"/>
          <c:order val="10"/>
          <c:tx>
            <c:strRef>
              <c:f>PROCESVERBALET!$C$18</c:f>
              <c:strCache>
                <c:ptCount val="1"/>
                <c:pt idx="0">
                  <c:v>Kamenicë</c:v>
                </c:pt>
              </c:strCache>
            </c:strRef>
          </c:tx>
          <c:spPr>
            <a:solidFill>
              <a:schemeClr val="accent5">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PROCESVERBALET!$D$18:$F$18</c:f>
              <c:numCache>
                <c:formatCode>General</c:formatCode>
                <c:ptCount val="3"/>
                <c:pt idx="0">
                  <c:v>12</c:v>
                </c:pt>
                <c:pt idx="1">
                  <c:v>12</c:v>
                </c:pt>
                <c:pt idx="2">
                  <c:v>10</c:v>
                </c:pt>
              </c:numCache>
            </c:numRef>
          </c:val>
          <c:extLst xmlns:c16r2="http://schemas.microsoft.com/office/drawing/2015/06/chart">
            <c:ext xmlns:c16="http://schemas.microsoft.com/office/drawing/2014/chart" uri="{C3380CC4-5D6E-409C-BE32-E72D297353CC}">
              <c16:uniqueId val="{0000000A-0D74-4EDA-B286-59E06FA057D7}"/>
            </c:ext>
          </c:extLst>
        </c:ser>
        <c:ser>
          <c:idx val="11"/>
          <c:order val="11"/>
          <c:tx>
            <c:strRef>
              <c:f>PROCESVERBALET!$C$19</c:f>
              <c:strCache>
                <c:ptCount val="1"/>
                <c:pt idx="0">
                  <c:v>Kaçanik </c:v>
                </c:pt>
              </c:strCache>
            </c:strRef>
          </c:tx>
          <c:spPr>
            <a:solidFill>
              <a:schemeClr val="accent6">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PROCESVERBALET!$D$19:$F$19</c:f>
              <c:numCache>
                <c:formatCode>General</c:formatCode>
                <c:ptCount val="3"/>
                <c:pt idx="0">
                  <c:v>11</c:v>
                </c:pt>
                <c:pt idx="1">
                  <c:v>8</c:v>
                </c:pt>
                <c:pt idx="2">
                  <c:v>8</c:v>
                </c:pt>
              </c:numCache>
            </c:numRef>
          </c:val>
          <c:extLst xmlns:c16r2="http://schemas.microsoft.com/office/drawing/2015/06/chart">
            <c:ext xmlns:c16="http://schemas.microsoft.com/office/drawing/2014/chart" uri="{C3380CC4-5D6E-409C-BE32-E72D297353CC}">
              <c16:uniqueId val="{0000000B-0D74-4EDA-B286-59E06FA057D7}"/>
            </c:ext>
          </c:extLst>
        </c:ser>
        <c:ser>
          <c:idx val="12"/>
          <c:order val="12"/>
          <c:tx>
            <c:strRef>
              <c:f>PROCESVERBALET!$C$20</c:f>
              <c:strCache>
                <c:ptCount val="1"/>
                <c:pt idx="0">
                  <c:v>Klinë</c:v>
                </c:pt>
              </c:strCache>
            </c:strRef>
          </c:tx>
          <c:spPr>
            <a:solidFill>
              <a:schemeClr val="accent1">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PROCESVERBALET!$D$20:$F$20</c:f>
              <c:numCache>
                <c:formatCode>General</c:formatCode>
                <c:ptCount val="3"/>
                <c:pt idx="0">
                  <c:v>13</c:v>
                </c:pt>
                <c:pt idx="1">
                  <c:v>10</c:v>
                </c:pt>
                <c:pt idx="2">
                  <c:v>0</c:v>
                </c:pt>
              </c:numCache>
            </c:numRef>
          </c:val>
          <c:extLst xmlns:c16r2="http://schemas.microsoft.com/office/drawing/2015/06/chart">
            <c:ext xmlns:c16="http://schemas.microsoft.com/office/drawing/2014/chart" uri="{C3380CC4-5D6E-409C-BE32-E72D297353CC}">
              <c16:uniqueId val="{0000000C-0D74-4EDA-B286-59E06FA057D7}"/>
            </c:ext>
          </c:extLst>
        </c:ser>
        <c:ser>
          <c:idx val="13"/>
          <c:order val="13"/>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PROCESVERBALET!$D$21:$F$21</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D-0D74-4EDA-B286-59E06FA057D7}"/>
            </c:ext>
          </c:extLst>
        </c:ser>
        <c:ser>
          <c:idx val="14"/>
          <c:order val="14"/>
          <c:tx>
            <c:strRef>
              <c:f>PROCESVERBALET!$C$22</c:f>
              <c:strCache>
                <c:ptCount val="1"/>
                <c:pt idx="0">
                  <c:v>Lipjan </c:v>
                </c:pt>
              </c:strCache>
            </c:strRef>
          </c:tx>
          <c:spPr>
            <a:solidFill>
              <a:schemeClr val="accent3">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PROCESVERBALET!$D$22:$F$22</c:f>
              <c:numCache>
                <c:formatCode>General</c:formatCode>
                <c:ptCount val="3"/>
                <c:pt idx="0">
                  <c:v>8</c:v>
                </c:pt>
                <c:pt idx="1">
                  <c:v>7</c:v>
                </c:pt>
                <c:pt idx="2">
                  <c:v>7</c:v>
                </c:pt>
              </c:numCache>
            </c:numRef>
          </c:val>
          <c:extLst xmlns:c16r2="http://schemas.microsoft.com/office/drawing/2015/06/chart">
            <c:ext xmlns:c16="http://schemas.microsoft.com/office/drawing/2014/chart" uri="{C3380CC4-5D6E-409C-BE32-E72D297353CC}">
              <c16:uniqueId val="{0000000E-0D74-4EDA-B286-59E06FA057D7}"/>
            </c:ext>
          </c:extLst>
        </c:ser>
        <c:ser>
          <c:idx val="15"/>
          <c:order val="15"/>
          <c:tx>
            <c:strRef>
              <c:f>PROCESVERBALET!$C$23</c:f>
              <c:strCache>
                <c:ptCount val="1"/>
                <c:pt idx="0">
                  <c:v>Malishevë</c:v>
                </c:pt>
              </c:strCache>
            </c:strRef>
          </c:tx>
          <c:spPr>
            <a:solidFill>
              <a:schemeClr val="accent4">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PROCESVERBALET!$D$23:$F$23</c:f>
              <c:numCache>
                <c:formatCode>General</c:formatCode>
                <c:ptCount val="3"/>
                <c:pt idx="0">
                  <c:v>9</c:v>
                </c:pt>
                <c:pt idx="1">
                  <c:v>9</c:v>
                </c:pt>
                <c:pt idx="2">
                  <c:v>2</c:v>
                </c:pt>
              </c:numCache>
            </c:numRef>
          </c:val>
          <c:extLst xmlns:c16r2="http://schemas.microsoft.com/office/drawing/2015/06/chart">
            <c:ext xmlns:c16="http://schemas.microsoft.com/office/drawing/2014/chart" uri="{C3380CC4-5D6E-409C-BE32-E72D297353CC}">
              <c16:uniqueId val="{0000000F-0D74-4EDA-B286-59E06FA057D7}"/>
            </c:ext>
          </c:extLst>
        </c:ser>
        <c:ser>
          <c:idx val="16"/>
          <c:order val="16"/>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PROCESVERBALET!$D$24:$F$24</c:f>
              <c:numCache>
                <c:formatCode>General</c:formatCode>
                <c:ptCount val="3"/>
                <c:pt idx="0">
                  <c:v>4</c:v>
                </c:pt>
                <c:pt idx="1">
                  <c:v>10</c:v>
                </c:pt>
                <c:pt idx="2">
                  <c:v>10</c:v>
                </c:pt>
              </c:numCache>
            </c:numRef>
          </c:val>
          <c:extLst xmlns:c16r2="http://schemas.microsoft.com/office/drawing/2015/06/chart">
            <c:ext xmlns:c16="http://schemas.microsoft.com/office/drawing/2014/chart" uri="{C3380CC4-5D6E-409C-BE32-E72D297353CC}">
              <c16:uniqueId val="{00000010-0D74-4EDA-B286-59E06FA057D7}"/>
            </c:ext>
          </c:extLst>
        </c:ser>
        <c:ser>
          <c:idx val="17"/>
          <c:order val="17"/>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PROCESVERBALET!$D$25:$F$25</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11-0D74-4EDA-B286-59E06FA057D7}"/>
            </c:ext>
          </c:extLst>
        </c:ser>
        <c:ser>
          <c:idx val="18"/>
          <c:order val="18"/>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PROCESVERBALET!$D$26:$F$26</c:f>
              <c:numCache>
                <c:formatCode>General</c:formatCode>
                <c:ptCount val="3"/>
                <c:pt idx="0">
                  <c:v>13</c:v>
                </c:pt>
                <c:pt idx="1">
                  <c:v>8</c:v>
                </c:pt>
                <c:pt idx="2">
                  <c:v>0</c:v>
                </c:pt>
              </c:numCache>
            </c:numRef>
          </c:val>
          <c:extLst xmlns:c16r2="http://schemas.microsoft.com/office/drawing/2015/06/chart">
            <c:ext xmlns:c16="http://schemas.microsoft.com/office/drawing/2014/chart" uri="{C3380CC4-5D6E-409C-BE32-E72D297353CC}">
              <c16:uniqueId val="{00000012-0D74-4EDA-B286-59E06FA057D7}"/>
            </c:ext>
          </c:extLst>
        </c:ser>
        <c:ser>
          <c:idx val="19"/>
          <c:order val="19"/>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PROCESVERBALET!$D$27:$F$27</c:f>
              <c:numCache>
                <c:formatCode>General</c:formatCode>
                <c:ptCount val="3"/>
                <c:pt idx="0">
                  <c:v>8</c:v>
                </c:pt>
                <c:pt idx="1">
                  <c:v>4</c:v>
                </c:pt>
                <c:pt idx="2">
                  <c:v>3</c:v>
                </c:pt>
              </c:numCache>
            </c:numRef>
          </c:val>
          <c:extLst xmlns:c16r2="http://schemas.microsoft.com/office/drawing/2015/06/chart">
            <c:ext xmlns:c16="http://schemas.microsoft.com/office/drawing/2014/chart" uri="{C3380CC4-5D6E-409C-BE32-E72D297353CC}">
              <c16:uniqueId val="{00000013-0D74-4EDA-B286-59E06FA057D7}"/>
            </c:ext>
          </c:extLst>
        </c:ser>
        <c:ser>
          <c:idx val="20"/>
          <c:order val="20"/>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PROCESVERBALET!$D$28:$F$28</c:f>
              <c:numCache>
                <c:formatCode>General</c:formatCode>
                <c:ptCount val="3"/>
                <c:pt idx="0">
                  <c:v>6</c:v>
                </c:pt>
                <c:pt idx="1">
                  <c:v>4</c:v>
                </c:pt>
                <c:pt idx="2">
                  <c:v>0</c:v>
                </c:pt>
              </c:numCache>
            </c:numRef>
          </c:val>
          <c:extLst xmlns:c16r2="http://schemas.microsoft.com/office/drawing/2015/06/chart">
            <c:ext xmlns:c16="http://schemas.microsoft.com/office/drawing/2014/chart" uri="{C3380CC4-5D6E-409C-BE32-E72D297353CC}">
              <c16:uniqueId val="{00000014-0D74-4EDA-B286-59E06FA057D7}"/>
            </c:ext>
          </c:extLst>
        </c:ser>
        <c:ser>
          <c:idx val="21"/>
          <c:order val="21"/>
          <c:tx>
            <c:strRef>
              <c:f>PROCESVERBALET!$C$29</c:f>
              <c:strCache>
                <c:ptCount val="1"/>
                <c:pt idx="0">
                  <c:v>Podujevë</c:v>
                </c:pt>
              </c:strCache>
            </c:strRef>
          </c:tx>
          <c:spPr>
            <a:solidFill>
              <a:schemeClr val="accent4">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PROCESVERBALET!$D$29:$F$29</c:f>
              <c:numCache>
                <c:formatCode>General</c:formatCode>
                <c:ptCount val="3"/>
                <c:pt idx="0">
                  <c:v>12</c:v>
                </c:pt>
                <c:pt idx="1">
                  <c:v>8</c:v>
                </c:pt>
                <c:pt idx="2">
                  <c:v>7</c:v>
                </c:pt>
              </c:numCache>
            </c:numRef>
          </c:val>
          <c:extLst xmlns:c16r2="http://schemas.microsoft.com/office/drawing/2015/06/chart">
            <c:ext xmlns:c16="http://schemas.microsoft.com/office/drawing/2014/chart" uri="{C3380CC4-5D6E-409C-BE32-E72D297353CC}">
              <c16:uniqueId val="{00000015-0D74-4EDA-B286-59E06FA057D7}"/>
            </c:ext>
          </c:extLst>
        </c:ser>
        <c:ser>
          <c:idx val="22"/>
          <c:order val="22"/>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PROCESVERBALET!$D$30:$F$30</c:f>
              <c:numCache>
                <c:formatCode>General</c:formatCode>
                <c:ptCount val="3"/>
                <c:pt idx="0">
                  <c:v>8</c:v>
                </c:pt>
                <c:pt idx="1">
                  <c:v>7</c:v>
                </c:pt>
                <c:pt idx="2">
                  <c:v>8</c:v>
                </c:pt>
              </c:numCache>
            </c:numRef>
          </c:val>
          <c:extLst xmlns:c16r2="http://schemas.microsoft.com/office/drawing/2015/06/chart">
            <c:ext xmlns:c16="http://schemas.microsoft.com/office/drawing/2014/chart" uri="{C3380CC4-5D6E-409C-BE32-E72D297353CC}">
              <c16:uniqueId val="{00000016-0D74-4EDA-B286-59E06FA057D7}"/>
            </c:ext>
          </c:extLst>
        </c:ser>
        <c:ser>
          <c:idx val="23"/>
          <c:order val="23"/>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PROCESVERBALET!$D$31:$F$31</c:f>
              <c:numCache>
                <c:formatCode>General</c:formatCode>
                <c:ptCount val="3"/>
                <c:pt idx="0">
                  <c:v>8</c:v>
                </c:pt>
                <c:pt idx="1">
                  <c:v>3</c:v>
                </c:pt>
                <c:pt idx="2">
                  <c:v>0</c:v>
                </c:pt>
              </c:numCache>
            </c:numRef>
          </c:val>
          <c:extLst xmlns:c16r2="http://schemas.microsoft.com/office/drawing/2015/06/chart">
            <c:ext xmlns:c16="http://schemas.microsoft.com/office/drawing/2014/chart" uri="{C3380CC4-5D6E-409C-BE32-E72D297353CC}">
              <c16:uniqueId val="{00000017-0D74-4EDA-B286-59E06FA057D7}"/>
            </c:ext>
          </c:extLst>
        </c:ser>
        <c:ser>
          <c:idx val="24"/>
          <c:order val="24"/>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PROCESVERBALET!$D$32:$F$32</c:f>
              <c:numCache>
                <c:formatCode>General</c:formatCode>
                <c:ptCount val="3"/>
                <c:pt idx="0">
                  <c:v>13</c:v>
                </c:pt>
                <c:pt idx="1">
                  <c:v>10</c:v>
                </c:pt>
                <c:pt idx="2">
                  <c:v>5</c:v>
                </c:pt>
              </c:numCache>
            </c:numRef>
          </c:val>
          <c:extLst xmlns:c16r2="http://schemas.microsoft.com/office/drawing/2015/06/chart">
            <c:ext xmlns:c16="http://schemas.microsoft.com/office/drawing/2014/chart" uri="{C3380CC4-5D6E-409C-BE32-E72D297353CC}">
              <c16:uniqueId val="{00000018-0D74-4EDA-B286-59E06FA057D7}"/>
            </c:ext>
          </c:extLst>
        </c:ser>
        <c:ser>
          <c:idx val="25"/>
          <c:order val="25"/>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PROCESVERBALET!$D$33:$F$33</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9-0D74-4EDA-B286-59E06FA057D7}"/>
            </c:ext>
          </c:extLst>
        </c:ser>
        <c:ser>
          <c:idx val="26"/>
          <c:order val="26"/>
          <c:tx>
            <c:strRef>
              <c:f>PROCESVERBALET!$C$34</c:f>
              <c:strCache>
                <c:ptCount val="1"/>
                <c:pt idx="0">
                  <c:v>Shtime </c:v>
                </c:pt>
              </c:strCache>
            </c:strRef>
          </c:tx>
          <c:spPr>
            <a:solidFill>
              <a:schemeClr val="accent3">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PROCESVERBALET!$D$34:$F$34</c:f>
              <c:numCache>
                <c:formatCode>General</c:formatCode>
                <c:ptCount val="3"/>
                <c:pt idx="0">
                  <c:v>9</c:v>
                </c:pt>
                <c:pt idx="1">
                  <c:v>8</c:v>
                </c:pt>
                <c:pt idx="2">
                  <c:v>8</c:v>
                </c:pt>
              </c:numCache>
            </c:numRef>
          </c:val>
          <c:extLst xmlns:c16r2="http://schemas.microsoft.com/office/drawing/2015/06/chart">
            <c:ext xmlns:c16="http://schemas.microsoft.com/office/drawing/2014/chart" uri="{C3380CC4-5D6E-409C-BE32-E72D297353CC}">
              <c16:uniqueId val="{0000001A-0D74-4EDA-B286-59E06FA057D7}"/>
            </c:ext>
          </c:extLst>
        </c:ser>
        <c:ser>
          <c:idx val="27"/>
          <c:order val="27"/>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PROCESVERBALET!$D$35:$F$35</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B-0D74-4EDA-B286-59E06FA057D7}"/>
            </c:ext>
          </c:extLst>
        </c:ser>
        <c:ser>
          <c:idx val="28"/>
          <c:order val="28"/>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PROCESVERBALET!$D$36:$F$36</c:f>
              <c:numCache>
                <c:formatCode>General</c:formatCode>
                <c:ptCount val="3"/>
                <c:pt idx="0">
                  <c:v>9</c:v>
                </c:pt>
                <c:pt idx="1">
                  <c:v>7</c:v>
                </c:pt>
                <c:pt idx="2">
                  <c:v>0</c:v>
                </c:pt>
              </c:numCache>
            </c:numRef>
          </c:val>
          <c:extLst xmlns:c16r2="http://schemas.microsoft.com/office/drawing/2015/06/chart">
            <c:ext xmlns:c16="http://schemas.microsoft.com/office/drawing/2014/chart" uri="{C3380CC4-5D6E-409C-BE32-E72D297353CC}">
              <c16:uniqueId val="{0000001C-0D74-4EDA-B286-59E06FA057D7}"/>
            </c:ext>
          </c:extLst>
        </c:ser>
        <c:ser>
          <c:idx val="29"/>
          <c:order val="29"/>
          <c:tx>
            <c:strRef>
              <c:f>PROCESVERBALET!$C$37</c:f>
              <c:strCache>
                <c:ptCount val="1"/>
                <c:pt idx="0">
                  <c:v>Suharekë</c:v>
                </c:pt>
              </c:strCache>
            </c:strRef>
          </c:tx>
          <c:spPr>
            <a:solidFill>
              <a:schemeClr val="accent6">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PROCESVERBALET!$D$37:$F$37</c:f>
              <c:numCache>
                <c:formatCode>General</c:formatCode>
                <c:ptCount val="3"/>
                <c:pt idx="0">
                  <c:v>6</c:v>
                </c:pt>
                <c:pt idx="1">
                  <c:v>8</c:v>
                </c:pt>
                <c:pt idx="2">
                  <c:v>0</c:v>
                </c:pt>
              </c:numCache>
            </c:numRef>
          </c:val>
          <c:extLst xmlns:c16r2="http://schemas.microsoft.com/office/drawing/2015/06/chart">
            <c:ext xmlns:c16="http://schemas.microsoft.com/office/drawing/2014/chart" uri="{C3380CC4-5D6E-409C-BE32-E72D297353CC}">
              <c16:uniqueId val="{0000001D-0D74-4EDA-B286-59E06FA057D7}"/>
            </c:ext>
          </c:extLst>
        </c:ser>
        <c:ser>
          <c:idx val="30"/>
          <c:order val="30"/>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PROCESVERBALET!$D$38:$F$38</c:f>
              <c:numCache>
                <c:formatCode>General</c:formatCode>
                <c:ptCount val="3"/>
                <c:pt idx="0">
                  <c:v>7</c:v>
                </c:pt>
                <c:pt idx="1">
                  <c:v>0</c:v>
                </c:pt>
                <c:pt idx="2">
                  <c:v>0</c:v>
                </c:pt>
              </c:numCache>
            </c:numRef>
          </c:val>
          <c:extLst xmlns:c16r2="http://schemas.microsoft.com/office/drawing/2015/06/chart">
            <c:ext xmlns:c16="http://schemas.microsoft.com/office/drawing/2014/chart" uri="{C3380CC4-5D6E-409C-BE32-E72D297353CC}">
              <c16:uniqueId val="{0000001E-0D74-4EDA-B286-59E06FA057D7}"/>
            </c:ext>
          </c:extLst>
        </c:ser>
        <c:ser>
          <c:idx val="31"/>
          <c:order val="31"/>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PROCESVERBALET!$D$39:$F$39</c:f>
              <c:numCache>
                <c:formatCode>General</c:formatCode>
                <c:ptCount val="3"/>
                <c:pt idx="0">
                  <c:v>7</c:v>
                </c:pt>
                <c:pt idx="1">
                  <c:v>8</c:v>
                </c:pt>
                <c:pt idx="2">
                  <c:v>9</c:v>
                </c:pt>
              </c:numCache>
            </c:numRef>
          </c:val>
          <c:extLst xmlns:c16r2="http://schemas.microsoft.com/office/drawing/2015/06/chart">
            <c:ext xmlns:c16="http://schemas.microsoft.com/office/drawing/2014/chart" uri="{C3380CC4-5D6E-409C-BE32-E72D297353CC}">
              <c16:uniqueId val="{0000001F-0D74-4EDA-B286-59E06FA057D7}"/>
            </c:ext>
          </c:extLst>
        </c:ser>
        <c:ser>
          <c:idx val="32"/>
          <c:order val="32"/>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PROCESVERBALET!$D$40:$F$40</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20-0D74-4EDA-B286-59E06FA057D7}"/>
            </c:ext>
          </c:extLst>
        </c:ser>
        <c:ser>
          <c:idx val="33"/>
          <c:order val="33"/>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PROCESVERBALET!$D$41:$F$41</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21-0D74-4EDA-B286-59E06FA057D7}"/>
            </c:ext>
          </c:extLst>
        </c:ser>
        <c:ser>
          <c:idx val="34"/>
          <c:order val="34"/>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PROCESVERBALET!$D$42:$F$42</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22-0D74-4EDA-B286-59E06FA057D7}"/>
            </c:ext>
          </c:extLst>
        </c:ser>
        <c:ser>
          <c:idx val="35"/>
          <c:order val="35"/>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PROCESVERBALET!$D$43:$F$43</c:f>
              <c:numCache>
                <c:formatCode>General</c:formatCode>
                <c:ptCount val="3"/>
                <c:pt idx="0">
                  <c:v>4</c:v>
                </c:pt>
                <c:pt idx="1">
                  <c:v>4</c:v>
                </c:pt>
                <c:pt idx="2">
                  <c:v>2</c:v>
                </c:pt>
              </c:numCache>
            </c:numRef>
          </c:val>
          <c:extLst xmlns:c16r2="http://schemas.microsoft.com/office/drawing/2015/06/chart">
            <c:ext xmlns:c16="http://schemas.microsoft.com/office/drawing/2014/chart" uri="{C3380CC4-5D6E-409C-BE32-E72D297353CC}">
              <c16:uniqueId val="{00000023-0D74-4EDA-B286-59E06FA057D7}"/>
            </c:ext>
          </c:extLst>
        </c:ser>
        <c:ser>
          <c:idx val="36"/>
          <c:order val="36"/>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PROCESVERBALET!$D$44:$F$44</c:f>
              <c:numCache>
                <c:formatCode>General</c:formatCode>
                <c:ptCount val="3"/>
                <c:pt idx="0">
                  <c:v>5</c:v>
                </c:pt>
                <c:pt idx="1">
                  <c:v>1</c:v>
                </c:pt>
                <c:pt idx="2">
                  <c:v>2</c:v>
                </c:pt>
              </c:numCache>
            </c:numRef>
          </c:val>
          <c:extLst xmlns:c16r2="http://schemas.microsoft.com/office/drawing/2015/06/chart">
            <c:ext xmlns:c16="http://schemas.microsoft.com/office/drawing/2014/chart" uri="{C3380CC4-5D6E-409C-BE32-E72D297353CC}">
              <c16:uniqueId val="{00000024-0D74-4EDA-B286-59E06FA057D7}"/>
            </c:ext>
          </c:extLst>
        </c:ser>
        <c:ser>
          <c:idx val="37"/>
          <c:order val="37"/>
          <c:tx>
            <c:strRef>
              <c:f>PROCESVERBALET!$C$45</c:f>
              <c:strCache>
                <c:ptCount val="1"/>
                <c:pt idx="0">
                  <c:v>Dragash</c:v>
                </c:pt>
              </c:strCache>
            </c:strRef>
          </c:tx>
          <c:spPr>
            <a:blipFill>
              <a:blip xmlns:r="http://schemas.openxmlformats.org/officeDocument/2006/relationships" r:embed="rId3"/>
              <a:tile tx="0" ty="0" sx="100000" sy="100000" flip="none" algn="tl"/>
            </a:blip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PROCESVERBALET!$D$45:$F$45</c:f>
              <c:numCache>
                <c:formatCode>General</c:formatCode>
                <c:ptCount val="3"/>
                <c:pt idx="0">
                  <c:v>1</c:v>
                </c:pt>
                <c:pt idx="1">
                  <c:v>8</c:v>
                </c:pt>
                <c:pt idx="2">
                  <c:v>8</c:v>
                </c:pt>
              </c:numCache>
            </c:numRef>
          </c:val>
          <c:extLst xmlns:c16r2="http://schemas.microsoft.com/office/drawing/2015/06/chart">
            <c:ext xmlns:c16="http://schemas.microsoft.com/office/drawing/2014/chart" uri="{C3380CC4-5D6E-409C-BE32-E72D297353CC}">
              <c16:uniqueId val="{00000025-0D74-4EDA-B286-59E06FA057D7}"/>
            </c:ext>
          </c:extLst>
        </c:ser>
        <c:ser>
          <c:idx val="38"/>
          <c:order val="38"/>
          <c:tx>
            <c:strRef>
              <c:f>PROCESVERBALET!$C$46</c:f>
              <c:strCache>
                <c:ptCount val="1"/>
                <c:pt idx="0">
                  <c:v>TOTALI</c:v>
                </c:pt>
              </c:strCache>
            </c:strRef>
          </c:tx>
          <c:spPr>
            <a:solidFill>
              <a:schemeClr val="accent3">
                <a:lumMod val="70000"/>
                <a:lumOff val="3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PROCESVERBALET!$D$46:$F$46</c:f>
              <c:numCache>
                <c:formatCode>General</c:formatCode>
                <c:ptCount val="3"/>
                <c:pt idx="0">
                  <c:v>299</c:v>
                </c:pt>
                <c:pt idx="1">
                  <c:v>236</c:v>
                </c:pt>
                <c:pt idx="2">
                  <c:v>101</c:v>
                </c:pt>
              </c:numCache>
            </c:numRef>
          </c:val>
          <c:extLst xmlns:c16r2="http://schemas.microsoft.com/office/drawing/2015/06/chart">
            <c:ext xmlns:c16="http://schemas.microsoft.com/office/drawing/2014/chart" uri="{C3380CC4-5D6E-409C-BE32-E72D297353CC}">
              <c16:uniqueId val="{00000026-0D74-4EDA-B286-59E06FA057D7}"/>
            </c:ext>
          </c:extLst>
        </c:ser>
        <c:dLbls>
          <c:showLegendKey val="0"/>
          <c:showVal val="1"/>
          <c:showCatName val="0"/>
          <c:showSerName val="0"/>
          <c:showPercent val="0"/>
          <c:showBubbleSize val="0"/>
        </c:dLbls>
        <c:gapWidth val="95"/>
        <c:gapDepth val="95"/>
        <c:shape val="box"/>
        <c:axId val="554606448"/>
        <c:axId val="554608800"/>
        <c:axId val="0"/>
      </c:bar3DChart>
      <c:catAx>
        <c:axId val="55460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4608800"/>
        <c:crosses val="autoZero"/>
        <c:auto val="1"/>
        <c:lblAlgn val="ctr"/>
        <c:lblOffset val="100"/>
        <c:noMultiLvlLbl val="0"/>
      </c:catAx>
      <c:valAx>
        <c:axId val="554608800"/>
        <c:scaling>
          <c:orientation val="minMax"/>
        </c:scaling>
        <c:delete val="1"/>
        <c:axPos val="b"/>
        <c:numFmt formatCode="General" sourceLinked="1"/>
        <c:majorTickMark val="none"/>
        <c:minorTickMark val="none"/>
        <c:tickLblPos val="nextTo"/>
        <c:crossAx val="554606448"/>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'PUBLIKIMI K.K PLANET STRATEGJIK'!$Q$7</c:f>
              <c:strCache>
                <c:ptCount val="1"/>
                <c:pt idx="0">
                  <c:v> Publikimi i planit të punë së  kuvendit të komunës </c:v>
                </c:pt>
              </c:strCache>
            </c:strRef>
          </c:tx>
          <c:spPr>
            <a:solidFill>
              <a:schemeClr val="accent1"/>
            </a:solidFill>
            <a:ln>
              <a:noFill/>
            </a:ln>
            <a:effectLst/>
          </c:spPr>
          <c:invertIfNegative val="0"/>
          <c:dLbls>
            <c:dLbl>
              <c:idx val="0"/>
              <c:layout>
                <c:manualLayout>
                  <c:x val="1.9942388654996677E-2"/>
                  <c:y val="-0.229537903956508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9F-49EF-BAE9-848881915A76}"/>
                </c:ext>
                <c:ext xmlns:c15="http://schemas.microsoft.com/office/drawing/2012/chart" uri="{CE6537A1-D6FC-4f65-9D91-7224C49458BB}"/>
              </c:extLst>
            </c:dLbl>
            <c:dLbl>
              <c:idx val="1"/>
              <c:layout>
                <c:manualLayout>
                  <c:x val="3.1021493463328165E-2"/>
                  <c:y val="-0.374509211718514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9F-49EF-BAE9-848881915A76}"/>
                </c:ext>
                <c:ext xmlns:c15="http://schemas.microsoft.com/office/drawing/2012/chart" uri="{CE6537A1-D6FC-4f65-9D91-7224C49458BB}"/>
              </c:extLst>
            </c:dLbl>
            <c:dLbl>
              <c:idx val="2"/>
              <c:layout>
                <c:manualLayout>
                  <c:x val="3.1021493463328144E-2"/>
                  <c:y val="-0.229537903956508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9F-49EF-BAE9-848881915A76}"/>
                </c:ext>
                <c:ext xmlns:c15="http://schemas.microsoft.com/office/drawing/2012/chart" uri="{CE6537A1-D6FC-4f65-9D91-7224C49458BB}"/>
              </c:extLst>
            </c:dLbl>
            <c:dLbl>
              <c:idx val="3"/>
              <c:layout>
                <c:manualLayout>
                  <c:x val="3.9884777309993354E-2"/>
                  <c:y val="-0.2536997885835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9F-49EF-BAE9-848881915A76}"/>
                </c:ext>
                <c:ext xmlns:c15="http://schemas.microsoft.com/office/drawing/2012/chart" uri="{CE6537A1-D6FC-4f65-9D91-7224C49458BB}"/>
              </c:extLst>
            </c:dLbl>
            <c:dLbl>
              <c:idx val="4"/>
              <c:layout>
                <c:manualLayout>
                  <c:x val="3.3237314424994481E-2"/>
                  <c:y val="-0.332225913621262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9F-49EF-BAE9-848881915A76}"/>
                </c:ext>
                <c:ext xmlns:c15="http://schemas.microsoft.com/office/drawing/2012/chart" uri="{CE6537A1-D6FC-4f65-9D91-7224C49458BB}"/>
              </c:extLst>
            </c:dLbl>
            <c:dLbl>
              <c:idx val="5"/>
              <c:layout>
                <c:manualLayout>
                  <c:x val="8.8632838466651889E-3"/>
                  <c:y val="-0.18121413470250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9F-49EF-BAE9-848881915A76}"/>
                </c:ext>
                <c:ext xmlns:c15="http://schemas.microsoft.com/office/drawing/2012/chart" uri="{CE6537A1-D6FC-4f65-9D91-7224C49458BB}"/>
              </c:extLst>
            </c:dLbl>
            <c:dLbl>
              <c:idx val="6"/>
              <c:layout>
                <c:manualLayout>
                  <c:x val="1.1079104808331467E-2"/>
                  <c:y val="-0.18121413470250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19F-49EF-BAE9-848881915A76}"/>
                </c:ext>
                <c:ext xmlns:c15="http://schemas.microsoft.com/office/drawing/2012/chart" uri="{CE6537A1-D6FC-4f65-9D91-7224C49458BB}"/>
              </c:extLst>
            </c:dLbl>
            <c:dLbl>
              <c:idx val="7"/>
              <c:layout>
                <c:manualLayout>
                  <c:x val="1.3294925769997743E-2"/>
                  <c:y val="-0.27786167321051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19F-49EF-BAE9-848881915A76}"/>
                </c:ext>
                <c:ext xmlns:c15="http://schemas.microsoft.com/office/drawing/2012/chart" uri="{CE6537A1-D6FC-4f65-9D91-7224C49458BB}"/>
              </c:extLst>
            </c:dLbl>
            <c:dLbl>
              <c:idx val="8"/>
              <c:layout>
                <c:manualLayout>
                  <c:x val="4.4316419233325945E-3"/>
                  <c:y val="-0.120809423135004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19F-49EF-BAE9-848881915A76}"/>
                </c:ext>
                <c:ext xmlns:c15="http://schemas.microsoft.com/office/drawing/2012/chart" uri="{CE6537A1-D6FC-4f65-9D91-7224C49458BB}"/>
              </c:extLst>
            </c:dLbl>
            <c:dLbl>
              <c:idx val="9"/>
              <c:layout>
                <c:manualLayout>
                  <c:x val="6.6474628849988518E-3"/>
                  <c:y val="-0.205376019329507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19F-49EF-BAE9-848881915A76}"/>
                </c:ext>
                <c:ext xmlns:c15="http://schemas.microsoft.com/office/drawing/2012/chart" uri="{CE6537A1-D6FC-4f65-9D91-7224C49458BB}"/>
              </c:extLst>
            </c:dLbl>
            <c:dLbl>
              <c:idx val="10"/>
              <c:layout>
                <c:manualLayout>
                  <c:x val="8.863283846665149E-3"/>
                  <c:y val="-0.120809423135004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19F-49EF-BAE9-848881915A76}"/>
                </c:ext>
                <c:ext xmlns:c15="http://schemas.microsoft.com/office/drawing/2012/chart" uri="{CE6537A1-D6FC-4f65-9D91-7224C49458BB}"/>
              </c:extLst>
            </c:dLbl>
            <c:dLbl>
              <c:idx val="11"/>
              <c:layout>
                <c:manualLayout>
                  <c:x val="6.6474628849988518E-3"/>
                  <c:y val="-0.332225913621262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19F-49EF-BAE9-848881915A76}"/>
                </c:ext>
                <c:ext xmlns:c15="http://schemas.microsoft.com/office/drawing/2012/chart" uri="{CE6537A1-D6FC-4f65-9D91-7224C49458BB}"/>
              </c:extLst>
            </c:dLbl>
            <c:dLbl>
              <c:idx val="12"/>
              <c:layout>
                <c:manualLayout>
                  <c:x val="2.2158209616662972E-3"/>
                  <c:y val="-0.2536997885835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19F-49EF-BAE9-848881915A76}"/>
                </c:ext>
                <c:ext xmlns:c15="http://schemas.microsoft.com/office/drawing/2012/chart" uri="{CE6537A1-D6FC-4f65-9D91-7224C49458BB}"/>
              </c:extLst>
            </c:dLbl>
            <c:dLbl>
              <c:idx val="13"/>
              <c:layout>
                <c:manualLayout>
                  <c:x val="4.4316419233325537E-3"/>
                  <c:y val="-0.175173663545756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19F-49EF-BAE9-848881915A76}"/>
                </c:ext>
                <c:ext xmlns:c15="http://schemas.microsoft.com/office/drawing/2012/chart" uri="{CE6537A1-D6FC-4f65-9D91-7224C49458BB}"/>
              </c:extLst>
            </c:dLbl>
            <c:dLbl>
              <c:idx val="14"/>
              <c:layout>
                <c:manualLayout>
                  <c:x val="-4.0622915017834678E-17"/>
                  <c:y val="-0.157052250075505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19F-49EF-BAE9-848881915A76}"/>
                </c:ext>
                <c:ext xmlns:c15="http://schemas.microsoft.com/office/drawing/2012/chart" uri="{CE6537A1-D6FC-4f65-9D91-7224C49458BB}"/>
              </c:extLst>
            </c:dLbl>
            <c:dLbl>
              <c:idx val="15"/>
              <c:layout>
                <c:manualLayout>
                  <c:x val="0"/>
                  <c:y val="-0.241618846270009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19F-49EF-BAE9-848881915A76}"/>
                </c:ext>
                <c:ext xmlns:c15="http://schemas.microsoft.com/office/drawing/2012/chart" uri="{CE6537A1-D6FC-4f65-9D91-7224C49458BB}"/>
              </c:extLst>
            </c:dLbl>
            <c:dLbl>
              <c:idx val="16"/>
              <c:layout>
                <c:manualLayout>
                  <c:x val="4.4316419233325945E-3"/>
                  <c:y val="-0.247659317426759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19F-49EF-BAE9-848881915A76}"/>
                </c:ext>
                <c:ext xmlns:c15="http://schemas.microsoft.com/office/drawing/2012/chart" uri="{CE6537A1-D6FC-4f65-9D91-7224C49458BB}"/>
              </c:extLst>
            </c:dLbl>
            <c:dLbl>
              <c:idx val="17"/>
              <c:layout>
                <c:manualLayout>
                  <c:x val="4.4316419233325138E-3"/>
                  <c:y val="-0.271821202053760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19F-49EF-BAE9-848881915A76}"/>
                </c:ext>
                <c:ext xmlns:c15="http://schemas.microsoft.com/office/drawing/2012/chart" uri="{CE6537A1-D6FC-4f65-9D91-7224C49458BB}"/>
              </c:extLst>
            </c:dLbl>
            <c:dLbl>
              <c:idx val="18"/>
              <c:layout>
                <c:manualLayout>
                  <c:x val="1.1079104808331486E-2"/>
                  <c:y val="-0.27786167321051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19F-49EF-BAE9-848881915A76}"/>
                </c:ext>
                <c:ext xmlns:c15="http://schemas.microsoft.com/office/drawing/2012/chart" uri="{CE6537A1-D6FC-4f65-9D91-7224C49458BB}"/>
              </c:extLst>
            </c:dLbl>
            <c:dLbl>
              <c:idx val="19"/>
              <c:layout>
                <c:manualLayout>
                  <c:x val="2.2158209616662972E-2"/>
                  <c:y val="-0.27786167321051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19F-49EF-BAE9-848881915A76}"/>
                </c:ext>
                <c:ext xmlns:c15="http://schemas.microsoft.com/office/drawing/2012/chart" uri="{CE6537A1-D6FC-4f65-9D91-7224C49458BB}"/>
              </c:extLst>
            </c:dLbl>
            <c:dLbl>
              <c:idx val="20"/>
              <c:layout>
                <c:manualLayout>
                  <c:x val="6.647462884998811E-3"/>
                  <c:y val="-0.151011778918755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19F-49EF-BAE9-848881915A76}"/>
                </c:ext>
                <c:ext xmlns:c15="http://schemas.microsoft.com/office/drawing/2012/chart" uri="{CE6537A1-D6FC-4f65-9D91-7224C49458BB}"/>
              </c:extLst>
            </c:dLbl>
            <c:dLbl>
              <c:idx val="21"/>
              <c:layout>
                <c:manualLayout>
                  <c:x val="1.1079104808331486E-2"/>
                  <c:y val="-0.211416490486257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19F-49EF-BAE9-848881915A76}"/>
                </c:ext>
                <c:ext xmlns:c15="http://schemas.microsoft.com/office/drawing/2012/chart" uri="{CE6537A1-D6FC-4f65-9D91-7224C49458BB}"/>
              </c:extLst>
            </c:dLbl>
            <c:dLbl>
              <c:idx val="22"/>
              <c:layout>
                <c:manualLayout>
                  <c:x val="4.4316419233325945E-3"/>
                  <c:y val="-0.1208094231350045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19F-49EF-BAE9-848881915A76}"/>
                </c:ext>
                <c:ext xmlns:c15="http://schemas.microsoft.com/office/drawing/2012/chart" uri="{CE6537A1-D6FC-4f65-9D91-7224C49458BB}"/>
              </c:extLst>
            </c:dLbl>
            <c:dLbl>
              <c:idx val="23"/>
              <c:layout>
                <c:manualLayout>
                  <c:x val="1.1079104808331406E-2"/>
                  <c:y val="-0.205376019329507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19F-49EF-BAE9-848881915A76}"/>
                </c:ext>
                <c:ext xmlns:c15="http://schemas.microsoft.com/office/drawing/2012/chart" uri="{CE6537A1-D6FC-4f65-9D91-7224C49458BB}"/>
              </c:extLst>
            </c:dLbl>
            <c:dLbl>
              <c:idx val="24"/>
              <c:layout>
                <c:manualLayout>
                  <c:x val="1.1079104808331486E-2"/>
                  <c:y val="-0.205376019329507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19F-49EF-BAE9-848881915A76}"/>
                </c:ext>
                <c:ext xmlns:c15="http://schemas.microsoft.com/office/drawing/2012/chart" uri="{CE6537A1-D6FC-4f65-9D91-7224C49458BB}"/>
              </c:extLst>
            </c:dLbl>
            <c:dLbl>
              <c:idx val="25"/>
              <c:layout>
                <c:manualLayout>
                  <c:x val="1.5510746731664162E-2"/>
                  <c:y val="-0.23557837511325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19F-49EF-BAE9-848881915A76}"/>
                </c:ext>
                <c:ext xmlns:c15="http://schemas.microsoft.com/office/drawing/2012/chart" uri="{CE6537A1-D6FC-4f65-9D91-7224C49458BB}"/>
              </c:extLst>
            </c:dLbl>
            <c:dLbl>
              <c:idx val="26"/>
              <c:layout>
                <c:manualLayout>
                  <c:x val="2.6589851539995567E-2"/>
                  <c:y val="-0.283902144367260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19F-49EF-BAE9-848881915A76}"/>
                </c:ext>
                <c:ext xmlns:c15="http://schemas.microsoft.com/office/drawing/2012/chart" uri="{CE6537A1-D6FC-4f65-9D91-7224C49458BB}"/>
              </c:extLst>
            </c:dLbl>
            <c:dLbl>
              <c:idx val="27"/>
              <c:layout>
                <c:manualLayout>
                  <c:x val="2.2158209616662893E-2"/>
                  <c:y val="-0.23557837511325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19F-49EF-BAE9-848881915A76}"/>
                </c:ext>
                <c:ext xmlns:c15="http://schemas.microsoft.com/office/drawing/2012/chart" uri="{CE6537A1-D6FC-4f65-9D91-7224C49458BB}"/>
              </c:extLst>
            </c:dLbl>
            <c:dLbl>
              <c:idx val="28"/>
              <c:layout>
                <c:manualLayout>
                  <c:x val="3.3237314424994377E-2"/>
                  <c:y val="-0.2536997885835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19F-49EF-BAE9-848881915A76}"/>
                </c:ext>
                <c:ext xmlns:c15="http://schemas.microsoft.com/office/drawing/2012/chart" uri="{CE6537A1-D6FC-4f65-9D91-7224C49458BB}"/>
              </c:extLst>
            </c:dLbl>
            <c:dLbl>
              <c:idx val="29"/>
              <c:layout>
                <c:manualLayout>
                  <c:x val="8.1245830035669357E-17"/>
                  <c:y val="-0.144971307762005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19F-49EF-BAE9-848881915A76}"/>
                </c:ext>
                <c:ext xmlns:c15="http://schemas.microsoft.com/office/drawing/2012/chart" uri="{CE6537A1-D6FC-4f65-9D91-7224C49458BB}"/>
              </c:extLst>
            </c:dLbl>
            <c:dLbl>
              <c:idx val="30"/>
              <c:layout>
                <c:manualLayout>
                  <c:x val="1.5510746731664082E-2"/>
                  <c:y val="-0.25369978858350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19F-49EF-BAE9-848881915A76}"/>
                </c:ext>
                <c:ext xmlns:c15="http://schemas.microsoft.com/office/drawing/2012/chart" uri="{CE6537A1-D6FC-4f65-9D91-7224C49458BB}"/>
              </c:extLst>
            </c:dLbl>
            <c:dLbl>
              <c:idx val="31"/>
              <c:layout>
                <c:manualLayout>
                  <c:x val="1.5510746731664082E-2"/>
                  <c:y val="-0.217456961643008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719F-49EF-BAE9-848881915A76}"/>
                </c:ext>
                <c:ext xmlns:c15="http://schemas.microsoft.com/office/drawing/2012/chart" uri="{CE6537A1-D6FC-4f65-9D91-7224C49458BB}"/>
              </c:extLst>
            </c:dLbl>
            <c:dLbl>
              <c:idx val="32"/>
              <c:layout>
                <c:manualLayout>
                  <c:x val="8.8632838466651889E-3"/>
                  <c:y val="-0.259740259740259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19F-49EF-BAE9-848881915A76}"/>
                </c:ext>
                <c:ext xmlns:c15="http://schemas.microsoft.com/office/drawing/2012/chart" uri="{CE6537A1-D6FC-4f65-9D91-7224C49458BB}"/>
              </c:extLst>
            </c:dLbl>
            <c:dLbl>
              <c:idx val="33"/>
              <c:layout>
                <c:manualLayout>
                  <c:x val="2.2158209616662972E-3"/>
                  <c:y val="-0.151011778918755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19F-49EF-BAE9-848881915A76}"/>
                </c:ext>
                <c:ext xmlns:c15="http://schemas.microsoft.com/office/drawing/2012/chart" uri="{CE6537A1-D6FC-4f65-9D91-7224C49458BB}"/>
              </c:extLst>
            </c:dLbl>
            <c:dLbl>
              <c:idx val="34"/>
              <c:layout>
                <c:manualLayout>
                  <c:x val="8.8632838466650276E-3"/>
                  <c:y val="-0.211416490486257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719F-49EF-BAE9-848881915A76}"/>
                </c:ext>
                <c:ext xmlns:c15="http://schemas.microsoft.com/office/drawing/2012/chart" uri="{CE6537A1-D6FC-4f65-9D91-7224C49458BB}"/>
              </c:extLst>
            </c:dLbl>
            <c:dLbl>
              <c:idx val="35"/>
              <c:layout>
                <c:manualLayout>
                  <c:x val="4.4316419233325945E-3"/>
                  <c:y val="-0.235578375113258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719F-49EF-BAE9-848881915A76}"/>
                </c:ext>
                <c:ext xmlns:c15="http://schemas.microsoft.com/office/drawing/2012/chart" uri="{CE6537A1-D6FC-4f65-9D91-7224C49458BB}"/>
              </c:extLst>
            </c:dLbl>
            <c:dLbl>
              <c:idx val="36"/>
              <c:layout>
                <c:manualLayout>
                  <c:x val="6.6474628849988917E-3"/>
                  <c:y val="-0.241618846270009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719F-49EF-BAE9-848881915A76}"/>
                </c:ext>
                <c:ext xmlns:c15="http://schemas.microsoft.com/office/drawing/2012/chart" uri="{CE6537A1-D6FC-4f65-9D91-7224C49458BB}"/>
              </c:extLst>
            </c:dLbl>
            <c:dLbl>
              <c:idx val="37"/>
              <c:layout>
                <c:manualLayout>
                  <c:x val="0"/>
                  <c:y val="-0.10268800966475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719F-49EF-BAE9-848881915A7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1" u="none" strike="noStrike" kern="1200" baseline="0">
                    <a:solidFill>
                      <a:schemeClr val="tx1">
                        <a:lumMod val="75000"/>
                        <a:lumOff val="25000"/>
                      </a:schemeClr>
                    </a:solidFill>
                    <a:latin typeface="Century Schoolbook" panose="02040604050505020304" pitchFamily="18" charset="0"/>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STRATEGJIK'!$Q$8:$Q$47</c:f>
              <c:numCache>
                <c:formatCode>General</c:formatCode>
                <c:ptCount val="40"/>
                <c:pt idx="0">
                  <c:v>1</c:v>
                </c:pt>
                <c:pt idx="1">
                  <c:v>1</c:v>
                </c:pt>
                <c:pt idx="2">
                  <c:v>1</c:v>
                </c:pt>
                <c:pt idx="3">
                  <c:v>0</c:v>
                </c:pt>
                <c:pt idx="4">
                  <c:v>1</c:v>
                </c:pt>
                <c:pt idx="5">
                  <c:v>1</c:v>
                </c:pt>
                <c:pt idx="6">
                  <c:v>1</c:v>
                </c:pt>
                <c:pt idx="7">
                  <c:v>0</c:v>
                </c:pt>
                <c:pt idx="8">
                  <c:v>0</c:v>
                </c:pt>
                <c:pt idx="9">
                  <c:v>0</c:v>
                </c:pt>
                <c:pt idx="10">
                  <c:v>1</c:v>
                </c:pt>
                <c:pt idx="11">
                  <c:v>1</c:v>
                </c:pt>
                <c:pt idx="12">
                  <c:v>0</c:v>
                </c:pt>
                <c:pt idx="13">
                  <c:v>0</c:v>
                </c:pt>
                <c:pt idx="14">
                  <c:v>1</c:v>
                </c:pt>
                <c:pt idx="15">
                  <c:v>1</c:v>
                </c:pt>
                <c:pt idx="16">
                  <c:v>0</c:v>
                </c:pt>
                <c:pt idx="17">
                  <c:v>0</c:v>
                </c:pt>
                <c:pt idx="18">
                  <c:v>0</c:v>
                </c:pt>
                <c:pt idx="19">
                  <c:v>0</c:v>
                </c:pt>
                <c:pt idx="20">
                  <c:v>0</c:v>
                </c:pt>
                <c:pt idx="21">
                  <c:v>0</c:v>
                </c:pt>
                <c:pt idx="22">
                  <c:v>0</c:v>
                </c:pt>
                <c:pt idx="23">
                  <c:v>1</c:v>
                </c:pt>
                <c:pt idx="24">
                  <c:v>1</c:v>
                </c:pt>
                <c:pt idx="25">
                  <c:v>0</c:v>
                </c:pt>
                <c:pt idx="26">
                  <c:v>1</c:v>
                </c:pt>
                <c:pt idx="27">
                  <c:v>0</c:v>
                </c:pt>
                <c:pt idx="28">
                  <c:v>1</c:v>
                </c:pt>
                <c:pt idx="29">
                  <c:v>1</c:v>
                </c:pt>
                <c:pt idx="30">
                  <c:v>0</c:v>
                </c:pt>
                <c:pt idx="31">
                  <c:v>1</c:v>
                </c:pt>
                <c:pt idx="32">
                  <c:v>0</c:v>
                </c:pt>
                <c:pt idx="33">
                  <c:v>0</c:v>
                </c:pt>
                <c:pt idx="34">
                  <c:v>0</c:v>
                </c:pt>
                <c:pt idx="35">
                  <c:v>0</c:v>
                </c:pt>
                <c:pt idx="36">
                  <c:v>0</c:v>
                </c:pt>
                <c:pt idx="37">
                  <c:v>1</c:v>
                </c:pt>
                <c:pt idx="38">
                  <c:v>17</c:v>
                </c:pt>
              </c:numCache>
            </c:numRef>
          </c:val>
          <c:extLst xmlns:c16r2="http://schemas.microsoft.com/office/drawing/2015/06/chart">
            <c:ext xmlns:c16="http://schemas.microsoft.com/office/drawing/2014/chart" uri="{C3380CC4-5D6E-409C-BE32-E72D297353CC}">
              <c16:uniqueId val="{00000026-719F-49EF-BAE9-848881915A76}"/>
            </c:ext>
          </c:extLst>
        </c:ser>
        <c:dLbls>
          <c:showLegendKey val="0"/>
          <c:showVal val="1"/>
          <c:showCatName val="0"/>
          <c:showSerName val="0"/>
          <c:showPercent val="0"/>
          <c:showBubbleSize val="0"/>
        </c:dLbls>
        <c:gapWidth val="95"/>
        <c:overlap val="100"/>
        <c:axId val="554609976"/>
        <c:axId val="554616248"/>
      </c:barChart>
      <c:catAx>
        <c:axId val="55460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crossAx val="554616248"/>
        <c:crosses val="autoZero"/>
        <c:auto val="1"/>
        <c:lblAlgn val="ctr"/>
        <c:lblOffset val="100"/>
        <c:noMultiLvlLbl val="0"/>
      </c:catAx>
      <c:valAx>
        <c:axId val="554616248"/>
        <c:scaling>
          <c:orientation val="minMax"/>
        </c:scaling>
        <c:delete val="1"/>
        <c:axPos val="l"/>
        <c:numFmt formatCode="General" sourceLinked="1"/>
        <c:majorTickMark val="none"/>
        <c:minorTickMark val="none"/>
        <c:tickLblPos val="nextTo"/>
        <c:crossAx val="55460997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i="1">
          <a:latin typeface="Book Antiqua" panose="02040602050305030304" pitchFamily="18" charset="0"/>
        </a:defRPr>
      </a:pPr>
      <a:endParaRPr lang="sq-A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STRATEGJIK'!$Q$7</c:f>
              <c:strCache>
                <c:ptCount val="1"/>
                <c:pt idx="0">
                  <c:v>Raporti I Kuvendit Komunal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j-lt"/>
                    <a:ea typeface="+mn-ea"/>
                    <a:cs typeface="+mn-cs"/>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STRATEGJIK'!$Q$8:$Q$46</c:f>
              <c:numCache>
                <c:formatCode>General</c:formatCode>
                <c:ptCount val="39"/>
                <c:pt idx="0">
                  <c:v>1</c:v>
                </c:pt>
                <c:pt idx="1">
                  <c:v>0</c:v>
                </c:pt>
                <c:pt idx="2">
                  <c:v>0</c:v>
                </c:pt>
                <c:pt idx="3">
                  <c:v>0</c:v>
                </c:pt>
                <c:pt idx="4">
                  <c:v>0</c:v>
                </c:pt>
                <c:pt idx="5">
                  <c:v>1</c:v>
                </c:pt>
                <c:pt idx="6">
                  <c:v>1</c:v>
                </c:pt>
                <c:pt idx="7">
                  <c:v>0</c:v>
                </c:pt>
                <c:pt idx="8">
                  <c:v>1</c:v>
                </c:pt>
                <c:pt idx="9">
                  <c:v>0</c:v>
                </c:pt>
                <c:pt idx="10">
                  <c:v>1</c:v>
                </c:pt>
                <c:pt idx="11">
                  <c:v>1</c:v>
                </c:pt>
                <c:pt idx="12">
                  <c:v>1</c:v>
                </c:pt>
                <c:pt idx="13">
                  <c:v>0</c:v>
                </c:pt>
                <c:pt idx="14">
                  <c:v>1</c:v>
                </c:pt>
                <c:pt idx="15">
                  <c:v>1</c:v>
                </c:pt>
                <c:pt idx="16">
                  <c:v>1</c:v>
                </c:pt>
                <c:pt idx="17">
                  <c:v>1</c:v>
                </c:pt>
                <c:pt idx="18">
                  <c:v>1</c:v>
                </c:pt>
                <c:pt idx="19">
                  <c:v>0</c:v>
                </c:pt>
                <c:pt idx="20">
                  <c:v>0</c:v>
                </c:pt>
                <c:pt idx="21">
                  <c:v>1</c:v>
                </c:pt>
                <c:pt idx="22">
                  <c:v>0</c:v>
                </c:pt>
                <c:pt idx="23">
                  <c:v>1</c:v>
                </c:pt>
                <c:pt idx="24">
                  <c:v>1</c:v>
                </c:pt>
                <c:pt idx="25">
                  <c:v>0</c:v>
                </c:pt>
                <c:pt idx="26">
                  <c:v>1</c:v>
                </c:pt>
                <c:pt idx="27">
                  <c:v>0</c:v>
                </c:pt>
                <c:pt idx="28">
                  <c:v>1</c:v>
                </c:pt>
                <c:pt idx="29">
                  <c:v>1</c:v>
                </c:pt>
                <c:pt idx="30">
                  <c:v>1</c:v>
                </c:pt>
                <c:pt idx="31">
                  <c:v>0</c:v>
                </c:pt>
                <c:pt idx="32">
                  <c:v>0</c:v>
                </c:pt>
                <c:pt idx="33">
                  <c:v>0</c:v>
                </c:pt>
                <c:pt idx="34">
                  <c:v>0</c:v>
                </c:pt>
                <c:pt idx="35">
                  <c:v>0</c:v>
                </c:pt>
                <c:pt idx="36">
                  <c:v>1</c:v>
                </c:pt>
                <c:pt idx="37">
                  <c:v>1</c:v>
                </c:pt>
                <c:pt idx="38">
                  <c:v>21</c:v>
                </c:pt>
              </c:numCache>
            </c:numRef>
          </c:val>
          <c:extLst xmlns:c16r2="http://schemas.microsoft.com/office/drawing/2015/06/chart">
            <c:ext xmlns:c16="http://schemas.microsoft.com/office/drawing/2014/chart" uri="{C3380CC4-5D6E-409C-BE32-E72D297353CC}">
              <c16:uniqueId val="{00000000-6E36-4A6A-8D80-5B7667615F12}"/>
            </c:ext>
          </c:extLst>
        </c:ser>
        <c:dLbls>
          <c:showLegendKey val="0"/>
          <c:showVal val="1"/>
          <c:showCatName val="0"/>
          <c:showSerName val="0"/>
          <c:showPercent val="0"/>
          <c:showBubbleSize val="0"/>
        </c:dLbls>
        <c:gapWidth val="150"/>
        <c:overlap val="-25"/>
        <c:axId val="554605272"/>
        <c:axId val="554606056"/>
      </c:barChart>
      <c:catAx>
        <c:axId val="55460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crossAx val="554606056"/>
        <c:crosses val="autoZero"/>
        <c:auto val="1"/>
        <c:lblAlgn val="ctr"/>
        <c:lblOffset val="100"/>
        <c:noMultiLvlLbl val="0"/>
      </c:catAx>
      <c:valAx>
        <c:axId val="554606056"/>
        <c:scaling>
          <c:orientation val="minMax"/>
        </c:scaling>
        <c:delete val="1"/>
        <c:axPos val="l"/>
        <c:numFmt formatCode="General" sourceLinked="1"/>
        <c:majorTickMark val="none"/>
        <c:minorTickMark val="none"/>
        <c:tickLblPos val="nextTo"/>
        <c:crossAx val="554605272"/>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q-A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I FTESAVE '!$R$8:$R$46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lvl>
      </cx:strDim>
      <cx:numDim type="val">
        <cx:f>'PUBLIKIMI I FTESAVE '!$S$8:$S$46</cx:f>
        <cx:lvl ptCount="39" formatCode="General">
          <cx:pt idx="0">0</cx:pt>
          <cx:pt idx="1">11</cx:pt>
          <cx:pt idx="2">0</cx:pt>
          <cx:pt idx="3">3</cx:pt>
          <cx:pt idx="4">0</cx:pt>
          <cx:pt idx="5">4</cx:pt>
          <cx:pt idx="6">3</cx:pt>
          <cx:pt idx="7">8</cx:pt>
          <cx:pt idx="8">0</cx:pt>
          <cx:pt idx="9">0</cx:pt>
          <cx:pt idx="10">10</cx:pt>
          <cx:pt idx="11">1</cx:pt>
          <cx:pt idx="12">2</cx:pt>
          <cx:pt idx="13">0</cx:pt>
          <cx:pt idx="14">8</cx:pt>
          <cx:pt idx="15">4</cx:pt>
          <cx:pt idx="16">5</cx:pt>
          <cx:pt idx="17">0</cx:pt>
          <cx:pt idx="18">16</cx:pt>
          <cx:pt idx="19">0</cx:pt>
          <cx:pt idx="20">3</cx:pt>
          <cx:pt idx="21">11</cx:pt>
          <cx:pt idx="22">15</cx:pt>
          <cx:pt idx="23">13</cx:pt>
          <cx:pt idx="24">11</cx:pt>
          <cx:pt idx="25">0</cx:pt>
          <cx:pt idx="26">1</cx:pt>
          <cx:pt idx="27">0</cx:pt>
          <cx:pt idx="28">9</cx:pt>
          <cx:pt idx="29">8</cx:pt>
          <cx:pt idx="30">0</cx:pt>
          <cx:pt idx="31">12</cx:pt>
          <cx:pt idx="32">0</cx:pt>
          <cx:pt idx="33">0</cx:pt>
          <cx:pt idx="34">0</cx:pt>
          <cx:pt idx="35">0</cx:pt>
          <cx:pt idx="36">0</cx:pt>
          <cx:pt idx="37">9</cx:pt>
          <cx:pt idx="38">167</cx:pt>
        </cx:lvl>
      </cx:numDim>
    </cx:data>
  </cx:chartData>
  <cx:chart>
    <cx:title pos="t" align="ctr" overlay="0">
      <cx:tx>
        <cx:txData>
          <cx:v>Transmetimi online i mbledhjeve të kuvendeve komunale  </cx:v>
        </cx:txData>
      </cx:tx>
      <cx:txPr>
        <a:bodyPr rot="0" spcFirstLastPara="1" vertOverflow="ellipsis" vert="horz" wrap="square" lIns="38100" tIns="19050" rIns="38100" bIns="19050" anchor="ctr" anchorCtr="1" compatLnSpc="0"/>
        <a:lstStyle/>
        <a:p>
          <a:pPr algn="ctr" rtl="0">
            <a:defRPr sz="700" b="1" i="0" u="none" strike="noStrike" kern="1200" spc="0" baseline="0">
              <a:solidFill>
                <a:sysClr val="windowText" lastClr="000000">
                  <a:lumMod val="65000"/>
                  <a:lumOff val="35000"/>
                </a:sysClr>
              </a:solidFill>
              <a:latin typeface="Century Schoolbook" panose="02040604050505020304" pitchFamily="18" charset="0"/>
              <a:ea typeface="Century Schoolbook" panose="02040604050505020304" pitchFamily="18" charset="0"/>
              <a:cs typeface="Century Schoolbook" panose="02040604050505020304" pitchFamily="18" charset="0"/>
            </a:defRPr>
          </a:pPr>
          <a:r>
            <a:rPr kumimoji="0" lang="en-GB" sz="700" b="1" i="0" u="none" strike="noStrike" kern="1200" cap="none" spc="0" normalizeH="0" baseline="0" noProof="0">
              <a:ln>
                <a:noFill/>
              </a:ln>
              <a:solidFill>
                <a:sysClr val="windowText" lastClr="000000">
                  <a:lumMod val="65000"/>
                  <a:lumOff val="35000"/>
                </a:sysClr>
              </a:solidFill>
              <a:effectLst/>
              <a:uLnTx/>
              <a:uFillTx/>
              <a:latin typeface="Century Schoolbook" panose="02040604050505020304" pitchFamily="18" charset="0"/>
            </a:rPr>
            <a:t>Transmetimi online i mbledhjeve të kuvendeve komunale  </a:t>
          </a:r>
        </a:p>
      </cx:txPr>
    </cx:title>
    <cx:plotArea>
      <cx:plotAreaRegion>
        <cx:series layoutId="clusteredColumn" uniqueId="{F20EBE0A-A15C-4184-9BE9-1F8A40384AB1}">
          <cx:tx>
            <cx:txData>
              <cx:f>'PUBLIKIMI I FTESAVE '!$S$7</cx:f>
              <cx:v>Transmetimi online i mbledhjeve të kuvendeve komunale  </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solidFill>
                  <a:latin typeface="Arial" panose="020B0604020202020204"/>
                </a:endParaRPr>
              </a:p>
            </cx:txPr>
            <cx:visibility seriesName="0" categoryName="0" value="1"/>
          </cx:dataLabels>
          <cx:dataId val="0"/>
          <cx:layoutPr>
            <cx:aggregation/>
          </cx:layoutPr>
          <cx:axisId val="1"/>
        </cx:series>
        <cx:series layoutId="paretoLine" ownerIdx="0" uniqueId="{76B9CFE3-9B55-441F-9B65-A07BEFE80EF6}">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Book Antiqua" panose="02040602050305030304" pitchFamily="18" charset="0"/>
                <a:ea typeface="Book Antiqua" panose="02040602050305030304" pitchFamily="18" charset="0"/>
                <a:cs typeface="Book Antiqua" panose="02040602050305030304" pitchFamily="18" charset="0"/>
              </a:defRPr>
            </a:pPr>
            <a:endParaRPr lang="en-US" sz="800" b="1" i="1" u="none" strike="noStrike" baseline="0">
              <a:solidFill>
                <a:sysClr val="windowText" lastClr="000000">
                  <a:lumMod val="75000"/>
                  <a:lumOff val="25000"/>
                </a:sysClr>
              </a:solidFill>
              <a:latin typeface="Book Antiqua" panose="0204060205030503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K.K PLANET STRATEGJIK'!$AC$9:$AC$48</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'PUBLIKIMI K.K PLANET STRATEGJIK'!$AD$9:$AD$48</cx:f>
        <cx:lvl ptCount="40" formatCode="General">
          <cx:pt idx="0">0</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0</cx:pt>
          <cx:pt idx="31">0</cx:pt>
          <cx:pt idx="32">0</cx:pt>
          <cx:pt idx="33">0</cx:pt>
          <cx:pt idx="34">0</cx:pt>
          <cx:pt idx="35">0</cx:pt>
          <cx:pt idx="36">0</cx:pt>
          <cx:pt idx="37">0</cx:pt>
          <cx:pt idx="38">23</cx:pt>
        </cx:lvl>
      </cx:numDim>
    </cx:data>
  </cx:chartData>
  <cx:chart>
    <cx:plotArea>
      <cx:plotAreaRegion>
        <cx:series layoutId="clusteredColumn" uniqueId="{8512EF98-173A-4E91-8374-0A507B4BA09C}">
          <cx:tx>
            <cx:txData>
              <cx:f>'PUBLIKIMI K.K PLANET STRATEGJIK'!$AD$7:$AD$8</cx:f>
              <cx:v>Plani i  Veprimit për transparencë</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F0CD19BD-CE9E-496E-A912-1A9B87635EE2}">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800" b="1" i="1" u="none" strike="noStrike" baseline="0">
              <a:solidFill>
                <a:sysClr val="windowText" lastClr="000000">
                  <a:lumMod val="65000"/>
                  <a:lumOff val="35000"/>
                </a:sysClr>
              </a:solidFill>
              <a:latin typeface="Century Schoolbook" panose="0204060405050502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1</cx:pt>
          <cx:pt idx="3">1</cx:pt>
          <cx:pt idx="4">0</cx:pt>
          <cx:pt idx="5">1</cx:pt>
          <cx:pt idx="6">1</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0</cx:pt>
          <cx:pt idx="28">1</cx:pt>
          <cx:pt idx="29">1</cx:pt>
          <cx:pt idx="30">1</cx:pt>
          <cx:pt idx="31">1</cx:pt>
          <cx:pt idx="32">0</cx:pt>
          <cx:pt idx="33">0</cx:pt>
          <cx:pt idx="34">0</cx:pt>
          <cx:pt idx="35">0</cx:pt>
          <cx:pt idx="36">0</cx:pt>
          <cx:pt idx="37">1</cx:pt>
          <cx:pt idx="38">27</cx:pt>
        </cx:lvl>
      </cx:numDim>
    </cx:data>
  </cx:chartData>
  <cx:chart>
    <cx:plotArea>
      <cx:plotAreaRegion>
        <cx:series layoutId="clusteredColumn" uniqueId="{EEE80804-F926-49C4-897F-D468D71A4662}">
          <cx:tx>
            <cx:txData>
              <cx:f>'PROKURIMI '!$E$7</cx:f>
              <cx:v>Publikimi i planit të prokurimit</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75000"/>
                      <a:lumOff val="25000"/>
                    </a:sysClr>
                  </a:solidFill>
                  <a:latin typeface="Arial" panose="020B0604020202020204"/>
                </a:endParaRPr>
              </a:p>
            </cx:txPr>
            <cx:visibility seriesName="0" categoryName="0" value="1"/>
          </cx:dataLabels>
          <cx:dataId val="0"/>
          <cx:layoutPr>
            <cx:aggregation/>
          </cx:layoutPr>
          <cx:axisId val="1"/>
        </cx:series>
        <cx:series layoutId="paretoLine" ownerIdx="0" uniqueId="{C7E468B9-DBB6-45C6-AB04-378AF5CBA12C}">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Garamond" panose="02020404030301010803" pitchFamily="18" charset="0"/>
                <a:ea typeface="Garamond" panose="02020404030301010803" pitchFamily="18" charset="0"/>
                <a:cs typeface="Garamond" panose="02020404030301010803" pitchFamily="18" charset="0"/>
              </a:defRPr>
            </a:pPr>
            <a:endParaRPr lang="en-US" sz="800" b="1" i="1" u="none" strike="noStrike" baseline="0">
              <a:solidFill>
                <a:sysClr val="windowText" lastClr="000000">
                  <a:lumMod val="65000"/>
                  <a:lumOff val="35000"/>
                </a:sysClr>
              </a:solidFill>
              <a:latin typeface="Garamond" panose="02020404030301010803"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'!$L$6:$L$44</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'!$M$6:$M$44</cx:f>
        <cx:lvl ptCount="39" formatCode="General">
          <cx:pt idx="0">0</cx:pt>
          <cx:pt idx="1">1</cx:pt>
          <cx:pt idx="2">0</cx:pt>
          <cx:pt idx="3">0</cx:pt>
          <cx:pt idx="4">1</cx:pt>
          <cx:pt idx="5">1</cx:pt>
          <cx:pt idx="6">0</cx:pt>
          <cx:pt idx="7">1</cx:pt>
          <cx:pt idx="8">0</cx:pt>
          <cx:pt idx="9">0</cx:pt>
          <cx:pt idx="10">1</cx:pt>
          <cx:pt idx="11">1</cx:pt>
          <cx:pt idx="12">1</cx:pt>
          <cx:pt idx="13">0</cx:pt>
          <cx:pt idx="14">1</cx:pt>
          <cx:pt idx="15">1</cx:pt>
          <cx:pt idx="16">1</cx:pt>
          <cx:pt idx="17">0</cx:pt>
          <cx:pt idx="18">1</cx:pt>
          <cx:pt idx="19">0</cx:pt>
          <cx:pt idx="20">0</cx:pt>
          <cx:pt idx="21">1</cx:pt>
          <cx:pt idx="22">0</cx:pt>
          <cx:pt idx="23">1</cx:pt>
          <cx:pt idx="24">1</cx:pt>
          <cx:pt idx="25">0</cx:pt>
          <cx:pt idx="26">1</cx:pt>
          <cx:pt idx="27">0</cx:pt>
          <cx:pt idx="28">1</cx:pt>
          <cx:pt idx="29">0</cx:pt>
          <cx:pt idx="30">0</cx:pt>
          <cx:pt idx="31">1</cx:pt>
          <cx:pt idx="32">0</cx:pt>
          <cx:pt idx="33">0</cx:pt>
          <cx:pt idx="34">0</cx:pt>
          <cx:pt idx="35">0</cx:pt>
          <cx:pt idx="36">0</cx:pt>
          <cx:pt idx="37">0</cx:pt>
          <cx:pt idx="38">17</cx:pt>
        </cx:lvl>
      </cx:numDim>
    </cx:data>
  </cx:chartData>
  <cx:chart>
    <cx:title pos="t" align="ctr" overlay="0">
      <cx:tx>
        <cx:txData>
          <cx:v>Plani i  konsultimeve publike </cx:v>
        </cx:txData>
      </cx:tx>
      <cx:txPr>
        <a:bodyPr spcFirstLastPara="1" vertOverflow="ellipsis" horzOverflow="overflow" wrap="square" lIns="0" tIns="0" rIns="0" bIns="0" anchor="ctr" anchorCtr="1"/>
        <a:lstStyle/>
        <a:p>
          <a:pPr algn="ctr" rtl="0">
            <a:defRPr sz="800" b="1">
              <a:latin typeface="+mj-lt"/>
              <a:ea typeface="Century Schoolbook" panose="02040604050505020304" pitchFamily="18" charset="0"/>
              <a:cs typeface="Century Schoolbook" panose="02040604050505020304" pitchFamily="18" charset="0"/>
            </a:defRPr>
          </a:pPr>
          <a:r>
            <a:rPr lang="en-US" sz="800" b="1" i="0" u="none" strike="noStrike" baseline="0">
              <a:solidFill>
                <a:sysClr val="windowText" lastClr="000000">
                  <a:lumMod val="65000"/>
                  <a:lumOff val="35000"/>
                </a:sysClr>
              </a:solidFill>
              <a:latin typeface="+mj-lt"/>
            </a:rPr>
            <a:t>Plani i  konsultimeve publike </a:t>
          </a:r>
        </a:p>
      </cx:txPr>
    </cx:title>
    <cx:plotArea>
      <cx:plotAreaRegion>
        <cx:series layoutId="clusteredColumn" uniqueId="{0467077E-C1FD-4530-8513-1BA5011C8602}">
          <cx:tx>
            <cx:txData>
              <cx:f>'KONSULLTIMET PUBLIKE '!$M$5</cx:f>
              <cx:v>Planifikimi i planit të konsultimeve publike</cx:v>
            </cx:txData>
          </cx:tx>
          <cx:dataLabels pos="inBase">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B6C6F627-B479-4559-9653-C6BD42BDAE91}">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'!$O$6:$O$45</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'!$P$6:$P$45</cx:f>
        <cx:lvl ptCount="40" formatCode="General">
          <cx:pt idx="0">0</cx:pt>
          <cx:pt idx="1">0</cx:pt>
          <cx:pt idx="2">2</cx:pt>
          <cx:pt idx="3">2</cx:pt>
          <cx:pt idx="4">4</cx:pt>
          <cx:pt idx="5">3</cx:pt>
          <cx:pt idx="6">0</cx:pt>
          <cx:pt idx="7">4</cx:pt>
          <cx:pt idx="8">7</cx:pt>
          <cx:pt idx="9">5</cx:pt>
          <cx:pt idx="10">17</cx:pt>
          <cx:pt idx="11">3</cx:pt>
          <cx:pt idx="12">3</cx:pt>
          <cx:pt idx="13">0</cx:pt>
          <cx:pt idx="14">4</cx:pt>
          <cx:pt idx="15">1</cx:pt>
          <cx:pt idx="16">3</cx:pt>
          <cx:pt idx="17">1</cx:pt>
          <cx:pt idx="18">0</cx:pt>
          <cx:pt idx="19">2</cx:pt>
          <cx:pt idx="20">10</cx:pt>
          <cx:pt idx="21">3</cx:pt>
          <cx:pt idx="22">1</cx:pt>
          <cx:pt idx="23">8</cx:pt>
          <cx:pt idx="24">1</cx:pt>
          <cx:pt idx="25">0</cx:pt>
          <cx:pt idx="26">9</cx:pt>
          <cx:pt idx="27">0</cx:pt>
          <cx:pt idx="28">2</cx:pt>
          <cx:pt idx="29">2</cx:pt>
          <cx:pt idx="30">4</cx:pt>
          <cx:pt idx="31">3</cx:pt>
          <cx:pt idx="32">1</cx:pt>
          <cx:pt idx="33">0</cx:pt>
          <cx:pt idx="34">0</cx:pt>
          <cx:pt idx="35">0</cx:pt>
          <cx:pt idx="36">0</cx:pt>
          <cx:pt idx="37">0</cx:pt>
          <cx:pt idx="38">27</cx:pt>
        </cx:lvl>
      </cx:numDim>
    </cx:data>
  </cx:chartData>
  <cx:chart>
    <cx:title pos="t" align="ctr" overlay="0">
      <cx:tx>
        <cx:txData>
          <cx:v>Njoftim per konsultime publike </cx:v>
        </cx:txData>
      </cx:tx>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r>
            <a:rPr lang="en-US" sz="700" b="1" i="0" u="none" strike="noStrike" baseline="0">
              <a:solidFill>
                <a:sysClr val="windowText" lastClr="000000">
                  <a:lumMod val="65000"/>
                  <a:lumOff val="35000"/>
                </a:sysClr>
              </a:solidFill>
              <a:latin typeface="+mj-lt"/>
            </a:rPr>
            <a:t>Njoftim per konsultime publike </a:t>
          </a:r>
        </a:p>
      </cx:txPr>
    </cx:title>
    <cx:plotArea>
      <cx:plotAreaRegion>
        <cx:series layoutId="clusteredColumn" uniqueId="{B87AD9C3-B5EB-4243-AC59-02874BF3BDF4}">
          <cx:tx>
            <cx:txData>
              <cx:f>'KONSULLTIMET PUBLIKE '!$P$4:$P$5</cx:f>
              <cx:v>Njoftimet për konsultime publike</cx:v>
            </cx:txData>
          </cx:tx>
          <cx:dataLabels pos="inBase">
            <cx:txPr>
              <a:bodyPr spcFirstLastPara="1" vertOverflow="ellipsis" horzOverflow="overflow" wrap="square" lIns="0" tIns="0" rIns="0" bIns="0" anchor="ctr" anchorCtr="1"/>
              <a:lstStyle/>
              <a:p>
                <a:pPr algn="ctr" rtl="0">
                  <a:defRPr sz="900" b="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900" b="1" i="0" u="none" strike="noStrike" baseline="0">
                  <a:solidFill>
                    <a:sysClr val="windowText" lastClr="000000">
                      <a:lumMod val="65000"/>
                      <a:lumOff val="35000"/>
                    </a:sysClr>
                  </a:solidFill>
                  <a:latin typeface="Century Schoolbook" panose="02040604050505020304" pitchFamily="18" charset="0"/>
                </a:endParaRPr>
              </a:p>
            </cx:txPr>
            <cx:visibility seriesName="0" categoryName="0" value="1"/>
          </cx:dataLabels>
          <cx:dataId val="0"/>
          <cx:layoutPr>
            <cx:aggregation/>
          </cx:layoutPr>
          <cx:axisId val="1"/>
        </cx:series>
        <cx:series layoutId="paretoLine" ownerIdx="0" uniqueId="{475ACA5A-FB80-45F3-9853-86CF17BDF68D}">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a:ln>
      <a:solidFill>
        <a:schemeClr val="tx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6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3FE04B44-1D2F-444D-970F-EAB26FB0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9915</Words>
  <Characters>56519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Majlinda Shaqiri</cp:lastModifiedBy>
  <cp:revision>5</cp:revision>
  <cp:lastPrinted>2023-03-22T14:45:00Z</cp:lastPrinted>
  <dcterms:created xsi:type="dcterms:W3CDTF">2026-06-01T09:52:00Z</dcterms:created>
  <dcterms:modified xsi:type="dcterms:W3CDTF">2026-06-01T11:22:00Z</dcterms:modified>
</cp:coreProperties>
</file>