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oter1.xml" ContentType="application/vnd.openxmlformats-officedocument.wordprocessingml.footer+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4.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5.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6.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7.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8.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9.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10.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theme/themeOverride11.xml" ContentType="application/vnd.openxmlformats-officedocument.themeOverrid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F3C" w:rsidRPr="008F28FF" w:rsidRDefault="008B3F3C" w:rsidP="008B3F3C">
      <w:pPr>
        <w:spacing w:after="0" w:line="240" w:lineRule="auto"/>
        <w:jc w:val="center"/>
        <w:rPr>
          <w:rFonts w:ascii="Times New Roman" w:eastAsia="Times New Roman" w:hAnsi="Times New Roman" w:cs="Times New Roman"/>
          <w:sz w:val="24"/>
          <w:szCs w:val="24"/>
          <w:lang w:val="de-DE"/>
        </w:rPr>
      </w:pPr>
      <w:bookmarkStart w:id="0" w:name="_Hlk177155965"/>
      <w:bookmarkEnd w:id="0"/>
    </w:p>
    <w:p w:rsidR="008B3F3C" w:rsidRDefault="008B3F3C" w:rsidP="008B3F3C">
      <w:pPr>
        <w:spacing w:after="0" w:line="240" w:lineRule="auto"/>
        <w:jc w:val="center"/>
        <w:rPr>
          <w:rFonts w:ascii="Times New Roman" w:eastAsia="Times New Roman" w:hAnsi="Times New Roman" w:cs="Times New Roman"/>
          <w:lang w:val="de-DE"/>
        </w:rPr>
      </w:pPr>
      <w:r w:rsidRPr="00AF27F0">
        <w:rPr>
          <w:rFonts w:asciiTheme="majorHAnsi" w:hAnsiTheme="majorHAnsi"/>
          <w:b/>
          <w:noProof/>
          <w:sz w:val="16"/>
          <w:szCs w:val="16"/>
          <w:lang w:val="en-GB" w:eastAsia="en-GB"/>
        </w:rPr>
        <w:drawing>
          <wp:anchor distT="0" distB="0" distL="114300" distR="114300" simplePos="0" relativeHeight="251659264" behindDoc="0" locked="0" layoutInCell="1" allowOverlap="1" wp14:anchorId="4BC94B1A" wp14:editId="045311FF">
            <wp:simplePos x="0" y="0"/>
            <wp:positionH relativeFrom="page">
              <wp:posOffset>3600450</wp:posOffset>
            </wp:positionH>
            <wp:positionV relativeFrom="paragraph">
              <wp:posOffset>180340</wp:posOffset>
            </wp:positionV>
            <wp:extent cx="895350" cy="781050"/>
            <wp:effectExtent l="0" t="0" r="0" b="0"/>
            <wp:wrapSquare wrapText="bothSides"/>
            <wp:docPr id="1082558214" name="Picture 1082558214" descr="logo Gov Kos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2" descr="logo Gov Kosovo.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a:ext>
                    </a:extLst>
                  </pic:spPr>
                </pic:pic>
              </a:graphicData>
            </a:graphic>
            <wp14:sizeRelH relativeFrom="margin">
              <wp14:pctWidth>0</wp14:pctWidth>
            </wp14:sizeRelH>
            <wp14:sizeRelV relativeFrom="margin">
              <wp14:pctHeight>0</wp14:pctHeight>
            </wp14:sizeRelV>
          </wp:anchor>
        </w:drawing>
      </w:r>
    </w:p>
    <w:p w:rsidR="008B3F3C" w:rsidRPr="008F28FF" w:rsidRDefault="008B3F3C" w:rsidP="008B3F3C">
      <w:pPr>
        <w:spacing w:after="0" w:line="240" w:lineRule="auto"/>
        <w:jc w:val="center"/>
        <w:rPr>
          <w:rFonts w:ascii="Times New Roman" w:eastAsia="Times New Roman" w:hAnsi="Times New Roman" w:cs="Times New Roman"/>
          <w:lang w:val="de-DE"/>
        </w:rPr>
      </w:pPr>
    </w:p>
    <w:p w:rsidR="008B3F3C" w:rsidRDefault="008B3F3C" w:rsidP="008B3F3C">
      <w:pPr>
        <w:spacing w:after="0" w:line="240" w:lineRule="auto"/>
        <w:jc w:val="center"/>
        <w:rPr>
          <w:rFonts w:ascii="Times New Roman" w:eastAsia="Times New Roman" w:hAnsi="Times New Roman" w:cs="Times New Roman"/>
          <w:lang w:val="de-DE"/>
        </w:rPr>
      </w:pPr>
    </w:p>
    <w:p w:rsidR="008B3F3C" w:rsidRDefault="008B3F3C" w:rsidP="008B3F3C">
      <w:pPr>
        <w:spacing w:after="0" w:line="240" w:lineRule="auto"/>
        <w:jc w:val="center"/>
        <w:rPr>
          <w:rFonts w:ascii="Times New Roman" w:eastAsia="Times New Roman" w:hAnsi="Times New Roman" w:cs="Times New Roman"/>
          <w:lang w:val="de-DE"/>
        </w:rPr>
      </w:pPr>
    </w:p>
    <w:p w:rsidR="008B3F3C" w:rsidRDefault="008B3F3C" w:rsidP="008B3F3C">
      <w:pPr>
        <w:spacing w:after="0" w:line="240" w:lineRule="auto"/>
        <w:jc w:val="center"/>
        <w:rPr>
          <w:rFonts w:ascii="Times New Roman" w:eastAsia="Times New Roman" w:hAnsi="Times New Roman" w:cs="Times New Roman"/>
          <w:lang w:val="de-DE"/>
        </w:rPr>
      </w:pPr>
    </w:p>
    <w:p w:rsidR="008B3F3C" w:rsidRDefault="008B3F3C" w:rsidP="008B3F3C">
      <w:pPr>
        <w:spacing w:after="0" w:line="240" w:lineRule="auto"/>
        <w:jc w:val="center"/>
        <w:rPr>
          <w:rFonts w:ascii="Times New Roman" w:eastAsia="Times New Roman" w:hAnsi="Times New Roman" w:cs="Times New Roman"/>
          <w:lang w:val="de-DE"/>
        </w:rPr>
      </w:pPr>
    </w:p>
    <w:p w:rsidR="008B3F3C" w:rsidRDefault="008B3F3C" w:rsidP="008B3F3C">
      <w:pPr>
        <w:spacing w:after="0" w:line="240" w:lineRule="auto"/>
        <w:jc w:val="center"/>
        <w:rPr>
          <w:rFonts w:ascii="Times New Roman" w:eastAsia="Times New Roman" w:hAnsi="Times New Roman" w:cs="Times New Roman"/>
          <w:lang w:val="de-DE"/>
        </w:rPr>
      </w:pPr>
    </w:p>
    <w:p w:rsidR="008B3F3C" w:rsidRPr="008F28FF" w:rsidRDefault="008B3F3C" w:rsidP="008B3F3C">
      <w:pPr>
        <w:spacing w:after="0" w:line="240" w:lineRule="auto"/>
        <w:jc w:val="center"/>
        <w:rPr>
          <w:rFonts w:ascii="Times New Roman" w:eastAsia="Times New Roman" w:hAnsi="Times New Roman" w:cs="Times New Roman"/>
          <w:lang w:val="de-DE"/>
        </w:rPr>
      </w:pPr>
      <w:r w:rsidRPr="008F28FF">
        <w:rPr>
          <w:rFonts w:ascii="Times New Roman" w:eastAsia="Times New Roman" w:hAnsi="Times New Roman" w:cs="Times New Roman"/>
          <w:lang w:val="de-DE"/>
        </w:rPr>
        <w:t>Republika Kosova - Republic of Kosovo</w:t>
      </w:r>
    </w:p>
    <w:p w:rsidR="008B3F3C" w:rsidRPr="003679A2" w:rsidRDefault="008B3F3C" w:rsidP="008B3F3C">
      <w:pPr>
        <w:spacing w:after="0" w:line="240" w:lineRule="auto"/>
        <w:jc w:val="center"/>
        <w:rPr>
          <w:rFonts w:ascii="Times New Roman" w:eastAsia="Times New Roman" w:hAnsi="Times New Roman" w:cs="Times New Roman"/>
          <w:lang w:val="de-DE"/>
        </w:rPr>
      </w:pPr>
      <w:r w:rsidRPr="003679A2">
        <w:rPr>
          <w:rFonts w:ascii="Times New Roman" w:eastAsia="Times New Roman" w:hAnsi="Times New Roman" w:cs="Times New Roman"/>
          <w:lang w:val="de-DE"/>
        </w:rPr>
        <w:t>Qeveria - Vlada - Government</w:t>
      </w:r>
    </w:p>
    <w:p w:rsidR="008B3F3C" w:rsidRPr="003679A2" w:rsidRDefault="008B3F3C" w:rsidP="008B3F3C">
      <w:pPr>
        <w:tabs>
          <w:tab w:val="left" w:pos="4995"/>
        </w:tabs>
        <w:spacing w:after="0" w:line="240" w:lineRule="auto"/>
        <w:jc w:val="center"/>
        <w:rPr>
          <w:rFonts w:ascii="Times New Roman" w:eastAsia="Times New Roman" w:hAnsi="Times New Roman" w:cs="Times New Roman"/>
          <w:lang w:val="de-DE"/>
        </w:rPr>
      </w:pPr>
    </w:p>
    <w:p w:rsidR="008B3F3C" w:rsidRPr="003679A2" w:rsidRDefault="008B3F3C" w:rsidP="008B3F3C">
      <w:pPr>
        <w:spacing w:after="0" w:line="240" w:lineRule="auto"/>
        <w:jc w:val="center"/>
        <w:rPr>
          <w:rFonts w:ascii="Times New Roman" w:eastAsia="Times New Roman" w:hAnsi="Times New Roman" w:cs="Times New Roman"/>
          <w:lang w:val="de-DE"/>
        </w:rPr>
      </w:pPr>
      <w:r w:rsidRPr="003679A2">
        <w:rPr>
          <w:rFonts w:ascii="Times New Roman" w:eastAsia="Times New Roman" w:hAnsi="Times New Roman" w:cs="Times New Roman"/>
          <w:lang w:val="de-DE"/>
        </w:rPr>
        <w:t xml:space="preserve">Ministria e Administrimit </w:t>
      </w:r>
      <w:r>
        <w:rPr>
          <w:rFonts w:ascii="Times New Roman" w:eastAsia="Times New Roman" w:hAnsi="Times New Roman" w:cs="Times New Roman"/>
        </w:rPr>
        <w:t xml:space="preserve">të </w:t>
      </w:r>
      <w:r w:rsidRPr="003679A2">
        <w:rPr>
          <w:rFonts w:ascii="Times New Roman" w:eastAsia="Times New Roman" w:hAnsi="Times New Roman" w:cs="Times New Roman"/>
          <w:lang w:val="de-DE"/>
        </w:rPr>
        <w:t>Pushtetit Lokal</w:t>
      </w:r>
    </w:p>
    <w:p w:rsidR="008B3F3C" w:rsidRPr="003679A2" w:rsidRDefault="008B3F3C" w:rsidP="008B3F3C">
      <w:pPr>
        <w:spacing w:after="0" w:line="240" w:lineRule="auto"/>
        <w:jc w:val="center"/>
        <w:rPr>
          <w:rFonts w:ascii="Times New Roman" w:eastAsia="Times New Roman" w:hAnsi="Times New Roman" w:cs="Times New Roman"/>
          <w:lang w:val="de-DE"/>
        </w:rPr>
      </w:pPr>
      <w:r w:rsidRPr="003679A2">
        <w:rPr>
          <w:rFonts w:ascii="Times New Roman" w:eastAsia="Times New Roman" w:hAnsi="Times New Roman" w:cs="Times New Roman"/>
          <w:lang w:val="de-DE"/>
        </w:rPr>
        <w:t>Ministarstvo Administracije Lokalne Samouprave</w:t>
      </w:r>
    </w:p>
    <w:p w:rsidR="008B3F3C" w:rsidRPr="008F28FF" w:rsidRDefault="008B3F3C" w:rsidP="008B3F3C">
      <w:pPr>
        <w:spacing w:after="0" w:line="240" w:lineRule="auto"/>
        <w:jc w:val="center"/>
        <w:rPr>
          <w:rFonts w:ascii="Times New Roman" w:eastAsia="Times New Roman" w:hAnsi="Times New Roman" w:cs="Times New Roman"/>
          <w:lang w:val="en-GB"/>
        </w:rPr>
      </w:pPr>
      <w:r w:rsidRPr="008F28FF">
        <w:rPr>
          <w:rFonts w:ascii="Times New Roman" w:eastAsia="Times New Roman" w:hAnsi="Times New Roman" w:cs="Times New Roman"/>
          <w:lang w:val="en-GB"/>
        </w:rPr>
        <w:t>Ministry of Local Government</w:t>
      </w:r>
      <w:r>
        <w:rPr>
          <w:rFonts w:ascii="Times New Roman" w:eastAsia="Times New Roman" w:hAnsi="Times New Roman" w:cs="Times New Roman"/>
          <w:lang w:val="en-GB"/>
        </w:rPr>
        <w:t xml:space="preserve"> Administration </w:t>
      </w:r>
    </w:p>
    <w:tbl>
      <w:tblPr>
        <w:tblStyle w:val="TableGrid"/>
        <w:tblpPr w:leftFromText="180" w:rightFromText="180" w:vertAnchor="text" w:horzAnchor="page" w:tblpX="1595" w:tblpY="3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4F2E"/>
        <w:tblLook w:val="04A0" w:firstRow="1" w:lastRow="0" w:firstColumn="1" w:lastColumn="0" w:noHBand="0" w:noVBand="1"/>
      </w:tblPr>
      <w:tblGrid>
        <w:gridCol w:w="9270"/>
      </w:tblGrid>
      <w:tr w:rsidR="008B3F3C" w:rsidRPr="008B3F3C" w:rsidTr="008B3F3C">
        <w:tc>
          <w:tcPr>
            <w:tcW w:w="9270" w:type="dxa"/>
            <w:shd w:val="clear" w:color="auto" w:fill="auto"/>
          </w:tcPr>
          <w:p w:rsidR="008B3F3C" w:rsidRPr="00C86003" w:rsidRDefault="00A17424" w:rsidP="008B3F3C">
            <w:pPr>
              <w:tabs>
                <w:tab w:val="left" w:pos="3773"/>
              </w:tabs>
              <w:spacing w:before="120"/>
              <w:jc w:val="center"/>
              <w:rPr>
                <w:rFonts w:ascii="Arial" w:hAnsi="Arial" w:cs="Arial"/>
                <w:bCs/>
                <w:color w:val="FF0000"/>
                <w:sz w:val="28"/>
                <w:szCs w:val="28"/>
              </w:rPr>
            </w:pPr>
            <w:r>
              <w:rPr>
                <w:rFonts w:ascii="Arial" w:hAnsi="Arial" w:cs="Arial"/>
                <w:bCs/>
                <w:color w:val="FF0000"/>
                <w:sz w:val="28"/>
                <w:szCs w:val="28"/>
              </w:rPr>
              <w:t>Raporti</w:t>
            </w:r>
            <w:r w:rsidR="00062DF8">
              <w:rPr>
                <w:rFonts w:ascii="Arial" w:hAnsi="Arial" w:cs="Arial"/>
                <w:bCs/>
                <w:color w:val="FF0000"/>
                <w:sz w:val="28"/>
                <w:szCs w:val="28"/>
              </w:rPr>
              <w:t xml:space="preserve"> i performancës së vitit 2024</w:t>
            </w:r>
            <w:r w:rsidR="008B3F3C" w:rsidRPr="00C86003">
              <w:rPr>
                <w:rFonts w:ascii="Arial" w:hAnsi="Arial" w:cs="Arial"/>
                <w:bCs/>
                <w:color w:val="FF0000"/>
                <w:sz w:val="28"/>
                <w:szCs w:val="28"/>
              </w:rPr>
              <w:t xml:space="preserve"> për</w:t>
            </w:r>
          </w:p>
          <w:p w:rsidR="008B3F3C" w:rsidRPr="00C86003" w:rsidRDefault="008B3F3C" w:rsidP="008B3F3C">
            <w:pPr>
              <w:tabs>
                <w:tab w:val="left" w:pos="3773"/>
              </w:tabs>
              <w:spacing w:before="120"/>
              <w:jc w:val="center"/>
              <w:rPr>
                <w:rFonts w:ascii="Arial" w:hAnsi="Arial" w:cs="Arial"/>
                <w:bCs/>
                <w:color w:val="FF0000"/>
                <w:sz w:val="28"/>
                <w:szCs w:val="28"/>
              </w:rPr>
            </w:pPr>
          </w:p>
          <w:p w:rsidR="008B3F3C" w:rsidRPr="00C86003" w:rsidRDefault="008B3F3C" w:rsidP="008B3F3C">
            <w:pPr>
              <w:tabs>
                <w:tab w:val="left" w:pos="3773"/>
              </w:tabs>
              <w:spacing w:before="120"/>
              <w:jc w:val="center"/>
              <w:rPr>
                <w:rFonts w:ascii="Arial" w:hAnsi="Arial" w:cs="Arial"/>
                <w:b/>
                <w:bCs/>
                <w:caps/>
                <w:color w:val="FF0000"/>
                <w:sz w:val="52"/>
                <w:szCs w:val="52"/>
              </w:rPr>
            </w:pPr>
            <w:r w:rsidRPr="00C86003">
              <w:rPr>
                <w:rFonts w:ascii="Arial" w:hAnsi="Arial" w:cs="Arial"/>
                <w:b/>
                <w:bCs/>
                <w:caps/>
                <w:color w:val="FF0000"/>
                <w:sz w:val="52"/>
                <w:szCs w:val="52"/>
              </w:rPr>
              <w:t>Grantin e performancës komunale</w:t>
            </w:r>
          </w:p>
          <w:p w:rsidR="008B3F3C" w:rsidRPr="00C86003" w:rsidRDefault="00C86003" w:rsidP="00C86003">
            <w:pPr>
              <w:tabs>
                <w:tab w:val="left" w:pos="3773"/>
                <w:tab w:val="left" w:pos="6144"/>
              </w:tabs>
              <w:spacing w:before="120"/>
              <w:rPr>
                <w:rFonts w:ascii="Arial" w:hAnsi="Arial" w:cs="Arial"/>
                <w:b/>
                <w:bCs/>
                <w:color w:val="FF0000"/>
                <w:sz w:val="28"/>
                <w:szCs w:val="28"/>
              </w:rPr>
            </w:pPr>
            <w:r>
              <w:rPr>
                <w:rFonts w:ascii="Arial" w:hAnsi="Arial" w:cs="Arial"/>
                <w:b/>
                <w:bCs/>
                <w:color w:val="FF0000"/>
                <w:sz w:val="28"/>
                <w:szCs w:val="28"/>
              </w:rPr>
              <w:tab/>
            </w:r>
            <w:r>
              <w:rPr>
                <w:rFonts w:ascii="Arial" w:hAnsi="Arial" w:cs="Arial"/>
                <w:b/>
                <w:bCs/>
                <w:color w:val="FF0000"/>
                <w:sz w:val="28"/>
                <w:szCs w:val="28"/>
              </w:rPr>
              <w:tab/>
            </w:r>
          </w:p>
          <w:p w:rsidR="008B3F3C" w:rsidRPr="00C86003" w:rsidRDefault="008B3F3C" w:rsidP="008B3F3C">
            <w:pPr>
              <w:tabs>
                <w:tab w:val="left" w:pos="3773"/>
              </w:tabs>
              <w:spacing w:before="120"/>
              <w:jc w:val="center"/>
              <w:rPr>
                <w:rFonts w:ascii="Arial" w:hAnsi="Arial" w:cs="Arial"/>
                <w:bCs/>
                <w:color w:val="FF0000"/>
                <w:sz w:val="28"/>
                <w:szCs w:val="28"/>
              </w:rPr>
            </w:pPr>
            <w:r w:rsidRPr="00C86003">
              <w:rPr>
                <w:rFonts w:ascii="Arial" w:hAnsi="Arial" w:cs="Arial"/>
                <w:bCs/>
                <w:color w:val="FF0000"/>
                <w:sz w:val="28"/>
                <w:szCs w:val="28"/>
              </w:rPr>
              <w:t>për vitin fiskal  202</w:t>
            </w:r>
            <w:r w:rsidR="00062DF8">
              <w:rPr>
                <w:rFonts w:ascii="Arial" w:hAnsi="Arial" w:cs="Arial"/>
                <w:bCs/>
                <w:color w:val="FF0000"/>
                <w:sz w:val="28"/>
                <w:szCs w:val="28"/>
              </w:rPr>
              <w:t>6</w:t>
            </w:r>
          </w:p>
          <w:p w:rsidR="008B3F3C" w:rsidRPr="00C86003" w:rsidRDefault="008B3F3C" w:rsidP="008B3F3C">
            <w:pPr>
              <w:spacing w:line="360" w:lineRule="auto"/>
              <w:jc w:val="center"/>
              <w:rPr>
                <w:rFonts w:ascii="Arial" w:hAnsi="Arial" w:cs="Arial"/>
                <w:b/>
                <w:sz w:val="28"/>
                <w:szCs w:val="28"/>
              </w:rPr>
            </w:pPr>
            <w:bookmarkStart w:id="1" w:name="_GoBack"/>
            <w:bookmarkEnd w:id="1"/>
          </w:p>
          <w:p w:rsidR="008B3F3C" w:rsidRPr="00C86003" w:rsidRDefault="008B3F3C" w:rsidP="008B3F3C">
            <w:pPr>
              <w:spacing w:line="360" w:lineRule="auto"/>
              <w:jc w:val="center"/>
              <w:rPr>
                <w:rFonts w:ascii="Arial" w:hAnsi="Arial" w:cs="Arial"/>
                <w:b/>
                <w:sz w:val="28"/>
                <w:szCs w:val="28"/>
              </w:rPr>
            </w:pPr>
          </w:p>
        </w:tc>
      </w:tr>
    </w:tbl>
    <w:p w:rsidR="008B3F3C" w:rsidRPr="008B3F3C" w:rsidRDefault="008B3F3C" w:rsidP="008B3F3C">
      <w:pPr>
        <w:spacing w:after="0" w:line="360" w:lineRule="auto"/>
        <w:ind w:left="5040" w:firstLine="720"/>
        <w:jc w:val="center"/>
        <w:rPr>
          <w:rFonts w:ascii="Calibri Light" w:hAnsi="Calibri Light" w:cs="Calibri Light"/>
          <w:sz w:val="16"/>
          <w:szCs w:val="16"/>
        </w:rPr>
      </w:pPr>
    </w:p>
    <w:p w:rsidR="008B3F3C" w:rsidRPr="008B3F3C" w:rsidRDefault="008B3F3C" w:rsidP="008B3F3C">
      <w:pPr>
        <w:spacing w:after="0" w:line="360" w:lineRule="auto"/>
        <w:ind w:left="5040" w:firstLine="720"/>
        <w:jc w:val="center"/>
        <w:rPr>
          <w:rFonts w:ascii="Calibri Light" w:hAnsi="Calibri Light" w:cs="Calibri Light"/>
          <w:sz w:val="16"/>
          <w:szCs w:val="16"/>
        </w:rPr>
      </w:pPr>
    </w:p>
    <w:p w:rsidR="008B3F3C" w:rsidRPr="008B3F3C" w:rsidRDefault="008B3F3C" w:rsidP="008B3F3C">
      <w:pPr>
        <w:spacing w:after="0" w:line="360" w:lineRule="auto"/>
        <w:ind w:left="5040" w:firstLine="720"/>
        <w:jc w:val="center"/>
        <w:rPr>
          <w:rFonts w:ascii="Calibri Light" w:hAnsi="Calibri Light" w:cs="Calibri Light"/>
          <w:sz w:val="16"/>
          <w:szCs w:val="16"/>
        </w:rPr>
      </w:pPr>
    </w:p>
    <w:p w:rsidR="008B3F3C" w:rsidRPr="008B3F3C" w:rsidRDefault="008B3F3C" w:rsidP="008B3F3C">
      <w:pPr>
        <w:spacing w:after="0" w:line="360" w:lineRule="auto"/>
        <w:ind w:left="5040" w:firstLine="720"/>
        <w:jc w:val="center"/>
        <w:rPr>
          <w:rFonts w:ascii="Calibri Light" w:hAnsi="Calibri Light" w:cs="Calibri Light"/>
          <w:sz w:val="16"/>
          <w:szCs w:val="16"/>
        </w:rPr>
      </w:pPr>
    </w:p>
    <w:p w:rsidR="008B3F3C" w:rsidRPr="008B3F3C" w:rsidRDefault="008B3F3C" w:rsidP="008B3F3C">
      <w:pPr>
        <w:spacing w:after="0" w:line="360" w:lineRule="auto"/>
        <w:ind w:left="5040" w:firstLine="720"/>
        <w:jc w:val="center"/>
        <w:rPr>
          <w:rFonts w:ascii="Calibri Light" w:hAnsi="Calibri Light" w:cs="Calibri Light"/>
          <w:sz w:val="16"/>
          <w:szCs w:val="16"/>
        </w:rPr>
      </w:pPr>
    </w:p>
    <w:p w:rsidR="008B3F3C" w:rsidRPr="008B3F3C" w:rsidRDefault="008B3F3C" w:rsidP="008B3F3C">
      <w:pPr>
        <w:spacing w:after="0" w:line="360" w:lineRule="auto"/>
        <w:ind w:left="5040" w:firstLine="720"/>
        <w:jc w:val="center"/>
        <w:rPr>
          <w:rFonts w:ascii="Calibri Light" w:hAnsi="Calibri Light" w:cs="Calibri Light"/>
          <w:sz w:val="16"/>
          <w:szCs w:val="16"/>
        </w:rPr>
      </w:pPr>
    </w:p>
    <w:p w:rsidR="008B3F3C" w:rsidRPr="008B3F3C" w:rsidRDefault="008B3F3C" w:rsidP="008B3F3C">
      <w:pPr>
        <w:spacing w:after="0" w:line="360" w:lineRule="auto"/>
        <w:ind w:left="5040" w:firstLine="720"/>
        <w:jc w:val="center"/>
        <w:rPr>
          <w:rFonts w:ascii="Calibri Light" w:hAnsi="Calibri Light" w:cs="Calibri Light"/>
          <w:sz w:val="16"/>
          <w:szCs w:val="16"/>
        </w:rPr>
      </w:pPr>
    </w:p>
    <w:p w:rsidR="008B3F3C" w:rsidRPr="008B3F3C" w:rsidRDefault="008B3F3C" w:rsidP="008B3F3C">
      <w:pPr>
        <w:spacing w:after="0" w:line="360" w:lineRule="auto"/>
        <w:ind w:left="5040" w:firstLine="720"/>
        <w:jc w:val="center"/>
        <w:rPr>
          <w:rFonts w:ascii="Calibri Light" w:hAnsi="Calibri Light" w:cs="Calibri Light"/>
          <w:sz w:val="16"/>
          <w:szCs w:val="16"/>
        </w:rPr>
      </w:pPr>
    </w:p>
    <w:p w:rsidR="008B3F3C" w:rsidRPr="008B3F3C" w:rsidRDefault="008B3F3C" w:rsidP="008B3F3C">
      <w:pPr>
        <w:spacing w:after="0" w:line="360" w:lineRule="auto"/>
        <w:ind w:left="5040" w:firstLine="720"/>
        <w:jc w:val="center"/>
        <w:rPr>
          <w:rFonts w:ascii="Calibri Light" w:hAnsi="Calibri Light" w:cs="Calibri Light"/>
          <w:sz w:val="16"/>
          <w:szCs w:val="16"/>
        </w:rPr>
      </w:pPr>
    </w:p>
    <w:p w:rsidR="008B3F3C" w:rsidRPr="008B3F3C" w:rsidRDefault="008B3F3C" w:rsidP="008B3F3C">
      <w:pPr>
        <w:spacing w:after="0" w:line="360" w:lineRule="auto"/>
        <w:ind w:left="5040" w:firstLine="720"/>
        <w:jc w:val="center"/>
        <w:rPr>
          <w:rFonts w:ascii="Calibri Light" w:hAnsi="Calibri Light" w:cs="Calibri Light"/>
          <w:sz w:val="16"/>
          <w:szCs w:val="16"/>
        </w:rPr>
      </w:pPr>
    </w:p>
    <w:p w:rsidR="008B3F3C" w:rsidRPr="008B3F3C" w:rsidRDefault="008B3F3C" w:rsidP="008B3F3C">
      <w:pPr>
        <w:spacing w:after="0" w:line="360" w:lineRule="auto"/>
        <w:ind w:left="5040" w:firstLine="720"/>
        <w:jc w:val="center"/>
        <w:rPr>
          <w:rFonts w:ascii="Calibri Light" w:hAnsi="Calibri Light" w:cs="Calibri Light"/>
          <w:sz w:val="16"/>
          <w:szCs w:val="16"/>
        </w:rPr>
      </w:pPr>
    </w:p>
    <w:tbl>
      <w:tblPr>
        <w:tblStyle w:val="TableGrid"/>
        <w:tblW w:w="0" w:type="auto"/>
        <w:tblInd w:w="6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tblGrid>
      <w:tr w:rsidR="008B3F3C" w:rsidRPr="008B3F3C" w:rsidTr="008B3F3C">
        <w:tc>
          <w:tcPr>
            <w:tcW w:w="2885" w:type="dxa"/>
            <w:hideMark/>
          </w:tcPr>
          <w:p w:rsidR="008B3F3C" w:rsidRPr="008B3F3C" w:rsidRDefault="008B3F3C" w:rsidP="008B3F3C">
            <w:pPr>
              <w:spacing w:line="360" w:lineRule="auto"/>
              <w:jc w:val="both"/>
              <w:rPr>
                <w:rFonts w:ascii="Calibri Light" w:hAnsi="Calibri Light" w:cs="Calibri Light"/>
                <w:sz w:val="14"/>
                <w:szCs w:val="14"/>
              </w:rPr>
            </w:pPr>
            <w:r w:rsidRPr="008B3F3C">
              <w:rPr>
                <w:rFonts w:ascii="Calibri Light" w:hAnsi="Calibri Light" w:cs="Calibri Light"/>
                <w:sz w:val="14"/>
                <w:szCs w:val="14"/>
              </w:rPr>
              <w:t>Me mbështetje teknike dhe financiare nga:</w:t>
            </w:r>
          </w:p>
        </w:tc>
      </w:tr>
    </w:tbl>
    <w:p w:rsidR="00803144" w:rsidRDefault="00803144"/>
    <w:p w:rsidR="00145BB4" w:rsidRDefault="00145BB4">
      <w:pPr>
        <w:rPr>
          <w:rFonts w:ascii="Calibri" w:hAnsi="Calibri" w:cs="Times New Roman"/>
          <w:noProof/>
          <w:lang w:val="en-US"/>
        </w:rPr>
      </w:pPr>
    </w:p>
    <w:p w:rsidR="008B3F3C" w:rsidRDefault="00145BB4">
      <w:r w:rsidRPr="00145BB4">
        <w:rPr>
          <w:rFonts w:ascii="Calibri" w:hAnsi="Calibri" w:cs="Times New Roman"/>
          <w:noProof/>
          <w:lang w:val="en-GB" w:eastAsia="en-GB"/>
        </w:rPr>
        <w:drawing>
          <wp:inline distT="0" distB="0" distL="0" distR="0" wp14:anchorId="4F488973" wp14:editId="533EB1BF">
            <wp:extent cx="4968240" cy="517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 t="-7553" r="37442" b="-20696"/>
                    <a:stretch/>
                  </pic:blipFill>
                  <pic:spPr bwMode="auto">
                    <a:xfrm>
                      <a:off x="0" y="0"/>
                      <a:ext cx="4968240" cy="517525"/>
                    </a:xfrm>
                    <a:prstGeom prst="rect">
                      <a:avLst/>
                    </a:prstGeom>
                    <a:noFill/>
                    <a:ln>
                      <a:noFill/>
                    </a:ln>
                    <a:extLst>
                      <a:ext uri="{53640926-AAD7-44D8-BBD7-CCE9431645EC}">
                        <a14:shadowObscured xmlns:a14="http://schemas.microsoft.com/office/drawing/2010/main"/>
                      </a:ext>
                    </a:extLst>
                  </pic:spPr>
                </pic:pic>
              </a:graphicData>
            </a:graphic>
          </wp:inline>
        </w:drawing>
      </w:r>
    </w:p>
    <w:p w:rsidR="00BA5A40" w:rsidRDefault="00BA5A40"/>
    <w:sdt>
      <w:sdtPr>
        <w:rPr>
          <w:rFonts w:asciiTheme="minorHAnsi" w:eastAsia="MS Mincho" w:hAnsiTheme="minorHAnsi" w:cstheme="minorBidi"/>
          <w:color w:val="auto"/>
          <w:sz w:val="22"/>
          <w:szCs w:val="22"/>
          <w:lang w:val="sq-AL"/>
        </w:rPr>
        <w:id w:val="-904989243"/>
        <w:docPartObj>
          <w:docPartGallery w:val="Table of Contents"/>
          <w:docPartUnique/>
        </w:docPartObj>
      </w:sdtPr>
      <w:sdtEndPr>
        <w:rPr>
          <w:b/>
          <w:bCs/>
          <w:noProof/>
        </w:rPr>
      </w:sdtEndPr>
      <w:sdtContent>
        <w:p w:rsidR="00BA5A40" w:rsidRPr="00A26C5B" w:rsidRDefault="009E7444">
          <w:pPr>
            <w:pStyle w:val="TOCHeading"/>
            <w:rPr>
              <w:rFonts w:asciiTheme="minorHAnsi" w:hAnsiTheme="minorHAnsi"/>
              <w:sz w:val="28"/>
              <w:szCs w:val="28"/>
            </w:rPr>
          </w:pPr>
          <w:r w:rsidRPr="00A26C5B">
            <w:rPr>
              <w:rFonts w:asciiTheme="minorHAnsi" w:hAnsiTheme="minorHAnsi"/>
              <w:sz w:val="28"/>
              <w:szCs w:val="28"/>
            </w:rPr>
            <w:t>Përmba</w:t>
          </w:r>
          <w:r w:rsidR="002A19C1" w:rsidRPr="00A26C5B">
            <w:rPr>
              <w:rFonts w:asciiTheme="minorHAnsi" w:hAnsiTheme="minorHAnsi"/>
              <w:sz w:val="28"/>
              <w:szCs w:val="28"/>
            </w:rPr>
            <w:t>j</w:t>
          </w:r>
          <w:r w:rsidRPr="00A26C5B">
            <w:rPr>
              <w:rFonts w:asciiTheme="minorHAnsi" w:hAnsiTheme="minorHAnsi"/>
              <w:sz w:val="28"/>
              <w:szCs w:val="28"/>
            </w:rPr>
            <w:t>tja</w:t>
          </w:r>
        </w:p>
        <w:p w:rsidR="009E3ABC" w:rsidRDefault="00BA5A40">
          <w:pPr>
            <w:pStyle w:val="TOC1"/>
            <w:tabs>
              <w:tab w:val="right" w:leader="dot" w:pos="9350"/>
            </w:tabs>
            <w:rPr>
              <w:rFonts w:eastAsiaTheme="minorEastAsia"/>
              <w:noProof/>
              <w:kern w:val="2"/>
              <w:sz w:val="24"/>
              <w:szCs w:val="24"/>
              <w:lang w:val="en-US"/>
              <w14:ligatures w14:val="standardContextual"/>
            </w:rPr>
          </w:pPr>
          <w:r w:rsidRPr="00111DBA">
            <w:fldChar w:fldCharType="begin"/>
          </w:r>
          <w:r w:rsidRPr="00111DBA">
            <w:instrText xml:space="preserve"> TOC \o "1-3" \h \z \u </w:instrText>
          </w:r>
          <w:r w:rsidRPr="00111DBA">
            <w:fldChar w:fldCharType="separate"/>
          </w:r>
          <w:hyperlink w:anchor="_Toc178434851" w:history="1">
            <w:r w:rsidR="009E3ABC" w:rsidRPr="00925FC6">
              <w:rPr>
                <w:rStyle w:val="Hyperlink"/>
                <w:rFonts w:asciiTheme="majorHAnsi" w:eastAsiaTheme="majorEastAsia" w:hAnsiTheme="majorHAnsi" w:cstheme="majorHAnsi"/>
                <w:b/>
                <w:noProof/>
              </w:rPr>
              <w:t>Përmbledhje e Përgjithshme</w:t>
            </w:r>
            <w:r w:rsidR="009E3ABC">
              <w:rPr>
                <w:noProof/>
                <w:webHidden/>
              </w:rPr>
              <w:tab/>
            </w:r>
            <w:r w:rsidR="009E3ABC">
              <w:rPr>
                <w:noProof/>
                <w:webHidden/>
              </w:rPr>
              <w:fldChar w:fldCharType="begin"/>
            </w:r>
            <w:r w:rsidR="009E3ABC">
              <w:rPr>
                <w:noProof/>
                <w:webHidden/>
              </w:rPr>
              <w:instrText xml:space="preserve"> PAGEREF _Toc178434851 \h </w:instrText>
            </w:r>
            <w:r w:rsidR="009E3ABC">
              <w:rPr>
                <w:noProof/>
                <w:webHidden/>
              </w:rPr>
            </w:r>
            <w:r w:rsidR="009E3ABC">
              <w:rPr>
                <w:noProof/>
                <w:webHidden/>
              </w:rPr>
              <w:fldChar w:fldCharType="separate"/>
            </w:r>
            <w:r w:rsidR="009E3ABC">
              <w:rPr>
                <w:noProof/>
                <w:webHidden/>
              </w:rPr>
              <w:t>3</w:t>
            </w:r>
            <w:r w:rsidR="009E3ABC">
              <w:rPr>
                <w:noProof/>
                <w:webHidden/>
              </w:rPr>
              <w:fldChar w:fldCharType="end"/>
            </w:r>
          </w:hyperlink>
        </w:p>
        <w:p w:rsidR="009E3ABC" w:rsidRDefault="00D87C54">
          <w:pPr>
            <w:pStyle w:val="TOC1"/>
            <w:tabs>
              <w:tab w:val="left" w:pos="440"/>
              <w:tab w:val="right" w:leader="dot" w:pos="9350"/>
            </w:tabs>
            <w:rPr>
              <w:rFonts w:eastAsiaTheme="minorEastAsia"/>
              <w:noProof/>
              <w:kern w:val="2"/>
              <w:sz w:val="24"/>
              <w:szCs w:val="24"/>
              <w:lang w:val="en-US"/>
              <w14:ligatures w14:val="standardContextual"/>
            </w:rPr>
          </w:pPr>
          <w:hyperlink w:anchor="_Toc178434852" w:history="1">
            <w:r w:rsidR="009E3ABC" w:rsidRPr="00925FC6">
              <w:rPr>
                <w:rStyle w:val="Hyperlink"/>
                <w:rFonts w:asciiTheme="majorHAnsi" w:eastAsiaTheme="majorEastAsia" w:hAnsiTheme="majorHAnsi" w:cstheme="majorHAnsi"/>
                <w:b/>
                <w:noProof/>
              </w:rPr>
              <w:t>1.</w:t>
            </w:r>
            <w:r w:rsidR="009E3ABC">
              <w:rPr>
                <w:rFonts w:eastAsiaTheme="minorEastAsia"/>
                <w:noProof/>
                <w:kern w:val="2"/>
                <w:sz w:val="24"/>
                <w:szCs w:val="24"/>
                <w:lang w:val="en-US"/>
                <w14:ligatures w14:val="standardContextual"/>
              </w:rPr>
              <w:tab/>
            </w:r>
            <w:r w:rsidR="009E3ABC" w:rsidRPr="00925FC6">
              <w:rPr>
                <w:rStyle w:val="Hyperlink"/>
                <w:rFonts w:asciiTheme="majorHAnsi" w:eastAsiaTheme="majorEastAsia" w:hAnsiTheme="majorHAnsi" w:cstheme="majorHAnsi"/>
                <w:b/>
                <w:noProof/>
              </w:rPr>
              <w:t>Hyrje- Vlerësimi i performancës së k</w:t>
            </w:r>
            <w:r w:rsidR="00F429B6">
              <w:rPr>
                <w:rStyle w:val="Hyperlink"/>
                <w:rFonts w:asciiTheme="majorHAnsi" w:eastAsiaTheme="majorEastAsia" w:hAnsiTheme="majorHAnsi" w:cstheme="majorHAnsi"/>
                <w:b/>
                <w:noProof/>
              </w:rPr>
              <w:t>omunave për grantin e vitit 2026</w:t>
            </w:r>
            <w:r w:rsidR="009E3ABC">
              <w:rPr>
                <w:noProof/>
                <w:webHidden/>
              </w:rPr>
              <w:tab/>
            </w:r>
            <w:r w:rsidR="009E3ABC">
              <w:rPr>
                <w:noProof/>
                <w:webHidden/>
              </w:rPr>
              <w:fldChar w:fldCharType="begin"/>
            </w:r>
            <w:r w:rsidR="009E3ABC">
              <w:rPr>
                <w:noProof/>
                <w:webHidden/>
              </w:rPr>
              <w:instrText xml:space="preserve"> PAGEREF _Toc178434852 \h </w:instrText>
            </w:r>
            <w:r w:rsidR="009E3ABC">
              <w:rPr>
                <w:noProof/>
                <w:webHidden/>
              </w:rPr>
            </w:r>
            <w:r w:rsidR="009E3ABC">
              <w:rPr>
                <w:noProof/>
                <w:webHidden/>
              </w:rPr>
              <w:fldChar w:fldCharType="separate"/>
            </w:r>
            <w:r w:rsidR="009E3ABC">
              <w:rPr>
                <w:noProof/>
                <w:webHidden/>
              </w:rPr>
              <w:t>4</w:t>
            </w:r>
            <w:r w:rsidR="009E3ABC">
              <w:rPr>
                <w:noProof/>
                <w:webHidden/>
              </w:rPr>
              <w:fldChar w:fldCharType="end"/>
            </w:r>
          </w:hyperlink>
        </w:p>
        <w:p w:rsidR="009E3ABC" w:rsidRDefault="00D87C54">
          <w:pPr>
            <w:pStyle w:val="TOC1"/>
            <w:tabs>
              <w:tab w:val="left" w:pos="440"/>
              <w:tab w:val="right" w:leader="dot" w:pos="9350"/>
            </w:tabs>
            <w:rPr>
              <w:rFonts w:eastAsiaTheme="minorEastAsia"/>
              <w:noProof/>
              <w:kern w:val="2"/>
              <w:sz w:val="24"/>
              <w:szCs w:val="24"/>
              <w:lang w:val="en-US"/>
              <w14:ligatures w14:val="standardContextual"/>
            </w:rPr>
          </w:pPr>
          <w:hyperlink w:anchor="_Toc178434853" w:history="1">
            <w:r w:rsidR="009E3ABC" w:rsidRPr="00925FC6">
              <w:rPr>
                <w:rStyle w:val="Hyperlink"/>
                <w:rFonts w:asciiTheme="majorHAnsi" w:eastAsiaTheme="majorEastAsia" w:hAnsiTheme="majorHAnsi" w:cstheme="majorHAnsi"/>
                <w:b/>
                <w:noProof/>
              </w:rPr>
              <w:t>2.</w:t>
            </w:r>
            <w:r w:rsidR="009E3ABC">
              <w:rPr>
                <w:rFonts w:eastAsiaTheme="minorEastAsia"/>
                <w:noProof/>
                <w:kern w:val="2"/>
                <w:sz w:val="24"/>
                <w:szCs w:val="24"/>
                <w:lang w:val="en-US"/>
                <w14:ligatures w14:val="standardContextual"/>
              </w:rPr>
              <w:tab/>
            </w:r>
            <w:r w:rsidR="009E3ABC" w:rsidRPr="00925FC6">
              <w:rPr>
                <w:rStyle w:val="Hyperlink"/>
                <w:rFonts w:asciiTheme="majorHAnsi" w:eastAsiaTheme="majorEastAsia" w:hAnsiTheme="majorHAnsi" w:cstheme="majorHAnsi"/>
                <w:b/>
                <w:noProof/>
              </w:rPr>
              <w:t>Granti i perf</w:t>
            </w:r>
            <w:r w:rsidR="00FA7DD1">
              <w:rPr>
                <w:rStyle w:val="Hyperlink"/>
                <w:rFonts w:asciiTheme="majorHAnsi" w:eastAsiaTheme="majorEastAsia" w:hAnsiTheme="majorHAnsi" w:cstheme="majorHAnsi"/>
                <w:b/>
                <w:noProof/>
              </w:rPr>
              <w:t>ormancës komunale për vitin 2026</w:t>
            </w:r>
            <w:r w:rsidR="009E3ABC" w:rsidRPr="00925FC6">
              <w:rPr>
                <w:rStyle w:val="Hyperlink"/>
                <w:rFonts w:asciiTheme="majorHAnsi" w:eastAsiaTheme="majorEastAsia" w:hAnsiTheme="majorHAnsi" w:cstheme="majorHAnsi"/>
                <w:b/>
                <w:noProof/>
              </w:rPr>
              <w:t xml:space="preserve"> – Rezultatet e vlerësimit</w:t>
            </w:r>
            <w:r w:rsidR="009E3ABC">
              <w:rPr>
                <w:noProof/>
                <w:webHidden/>
              </w:rPr>
              <w:tab/>
            </w:r>
            <w:r w:rsidR="009E3ABC">
              <w:rPr>
                <w:noProof/>
                <w:webHidden/>
              </w:rPr>
              <w:fldChar w:fldCharType="begin"/>
            </w:r>
            <w:r w:rsidR="009E3ABC">
              <w:rPr>
                <w:noProof/>
                <w:webHidden/>
              </w:rPr>
              <w:instrText xml:space="preserve"> PAGEREF _Toc178434853 \h </w:instrText>
            </w:r>
            <w:r w:rsidR="009E3ABC">
              <w:rPr>
                <w:noProof/>
                <w:webHidden/>
              </w:rPr>
            </w:r>
            <w:r w:rsidR="009E3ABC">
              <w:rPr>
                <w:noProof/>
                <w:webHidden/>
              </w:rPr>
              <w:fldChar w:fldCharType="separate"/>
            </w:r>
            <w:r w:rsidR="009E3ABC">
              <w:rPr>
                <w:noProof/>
                <w:webHidden/>
              </w:rPr>
              <w:t>7</w:t>
            </w:r>
            <w:r w:rsidR="009E3ABC">
              <w:rPr>
                <w:noProof/>
                <w:webHidden/>
              </w:rPr>
              <w:fldChar w:fldCharType="end"/>
            </w:r>
          </w:hyperlink>
        </w:p>
        <w:p w:rsidR="009E3ABC" w:rsidRDefault="00D87C54">
          <w:pPr>
            <w:pStyle w:val="TOC1"/>
            <w:tabs>
              <w:tab w:val="right" w:leader="dot" w:pos="9350"/>
            </w:tabs>
            <w:rPr>
              <w:rFonts w:eastAsiaTheme="minorEastAsia"/>
              <w:noProof/>
              <w:kern w:val="2"/>
              <w:sz w:val="24"/>
              <w:szCs w:val="24"/>
              <w:lang w:val="en-US"/>
              <w14:ligatures w14:val="standardContextual"/>
            </w:rPr>
          </w:pPr>
          <w:hyperlink w:anchor="_Toc178434854" w:history="1">
            <w:r w:rsidR="009E3ABC" w:rsidRPr="00925FC6">
              <w:rPr>
                <w:rStyle w:val="Hyperlink"/>
                <w:rFonts w:asciiTheme="majorHAnsi" w:eastAsiaTheme="majorEastAsia" w:hAnsiTheme="majorHAnsi" w:cstheme="majorHAnsi"/>
                <w:b/>
                <w:noProof/>
              </w:rPr>
              <w:t>2.1 Rezultatet e kushteve minimale</w:t>
            </w:r>
            <w:r w:rsidR="009E3ABC">
              <w:rPr>
                <w:noProof/>
                <w:webHidden/>
              </w:rPr>
              <w:tab/>
            </w:r>
            <w:r w:rsidR="009E3ABC">
              <w:rPr>
                <w:noProof/>
                <w:webHidden/>
              </w:rPr>
              <w:fldChar w:fldCharType="begin"/>
            </w:r>
            <w:r w:rsidR="009E3ABC">
              <w:rPr>
                <w:noProof/>
                <w:webHidden/>
              </w:rPr>
              <w:instrText xml:space="preserve"> PAGEREF _Toc178434854 \h </w:instrText>
            </w:r>
            <w:r w:rsidR="009E3ABC">
              <w:rPr>
                <w:noProof/>
                <w:webHidden/>
              </w:rPr>
            </w:r>
            <w:r w:rsidR="009E3ABC">
              <w:rPr>
                <w:noProof/>
                <w:webHidden/>
              </w:rPr>
              <w:fldChar w:fldCharType="separate"/>
            </w:r>
            <w:r w:rsidR="009E3ABC">
              <w:rPr>
                <w:noProof/>
                <w:webHidden/>
              </w:rPr>
              <w:t>7</w:t>
            </w:r>
            <w:r w:rsidR="009E3ABC">
              <w:rPr>
                <w:noProof/>
                <w:webHidden/>
              </w:rPr>
              <w:fldChar w:fldCharType="end"/>
            </w:r>
          </w:hyperlink>
        </w:p>
        <w:p w:rsidR="009E3ABC" w:rsidRDefault="00D87C54">
          <w:pPr>
            <w:pStyle w:val="TOC1"/>
            <w:tabs>
              <w:tab w:val="right" w:leader="dot" w:pos="9350"/>
            </w:tabs>
            <w:rPr>
              <w:rFonts w:eastAsiaTheme="minorEastAsia"/>
              <w:noProof/>
              <w:kern w:val="2"/>
              <w:sz w:val="24"/>
              <w:szCs w:val="24"/>
              <w:lang w:val="en-US"/>
              <w14:ligatures w14:val="standardContextual"/>
            </w:rPr>
          </w:pPr>
          <w:hyperlink w:anchor="_Toc178434855" w:history="1">
            <w:r w:rsidR="009E3ABC" w:rsidRPr="00925FC6">
              <w:rPr>
                <w:rStyle w:val="Hyperlink"/>
                <w:rFonts w:asciiTheme="majorHAnsi" w:eastAsiaTheme="majorEastAsia" w:hAnsiTheme="majorHAnsi" w:cstheme="majorHAnsi"/>
                <w:b/>
                <w:noProof/>
              </w:rPr>
              <w:t>2.2 Rezultatet e treguesve të Grantit për Performancë Komunale</w:t>
            </w:r>
            <w:r w:rsidR="009E3ABC">
              <w:rPr>
                <w:noProof/>
                <w:webHidden/>
              </w:rPr>
              <w:tab/>
            </w:r>
            <w:r w:rsidR="009E3ABC">
              <w:rPr>
                <w:noProof/>
                <w:webHidden/>
              </w:rPr>
              <w:fldChar w:fldCharType="begin"/>
            </w:r>
            <w:r w:rsidR="009E3ABC">
              <w:rPr>
                <w:noProof/>
                <w:webHidden/>
              </w:rPr>
              <w:instrText xml:space="preserve"> PAGEREF _Toc178434855 \h </w:instrText>
            </w:r>
            <w:r w:rsidR="009E3ABC">
              <w:rPr>
                <w:noProof/>
                <w:webHidden/>
              </w:rPr>
            </w:r>
            <w:r w:rsidR="009E3ABC">
              <w:rPr>
                <w:noProof/>
                <w:webHidden/>
              </w:rPr>
              <w:fldChar w:fldCharType="separate"/>
            </w:r>
            <w:r w:rsidR="009E3ABC">
              <w:rPr>
                <w:noProof/>
                <w:webHidden/>
              </w:rPr>
              <w:t>9</w:t>
            </w:r>
            <w:r w:rsidR="009E3ABC">
              <w:rPr>
                <w:noProof/>
                <w:webHidden/>
              </w:rPr>
              <w:fldChar w:fldCharType="end"/>
            </w:r>
          </w:hyperlink>
        </w:p>
        <w:p w:rsidR="009E3ABC" w:rsidRDefault="00D87C54">
          <w:pPr>
            <w:pStyle w:val="TOC1"/>
            <w:tabs>
              <w:tab w:val="right" w:leader="dot" w:pos="9350"/>
            </w:tabs>
            <w:rPr>
              <w:rFonts w:eastAsiaTheme="minorEastAsia"/>
              <w:noProof/>
              <w:kern w:val="2"/>
              <w:sz w:val="24"/>
              <w:szCs w:val="24"/>
              <w:lang w:val="en-US"/>
              <w14:ligatures w14:val="standardContextual"/>
            </w:rPr>
          </w:pPr>
          <w:hyperlink w:anchor="_Toc178434856" w:history="1">
            <w:r w:rsidR="009E3ABC" w:rsidRPr="00925FC6">
              <w:rPr>
                <w:rStyle w:val="Hyperlink"/>
                <w:rFonts w:eastAsiaTheme="majorEastAsia" w:cstheme="majorHAnsi"/>
                <w:b/>
                <w:noProof/>
              </w:rPr>
              <w:t xml:space="preserve">2.2.1 </w:t>
            </w:r>
            <w:r w:rsidR="009E3ABC" w:rsidRPr="00925FC6">
              <w:rPr>
                <w:rStyle w:val="Hyperlink"/>
                <w:rFonts w:eastAsia="Times New Roman" w:cs="Calibri Light"/>
                <w:b/>
                <w:noProof/>
              </w:rPr>
              <w:t>Rezultatet e përgjithshme për treguesit e Grantit të Performancës Komunale</w:t>
            </w:r>
            <w:r w:rsidR="009E3ABC">
              <w:rPr>
                <w:noProof/>
                <w:webHidden/>
              </w:rPr>
              <w:tab/>
            </w:r>
            <w:r w:rsidR="009E3ABC">
              <w:rPr>
                <w:noProof/>
                <w:webHidden/>
              </w:rPr>
              <w:fldChar w:fldCharType="begin"/>
            </w:r>
            <w:r w:rsidR="009E3ABC">
              <w:rPr>
                <w:noProof/>
                <w:webHidden/>
              </w:rPr>
              <w:instrText xml:space="preserve"> PAGEREF _Toc178434856 \h </w:instrText>
            </w:r>
            <w:r w:rsidR="009E3ABC">
              <w:rPr>
                <w:noProof/>
                <w:webHidden/>
              </w:rPr>
            </w:r>
            <w:r w:rsidR="009E3ABC">
              <w:rPr>
                <w:noProof/>
                <w:webHidden/>
              </w:rPr>
              <w:fldChar w:fldCharType="separate"/>
            </w:r>
            <w:r w:rsidR="009E3ABC">
              <w:rPr>
                <w:noProof/>
                <w:webHidden/>
              </w:rPr>
              <w:t>9</w:t>
            </w:r>
            <w:r w:rsidR="009E3ABC">
              <w:rPr>
                <w:noProof/>
                <w:webHidden/>
              </w:rPr>
              <w:fldChar w:fldCharType="end"/>
            </w:r>
          </w:hyperlink>
        </w:p>
        <w:p w:rsidR="009E3ABC" w:rsidRDefault="00D87C54">
          <w:pPr>
            <w:pStyle w:val="TOC1"/>
            <w:tabs>
              <w:tab w:val="right" w:leader="dot" w:pos="9350"/>
            </w:tabs>
            <w:rPr>
              <w:rFonts w:eastAsiaTheme="minorEastAsia"/>
              <w:noProof/>
              <w:kern w:val="2"/>
              <w:sz w:val="24"/>
              <w:szCs w:val="24"/>
              <w:lang w:val="en-US"/>
              <w14:ligatures w14:val="standardContextual"/>
            </w:rPr>
          </w:pPr>
          <w:hyperlink w:anchor="_Toc178434857" w:history="1">
            <w:r w:rsidR="009E3ABC" w:rsidRPr="00925FC6">
              <w:rPr>
                <w:rStyle w:val="Hyperlink"/>
                <w:rFonts w:eastAsiaTheme="majorEastAsia" w:cstheme="majorHAnsi"/>
                <w:b/>
                <w:noProof/>
              </w:rPr>
              <w:t>2.2.2  Rezultatet për treguesit e GPK-së në fusha dhe nën fusha</w:t>
            </w:r>
            <w:r w:rsidR="009E3ABC">
              <w:rPr>
                <w:noProof/>
                <w:webHidden/>
              </w:rPr>
              <w:tab/>
            </w:r>
            <w:r w:rsidR="009E3ABC">
              <w:rPr>
                <w:noProof/>
                <w:webHidden/>
              </w:rPr>
              <w:fldChar w:fldCharType="begin"/>
            </w:r>
            <w:r w:rsidR="009E3ABC">
              <w:rPr>
                <w:noProof/>
                <w:webHidden/>
              </w:rPr>
              <w:instrText xml:space="preserve"> PAGEREF _Toc178434857 \h </w:instrText>
            </w:r>
            <w:r w:rsidR="009E3ABC">
              <w:rPr>
                <w:noProof/>
                <w:webHidden/>
              </w:rPr>
            </w:r>
            <w:r w:rsidR="009E3ABC">
              <w:rPr>
                <w:noProof/>
                <w:webHidden/>
              </w:rPr>
              <w:fldChar w:fldCharType="separate"/>
            </w:r>
            <w:r w:rsidR="009E3ABC">
              <w:rPr>
                <w:noProof/>
                <w:webHidden/>
              </w:rPr>
              <w:t>12</w:t>
            </w:r>
            <w:r w:rsidR="009E3ABC">
              <w:rPr>
                <w:noProof/>
                <w:webHidden/>
              </w:rPr>
              <w:fldChar w:fldCharType="end"/>
            </w:r>
          </w:hyperlink>
        </w:p>
        <w:p w:rsidR="009E3ABC" w:rsidRDefault="00D87C54">
          <w:pPr>
            <w:pStyle w:val="TOC1"/>
            <w:tabs>
              <w:tab w:val="right" w:leader="dot" w:pos="9350"/>
            </w:tabs>
            <w:rPr>
              <w:rFonts w:eastAsiaTheme="minorEastAsia"/>
              <w:noProof/>
              <w:kern w:val="2"/>
              <w:sz w:val="24"/>
              <w:szCs w:val="24"/>
              <w:lang w:val="en-US"/>
              <w14:ligatures w14:val="standardContextual"/>
            </w:rPr>
          </w:pPr>
          <w:hyperlink w:anchor="_Toc178434858" w:history="1">
            <w:r w:rsidR="009E3ABC" w:rsidRPr="00925FC6">
              <w:rPr>
                <w:rStyle w:val="Hyperlink"/>
                <w:rFonts w:eastAsiaTheme="majorEastAsia" w:cstheme="majorHAnsi"/>
                <w:b/>
                <w:noProof/>
              </w:rPr>
              <w:t>2.2.2.1 Performanca e GPK-së në fushën Qeverisja Demokratike</w:t>
            </w:r>
            <w:r w:rsidR="009E3ABC">
              <w:rPr>
                <w:noProof/>
                <w:webHidden/>
              </w:rPr>
              <w:tab/>
            </w:r>
            <w:r w:rsidR="009E3ABC">
              <w:rPr>
                <w:noProof/>
                <w:webHidden/>
              </w:rPr>
              <w:fldChar w:fldCharType="begin"/>
            </w:r>
            <w:r w:rsidR="009E3ABC">
              <w:rPr>
                <w:noProof/>
                <w:webHidden/>
              </w:rPr>
              <w:instrText xml:space="preserve"> PAGEREF _Toc178434858 \h </w:instrText>
            </w:r>
            <w:r w:rsidR="009E3ABC">
              <w:rPr>
                <w:noProof/>
                <w:webHidden/>
              </w:rPr>
            </w:r>
            <w:r w:rsidR="009E3ABC">
              <w:rPr>
                <w:noProof/>
                <w:webHidden/>
              </w:rPr>
              <w:fldChar w:fldCharType="separate"/>
            </w:r>
            <w:r w:rsidR="009E3ABC">
              <w:rPr>
                <w:noProof/>
                <w:webHidden/>
              </w:rPr>
              <w:t>13</w:t>
            </w:r>
            <w:r w:rsidR="009E3ABC">
              <w:rPr>
                <w:noProof/>
                <w:webHidden/>
              </w:rPr>
              <w:fldChar w:fldCharType="end"/>
            </w:r>
          </w:hyperlink>
        </w:p>
        <w:p w:rsidR="009E3ABC" w:rsidRDefault="00D87C54">
          <w:pPr>
            <w:pStyle w:val="TOC1"/>
            <w:tabs>
              <w:tab w:val="right" w:leader="dot" w:pos="9350"/>
            </w:tabs>
            <w:rPr>
              <w:rFonts w:eastAsiaTheme="minorEastAsia"/>
              <w:noProof/>
              <w:kern w:val="2"/>
              <w:sz w:val="24"/>
              <w:szCs w:val="24"/>
              <w:lang w:val="en-US"/>
              <w14:ligatures w14:val="standardContextual"/>
            </w:rPr>
          </w:pPr>
          <w:hyperlink w:anchor="_Toc178434859" w:history="1">
            <w:r w:rsidR="009E3ABC" w:rsidRPr="00925FC6">
              <w:rPr>
                <w:rStyle w:val="Hyperlink"/>
                <w:rFonts w:eastAsiaTheme="majorEastAsia" w:cstheme="majorHAnsi"/>
                <w:b/>
                <w:noProof/>
              </w:rPr>
              <w:t>2.2.2.2 Performanca e GPK-së në fushën “Menaxhimi Komunal”</w:t>
            </w:r>
            <w:r w:rsidR="009E3ABC">
              <w:rPr>
                <w:noProof/>
                <w:webHidden/>
              </w:rPr>
              <w:tab/>
            </w:r>
            <w:r w:rsidR="009E3ABC">
              <w:rPr>
                <w:noProof/>
                <w:webHidden/>
              </w:rPr>
              <w:fldChar w:fldCharType="begin"/>
            </w:r>
            <w:r w:rsidR="009E3ABC">
              <w:rPr>
                <w:noProof/>
                <w:webHidden/>
              </w:rPr>
              <w:instrText xml:space="preserve"> PAGEREF _Toc178434859 \h </w:instrText>
            </w:r>
            <w:r w:rsidR="009E3ABC">
              <w:rPr>
                <w:noProof/>
                <w:webHidden/>
              </w:rPr>
            </w:r>
            <w:r w:rsidR="009E3ABC">
              <w:rPr>
                <w:noProof/>
                <w:webHidden/>
              </w:rPr>
              <w:fldChar w:fldCharType="separate"/>
            </w:r>
            <w:r w:rsidR="009E3ABC">
              <w:rPr>
                <w:noProof/>
                <w:webHidden/>
              </w:rPr>
              <w:t>14</w:t>
            </w:r>
            <w:r w:rsidR="009E3ABC">
              <w:rPr>
                <w:noProof/>
                <w:webHidden/>
              </w:rPr>
              <w:fldChar w:fldCharType="end"/>
            </w:r>
          </w:hyperlink>
        </w:p>
        <w:p w:rsidR="009E3ABC" w:rsidRDefault="00D87C54">
          <w:pPr>
            <w:pStyle w:val="TOC1"/>
            <w:tabs>
              <w:tab w:val="right" w:leader="dot" w:pos="9350"/>
            </w:tabs>
            <w:rPr>
              <w:rFonts w:eastAsiaTheme="minorEastAsia"/>
              <w:noProof/>
              <w:kern w:val="2"/>
              <w:sz w:val="24"/>
              <w:szCs w:val="24"/>
              <w:lang w:val="en-US"/>
              <w14:ligatures w14:val="standardContextual"/>
            </w:rPr>
          </w:pPr>
          <w:hyperlink w:anchor="_Toc178434860" w:history="1">
            <w:r w:rsidR="009E3ABC" w:rsidRPr="00925FC6">
              <w:rPr>
                <w:rStyle w:val="Hyperlink"/>
                <w:rFonts w:eastAsiaTheme="majorEastAsia" w:cstheme="majorHAnsi"/>
                <w:b/>
                <w:noProof/>
              </w:rPr>
              <w:t>2.2.2.3 Performanca e GPK-së në fushën “Ofrimi i shërbimeve”</w:t>
            </w:r>
            <w:r w:rsidR="009E3ABC">
              <w:rPr>
                <w:noProof/>
                <w:webHidden/>
              </w:rPr>
              <w:tab/>
            </w:r>
            <w:r w:rsidR="009E3ABC">
              <w:rPr>
                <w:noProof/>
                <w:webHidden/>
              </w:rPr>
              <w:fldChar w:fldCharType="begin"/>
            </w:r>
            <w:r w:rsidR="009E3ABC">
              <w:rPr>
                <w:noProof/>
                <w:webHidden/>
              </w:rPr>
              <w:instrText xml:space="preserve"> PAGEREF _Toc178434860 \h </w:instrText>
            </w:r>
            <w:r w:rsidR="009E3ABC">
              <w:rPr>
                <w:noProof/>
                <w:webHidden/>
              </w:rPr>
            </w:r>
            <w:r w:rsidR="009E3ABC">
              <w:rPr>
                <w:noProof/>
                <w:webHidden/>
              </w:rPr>
              <w:fldChar w:fldCharType="separate"/>
            </w:r>
            <w:r w:rsidR="009E3ABC">
              <w:rPr>
                <w:noProof/>
                <w:webHidden/>
              </w:rPr>
              <w:t>15</w:t>
            </w:r>
            <w:r w:rsidR="009E3ABC">
              <w:rPr>
                <w:noProof/>
                <w:webHidden/>
              </w:rPr>
              <w:fldChar w:fldCharType="end"/>
            </w:r>
          </w:hyperlink>
        </w:p>
        <w:p w:rsidR="009E3ABC" w:rsidRDefault="00D87C54">
          <w:pPr>
            <w:pStyle w:val="TOC1"/>
            <w:tabs>
              <w:tab w:val="right" w:leader="dot" w:pos="9350"/>
            </w:tabs>
            <w:rPr>
              <w:rFonts w:eastAsiaTheme="minorEastAsia"/>
              <w:noProof/>
              <w:kern w:val="2"/>
              <w:sz w:val="24"/>
              <w:szCs w:val="24"/>
              <w:lang w:val="en-US"/>
              <w14:ligatures w14:val="standardContextual"/>
            </w:rPr>
          </w:pPr>
          <w:hyperlink w:anchor="_Toc178434861" w:history="1">
            <w:r w:rsidR="009E3ABC" w:rsidRPr="00925FC6">
              <w:rPr>
                <w:rStyle w:val="Hyperlink"/>
                <w:rFonts w:eastAsiaTheme="majorEastAsia" w:cstheme="majorHAnsi"/>
                <w:b/>
                <w:noProof/>
              </w:rPr>
              <w:t>2.2.3  Rezultatet në treguesit e GPK-së</w:t>
            </w:r>
            <w:r w:rsidR="009E3ABC">
              <w:rPr>
                <w:noProof/>
                <w:webHidden/>
              </w:rPr>
              <w:tab/>
            </w:r>
            <w:r w:rsidR="009E3ABC">
              <w:rPr>
                <w:noProof/>
                <w:webHidden/>
              </w:rPr>
              <w:fldChar w:fldCharType="begin"/>
            </w:r>
            <w:r w:rsidR="009E3ABC">
              <w:rPr>
                <w:noProof/>
                <w:webHidden/>
              </w:rPr>
              <w:instrText xml:space="preserve"> PAGEREF _Toc178434861 \h </w:instrText>
            </w:r>
            <w:r w:rsidR="009E3ABC">
              <w:rPr>
                <w:noProof/>
                <w:webHidden/>
              </w:rPr>
            </w:r>
            <w:r w:rsidR="009E3ABC">
              <w:rPr>
                <w:noProof/>
                <w:webHidden/>
              </w:rPr>
              <w:fldChar w:fldCharType="separate"/>
            </w:r>
            <w:r w:rsidR="009E3ABC">
              <w:rPr>
                <w:noProof/>
                <w:webHidden/>
              </w:rPr>
              <w:t>16</w:t>
            </w:r>
            <w:r w:rsidR="009E3ABC">
              <w:rPr>
                <w:noProof/>
                <w:webHidden/>
              </w:rPr>
              <w:fldChar w:fldCharType="end"/>
            </w:r>
          </w:hyperlink>
        </w:p>
        <w:p w:rsidR="009E3ABC" w:rsidRDefault="00D87C54">
          <w:pPr>
            <w:pStyle w:val="TOC1"/>
            <w:tabs>
              <w:tab w:val="right" w:leader="dot" w:pos="9350"/>
            </w:tabs>
            <w:rPr>
              <w:rFonts w:eastAsiaTheme="minorEastAsia"/>
              <w:noProof/>
              <w:kern w:val="2"/>
              <w:sz w:val="24"/>
              <w:szCs w:val="24"/>
              <w:lang w:val="en-US"/>
              <w14:ligatures w14:val="standardContextual"/>
            </w:rPr>
          </w:pPr>
          <w:hyperlink w:anchor="_Toc178434862" w:history="1">
            <w:r w:rsidR="009E3ABC" w:rsidRPr="00925FC6">
              <w:rPr>
                <w:rStyle w:val="Hyperlink"/>
                <w:rFonts w:asciiTheme="majorHAnsi" w:eastAsiaTheme="majorEastAsia" w:hAnsiTheme="majorHAnsi" w:cstheme="majorHAnsi"/>
                <w:b/>
                <w:noProof/>
              </w:rPr>
              <w:t>2.2.3 Granti i perf</w:t>
            </w:r>
            <w:r w:rsidR="00F429B6">
              <w:rPr>
                <w:rStyle w:val="Hyperlink"/>
                <w:rFonts w:asciiTheme="majorHAnsi" w:eastAsiaTheme="majorEastAsia" w:hAnsiTheme="majorHAnsi" w:cstheme="majorHAnsi"/>
                <w:b/>
                <w:noProof/>
              </w:rPr>
              <w:t>ormancës komunale për vitin 2026</w:t>
            </w:r>
            <w:r w:rsidR="009E3ABC" w:rsidRPr="00925FC6">
              <w:rPr>
                <w:rStyle w:val="Hyperlink"/>
                <w:rFonts w:asciiTheme="majorHAnsi" w:eastAsiaTheme="majorEastAsia" w:hAnsiTheme="majorHAnsi" w:cstheme="majorHAnsi"/>
                <w:b/>
                <w:noProof/>
              </w:rPr>
              <w:t xml:space="preserve"> – shumat e grantit</w:t>
            </w:r>
            <w:r w:rsidR="009E3ABC">
              <w:rPr>
                <w:noProof/>
                <w:webHidden/>
              </w:rPr>
              <w:tab/>
            </w:r>
            <w:r w:rsidR="009E3ABC">
              <w:rPr>
                <w:noProof/>
                <w:webHidden/>
              </w:rPr>
              <w:fldChar w:fldCharType="begin"/>
            </w:r>
            <w:r w:rsidR="009E3ABC">
              <w:rPr>
                <w:noProof/>
                <w:webHidden/>
              </w:rPr>
              <w:instrText xml:space="preserve"> PAGEREF _Toc178434862 \h </w:instrText>
            </w:r>
            <w:r w:rsidR="009E3ABC">
              <w:rPr>
                <w:noProof/>
                <w:webHidden/>
              </w:rPr>
            </w:r>
            <w:r w:rsidR="009E3ABC">
              <w:rPr>
                <w:noProof/>
                <w:webHidden/>
              </w:rPr>
              <w:fldChar w:fldCharType="separate"/>
            </w:r>
            <w:r w:rsidR="009E3ABC">
              <w:rPr>
                <w:noProof/>
                <w:webHidden/>
              </w:rPr>
              <w:t>18</w:t>
            </w:r>
            <w:r w:rsidR="009E3ABC">
              <w:rPr>
                <w:noProof/>
                <w:webHidden/>
              </w:rPr>
              <w:fldChar w:fldCharType="end"/>
            </w:r>
          </w:hyperlink>
        </w:p>
        <w:p w:rsidR="009E3ABC" w:rsidRDefault="00D87C54">
          <w:pPr>
            <w:pStyle w:val="TOC1"/>
            <w:tabs>
              <w:tab w:val="right" w:leader="dot" w:pos="9350"/>
            </w:tabs>
            <w:rPr>
              <w:rFonts w:eastAsiaTheme="minorEastAsia"/>
              <w:noProof/>
              <w:kern w:val="2"/>
              <w:sz w:val="24"/>
              <w:szCs w:val="24"/>
              <w:lang w:val="en-US"/>
              <w14:ligatures w14:val="standardContextual"/>
            </w:rPr>
          </w:pPr>
          <w:hyperlink w:anchor="_Toc178434863" w:history="1">
            <w:r w:rsidR="009E3ABC" w:rsidRPr="00925FC6">
              <w:rPr>
                <w:rStyle w:val="Hyperlink"/>
                <w:rFonts w:asciiTheme="majorHAnsi" w:eastAsiaTheme="majorEastAsia" w:hAnsiTheme="majorHAnsi" w:cstheme="majorHAnsi"/>
                <w:b/>
                <w:noProof/>
              </w:rPr>
              <w:t>Shtojca 1 Vlerësimi i kushteve minimale</w:t>
            </w:r>
            <w:r w:rsidR="009E3ABC">
              <w:rPr>
                <w:noProof/>
                <w:webHidden/>
              </w:rPr>
              <w:tab/>
            </w:r>
            <w:r w:rsidR="009E3ABC">
              <w:rPr>
                <w:noProof/>
                <w:webHidden/>
              </w:rPr>
              <w:fldChar w:fldCharType="begin"/>
            </w:r>
            <w:r w:rsidR="009E3ABC">
              <w:rPr>
                <w:noProof/>
                <w:webHidden/>
              </w:rPr>
              <w:instrText xml:space="preserve"> PAGEREF _Toc178434863 \h </w:instrText>
            </w:r>
            <w:r w:rsidR="009E3ABC">
              <w:rPr>
                <w:noProof/>
                <w:webHidden/>
              </w:rPr>
            </w:r>
            <w:r w:rsidR="009E3ABC">
              <w:rPr>
                <w:noProof/>
                <w:webHidden/>
              </w:rPr>
              <w:fldChar w:fldCharType="separate"/>
            </w:r>
            <w:r w:rsidR="009E3ABC">
              <w:rPr>
                <w:noProof/>
                <w:webHidden/>
              </w:rPr>
              <w:t>19</w:t>
            </w:r>
            <w:r w:rsidR="009E3ABC">
              <w:rPr>
                <w:noProof/>
                <w:webHidden/>
              </w:rPr>
              <w:fldChar w:fldCharType="end"/>
            </w:r>
          </w:hyperlink>
        </w:p>
        <w:p w:rsidR="009E3ABC" w:rsidRDefault="00D87C54">
          <w:pPr>
            <w:pStyle w:val="TOC1"/>
            <w:tabs>
              <w:tab w:val="right" w:leader="dot" w:pos="9350"/>
            </w:tabs>
            <w:rPr>
              <w:rFonts w:eastAsiaTheme="minorEastAsia"/>
              <w:noProof/>
              <w:kern w:val="2"/>
              <w:sz w:val="24"/>
              <w:szCs w:val="24"/>
              <w:lang w:val="en-US"/>
              <w14:ligatures w14:val="standardContextual"/>
            </w:rPr>
          </w:pPr>
          <w:hyperlink w:anchor="_Toc178434864" w:history="1">
            <w:r w:rsidR="009E3ABC" w:rsidRPr="00925FC6">
              <w:rPr>
                <w:rStyle w:val="Hyperlink"/>
                <w:rFonts w:asciiTheme="majorHAnsi" w:eastAsiaTheme="majorEastAsia" w:hAnsiTheme="majorHAnsi" w:cstheme="majorHAnsi"/>
                <w:b/>
                <w:noProof/>
              </w:rPr>
              <w:t>Shtojca 2 Vlerësimi i treguesve të GPK-së, sipas fushave, nenfushave, treguesve</w:t>
            </w:r>
            <w:r w:rsidR="009E3ABC">
              <w:rPr>
                <w:noProof/>
                <w:webHidden/>
              </w:rPr>
              <w:tab/>
            </w:r>
            <w:r w:rsidR="009E3ABC">
              <w:rPr>
                <w:noProof/>
                <w:webHidden/>
              </w:rPr>
              <w:fldChar w:fldCharType="begin"/>
            </w:r>
            <w:r w:rsidR="009E3ABC">
              <w:rPr>
                <w:noProof/>
                <w:webHidden/>
              </w:rPr>
              <w:instrText xml:space="preserve"> PAGEREF _Toc178434864 \h </w:instrText>
            </w:r>
            <w:r w:rsidR="009E3ABC">
              <w:rPr>
                <w:noProof/>
                <w:webHidden/>
              </w:rPr>
            </w:r>
            <w:r w:rsidR="009E3ABC">
              <w:rPr>
                <w:noProof/>
                <w:webHidden/>
              </w:rPr>
              <w:fldChar w:fldCharType="separate"/>
            </w:r>
            <w:r w:rsidR="009E3ABC">
              <w:rPr>
                <w:noProof/>
                <w:webHidden/>
              </w:rPr>
              <w:t>20</w:t>
            </w:r>
            <w:r w:rsidR="009E3ABC">
              <w:rPr>
                <w:noProof/>
                <w:webHidden/>
              </w:rPr>
              <w:fldChar w:fldCharType="end"/>
            </w:r>
          </w:hyperlink>
        </w:p>
        <w:p w:rsidR="009E3ABC" w:rsidRDefault="00D87C54">
          <w:pPr>
            <w:pStyle w:val="TOC1"/>
            <w:tabs>
              <w:tab w:val="right" w:leader="dot" w:pos="9350"/>
            </w:tabs>
            <w:rPr>
              <w:rFonts w:eastAsiaTheme="minorEastAsia"/>
              <w:noProof/>
              <w:kern w:val="2"/>
              <w:sz w:val="24"/>
              <w:szCs w:val="24"/>
              <w:lang w:val="en-US"/>
              <w14:ligatures w14:val="standardContextual"/>
            </w:rPr>
          </w:pPr>
          <w:hyperlink w:anchor="_Toc178434865" w:history="1">
            <w:r w:rsidR="009E3ABC" w:rsidRPr="00925FC6">
              <w:rPr>
                <w:rStyle w:val="Hyperlink"/>
                <w:rFonts w:asciiTheme="majorHAnsi" w:eastAsiaTheme="majorEastAsia" w:hAnsiTheme="majorHAnsi" w:cstheme="majorHAnsi"/>
                <w:b/>
                <w:noProof/>
              </w:rPr>
              <w:t>Shtojca 3  Alokimi i Grantit</w:t>
            </w:r>
            <w:r w:rsidR="009E3ABC">
              <w:rPr>
                <w:noProof/>
                <w:webHidden/>
              </w:rPr>
              <w:tab/>
            </w:r>
            <w:r w:rsidR="009E3ABC">
              <w:rPr>
                <w:noProof/>
                <w:webHidden/>
              </w:rPr>
              <w:fldChar w:fldCharType="begin"/>
            </w:r>
            <w:r w:rsidR="009E3ABC">
              <w:rPr>
                <w:noProof/>
                <w:webHidden/>
              </w:rPr>
              <w:instrText xml:space="preserve"> PAGEREF _Toc178434865 \h </w:instrText>
            </w:r>
            <w:r w:rsidR="009E3ABC">
              <w:rPr>
                <w:noProof/>
                <w:webHidden/>
              </w:rPr>
            </w:r>
            <w:r w:rsidR="009E3ABC">
              <w:rPr>
                <w:noProof/>
                <w:webHidden/>
              </w:rPr>
              <w:fldChar w:fldCharType="separate"/>
            </w:r>
            <w:r w:rsidR="009E3ABC">
              <w:rPr>
                <w:noProof/>
                <w:webHidden/>
              </w:rPr>
              <w:t>24</w:t>
            </w:r>
            <w:r w:rsidR="009E3ABC">
              <w:rPr>
                <w:noProof/>
                <w:webHidden/>
              </w:rPr>
              <w:fldChar w:fldCharType="end"/>
            </w:r>
          </w:hyperlink>
        </w:p>
        <w:p w:rsidR="009E3ABC" w:rsidRDefault="00D87C54">
          <w:pPr>
            <w:pStyle w:val="TOC1"/>
            <w:tabs>
              <w:tab w:val="right" w:leader="dot" w:pos="9350"/>
            </w:tabs>
            <w:rPr>
              <w:rFonts w:eastAsiaTheme="minorEastAsia"/>
              <w:noProof/>
              <w:kern w:val="2"/>
              <w:sz w:val="24"/>
              <w:szCs w:val="24"/>
              <w:lang w:val="en-US"/>
              <w14:ligatures w14:val="standardContextual"/>
            </w:rPr>
          </w:pPr>
          <w:hyperlink w:anchor="_Toc178434866" w:history="1">
            <w:r w:rsidR="009E3ABC" w:rsidRPr="00925FC6">
              <w:rPr>
                <w:rStyle w:val="Hyperlink"/>
                <w:rFonts w:asciiTheme="majorHAnsi" w:eastAsiaTheme="majorEastAsia" w:hAnsiTheme="majorHAnsi" w:cstheme="majorHAnsi"/>
                <w:b/>
                <w:noProof/>
              </w:rPr>
              <w:t>Shtojca 4  Përmbledhje e rezultatit të performancës individuale të komunave</w:t>
            </w:r>
            <w:r w:rsidR="009E3ABC">
              <w:rPr>
                <w:noProof/>
                <w:webHidden/>
              </w:rPr>
              <w:tab/>
            </w:r>
            <w:r w:rsidR="009E3ABC">
              <w:rPr>
                <w:noProof/>
                <w:webHidden/>
              </w:rPr>
              <w:fldChar w:fldCharType="begin"/>
            </w:r>
            <w:r w:rsidR="009E3ABC">
              <w:rPr>
                <w:noProof/>
                <w:webHidden/>
              </w:rPr>
              <w:instrText xml:space="preserve"> PAGEREF _Toc178434866 \h </w:instrText>
            </w:r>
            <w:r w:rsidR="009E3ABC">
              <w:rPr>
                <w:noProof/>
                <w:webHidden/>
              </w:rPr>
            </w:r>
            <w:r w:rsidR="009E3ABC">
              <w:rPr>
                <w:noProof/>
                <w:webHidden/>
              </w:rPr>
              <w:fldChar w:fldCharType="separate"/>
            </w:r>
            <w:r w:rsidR="009E3ABC">
              <w:rPr>
                <w:noProof/>
                <w:webHidden/>
              </w:rPr>
              <w:t>26</w:t>
            </w:r>
            <w:r w:rsidR="009E3ABC">
              <w:rPr>
                <w:noProof/>
                <w:webHidden/>
              </w:rPr>
              <w:fldChar w:fldCharType="end"/>
            </w:r>
          </w:hyperlink>
        </w:p>
        <w:p w:rsidR="009E3ABC" w:rsidRDefault="00D87C54">
          <w:pPr>
            <w:pStyle w:val="TOC1"/>
            <w:tabs>
              <w:tab w:val="right" w:leader="dot" w:pos="9350"/>
            </w:tabs>
            <w:rPr>
              <w:rFonts w:eastAsiaTheme="minorEastAsia"/>
              <w:noProof/>
              <w:kern w:val="2"/>
              <w:sz w:val="24"/>
              <w:szCs w:val="24"/>
              <w:lang w:val="en-US"/>
              <w14:ligatures w14:val="standardContextual"/>
            </w:rPr>
          </w:pPr>
          <w:hyperlink w:anchor="_Toc178434867" w:history="1">
            <w:r w:rsidR="009E3ABC" w:rsidRPr="00925FC6">
              <w:rPr>
                <w:rStyle w:val="Hyperlink"/>
                <w:rFonts w:asciiTheme="majorHAnsi" w:eastAsiaTheme="majorEastAsia" w:hAnsiTheme="majorHAnsi" w:cstheme="majorHAnsi"/>
                <w:b/>
                <w:noProof/>
              </w:rPr>
              <w:t>Shtojca 5  Granti i perf</w:t>
            </w:r>
            <w:r w:rsidR="00746758">
              <w:rPr>
                <w:rStyle w:val="Hyperlink"/>
                <w:rFonts w:asciiTheme="majorHAnsi" w:eastAsiaTheme="majorEastAsia" w:hAnsiTheme="majorHAnsi" w:cstheme="majorHAnsi"/>
                <w:b/>
                <w:noProof/>
              </w:rPr>
              <w:t>ormancës komunale për vitin 2026</w:t>
            </w:r>
            <w:r w:rsidR="009E3ABC" w:rsidRPr="00925FC6">
              <w:rPr>
                <w:rStyle w:val="Hyperlink"/>
                <w:rFonts w:asciiTheme="majorHAnsi" w:eastAsiaTheme="majorEastAsia" w:hAnsiTheme="majorHAnsi" w:cstheme="majorHAnsi"/>
                <w:b/>
                <w:noProof/>
              </w:rPr>
              <w:t>-Metodologjia e vlerësimit</w:t>
            </w:r>
            <w:r w:rsidR="009E3ABC">
              <w:rPr>
                <w:noProof/>
                <w:webHidden/>
              </w:rPr>
              <w:tab/>
            </w:r>
            <w:r w:rsidR="009E3ABC">
              <w:rPr>
                <w:noProof/>
                <w:webHidden/>
              </w:rPr>
              <w:fldChar w:fldCharType="begin"/>
            </w:r>
            <w:r w:rsidR="009E3ABC">
              <w:rPr>
                <w:noProof/>
                <w:webHidden/>
              </w:rPr>
              <w:instrText xml:space="preserve"> PAGEREF _Toc178434867 \h </w:instrText>
            </w:r>
            <w:r w:rsidR="009E3ABC">
              <w:rPr>
                <w:noProof/>
                <w:webHidden/>
              </w:rPr>
            </w:r>
            <w:r w:rsidR="009E3ABC">
              <w:rPr>
                <w:noProof/>
                <w:webHidden/>
              </w:rPr>
              <w:fldChar w:fldCharType="separate"/>
            </w:r>
            <w:r w:rsidR="009E3ABC">
              <w:rPr>
                <w:noProof/>
                <w:webHidden/>
              </w:rPr>
              <w:t>64</w:t>
            </w:r>
            <w:r w:rsidR="009E3ABC">
              <w:rPr>
                <w:noProof/>
                <w:webHidden/>
              </w:rPr>
              <w:fldChar w:fldCharType="end"/>
            </w:r>
          </w:hyperlink>
        </w:p>
        <w:p w:rsidR="00BA5A40" w:rsidRPr="00111DBA" w:rsidRDefault="00BA5A40">
          <w:r w:rsidRPr="00111DBA">
            <w:rPr>
              <w:b/>
              <w:bCs/>
              <w:noProof/>
            </w:rPr>
            <w:fldChar w:fldCharType="end"/>
          </w:r>
        </w:p>
      </w:sdtContent>
    </w:sdt>
    <w:p w:rsidR="00BA5A40" w:rsidRDefault="00BA5A40" w:rsidP="00A076F0">
      <w:pPr>
        <w:jc w:val="center"/>
      </w:pPr>
    </w:p>
    <w:p w:rsidR="00BA5A40" w:rsidRDefault="00BA5A40">
      <w:r>
        <w:br w:type="page"/>
      </w:r>
    </w:p>
    <w:p w:rsidR="008B3F3C" w:rsidRDefault="008B3F3C"/>
    <w:p w:rsidR="008B3F3C" w:rsidRDefault="008B3F3C"/>
    <w:p w:rsidR="008B3F3C" w:rsidRPr="00DB0421" w:rsidRDefault="008B3F3C" w:rsidP="00DB0421">
      <w:pPr>
        <w:keepNext/>
        <w:shd w:val="clear" w:color="auto" w:fill="215E99" w:themeFill="text2" w:themeFillTint="BF"/>
        <w:tabs>
          <w:tab w:val="left" w:pos="540"/>
        </w:tabs>
        <w:spacing w:after="0" w:line="240" w:lineRule="auto"/>
        <w:outlineLvl w:val="0"/>
        <w:rPr>
          <w:rFonts w:asciiTheme="majorHAnsi" w:eastAsiaTheme="majorEastAsia" w:hAnsiTheme="majorHAnsi" w:cstheme="majorHAnsi"/>
          <w:b/>
          <w:color w:val="FFFFFF" w:themeColor="background1"/>
          <w:sz w:val="30"/>
          <w:szCs w:val="30"/>
        </w:rPr>
      </w:pPr>
      <w:bookmarkStart w:id="2" w:name="_Toc178434851"/>
      <w:r w:rsidRPr="00DB0421">
        <w:rPr>
          <w:rFonts w:asciiTheme="majorHAnsi" w:eastAsiaTheme="majorEastAsia" w:hAnsiTheme="majorHAnsi" w:cstheme="majorHAnsi"/>
          <w:b/>
          <w:color w:val="FFFFFF" w:themeColor="background1"/>
          <w:sz w:val="30"/>
          <w:szCs w:val="30"/>
        </w:rPr>
        <w:t>Përmbledhje e Përgjithshme</w:t>
      </w:r>
      <w:bookmarkEnd w:id="2"/>
    </w:p>
    <w:p w:rsidR="008B3F3C" w:rsidRDefault="008B3F3C" w:rsidP="008B3F3C">
      <w:pPr>
        <w:jc w:val="both"/>
      </w:pPr>
    </w:p>
    <w:p w:rsidR="008B3F3C" w:rsidRPr="00485642" w:rsidRDefault="008B3F3C" w:rsidP="008B3F3C">
      <w:pPr>
        <w:jc w:val="both"/>
        <w:rPr>
          <w:color w:val="0E2841" w:themeColor="text2"/>
          <w:kern w:val="2"/>
          <w14:ligatures w14:val="standardContextual"/>
        </w:rPr>
      </w:pPr>
      <w:r w:rsidRPr="00485642">
        <w:rPr>
          <w:b/>
          <w:bCs/>
          <w:color w:val="0E2841" w:themeColor="text2"/>
          <w:kern w:val="2"/>
          <w14:ligatures w14:val="standardContextual"/>
        </w:rPr>
        <w:t>Granti për Performancë të Komunave</w:t>
      </w:r>
      <w:r w:rsidRPr="00485642">
        <w:rPr>
          <w:color w:val="0E2841" w:themeColor="text2"/>
          <w:kern w:val="2"/>
          <w14:ligatures w14:val="standardContextual"/>
        </w:rPr>
        <w:t xml:space="preserve"> ofrohet në formë të përkrahjes financiare për komunat dhe ka për qëllim stimulimin e tyre që të përmirësojnë performancën në fushën e qeverisjes lokale demokratike, menaxhimit komunal dhe ofrimit të shërbimeve. </w:t>
      </w:r>
    </w:p>
    <w:p w:rsidR="008B3F3C" w:rsidRPr="00485642" w:rsidRDefault="008B3F3C" w:rsidP="008B3F3C">
      <w:pPr>
        <w:jc w:val="both"/>
        <w:rPr>
          <w:color w:val="0E2841" w:themeColor="text2"/>
          <w:kern w:val="2"/>
          <w14:ligatures w14:val="standardContextual"/>
        </w:rPr>
      </w:pPr>
      <w:r w:rsidRPr="00485642">
        <w:rPr>
          <w:color w:val="0E2841" w:themeColor="text2"/>
          <w:kern w:val="2"/>
          <w14:ligatures w14:val="standardContextual"/>
        </w:rPr>
        <w:t>Granti për Performancë komunale p</w:t>
      </w:r>
      <w:r w:rsidRPr="00485642">
        <w:rPr>
          <w:rFonts w:eastAsia="Segoe UI Symbol"/>
          <w:color w:val="0E2841" w:themeColor="text2"/>
          <w:kern w:val="2"/>
          <w14:ligatures w14:val="standardContextual"/>
        </w:rPr>
        <w:t xml:space="preserve">ër vitin </w:t>
      </w:r>
      <w:r w:rsidR="00BE4CC3" w:rsidRPr="00485642">
        <w:rPr>
          <w:rFonts w:eastAsia="Segoe UI Symbol"/>
          <w:color w:val="0E2841" w:themeColor="text2"/>
          <w:kern w:val="2"/>
          <w14:ligatures w14:val="standardContextual"/>
        </w:rPr>
        <w:t xml:space="preserve">fiskal </w:t>
      </w:r>
      <w:r w:rsidRPr="00485642">
        <w:rPr>
          <w:rFonts w:eastAsia="Segoe UI Symbol"/>
          <w:color w:val="0E2841" w:themeColor="text2"/>
          <w:kern w:val="2"/>
          <w14:ligatures w14:val="standardContextual"/>
        </w:rPr>
        <w:t>202</w:t>
      </w:r>
      <w:r w:rsidR="00062DF8">
        <w:rPr>
          <w:rFonts w:eastAsia="Segoe UI Symbol"/>
          <w:color w:val="0E2841" w:themeColor="text2"/>
          <w:kern w:val="2"/>
          <w14:ligatures w14:val="standardContextual"/>
        </w:rPr>
        <w:t>6</w:t>
      </w:r>
      <w:r w:rsidR="0074602F" w:rsidRPr="00485642">
        <w:rPr>
          <w:rFonts w:eastAsia="Segoe UI Symbol"/>
          <w:color w:val="0E2841" w:themeColor="text2"/>
          <w:kern w:val="2"/>
          <w14:ligatures w14:val="standardContextual"/>
        </w:rPr>
        <w:t>, bazuar në performancën e vitit 202</w:t>
      </w:r>
      <w:r w:rsidR="00062DF8">
        <w:rPr>
          <w:rFonts w:eastAsia="Segoe UI Symbol"/>
          <w:color w:val="0E2841" w:themeColor="text2"/>
          <w:kern w:val="2"/>
          <w14:ligatures w14:val="standardContextual"/>
        </w:rPr>
        <w:t>4</w:t>
      </w:r>
      <w:r w:rsidRPr="00485642">
        <w:rPr>
          <w:rFonts w:eastAsia="Segoe UI Symbol"/>
          <w:color w:val="0E2841" w:themeColor="text2"/>
          <w:kern w:val="2"/>
          <w14:ligatures w14:val="standardContextual"/>
        </w:rPr>
        <w:t xml:space="preserve"> ka </w:t>
      </w:r>
      <w:r w:rsidRPr="00AB64EB">
        <w:rPr>
          <w:rFonts w:eastAsia="Segoe UI Symbol"/>
          <w:color w:val="0E2841" w:themeColor="text2"/>
          <w:kern w:val="2"/>
          <w14:ligatures w14:val="standardContextual"/>
        </w:rPr>
        <w:t xml:space="preserve">vlerë </w:t>
      </w:r>
      <w:r w:rsidR="00F50BB7">
        <w:rPr>
          <w:rFonts w:eastAsia="Segoe UI Symbol"/>
          <w:color w:val="0E2841" w:themeColor="text2"/>
          <w:kern w:val="2"/>
          <w14:ligatures w14:val="standardContextual"/>
        </w:rPr>
        <w:t>3</w:t>
      </w:r>
      <w:r w:rsidR="00094925" w:rsidRPr="00AB64EB">
        <w:rPr>
          <w:rFonts w:eastAsia="Segoe UI Symbol"/>
          <w:color w:val="0E2841" w:themeColor="text2"/>
          <w:kern w:val="2"/>
          <w14:ligatures w14:val="standardContextual"/>
        </w:rPr>
        <w:t>,</w:t>
      </w:r>
      <w:r w:rsidR="00F50BB7">
        <w:rPr>
          <w:rFonts w:eastAsia="Segoe UI Symbol"/>
          <w:color w:val="0E2841" w:themeColor="text2"/>
          <w:kern w:val="2"/>
          <w14:ligatures w14:val="standardContextual"/>
        </w:rPr>
        <w:t>1</w:t>
      </w:r>
      <w:r w:rsidR="00094925" w:rsidRPr="00AB64EB">
        <w:rPr>
          <w:rFonts w:eastAsia="Segoe UI Symbol"/>
          <w:color w:val="0E2841" w:themeColor="text2"/>
          <w:kern w:val="2"/>
          <w14:ligatures w14:val="standardContextual"/>
        </w:rPr>
        <w:t>1</w:t>
      </w:r>
      <w:r w:rsidR="00F50BB7">
        <w:rPr>
          <w:rFonts w:eastAsia="Segoe UI Symbol"/>
          <w:color w:val="0E2841" w:themeColor="text2"/>
          <w:kern w:val="2"/>
          <w14:ligatures w14:val="standardContextual"/>
        </w:rPr>
        <w:t>0,000</w:t>
      </w:r>
      <w:r w:rsidRPr="00AB64EB">
        <w:rPr>
          <w:rFonts w:eastAsia="Segoe UI Symbol"/>
          <w:color w:val="0E2841" w:themeColor="text2"/>
          <w:kern w:val="2"/>
          <w14:ligatures w14:val="standardContextual"/>
        </w:rPr>
        <w:t xml:space="preserve"> milion euro dhe</w:t>
      </w:r>
      <w:r w:rsidRPr="00AB64EB">
        <w:rPr>
          <w:color w:val="0E2841" w:themeColor="text2"/>
          <w:kern w:val="2"/>
          <w14:ligatures w14:val="standardContextual"/>
        </w:rPr>
        <w:t xml:space="preserve"> </w:t>
      </w:r>
      <w:r w:rsidR="00802468" w:rsidRPr="00AB64EB">
        <w:rPr>
          <w:color w:val="0E2841" w:themeColor="text2"/>
          <w:kern w:val="2"/>
          <w14:ligatures w14:val="standardContextual"/>
        </w:rPr>
        <w:t>bashkë</w:t>
      </w:r>
      <w:r w:rsidRPr="00AB64EB">
        <w:rPr>
          <w:color w:val="0E2841" w:themeColor="text2"/>
          <w:kern w:val="2"/>
          <w14:ligatures w14:val="standardContextual"/>
        </w:rPr>
        <w:t>-financohet nga Ministria e Administrimit të Pushtetit Lokal (MAPL), Bashkimi</w:t>
      </w:r>
      <w:r w:rsidRPr="00485642">
        <w:rPr>
          <w:color w:val="0E2841" w:themeColor="text2"/>
          <w:kern w:val="2"/>
          <w14:ligatures w14:val="standardContextual"/>
        </w:rPr>
        <w:t xml:space="preserve"> Europian, Zvicrra dhe Suedia.  </w:t>
      </w:r>
    </w:p>
    <w:p w:rsidR="008B3F3C" w:rsidRPr="00485642" w:rsidRDefault="008B3F3C" w:rsidP="008B3F3C">
      <w:pPr>
        <w:jc w:val="both"/>
        <w:rPr>
          <w:color w:val="0E2841" w:themeColor="text2"/>
          <w:kern w:val="2"/>
          <w14:ligatures w14:val="standardContextual"/>
        </w:rPr>
      </w:pPr>
      <w:r w:rsidRPr="00485642">
        <w:rPr>
          <w:color w:val="0E2841" w:themeColor="text2"/>
          <w:kern w:val="2"/>
          <w14:ligatures w14:val="standardContextual"/>
        </w:rPr>
        <w:t>Qasje në këtë Grant kanë të gjitha komunat e Kosovës. Megjithatë, përfituese të këtij Granti janë komunat që plotësojnë kushtet minimale. Për të gjitha komunat që kanë plotësuar kushtet minimale, shuma e grantit që merr secila komunë bazohet në performancën e arritur në treguesit e performancës në krahasim me performancën e të gjitha komunave të tjera, si dhe elemente të tjera të kritereve të vlerësimit. Për performanc</w:t>
      </w:r>
      <w:r w:rsidR="00ED17BF" w:rsidRPr="00485642">
        <w:rPr>
          <w:color w:val="0E2841" w:themeColor="text2"/>
          <w:kern w:val="2"/>
          <w14:ligatures w14:val="standardContextual"/>
        </w:rPr>
        <w:t>ë</w:t>
      </w:r>
      <w:r w:rsidRPr="00485642">
        <w:rPr>
          <w:color w:val="0E2841" w:themeColor="text2"/>
          <w:kern w:val="2"/>
          <w14:ligatures w14:val="standardContextual"/>
        </w:rPr>
        <w:t>n e vitit 202</w:t>
      </w:r>
      <w:r w:rsidR="00094925">
        <w:rPr>
          <w:color w:val="0E2841" w:themeColor="text2"/>
          <w:kern w:val="2"/>
          <w14:ligatures w14:val="standardContextual"/>
        </w:rPr>
        <w:t>4</w:t>
      </w:r>
      <w:r w:rsidRPr="00485642">
        <w:rPr>
          <w:color w:val="0E2841" w:themeColor="text2"/>
          <w:kern w:val="2"/>
          <w14:ligatures w14:val="standardContextual"/>
        </w:rPr>
        <w:t>, janë vlerësuar 2</w:t>
      </w:r>
      <w:r w:rsidR="00094925">
        <w:rPr>
          <w:color w:val="0E2841" w:themeColor="text2"/>
          <w:kern w:val="2"/>
          <w14:ligatures w14:val="standardContextual"/>
        </w:rPr>
        <w:t>9</w:t>
      </w:r>
      <w:r w:rsidRPr="00485642">
        <w:rPr>
          <w:color w:val="0E2841" w:themeColor="text2"/>
          <w:kern w:val="2"/>
          <w14:ligatures w14:val="standardContextual"/>
        </w:rPr>
        <w:t xml:space="preserve"> tregues, ndërsa numri maksimal i pikëve është 9</w:t>
      </w:r>
      <w:r w:rsidR="00094925">
        <w:rPr>
          <w:color w:val="0E2841" w:themeColor="text2"/>
          <w:kern w:val="2"/>
          <w14:ligatures w14:val="standardContextual"/>
        </w:rPr>
        <w:t>8</w:t>
      </w:r>
      <w:r w:rsidRPr="00485642">
        <w:rPr>
          <w:color w:val="0E2841" w:themeColor="text2"/>
          <w:kern w:val="2"/>
          <w14:ligatures w14:val="standardContextual"/>
        </w:rPr>
        <w:t xml:space="preserve"> pikë.</w:t>
      </w:r>
    </w:p>
    <w:p w:rsidR="008B3F3C" w:rsidRPr="00485642" w:rsidRDefault="00094925" w:rsidP="008B3F3C">
      <w:pPr>
        <w:jc w:val="both"/>
        <w:rPr>
          <w:color w:val="0E2841" w:themeColor="text2"/>
          <w:kern w:val="2"/>
          <w14:ligatures w14:val="standardContextual"/>
        </w:rPr>
      </w:pPr>
      <w:bookmarkStart w:id="3" w:name="_Hlk175059741"/>
      <w:r w:rsidRPr="00AB64EB">
        <w:rPr>
          <w:color w:val="0E2841" w:themeColor="text2"/>
          <w:kern w:val="2"/>
          <w14:ligatures w14:val="standardContextual"/>
        </w:rPr>
        <w:t>Nga 38 komunat e vlerësuara 5 komuna apo 13.15% kanë përmbushur katër kushtet minimale dhe do të  janë komuna përfituese të grantit të per</w:t>
      </w:r>
      <w:r w:rsidR="00592ACC" w:rsidRPr="00AB64EB">
        <w:rPr>
          <w:color w:val="0E2841" w:themeColor="text2"/>
          <w:kern w:val="2"/>
          <w14:ligatures w14:val="standardContextual"/>
        </w:rPr>
        <w:t>formancës komunale në vitin 2026</w:t>
      </w:r>
      <w:r w:rsidRPr="00AB64EB">
        <w:rPr>
          <w:color w:val="0E2841" w:themeColor="text2"/>
          <w:kern w:val="2"/>
          <w14:ligatures w14:val="standardContextual"/>
        </w:rPr>
        <w:t>. Komunat përfituese janë komuna e Dragashit, Klinës, Rahovecit, Mamushës dhe Parteshit</w:t>
      </w:r>
      <w:r w:rsidR="008B3F3C" w:rsidRPr="00AB64EB">
        <w:rPr>
          <w:color w:val="0E2841" w:themeColor="text2"/>
          <w:kern w:val="2"/>
          <w14:ligatures w14:val="standardContextual"/>
        </w:rPr>
        <w:t>.</w:t>
      </w:r>
      <w:r w:rsidR="008B3F3C" w:rsidRPr="00485642">
        <w:rPr>
          <w:color w:val="0E2841" w:themeColor="text2"/>
          <w:kern w:val="2"/>
          <w14:ligatures w14:val="standardContextual"/>
        </w:rPr>
        <w:t xml:space="preserve"> </w:t>
      </w:r>
    </w:p>
    <w:bookmarkEnd w:id="3"/>
    <w:p w:rsidR="00094925" w:rsidRPr="00485642" w:rsidRDefault="00094925" w:rsidP="00094925">
      <w:pPr>
        <w:jc w:val="both"/>
        <w:rPr>
          <w:color w:val="0E2841" w:themeColor="text2"/>
          <w:kern w:val="2"/>
          <w14:ligatures w14:val="standardContextual"/>
        </w:rPr>
      </w:pPr>
      <w:r w:rsidRPr="00485642">
        <w:rPr>
          <w:color w:val="0E2841" w:themeColor="text2"/>
          <w:kern w:val="2"/>
          <w14:ligatures w14:val="standardContextual"/>
        </w:rPr>
        <w:t>Për performancën e vitit 202</w:t>
      </w:r>
      <w:r>
        <w:rPr>
          <w:color w:val="0E2841" w:themeColor="text2"/>
          <w:kern w:val="2"/>
          <w14:ligatures w14:val="standardContextual"/>
        </w:rPr>
        <w:t>4</w:t>
      </w:r>
      <w:r w:rsidRPr="00485642">
        <w:rPr>
          <w:color w:val="0E2841" w:themeColor="text2"/>
          <w:kern w:val="2"/>
          <w14:ligatures w14:val="standardContextual"/>
        </w:rPr>
        <w:t xml:space="preserve"> kanë raportuar vetëm 3</w:t>
      </w:r>
      <w:r>
        <w:rPr>
          <w:color w:val="0E2841" w:themeColor="text2"/>
          <w:kern w:val="2"/>
          <w14:ligatures w14:val="standardContextual"/>
        </w:rPr>
        <w:t>3</w:t>
      </w:r>
      <w:r w:rsidRPr="00485642">
        <w:rPr>
          <w:color w:val="0E2841" w:themeColor="text2"/>
          <w:kern w:val="2"/>
          <w14:ligatures w14:val="standardContextual"/>
        </w:rPr>
        <w:t xml:space="preserve"> komuna. Mirëpo, ne kemi vlerësuar 38 komuna dhe performanca e përgjithshme e të gjitha komunave </w:t>
      </w:r>
      <w:r>
        <w:rPr>
          <w:color w:val="0E2841" w:themeColor="text2"/>
          <w:kern w:val="2"/>
          <w14:ligatures w14:val="standardContextual"/>
        </w:rPr>
        <w:t>41.</w:t>
      </w:r>
      <w:r w:rsidR="00592ACC">
        <w:rPr>
          <w:color w:val="0E2841" w:themeColor="text2"/>
          <w:kern w:val="2"/>
          <w14:ligatures w14:val="standardContextual"/>
        </w:rPr>
        <w:t>8</w:t>
      </w:r>
      <w:r w:rsidRPr="00485642">
        <w:rPr>
          <w:color w:val="0E2841" w:themeColor="text2"/>
          <w:kern w:val="2"/>
          <w14:ligatures w14:val="standardContextual"/>
        </w:rPr>
        <w:t xml:space="preserve">% </w:t>
      </w:r>
      <w:r w:rsidRPr="00AB64EB">
        <w:rPr>
          <w:color w:val="0E2841" w:themeColor="text2"/>
          <w:kern w:val="2"/>
          <w14:ligatures w14:val="standardContextual"/>
        </w:rPr>
        <w:t>(</w:t>
      </w:r>
      <w:r w:rsidR="00592ACC" w:rsidRPr="00AB64EB">
        <w:rPr>
          <w:color w:val="0E2841" w:themeColor="text2"/>
          <w:kern w:val="2"/>
          <w14:ligatures w14:val="standardContextual"/>
        </w:rPr>
        <w:t xml:space="preserve">40.9 </w:t>
      </w:r>
      <w:r w:rsidRPr="00AB64EB">
        <w:rPr>
          <w:color w:val="0E2841" w:themeColor="text2"/>
          <w:kern w:val="2"/>
          <w14:ligatures w14:val="standardContextual"/>
        </w:rPr>
        <w:t xml:space="preserve"> pikë nga gjithsej 98 pikë të mundshme), ndërsa performanca mesatare e komunave që janë kualifikuar për grantin e performancës </w:t>
      </w:r>
      <w:r w:rsidR="00592ACC" w:rsidRPr="00AB64EB">
        <w:rPr>
          <w:color w:val="0E2841" w:themeColor="text2"/>
          <w:kern w:val="2"/>
          <w14:ligatures w14:val="standardContextual"/>
        </w:rPr>
        <w:t>komunale është 46.3</w:t>
      </w:r>
      <w:r w:rsidRPr="00AB64EB">
        <w:rPr>
          <w:color w:val="0E2841" w:themeColor="text2"/>
          <w:kern w:val="2"/>
          <w14:ligatures w14:val="standardContextual"/>
        </w:rPr>
        <w:t>% (45.4 pikë nga gjithsej 98 pikë të mundshme).</w:t>
      </w:r>
    </w:p>
    <w:p w:rsidR="00094925" w:rsidRDefault="00094925" w:rsidP="008B3F3C">
      <w:pPr>
        <w:jc w:val="both"/>
        <w:rPr>
          <w:color w:val="0E2841" w:themeColor="text2"/>
          <w:kern w:val="2"/>
          <w14:ligatures w14:val="standardContextual"/>
        </w:rPr>
      </w:pPr>
      <w:r w:rsidRPr="00AB64EB">
        <w:rPr>
          <w:color w:val="0E2841" w:themeColor="text2"/>
          <w:kern w:val="2"/>
          <w14:ligatures w14:val="standardContextual"/>
        </w:rPr>
        <w:t>Komuna me performancën më të lartë në 29 treguesit e performancës së vitit 2024 është Komuna e Gllogovcit. Rezultati i përgjithshëm i performancës së Komunës së Gllogovcit është 7</w:t>
      </w:r>
      <w:r w:rsidR="00592ACC" w:rsidRPr="00AB64EB">
        <w:rPr>
          <w:color w:val="0E2841" w:themeColor="text2"/>
          <w:kern w:val="2"/>
          <w14:ligatures w14:val="standardContextual"/>
        </w:rPr>
        <w:t>5 nga 98 pikë të mundshme (76.5</w:t>
      </w:r>
      <w:r w:rsidRPr="00AB64EB">
        <w:rPr>
          <w:color w:val="0E2841" w:themeColor="text2"/>
          <w:kern w:val="2"/>
          <w14:ligatures w14:val="standardContextual"/>
        </w:rPr>
        <w:t>%). Ndërsa, komuna me performancë më të ulët është komuna e Novobërdes me performancë 2 pikë apo 2.04%.</w:t>
      </w:r>
      <w:r w:rsidRPr="00094925">
        <w:rPr>
          <w:color w:val="0E2841" w:themeColor="text2"/>
          <w:kern w:val="2"/>
          <w14:ligatures w14:val="standardContextual"/>
        </w:rPr>
        <w:t xml:space="preserve"> </w:t>
      </w:r>
    </w:p>
    <w:p w:rsidR="00094925" w:rsidRPr="00AB64EB" w:rsidRDefault="00094925" w:rsidP="008B3F3C">
      <w:pPr>
        <w:jc w:val="both"/>
        <w:rPr>
          <w:rFonts w:ascii="Ebrima" w:hAnsi="Ebrima"/>
          <w:color w:val="0E2841" w:themeColor="text2"/>
          <w:kern w:val="2"/>
          <w:lang w:val="en-US" w:eastAsia="ja-JP"/>
          <w14:ligatures w14:val="standardContextual"/>
        </w:rPr>
      </w:pPr>
      <w:r w:rsidRPr="00AB64EB">
        <w:rPr>
          <w:color w:val="0E2841" w:themeColor="text2"/>
          <w:kern w:val="2"/>
          <w14:ligatures w14:val="standardContextual"/>
        </w:rPr>
        <w:t>5 komunat përfituese kanë arritur një performancë të përgjithshme ndërmjet 11 (11.2</w:t>
      </w:r>
      <w:r w:rsidR="00592ACC" w:rsidRPr="00AB64EB">
        <w:rPr>
          <w:color w:val="0E2841" w:themeColor="text2"/>
          <w:kern w:val="2"/>
          <w14:ligatures w14:val="standardContextual"/>
        </w:rPr>
        <w:t>%) dhe 72 pikëve (73.4</w:t>
      </w:r>
      <w:r w:rsidRPr="00AB64EB">
        <w:rPr>
          <w:color w:val="0E2841" w:themeColor="text2"/>
          <w:kern w:val="2"/>
          <w14:ligatures w14:val="standardContextual"/>
        </w:rPr>
        <w:t xml:space="preserve">%). </w:t>
      </w:r>
      <w:r w:rsidR="00592ACC" w:rsidRPr="00AB64EB">
        <w:rPr>
          <w:color w:val="0E2841" w:themeColor="text2"/>
          <w:kern w:val="2"/>
          <w14:ligatures w14:val="standardContextual"/>
        </w:rPr>
        <w:t>Nga komunat përfituese, performancën më të lartë ka pasur komuna e Rahovecit (</w:t>
      </w:r>
      <w:r w:rsidR="00550E54" w:rsidRPr="00AB64EB">
        <w:rPr>
          <w:color w:val="0E2841" w:themeColor="text2"/>
          <w:kern w:val="2"/>
          <w14:ligatures w14:val="standardContextual"/>
        </w:rPr>
        <w:t>72 nga 98 pikë të mundshme ose 73.4%). Ndërsa performancën m</w:t>
      </w:r>
      <w:r w:rsidR="00550E54" w:rsidRPr="00AB64EB">
        <w:rPr>
          <w:color w:val="0E2841" w:themeColor="text2"/>
          <w:kern w:val="2"/>
          <w:lang w:val="en-US" w:eastAsia="ja-JP"/>
          <w14:ligatures w14:val="standardContextual"/>
        </w:rPr>
        <w:t xml:space="preserve">ë të ulët ka pasur komuna e Parteshit (11 nga </w:t>
      </w:r>
      <w:r w:rsidR="00550E54" w:rsidRPr="00AB64EB">
        <w:rPr>
          <w:color w:val="0E2841" w:themeColor="text2"/>
          <w:kern w:val="2"/>
          <w14:ligatures w14:val="standardContextual"/>
        </w:rPr>
        <w:t>98 pikë të mundshme ose 11.2%).</w:t>
      </w:r>
    </w:p>
    <w:p w:rsidR="001E5B2F" w:rsidRPr="00AB64EB" w:rsidRDefault="001E5B2F" w:rsidP="008B3F3C">
      <w:pPr>
        <w:jc w:val="both"/>
        <w:rPr>
          <w:color w:val="0E2841" w:themeColor="text2"/>
          <w:kern w:val="2"/>
          <w14:ligatures w14:val="standardContextual"/>
        </w:rPr>
      </w:pPr>
      <w:r w:rsidRPr="00AB64EB">
        <w:rPr>
          <w:color w:val="0E2841" w:themeColor="text2"/>
          <w:kern w:val="2"/>
          <w14:ligatures w14:val="standardContextual"/>
        </w:rPr>
        <w:t xml:space="preserve">Shuma më e lartë e Grantit të fituar </w:t>
      </w:r>
      <w:r w:rsidR="00BB4C7B" w:rsidRPr="00AB64EB">
        <w:rPr>
          <w:color w:val="0E2841" w:themeColor="text2"/>
          <w:kern w:val="2"/>
          <w14:ligatures w14:val="standardContextual"/>
        </w:rPr>
        <w:t>për vitin fiskal</w:t>
      </w:r>
      <w:r w:rsidR="00120CB1" w:rsidRPr="00AB64EB">
        <w:rPr>
          <w:color w:val="0E2841" w:themeColor="text2"/>
          <w:kern w:val="2"/>
          <w14:ligatures w14:val="standardContextual"/>
        </w:rPr>
        <w:t xml:space="preserve"> 202</w:t>
      </w:r>
      <w:r w:rsidR="00094925" w:rsidRPr="00AB64EB">
        <w:rPr>
          <w:color w:val="0E2841" w:themeColor="text2"/>
          <w:kern w:val="2"/>
          <w14:ligatures w14:val="standardContextual"/>
        </w:rPr>
        <w:t>6</w:t>
      </w:r>
      <w:r w:rsidR="00BB4C7B" w:rsidRPr="00AB64EB">
        <w:rPr>
          <w:color w:val="0E2841" w:themeColor="text2"/>
          <w:kern w:val="2"/>
          <w14:ligatures w14:val="standardContextual"/>
        </w:rPr>
        <w:t xml:space="preserve"> </w:t>
      </w:r>
      <w:r w:rsidRPr="00AB64EB">
        <w:rPr>
          <w:color w:val="0E2841" w:themeColor="text2"/>
          <w:kern w:val="2"/>
          <w14:ligatures w14:val="standardContextual"/>
        </w:rPr>
        <w:t>është</w:t>
      </w:r>
      <w:r w:rsidR="00BB4C7B" w:rsidRPr="00AB64EB">
        <w:rPr>
          <w:color w:val="0E2841" w:themeColor="text2"/>
          <w:kern w:val="2"/>
          <w14:ligatures w14:val="standardContextual"/>
        </w:rPr>
        <w:t xml:space="preserve"> </w:t>
      </w:r>
      <w:r w:rsidR="00D071C6" w:rsidRPr="00D071C6">
        <w:rPr>
          <w:color w:val="0E2841" w:themeColor="text2"/>
          <w:kern w:val="2"/>
          <w14:ligatures w14:val="standardContextual"/>
        </w:rPr>
        <w:t xml:space="preserve">1,195,982.20 </w:t>
      </w:r>
      <w:r w:rsidR="00BC5E2B" w:rsidRPr="00AB64EB">
        <w:rPr>
          <w:color w:val="0E2841" w:themeColor="text2"/>
          <w:kern w:val="2"/>
          <w14:ligatures w14:val="standardContextual"/>
        </w:rPr>
        <w:t xml:space="preserve"> </w:t>
      </w:r>
      <w:r w:rsidR="00BB4C7B" w:rsidRPr="00AB64EB">
        <w:rPr>
          <w:color w:val="0E2841" w:themeColor="text2"/>
          <w:kern w:val="2"/>
          <w14:ligatures w14:val="standardContextual"/>
        </w:rPr>
        <w:t>euro e përfituar nga Komun</w:t>
      </w:r>
      <w:r w:rsidR="00377C99" w:rsidRPr="00AB64EB">
        <w:rPr>
          <w:color w:val="0E2841" w:themeColor="text2"/>
          <w:kern w:val="2"/>
          <w14:ligatures w14:val="standardContextual"/>
        </w:rPr>
        <w:t>a</w:t>
      </w:r>
      <w:r w:rsidR="00BB4C7B" w:rsidRPr="00AB64EB">
        <w:rPr>
          <w:color w:val="0E2841" w:themeColor="text2"/>
          <w:kern w:val="2"/>
          <w14:ligatures w14:val="standardContextual"/>
        </w:rPr>
        <w:t xml:space="preserve"> e </w:t>
      </w:r>
      <w:r w:rsidR="00550E54" w:rsidRPr="00AB64EB">
        <w:rPr>
          <w:color w:val="0E2841" w:themeColor="text2"/>
          <w:kern w:val="2"/>
          <w14:ligatures w14:val="standardContextual"/>
        </w:rPr>
        <w:t xml:space="preserve">Rahovecit </w:t>
      </w:r>
      <w:r w:rsidR="00BC5E2B" w:rsidRPr="00AB64EB">
        <w:rPr>
          <w:color w:val="0E2841" w:themeColor="text2"/>
          <w:kern w:val="2"/>
          <w14:ligatures w14:val="standardContextual"/>
        </w:rPr>
        <w:t xml:space="preserve">, </w:t>
      </w:r>
      <w:r w:rsidRPr="00AB64EB">
        <w:rPr>
          <w:color w:val="0E2841" w:themeColor="text2"/>
          <w:kern w:val="2"/>
          <w14:ligatures w14:val="standardContextual"/>
        </w:rPr>
        <w:t>ndërsa më e ul</w:t>
      </w:r>
      <w:r w:rsidR="00377C99" w:rsidRPr="00AB64EB">
        <w:rPr>
          <w:color w:val="0E2841" w:themeColor="text2"/>
          <w:kern w:val="2"/>
          <w14:ligatures w14:val="standardContextual"/>
        </w:rPr>
        <w:t>ë</w:t>
      </w:r>
      <w:r w:rsidRPr="00AB64EB">
        <w:rPr>
          <w:color w:val="0E2841" w:themeColor="text2"/>
          <w:kern w:val="2"/>
          <w14:ligatures w14:val="standardContextual"/>
        </w:rPr>
        <w:t>ta</w:t>
      </w:r>
      <w:r w:rsidR="00BB4C7B" w:rsidRPr="00AB64EB">
        <w:rPr>
          <w:color w:val="0E2841" w:themeColor="text2"/>
          <w:kern w:val="2"/>
          <w14:ligatures w14:val="standardContextual"/>
        </w:rPr>
        <w:t xml:space="preserve"> </w:t>
      </w:r>
      <w:r w:rsidR="00D071C6" w:rsidRPr="00D071C6">
        <w:rPr>
          <w:color w:val="0E2841" w:themeColor="text2"/>
          <w:kern w:val="2"/>
          <w14:ligatures w14:val="standardContextual"/>
        </w:rPr>
        <w:t xml:space="preserve">25,262.00 </w:t>
      </w:r>
      <w:r w:rsidR="00BB4C7B" w:rsidRPr="00AB64EB">
        <w:rPr>
          <w:color w:val="0E2841" w:themeColor="text2"/>
          <w:kern w:val="2"/>
          <w14:ligatures w14:val="standardContextual"/>
        </w:rPr>
        <w:t>euro</w:t>
      </w:r>
      <w:r w:rsidR="00377C99" w:rsidRPr="00AB64EB">
        <w:rPr>
          <w:color w:val="0E2841" w:themeColor="text2"/>
          <w:kern w:val="2"/>
          <w14:ligatures w14:val="standardContextual"/>
        </w:rPr>
        <w:t>,</w:t>
      </w:r>
      <w:r w:rsidR="00BB4C7B" w:rsidRPr="00AB64EB">
        <w:rPr>
          <w:color w:val="0E2841" w:themeColor="text2"/>
          <w:kern w:val="2"/>
          <w14:ligatures w14:val="standardContextual"/>
        </w:rPr>
        <w:t xml:space="preserve"> përfitu</w:t>
      </w:r>
      <w:r w:rsidR="00377C99" w:rsidRPr="00AB64EB">
        <w:rPr>
          <w:color w:val="0E2841" w:themeColor="text2"/>
          <w:kern w:val="2"/>
          <w14:ligatures w14:val="standardContextual"/>
        </w:rPr>
        <w:t>ar nga</w:t>
      </w:r>
      <w:r w:rsidR="00BB4C7B" w:rsidRPr="00AB64EB">
        <w:rPr>
          <w:color w:val="0E2841" w:themeColor="text2"/>
          <w:kern w:val="2"/>
          <w14:ligatures w14:val="standardContextual"/>
        </w:rPr>
        <w:t xml:space="preserve"> komuna e </w:t>
      </w:r>
      <w:r w:rsidR="00550E54" w:rsidRPr="00AB64EB">
        <w:rPr>
          <w:color w:val="0E2841" w:themeColor="text2"/>
          <w:kern w:val="2"/>
          <w14:ligatures w14:val="standardContextual"/>
        </w:rPr>
        <w:t>Parteshit</w:t>
      </w:r>
      <w:r w:rsidR="00BB4C7B" w:rsidRPr="00AB64EB">
        <w:rPr>
          <w:color w:val="0E2841" w:themeColor="text2"/>
          <w:kern w:val="2"/>
          <w14:ligatures w14:val="standardContextual"/>
        </w:rPr>
        <w:t xml:space="preserve">.  </w:t>
      </w:r>
    </w:p>
    <w:p w:rsidR="001E5B2F" w:rsidRPr="00FB122F" w:rsidRDefault="001E5B2F" w:rsidP="008B3F3C">
      <w:pPr>
        <w:jc w:val="both"/>
        <w:rPr>
          <w:color w:val="0E2841" w:themeColor="text2"/>
          <w:kern w:val="2"/>
          <w14:ligatures w14:val="standardContextual"/>
        </w:rPr>
      </w:pPr>
      <w:r w:rsidRPr="00AB64EB">
        <w:rPr>
          <w:color w:val="0E2841" w:themeColor="text2"/>
          <w:kern w:val="2"/>
          <w14:ligatures w14:val="standardContextual"/>
        </w:rPr>
        <w:t xml:space="preserve">Vlera e Grantit të performances së Komunale </w:t>
      </w:r>
      <w:r w:rsidR="00A03260" w:rsidRPr="00AB64EB">
        <w:rPr>
          <w:color w:val="0E2841" w:themeColor="text2"/>
          <w:kern w:val="2"/>
          <w14:ligatures w14:val="standardContextual"/>
        </w:rPr>
        <w:t>është</w:t>
      </w:r>
      <w:r w:rsidRPr="00AB64EB">
        <w:rPr>
          <w:color w:val="0E2841" w:themeColor="text2"/>
          <w:kern w:val="2"/>
          <w14:ligatures w14:val="standardContextual"/>
        </w:rPr>
        <w:t xml:space="preserve"> </w:t>
      </w:r>
      <w:r w:rsidR="00DD69D7" w:rsidRPr="00AB64EB">
        <w:rPr>
          <w:color w:val="0E2841" w:themeColor="text2"/>
          <w:kern w:val="2"/>
          <w14:ligatures w14:val="standardContextual"/>
        </w:rPr>
        <w:t>ndërmjet</w:t>
      </w:r>
      <w:r w:rsidRPr="00AB64EB">
        <w:rPr>
          <w:color w:val="0E2841" w:themeColor="text2"/>
          <w:kern w:val="2"/>
          <w14:ligatures w14:val="standardContextual"/>
        </w:rPr>
        <w:t xml:space="preserve"> </w:t>
      </w:r>
      <w:r w:rsidR="00D071C6">
        <w:rPr>
          <w:color w:val="0E2841" w:themeColor="text2"/>
          <w:kern w:val="2"/>
          <w14:ligatures w14:val="standardContextual"/>
        </w:rPr>
        <w:t>0.9</w:t>
      </w:r>
      <w:r w:rsidRPr="00AB64EB">
        <w:rPr>
          <w:color w:val="0E2841" w:themeColor="text2"/>
          <w:kern w:val="2"/>
          <w14:ligatures w14:val="standardContextual"/>
        </w:rPr>
        <w:t>%-</w:t>
      </w:r>
      <w:r w:rsidR="00D071C6">
        <w:rPr>
          <w:color w:val="0E2841" w:themeColor="text2"/>
          <w:kern w:val="2"/>
          <w14:ligatures w14:val="standardContextual"/>
        </w:rPr>
        <w:t>42.7</w:t>
      </w:r>
      <w:r w:rsidRPr="00AB64EB">
        <w:rPr>
          <w:color w:val="0E2841" w:themeColor="text2"/>
          <w:kern w:val="2"/>
          <w14:ligatures w14:val="standardContextual"/>
        </w:rPr>
        <w:t xml:space="preserve">% e Grantit të </w:t>
      </w:r>
      <w:r w:rsidR="00A03260" w:rsidRPr="00AB64EB">
        <w:rPr>
          <w:color w:val="0E2841" w:themeColor="text2"/>
          <w:kern w:val="2"/>
          <w14:ligatures w14:val="standardContextual"/>
        </w:rPr>
        <w:t>Përgjithshëm</w:t>
      </w:r>
      <w:r w:rsidRPr="00AB64EB">
        <w:rPr>
          <w:color w:val="0E2841" w:themeColor="text2"/>
          <w:kern w:val="2"/>
          <w14:ligatures w14:val="standardContextual"/>
        </w:rPr>
        <w:t xml:space="preserve"> te komun</w:t>
      </w:r>
      <w:r w:rsidR="008F50F4" w:rsidRPr="00AB64EB">
        <w:rPr>
          <w:color w:val="0E2841" w:themeColor="text2"/>
          <w:kern w:val="2"/>
          <w14:ligatures w14:val="standardContextual"/>
        </w:rPr>
        <w:t>at</w:t>
      </w:r>
      <w:r w:rsidRPr="00AB64EB">
        <w:rPr>
          <w:color w:val="0E2841" w:themeColor="text2"/>
          <w:kern w:val="2"/>
          <w14:ligatures w14:val="standardContextual"/>
        </w:rPr>
        <w:t xml:space="preserve"> </w:t>
      </w:r>
      <w:r w:rsidR="00A03260" w:rsidRPr="00AB64EB">
        <w:rPr>
          <w:color w:val="0E2841" w:themeColor="text2"/>
          <w:kern w:val="2"/>
          <w14:ligatures w14:val="standardContextual"/>
        </w:rPr>
        <w:t>përfituese</w:t>
      </w:r>
      <w:r w:rsidRPr="00AB64EB">
        <w:rPr>
          <w:color w:val="0E2841" w:themeColor="text2"/>
          <w:kern w:val="2"/>
          <w14:ligatures w14:val="standardContextual"/>
        </w:rPr>
        <w:t>.</w:t>
      </w:r>
    </w:p>
    <w:p w:rsidR="008B3F3C" w:rsidRDefault="008B3F3C" w:rsidP="008B3F3C">
      <w:pPr>
        <w:jc w:val="both"/>
        <w:rPr>
          <w:kern w:val="2"/>
          <w14:ligatures w14:val="standardContextual"/>
        </w:rPr>
      </w:pPr>
    </w:p>
    <w:p w:rsidR="00094925" w:rsidRPr="008B3F3C" w:rsidRDefault="00094925" w:rsidP="008B3F3C">
      <w:pPr>
        <w:jc w:val="both"/>
        <w:rPr>
          <w:kern w:val="2"/>
          <w14:ligatures w14:val="standardContextual"/>
        </w:rPr>
      </w:pPr>
    </w:p>
    <w:p w:rsidR="00F16D9D" w:rsidRDefault="00F16D9D"/>
    <w:p w:rsidR="00EA2D91" w:rsidRPr="009D1BCE" w:rsidRDefault="006C20E9" w:rsidP="00B44CCB">
      <w:pPr>
        <w:keepNext/>
        <w:numPr>
          <w:ilvl w:val="0"/>
          <w:numId w:val="1"/>
        </w:numPr>
        <w:shd w:val="clear" w:color="auto" w:fill="215E99" w:themeFill="text2" w:themeFillTint="BF"/>
        <w:tabs>
          <w:tab w:val="left" w:pos="540"/>
        </w:tabs>
        <w:spacing w:after="0" w:line="240" w:lineRule="auto"/>
        <w:ind w:left="902" w:hanging="902"/>
        <w:outlineLvl w:val="0"/>
        <w:rPr>
          <w:rFonts w:asciiTheme="majorHAnsi" w:eastAsiaTheme="majorEastAsia" w:hAnsiTheme="majorHAnsi" w:cstheme="majorHAnsi"/>
          <w:b/>
          <w:color w:val="FFFFFF" w:themeColor="background1"/>
          <w:sz w:val="28"/>
          <w:szCs w:val="28"/>
        </w:rPr>
      </w:pPr>
      <w:bookmarkStart w:id="4" w:name="_Toc178434852"/>
      <w:bookmarkStart w:id="5" w:name="_Toc115186021"/>
      <w:r>
        <w:rPr>
          <w:rFonts w:asciiTheme="majorHAnsi" w:eastAsiaTheme="majorEastAsia" w:hAnsiTheme="majorHAnsi" w:cstheme="majorHAnsi"/>
          <w:b/>
          <w:color w:val="FFFFFF" w:themeColor="background1"/>
          <w:sz w:val="28"/>
          <w:szCs w:val="28"/>
        </w:rPr>
        <w:lastRenderedPageBreak/>
        <w:t xml:space="preserve">Hyrje- </w:t>
      </w:r>
      <w:r w:rsidR="00F16D9D" w:rsidRPr="009D1BCE">
        <w:rPr>
          <w:rFonts w:asciiTheme="majorHAnsi" w:eastAsiaTheme="majorEastAsia" w:hAnsiTheme="majorHAnsi" w:cstheme="majorHAnsi"/>
          <w:b/>
          <w:color w:val="FFFFFF" w:themeColor="background1"/>
          <w:sz w:val="28"/>
          <w:szCs w:val="28"/>
        </w:rPr>
        <w:t>Vlerësimi i performancës së komunave për grantin e vitit 202</w:t>
      </w:r>
      <w:bookmarkEnd w:id="4"/>
      <w:r w:rsidR="00094925">
        <w:rPr>
          <w:rFonts w:asciiTheme="majorHAnsi" w:eastAsiaTheme="majorEastAsia" w:hAnsiTheme="majorHAnsi" w:cstheme="majorHAnsi"/>
          <w:b/>
          <w:color w:val="FFFFFF" w:themeColor="background1"/>
          <w:sz w:val="28"/>
          <w:szCs w:val="28"/>
        </w:rPr>
        <w:t>6</w:t>
      </w:r>
    </w:p>
    <w:p w:rsidR="00804DFE" w:rsidRDefault="00804DFE" w:rsidP="00804DF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color w:val="0E2841" w:themeColor="text2"/>
          <w:kern w:val="2"/>
          <w14:ligatures w14:val="standardContextual"/>
        </w:rPr>
      </w:pPr>
      <w:bookmarkStart w:id="6" w:name="_Hlk174604926"/>
      <w:bookmarkEnd w:id="5"/>
    </w:p>
    <w:p w:rsidR="00F16D9D" w:rsidRPr="009D1BCE" w:rsidRDefault="00F16D9D" w:rsidP="00804DF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color w:val="0E2841" w:themeColor="text2"/>
          <w:kern w:val="2"/>
          <w14:ligatures w14:val="standardContextual"/>
        </w:rPr>
      </w:pPr>
      <w:r w:rsidRPr="009D1BCE">
        <w:rPr>
          <w:color w:val="0E2841" w:themeColor="text2"/>
          <w:kern w:val="2"/>
          <w14:ligatures w14:val="standardContextual"/>
        </w:rPr>
        <w:t>Ministria e Administrimit të Pushtetit Lokal (MAPL) në partneritet me Zyrën Zvicerane për Zhvillim dhe Bashkëpunim (SDC), në vitin 2017 zhvilluan dhe u pajtuan të bashkë-financojnë skemën për ndarjen e grantit të performancës komunale (</w:t>
      </w:r>
      <w:r w:rsidR="00D60ACB" w:rsidRPr="009D1BCE">
        <w:rPr>
          <w:color w:val="0E2841" w:themeColor="text2"/>
          <w:kern w:val="2"/>
          <w14:ligatures w14:val="standardContextual"/>
        </w:rPr>
        <w:t xml:space="preserve">tutje </w:t>
      </w:r>
      <w:r w:rsidRPr="009D1BCE">
        <w:rPr>
          <w:color w:val="0E2841" w:themeColor="text2"/>
          <w:kern w:val="2"/>
          <w14:ligatures w14:val="standardContextual"/>
        </w:rPr>
        <w:t>GPK). Në vitin 2019, Suedia dhe Norvegjia dhe në vitin 2022 BE përmes Suedisë kanë vendosur që t</w:t>
      </w:r>
      <w:r w:rsidR="001C2EE6" w:rsidRPr="009D1BCE">
        <w:rPr>
          <w:color w:val="0E2841" w:themeColor="text2"/>
          <w:kern w:val="2"/>
          <w14:ligatures w14:val="standardContextual"/>
        </w:rPr>
        <w:t>’</w:t>
      </w:r>
      <w:r w:rsidRPr="009D1BCE">
        <w:rPr>
          <w:color w:val="0E2841" w:themeColor="text2"/>
          <w:kern w:val="2"/>
          <w14:ligatures w14:val="standardContextual"/>
        </w:rPr>
        <w:t>i bashkohen skemës së financimit të GPK</w:t>
      </w:r>
      <w:r w:rsidR="00E84049" w:rsidRPr="009D1BCE">
        <w:rPr>
          <w:color w:val="0E2841" w:themeColor="text2"/>
          <w:kern w:val="2"/>
          <w14:ligatures w14:val="standardContextual"/>
        </w:rPr>
        <w:t>-</w:t>
      </w:r>
      <w:r w:rsidRPr="009D1BCE">
        <w:rPr>
          <w:color w:val="0E2841" w:themeColor="text2"/>
          <w:kern w:val="2"/>
          <w14:ligatures w14:val="standardContextual"/>
        </w:rPr>
        <w:t>së.</w:t>
      </w:r>
    </w:p>
    <w:p w:rsidR="00CD4860" w:rsidRPr="009D1BCE" w:rsidRDefault="00CD4860" w:rsidP="00804DF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color w:val="0E2841" w:themeColor="text2"/>
          <w:kern w:val="2"/>
          <w14:ligatures w14:val="standardContextual"/>
        </w:rPr>
      </w:pPr>
    </w:p>
    <w:bookmarkEnd w:id="6"/>
    <w:p w:rsidR="00667BF5" w:rsidRPr="009D1BCE" w:rsidRDefault="009E5B12" w:rsidP="00804DFE">
      <w:pPr>
        <w:spacing w:after="0" w:line="300" w:lineRule="atLeast"/>
        <w:jc w:val="both"/>
        <w:rPr>
          <w:color w:val="0E2841" w:themeColor="text2"/>
          <w:kern w:val="2"/>
          <w14:ligatures w14:val="standardContextual"/>
        </w:rPr>
      </w:pPr>
      <w:r w:rsidRPr="009D1BCE">
        <w:rPr>
          <w:color w:val="0E2841" w:themeColor="text2"/>
          <w:kern w:val="2"/>
          <w14:ligatures w14:val="standardContextual"/>
        </w:rPr>
        <w:t>Granti i performancës komunale për vitin 202</w:t>
      </w:r>
      <w:r w:rsidR="00094925">
        <w:rPr>
          <w:color w:val="0E2841" w:themeColor="text2"/>
          <w:kern w:val="2"/>
          <w14:ligatures w14:val="standardContextual"/>
        </w:rPr>
        <w:t>6</w:t>
      </w:r>
      <w:r w:rsidRPr="009D1BCE">
        <w:rPr>
          <w:color w:val="0E2841" w:themeColor="text2"/>
          <w:kern w:val="2"/>
          <w14:ligatures w14:val="standardContextual"/>
        </w:rPr>
        <w:t xml:space="preserve"> bashkë-financohet nga MAPL</w:t>
      </w:r>
      <w:r w:rsidR="00EC2232" w:rsidRPr="009D1BCE">
        <w:rPr>
          <w:color w:val="0E2841" w:themeColor="text2"/>
          <w:kern w:val="2"/>
          <w14:ligatures w14:val="standardContextual"/>
        </w:rPr>
        <w:t>-ja</w:t>
      </w:r>
      <w:r w:rsidRPr="009D1BCE">
        <w:rPr>
          <w:color w:val="0E2841" w:themeColor="text2"/>
          <w:kern w:val="2"/>
          <w14:ligatures w14:val="standardContextual"/>
        </w:rPr>
        <w:t xml:space="preserve">, BE, Suedia, Zvicra. Shuma e përgjithshme e disponueshme </w:t>
      </w:r>
      <w:r w:rsidRPr="00AB64EB">
        <w:rPr>
          <w:color w:val="0E2841" w:themeColor="text2"/>
          <w:kern w:val="2"/>
          <w14:ligatures w14:val="standardContextual"/>
        </w:rPr>
        <w:t xml:space="preserve">është </w:t>
      </w:r>
      <w:r w:rsidR="00C50716">
        <w:rPr>
          <w:color w:val="0E2841" w:themeColor="text2"/>
          <w:kern w:val="2"/>
          <w14:ligatures w14:val="standardContextual"/>
        </w:rPr>
        <w:t>3</w:t>
      </w:r>
      <w:r w:rsidR="00094925" w:rsidRPr="00AB64EB">
        <w:rPr>
          <w:color w:val="0E2841" w:themeColor="text2"/>
          <w:kern w:val="2"/>
          <w14:ligatures w14:val="standardContextual"/>
        </w:rPr>
        <w:t>,110,000 euro</w:t>
      </w:r>
      <w:r w:rsidRPr="00AB64EB">
        <w:rPr>
          <w:color w:val="0E2841" w:themeColor="text2"/>
          <w:kern w:val="2"/>
          <w14:ligatures w14:val="standardContextual"/>
        </w:rPr>
        <w:t>.</w:t>
      </w:r>
      <w:r w:rsidRPr="009D1BCE">
        <w:rPr>
          <w:color w:val="0E2841" w:themeColor="text2"/>
          <w:kern w:val="2"/>
          <w14:ligatures w14:val="standardContextual"/>
        </w:rPr>
        <w:t xml:space="preserve"> </w:t>
      </w:r>
      <w:r w:rsidRPr="00094925">
        <w:rPr>
          <w:color w:val="0E2841" w:themeColor="text2"/>
          <w:kern w:val="2"/>
          <w:highlight w:val="yellow"/>
          <w14:ligatures w14:val="standardContextual"/>
        </w:rPr>
        <w:t xml:space="preserve">Për të monitoruar ndikimin e projekteve tek qytetarët, është vendosur auditimi </w:t>
      </w:r>
      <w:r w:rsidR="00CD4860" w:rsidRPr="00094925">
        <w:rPr>
          <w:rFonts w:eastAsia="Times New Roman" w:cs="Times New Roman"/>
          <w:highlight w:val="yellow"/>
        </w:rPr>
        <w:t>shoqëror</w:t>
      </w:r>
      <w:r w:rsidRPr="00094925">
        <w:rPr>
          <w:color w:val="0E2841" w:themeColor="text2"/>
          <w:kern w:val="2"/>
          <w:highlight w:val="yellow"/>
          <w14:ligatures w14:val="standardContextual"/>
        </w:rPr>
        <w:t xml:space="preserve"> në kuadër të GPK</w:t>
      </w:r>
      <w:r w:rsidR="00343A62" w:rsidRPr="00094925">
        <w:rPr>
          <w:color w:val="0E2841" w:themeColor="text2"/>
          <w:kern w:val="2"/>
          <w:highlight w:val="yellow"/>
          <w14:ligatures w14:val="standardContextual"/>
        </w:rPr>
        <w:t>-së</w:t>
      </w:r>
      <w:r w:rsidRPr="00094925">
        <w:rPr>
          <w:color w:val="0E2841" w:themeColor="text2"/>
          <w:kern w:val="2"/>
          <w:highlight w:val="yellow"/>
          <w14:ligatures w14:val="standardContextual"/>
        </w:rPr>
        <w:t xml:space="preserve">. Shuma për auditimin </w:t>
      </w:r>
      <w:r w:rsidR="00343A62" w:rsidRPr="00094925">
        <w:rPr>
          <w:color w:val="0E2841" w:themeColor="text2"/>
          <w:kern w:val="2"/>
          <w:highlight w:val="yellow"/>
          <w14:ligatures w14:val="standardContextual"/>
        </w:rPr>
        <w:t>shoqëror</w:t>
      </w:r>
      <w:r w:rsidRPr="00094925">
        <w:rPr>
          <w:color w:val="0E2841" w:themeColor="text2"/>
          <w:kern w:val="2"/>
          <w:highlight w:val="yellow"/>
          <w14:ligatures w14:val="standardContextual"/>
        </w:rPr>
        <w:t xml:space="preserve"> pë</w:t>
      </w:r>
      <w:r w:rsidR="001508CE">
        <w:rPr>
          <w:color w:val="0E2841" w:themeColor="text2"/>
          <w:kern w:val="2"/>
          <w:highlight w:val="yellow"/>
          <w14:ligatures w14:val="standardContextual"/>
        </w:rPr>
        <w:t>r vitin 2026</w:t>
      </w:r>
      <w:r w:rsidRPr="00094925">
        <w:rPr>
          <w:color w:val="0E2841" w:themeColor="text2"/>
          <w:kern w:val="2"/>
          <w:highlight w:val="yellow"/>
          <w14:ligatures w14:val="standardContextual"/>
        </w:rPr>
        <w:t xml:space="preserve"> është zbritur nga totali i shumës së GPK</w:t>
      </w:r>
      <w:r w:rsidR="000B44CD" w:rsidRPr="00094925">
        <w:rPr>
          <w:color w:val="0E2841" w:themeColor="text2"/>
          <w:kern w:val="2"/>
          <w:highlight w:val="yellow"/>
          <w14:ligatures w14:val="standardContextual"/>
        </w:rPr>
        <w:t xml:space="preserve">, </w:t>
      </w:r>
      <w:r w:rsidR="009D43F2" w:rsidRPr="00094925">
        <w:rPr>
          <w:color w:val="0E2841" w:themeColor="text2"/>
          <w:kern w:val="2"/>
          <w:highlight w:val="yellow"/>
          <w14:ligatures w14:val="standardContextual"/>
        </w:rPr>
        <w:t>prandaj shuma</w:t>
      </w:r>
      <w:r w:rsidR="000B44CD" w:rsidRPr="00094925">
        <w:rPr>
          <w:color w:val="0E2841" w:themeColor="text2"/>
          <w:kern w:val="2"/>
          <w:highlight w:val="yellow"/>
          <w14:ligatures w14:val="standardContextual"/>
        </w:rPr>
        <w:t xml:space="preserve"> që</w:t>
      </w:r>
      <w:r w:rsidR="00CD77C6">
        <w:rPr>
          <w:color w:val="0E2841" w:themeColor="text2"/>
          <w:kern w:val="2"/>
          <w:highlight w:val="yellow"/>
          <w14:ligatures w14:val="standardContextual"/>
        </w:rPr>
        <w:t xml:space="preserve"> do të përfitojnë komunat është xxx</w:t>
      </w:r>
      <w:r w:rsidR="000B44CD" w:rsidRPr="00094925">
        <w:rPr>
          <w:color w:val="0E2841" w:themeColor="text2"/>
          <w:kern w:val="2"/>
          <w:highlight w:val="yellow"/>
          <w14:ligatures w14:val="standardContextual"/>
        </w:rPr>
        <w:t xml:space="preserve"> euro</w:t>
      </w:r>
      <w:r w:rsidRPr="00094925">
        <w:rPr>
          <w:color w:val="0E2841" w:themeColor="text2"/>
          <w:kern w:val="2"/>
          <w:highlight w:val="yellow"/>
          <w14:ligatures w14:val="standardContextual"/>
        </w:rPr>
        <w:t>.</w:t>
      </w:r>
      <w:r w:rsidRPr="009D1BCE">
        <w:rPr>
          <w:color w:val="0E2841" w:themeColor="text2"/>
          <w:kern w:val="2"/>
          <w14:ligatures w14:val="standardContextual"/>
        </w:rPr>
        <w:t xml:space="preserve"> </w:t>
      </w:r>
    </w:p>
    <w:p w:rsidR="00CD4860" w:rsidRPr="009D1BCE" w:rsidRDefault="00E34130" w:rsidP="00E34130">
      <w:pPr>
        <w:tabs>
          <w:tab w:val="left" w:pos="5376"/>
        </w:tabs>
        <w:spacing w:after="0" w:line="300" w:lineRule="atLeast"/>
        <w:jc w:val="both"/>
        <w:rPr>
          <w:color w:val="0E2841" w:themeColor="text2"/>
          <w:kern w:val="2"/>
          <w14:ligatures w14:val="standardContextual"/>
        </w:rPr>
      </w:pPr>
      <w:r>
        <w:rPr>
          <w:color w:val="0E2841" w:themeColor="text2"/>
          <w:kern w:val="2"/>
          <w14:ligatures w14:val="standardContextual"/>
        </w:rPr>
        <w:tab/>
      </w:r>
    </w:p>
    <w:p w:rsidR="009D43F2" w:rsidRPr="009D1BCE" w:rsidRDefault="009D43F2" w:rsidP="00804DFE">
      <w:pPr>
        <w:spacing w:after="0" w:line="300" w:lineRule="atLeast"/>
        <w:jc w:val="both"/>
        <w:rPr>
          <w:color w:val="0E2841" w:themeColor="text2"/>
          <w:kern w:val="2"/>
          <w14:ligatures w14:val="standardContextual"/>
        </w:rPr>
      </w:pPr>
      <w:r w:rsidRPr="009D1BCE">
        <w:rPr>
          <w:color w:val="0E2841" w:themeColor="text2"/>
          <w:kern w:val="2"/>
          <w14:ligatures w14:val="standardContextual"/>
        </w:rPr>
        <w:t>T</w:t>
      </w:r>
      <w:r w:rsidR="009E5B12" w:rsidRPr="009D1BCE">
        <w:rPr>
          <w:color w:val="0E2841" w:themeColor="text2"/>
          <w:kern w:val="2"/>
          <w14:ligatures w14:val="standardContextual"/>
        </w:rPr>
        <w:t>abel</w:t>
      </w:r>
      <w:r w:rsidRPr="009D1BCE">
        <w:rPr>
          <w:color w:val="0E2841" w:themeColor="text2"/>
          <w:kern w:val="2"/>
          <w14:ligatures w14:val="standardContextual"/>
        </w:rPr>
        <w:t>a më posht</w:t>
      </w:r>
      <w:r w:rsidRPr="009D1BCE">
        <w:rPr>
          <w:rFonts w:cs="Arial"/>
          <w:color w:val="0E2841" w:themeColor="text2"/>
          <w:kern w:val="2"/>
          <w14:ligatures w14:val="standardContextual"/>
        </w:rPr>
        <w:t>ë</w:t>
      </w:r>
      <w:r w:rsidR="009E5B12" w:rsidRPr="009D1BCE">
        <w:rPr>
          <w:color w:val="0E2841" w:themeColor="text2"/>
          <w:kern w:val="2"/>
          <w14:ligatures w14:val="standardContextual"/>
        </w:rPr>
        <w:t xml:space="preserve"> </w:t>
      </w:r>
      <w:r w:rsidRPr="009D1BCE">
        <w:rPr>
          <w:color w:val="0E2841" w:themeColor="text2"/>
          <w:kern w:val="2"/>
          <w14:ligatures w14:val="standardContextual"/>
        </w:rPr>
        <w:t xml:space="preserve">jep detaje lidhur me burimet e financimit dhe </w:t>
      </w:r>
      <w:r w:rsidR="009E5B12" w:rsidRPr="009D1BCE">
        <w:rPr>
          <w:color w:val="0E2841" w:themeColor="text2"/>
          <w:kern w:val="2"/>
          <w14:ligatures w14:val="standardContextual"/>
        </w:rPr>
        <w:t>shuma e GPK që do t’i alokohet komunave</w:t>
      </w:r>
      <w:r w:rsidR="00094925">
        <w:rPr>
          <w:color w:val="0E2841" w:themeColor="text2"/>
          <w:kern w:val="2"/>
          <w14:ligatures w14:val="standardContextual"/>
        </w:rPr>
        <w:t xml:space="preserve"> në vitin fiskal 2026</w:t>
      </w:r>
      <w:r w:rsidRPr="009D1BCE">
        <w:rPr>
          <w:color w:val="0E2841" w:themeColor="text2"/>
          <w:kern w:val="2"/>
          <w14:ligatures w14:val="standardContextual"/>
        </w:rPr>
        <w:t>.</w:t>
      </w:r>
    </w:p>
    <w:p w:rsidR="007042C6" w:rsidRPr="009D5F58" w:rsidRDefault="007042C6" w:rsidP="007042C6">
      <w:pPr>
        <w:spacing w:after="0" w:line="300" w:lineRule="atLeast"/>
        <w:jc w:val="both"/>
        <w:rPr>
          <w:kern w:val="2"/>
          <w:sz w:val="21"/>
          <w:szCs w:val="21"/>
          <w14:ligatures w14:val="standardContextual"/>
        </w:rPr>
      </w:pPr>
    </w:p>
    <w:p w:rsidR="00E97E9B" w:rsidRPr="009D1BCE" w:rsidRDefault="00AB4ACA" w:rsidP="00AB4ACA">
      <w:pPr>
        <w:pStyle w:val="Caption"/>
      </w:pPr>
      <w:r w:rsidRPr="009D1BCE">
        <w:t xml:space="preserve">Tabela </w:t>
      </w:r>
      <w:r w:rsidRPr="009D1BCE">
        <w:fldChar w:fldCharType="begin"/>
      </w:r>
      <w:r w:rsidRPr="009D1BCE">
        <w:instrText xml:space="preserve"> SEQ Table \* ARABIC </w:instrText>
      </w:r>
      <w:r w:rsidRPr="009D1BCE">
        <w:fldChar w:fldCharType="separate"/>
      </w:r>
      <w:r w:rsidR="009A0925">
        <w:rPr>
          <w:noProof/>
        </w:rPr>
        <w:t>1</w:t>
      </w:r>
      <w:r w:rsidRPr="009D1BCE">
        <w:fldChar w:fldCharType="end"/>
      </w:r>
      <w:r w:rsidRPr="009D1BCE">
        <w:t xml:space="preserve"> Burimet e financimit të grantit të performancë</w:t>
      </w:r>
      <w:r w:rsidR="00550E54">
        <w:t>s komunale për vitin fiskal 2026</w:t>
      </w:r>
      <w:r w:rsidRPr="009D1BCE">
        <w:t xml:space="preserve"> (në euro)</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103"/>
      </w:tblGrid>
      <w:tr w:rsidR="00094925" w:rsidRPr="009C6C0D" w:rsidTr="00094925">
        <w:trPr>
          <w:trHeight w:val="611"/>
          <w:jc w:val="center"/>
        </w:trPr>
        <w:tc>
          <w:tcPr>
            <w:tcW w:w="4765" w:type="dxa"/>
            <w:shd w:val="clear" w:color="000000" w:fill="4472C4"/>
            <w:vAlign w:val="center"/>
            <w:hideMark/>
          </w:tcPr>
          <w:p w:rsidR="00094925" w:rsidRPr="00322D1A" w:rsidRDefault="00094925" w:rsidP="00272DBB">
            <w:pPr>
              <w:jc w:val="center"/>
              <w:rPr>
                <w:rFonts w:asciiTheme="majorHAnsi" w:eastAsia="Times New Roman" w:hAnsiTheme="majorHAnsi"/>
                <w:sz w:val="21"/>
                <w:szCs w:val="21"/>
              </w:rPr>
            </w:pPr>
            <w:r w:rsidRPr="00322D1A">
              <w:rPr>
                <w:rFonts w:asciiTheme="majorHAnsi" w:eastAsia="Times New Roman" w:hAnsiTheme="majorHAnsi"/>
                <w:sz w:val="21"/>
                <w:szCs w:val="21"/>
              </w:rPr>
              <w:t>Burimet e financimit </w:t>
            </w:r>
          </w:p>
        </w:tc>
        <w:tc>
          <w:tcPr>
            <w:tcW w:w="4103" w:type="dxa"/>
            <w:shd w:val="clear" w:color="000000" w:fill="4472C4"/>
            <w:vAlign w:val="center"/>
            <w:hideMark/>
          </w:tcPr>
          <w:p w:rsidR="00094925" w:rsidRPr="00322D1A" w:rsidRDefault="00094925" w:rsidP="00272DBB">
            <w:pPr>
              <w:jc w:val="center"/>
              <w:rPr>
                <w:rFonts w:asciiTheme="majorHAnsi" w:eastAsia="Times New Roman" w:hAnsiTheme="majorHAnsi"/>
                <w:sz w:val="21"/>
                <w:szCs w:val="21"/>
              </w:rPr>
            </w:pPr>
            <w:r w:rsidRPr="00322D1A">
              <w:rPr>
                <w:rFonts w:asciiTheme="majorHAnsi" w:eastAsia="Times New Roman" w:hAnsiTheme="majorHAnsi"/>
                <w:sz w:val="21"/>
                <w:szCs w:val="21"/>
              </w:rPr>
              <w:t>Vlera e GPK për vitin fiskal 202</w:t>
            </w:r>
            <w:r>
              <w:rPr>
                <w:rFonts w:asciiTheme="majorHAnsi" w:eastAsia="Times New Roman" w:hAnsiTheme="majorHAnsi"/>
                <w:sz w:val="21"/>
                <w:szCs w:val="21"/>
              </w:rPr>
              <w:t>6</w:t>
            </w:r>
          </w:p>
        </w:tc>
      </w:tr>
      <w:tr w:rsidR="00094925" w:rsidRPr="009C6C0D" w:rsidTr="00094925">
        <w:trPr>
          <w:trHeight w:val="431"/>
          <w:jc w:val="center"/>
        </w:trPr>
        <w:tc>
          <w:tcPr>
            <w:tcW w:w="4765" w:type="dxa"/>
            <w:shd w:val="clear" w:color="000000" w:fill="D9E2F3"/>
            <w:vAlign w:val="center"/>
            <w:hideMark/>
          </w:tcPr>
          <w:p w:rsidR="00094925" w:rsidRPr="00322D1A" w:rsidRDefault="00094925" w:rsidP="00272DBB">
            <w:pPr>
              <w:jc w:val="center"/>
              <w:rPr>
                <w:rFonts w:asciiTheme="majorHAnsi" w:eastAsia="Times New Roman" w:hAnsiTheme="majorHAnsi"/>
                <w:sz w:val="21"/>
                <w:szCs w:val="21"/>
              </w:rPr>
            </w:pPr>
            <w:r w:rsidRPr="00322D1A">
              <w:rPr>
                <w:rFonts w:asciiTheme="majorHAnsi" w:eastAsia="Times New Roman" w:hAnsiTheme="majorHAnsi"/>
                <w:sz w:val="21"/>
                <w:szCs w:val="21"/>
              </w:rPr>
              <w:t>Qeveria e Republikës së Kosovës /MAPL </w:t>
            </w:r>
          </w:p>
        </w:tc>
        <w:tc>
          <w:tcPr>
            <w:tcW w:w="4103" w:type="dxa"/>
            <w:shd w:val="clear" w:color="000000" w:fill="D9E2F3"/>
            <w:vAlign w:val="center"/>
            <w:hideMark/>
          </w:tcPr>
          <w:p w:rsidR="00094925" w:rsidRPr="00322D1A" w:rsidRDefault="00094925" w:rsidP="00272DBB">
            <w:pPr>
              <w:jc w:val="center"/>
              <w:rPr>
                <w:rFonts w:asciiTheme="majorHAnsi" w:eastAsia="Times New Roman" w:hAnsiTheme="majorHAnsi"/>
                <w:sz w:val="21"/>
                <w:szCs w:val="21"/>
              </w:rPr>
            </w:pPr>
            <w:r w:rsidRPr="00322D1A">
              <w:rPr>
                <w:rFonts w:asciiTheme="majorHAnsi" w:eastAsia="Times New Roman" w:hAnsiTheme="majorHAnsi"/>
                <w:sz w:val="21"/>
                <w:szCs w:val="21"/>
              </w:rPr>
              <w:t> </w:t>
            </w:r>
          </w:p>
          <w:p w:rsidR="00094925" w:rsidRPr="00322D1A" w:rsidRDefault="00C50716" w:rsidP="00272DBB">
            <w:pPr>
              <w:jc w:val="center"/>
              <w:rPr>
                <w:rFonts w:asciiTheme="majorHAnsi" w:eastAsia="Times New Roman" w:hAnsiTheme="majorHAnsi"/>
                <w:sz w:val="21"/>
                <w:szCs w:val="21"/>
              </w:rPr>
            </w:pPr>
            <w:r>
              <w:rPr>
                <w:rFonts w:asciiTheme="majorHAnsi" w:eastAsia="Times New Roman" w:hAnsiTheme="majorHAnsi"/>
                <w:sz w:val="21"/>
                <w:szCs w:val="21"/>
              </w:rPr>
              <w:t>2</w:t>
            </w:r>
            <w:r w:rsidR="00094925">
              <w:rPr>
                <w:rFonts w:asciiTheme="majorHAnsi" w:eastAsia="Times New Roman" w:hAnsiTheme="majorHAnsi"/>
                <w:sz w:val="21"/>
                <w:szCs w:val="21"/>
              </w:rPr>
              <w:t>,0</w:t>
            </w:r>
            <w:r w:rsidR="00094925" w:rsidRPr="00322D1A">
              <w:rPr>
                <w:rFonts w:asciiTheme="majorHAnsi" w:eastAsia="Times New Roman" w:hAnsiTheme="majorHAnsi"/>
                <w:sz w:val="21"/>
                <w:szCs w:val="21"/>
              </w:rPr>
              <w:t>00,000 euro</w:t>
            </w:r>
          </w:p>
        </w:tc>
      </w:tr>
      <w:tr w:rsidR="00094925" w:rsidRPr="009C6C0D" w:rsidTr="00094925">
        <w:trPr>
          <w:trHeight w:val="892"/>
          <w:jc w:val="center"/>
        </w:trPr>
        <w:tc>
          <w:tcPr>
            <w:tcW w:w="4765" w:type="dxa"/>
            <w:vMerge w:val="restart"/>
            <w:shd w:val="clear" w:color="000000" w:fill="FFFFFF"/>
            <w:vAlign w:val="center"/>
            <w:hideMark/>
          </w:tcPr>
          <w:p w:rsidR="00094925" w:rsidRPr="00322D1A" w:rsidRDefault="00094925" w:rsidP="00272DBB">
            <w:pPr>
              <w:jc w:val="center"/>
              <w:rPr>
                <w:rFonts w:asciiTheme="majorHAnsi" w:eastAsia="Times New Roman" w:hAnsiTheme="majorHAnsi"/>
                <w:sz w:val="21"/>
                <w:szCs w:val="21"/>
              </w:rPr>
            </w:pPr>
            <w:r w:rsidRPr="00322D1A">
              <w:rPr>
                <w:rFonts w:asciiTheme="majorHAnsi" w:eastAsia="Times New Roman" w:hAnsiTheme="majorHAnsi"/>
                <w:sz w:val="21"/>
                <w:szCs w:val="21"/>
              </w:rPr>
              <w:t xml:space="preserve">Kontributdhënësit </w:t>
            </w:r>
          </w:p>
          <w:p w:rsidR="00094925" w:rsidRPr="00322D1A" w:rsidRDefault="00094925" w:rsidP="00272DBB">
            <w:pPr>
              <w:jc w:val="center"/>
              <w:rPr>
                <w:rFonts w:asciiTheme="majorHAnsi" w:eastAsia="Times New Roman" w:hAnsiTheme="majorHAnsi"/>
                <w:sz w:val="21"/>
                <w:szCs w:val="21"/>
              </w:rPr>
            </w:pPr>
            <w:r w:rsidRPr="00322D1A">
              <w:rPr>
                <w:rFonts w:asciiTheme="majorHAnsi" w:eastAsia="Times New Roman" w:hAnsiTheme="majorHAnsi"/>
                <w:sz w:val="21"/>
                <w:szCs w:val="21"/>
              </w:rPr>
              <w:t>(BE, Zvicrra, Suedia)</w:t>
            </w:r>
          </w:p>
        </w:tc>
        <w:tc>
          <w:tcPr>
            <w:tcW w:w="4103" w:type="dxa"/>
            <w:vMerge w:val="restart"/>
            <w:shd w:val="clear" w:color="000000" w:fill="FFFFFF"/>
            <w:vAlign w:val="center"/>
            <w:hideMark/>
          </w:tcPr>
          <w:p w:rsidR="00094925" w:rsidRPr="00322D1A" w:rsidRDefault="00094925" w:rsidP="00272DBB">
            <w:pPr>
              <w:jc w:val="center"/>
              <w:rPr>
                <w:rFonts w:asciiTheme="majorHAnsi" w:eastAsia="Times New Roman" w:hAnsiTheme="majorHAnsi"/>
                <w:sz w:val="21"/>
                <w:szCs w:val="21"/>
              </w:rPr>
            </w:pPr>
            <w:r>
              <w:rPr>
                <w:rFonts w:asciiTheme="majorHAnsi" w:eastAsia="Times New Roman" w:hAnsiTheme="majorHAnsi"/>
                <w:sz w:val="21"/>
                <w:szCs w:val="21"/>
              </w:rPr>
              <w:t>1,110,000 euro</w:t>
            </w:r>
          </w:p>
        </w:tc>
      </w:tr>
      <w:tr w:rsidR="00094925" w:rsidRPr="009C6C0D" w:rsidTr="00094925">
        <w:trPr>
          <w:trHeight w:val="437"/>
          <w:jc w:val="center"/>
        </w:trPr>
        <w:tc>
          <w:tcPr>
            <w:tcW w:w="4765" w:type="dxa"/>
            <w:vMerge/>
            <w:vAlign w:val="center"/>
            <w:hideMark/>
          </w:tcPr>
          <w:p w:rsidR="00094925" w:rsidRPr="00322D1A" w:rsidRDefault="00094925" w:rsidP="00272DBB">
            <w:pPr>
              <w:rPr>
                <w:rFonts w:asciiTheme="majorHAnsi" w:eastAsia="Times New Roman" w:hAnsiTheme="majorHAnsi"/>
                <w:sz w:val="21"/>
                <w:szCs w:val="21"/>
              </w:rPr>
            </w:pPr>
          </w:p>
        </w:tc>
        <w:tc>
          <w:tcPr>
            <w:tcW w:w="4103" w:type="dxa"/>
            <w:vMerge/>
            <w:vAlign w:val="center"/>
            <w:hideMark/>
          </w:tcPr>
          <w:p w:rsidR="00094925" w:rsidRPr="00322D1A" w:rsidRDefault="00094925" w:rsidP="00272DBB">
            <w:pPr>
              <w:rPr>
                <w:rFonts w:asciiTheme="majorHAnsi" w:eastAsia="Times New Roman" w:hAnsiTheme="majorHAnsi"/>
                <w:sz w:val="21"/>
                <w:szCs w:val="21"/>
              </w:rPr>
            </w:pPr>
          </w:p>
        </w:tc>
      </w:tr>
      <w:tr w:rsidR="00094925" w:rsidRPr="009C6C0D" w:rsidTr="00094925">
        <w:trPr>
          <w:trHeight w:val="186"/>
          <w:jc w:val="center"/>
        </w:trPr>
        <w:tc>
          <w:tcPr>
            <w:tcW w:w="4765" w:type="dxa"/>
            <w:shd w:val="clear" w:color="000000" w:fill="FFFFFF"/>
            <w:vAlign w:val="center"/>
            <w:hideMark/>
          </w:tcPr>
          <w:p w:rsidR="00094925" w:rsidRPr="00322D1A" w:rsidRDefault="00094925" w:rsidP="00272DBB">
            <w:pPr>
              <w:jc w:val="center"/>
              <w:rPr>
                <w:rFonts w:asciiTheme="majorHAnsi" w:eastAsia="Times New Roman" w:hAnsiTheme="majorHAnsi"/>
                <w:sz w:val="21"/>
                <w:szCs w:val="21"/>
              </w:rPr>
            </w:pPr>
            <w:r w:rsidRPr="00322D1A">
              <w:rPr>
                <w:rFonts w:asciiTheme="majorHAnsi" w:eastAsia="Times New Roman" w:hAnsiTheme="majorHAnsi"/>
                <w:sz w:val="21"/>
                <w:szCs w:val="21"/>
              </w:rPr>
              <w:t>Gjithsej fonde të GPK-së</w:t>
            </w:r>
          </w:p>
        </w:tc>
        <w:tc>
          <w:tcPr>
            <w:tcW w:w="4103" w:type="dxa"/>
            <w:shd w:val="clear" w:color="000000" w:fill="FFFFFF"/>
            <w:vAlign w:val="center"/>
            <w:hideMark/>
          </w:tcPr>
          <w:p w:rsidR="00094925" w:rsidRPr="00322D1A" w:rsidRDefault="00633410" w:rsidP="00272DBB">
            <w:pPr>
              <w:jc w:val="center"/>
              <w:rPr>
                <w:rFonts w:asciiTheme="majorHAnsi" w:eastAsia="Times New Roman" w:hAnsiTheme="majorHAnsi"/>
                <w:sz w:val="21"/>
                <w:szCs w:val="21"/>
              </w:rPr>
            </w:pPr>
            <w:r>
              <w:rPr>
                <w:rFonts w:asciiTheme="majorHAnsi" w:eastAsia="Times New Roman" w:hAnsiTheme="majorHAnsi"/>
                <w:sz w:val="21"/>
                <w:szCs w:val="21"/>
              </w:rPr>
              <w:t>3</w:t>
            </w:r>
            <w:r w:rsidR="00094925">
              <w:rPr>
                <w:rFonts w:asciiTheme="majorHAnsi" w:eastAsia="Times New Roman" w:hAnsiTheme="majorHAnsi"/>
                <w:sz w:val="21"/>
                <w:szCs w:val="21"/>
              </w:rPr>
              <w:t>,11</w:t>
            </w:r>
            <w:r w:rsidR="00094925" w:rsidRPr="00322D1A">
              <w:rPr>
                <w:rFonts w:asciiTheme="majorHAnsi" w:eastAsia="Times New Roman" w:hAnsiTheme="majorHAnsi"/>
                <w:sz w:val="21"/>
                <w:szCs w:val="21"/>
              </w:rPr>
              <w:t>0,000 euro</w:t>
            </w:r>
          </w:p>
        </w:tc>
      </w:tr>
    </w:tbl>
    <w:p w:rsidR="00667BF5" w:rsidRDefault="00667BF5" w:rsidP="00A53355">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kern w:val="2"/>
          <w:sz w:val="21"/>
          <w:szCs w:val="21"/>
          <w14:ligatures w14:val="standardContextual"/>
        </w:rPr>
      </w:pPr>
    </w:p>
    <w:p w:rsidR="00667BF5" w:rsidRPr="00D54779" w:rsidRDefault="00F16D9D" w:rsidP="00A53355">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color w:val="0E2841" w:themeColor="text2"/>
          <w:kern w:val="2"/>
          <w14:ligatures w14:val="standardContextual"/>
        </w:rPr>
      </w:pPr>
      <w:r w:rsidRPr="00D54779">
        <w:rPr>
          <w:color w:val="0E2841" w:themeColor="text2"/>
          <w:kern w:val="2"/>
          <w14:ligatures w14:val="standardContextual"/>
        </w:rPr>
        <w:t>Procesi i vlerësimit të grantit të përformancës komunale për vitin fiskal 202</w:t>
      </w:r>
      <w:r w:rsidR="00094925">
        <w:rPr>
          <w:color w:val="0E2841" w:themeColor="text2"/>
          <w:kern w:val="2"/>
          <w14:ligatures w14:val="standardContextual"/>
        </w:rPr>
        <w:t>6</w:t>
      </w:r>
      <w:r w:rsidR="00964FC0" w:rsidRPr="00D54779">
        <w:rPr>
          <w:color w:val="0E2841" w:themeColor="text2"/>
          <w:kern w:val="2"/>
          <w14:ligatures w14:val="standardContextual"/>
        </w:rPr>
        <w:t>, bazuar në</w:t>
      </w:r>
      <w:r w:rsidRPr="00D54779">
        <w:rPr>
          <w:color w:val="0E2841" w:themeColor="text2"/>
          <w:kern w:val="2"/>
          <w14:ligatures w14:val="standardContextual"/>
        </w:rPr>
        <w:t xml:space="preserve"> p</w:t>
      </w:r>
      <w:r w:rsidR="0039139D" w:rsidRPr="00D54779">
        <w:rPr>
          <w:color w:val="0E2841" w:themeColor="text2"/>
          <w:kern w:val="2"/>
          <w14:ligatures w14:val="standardContextual"/>
        </w:rPr>
        <w:t>e</w:t>
      </w:r>
      <w:r w:rsidRPr="00D54779">
        <w:rPr>
          <w:color w:val="0E2841" w:themeColor="text2"/>
          <w:kern w:val="2"/>
          <w14:ligatures w14:val="standardContextual"/>
        </w:rPr>
        <w:t>rformancën komunale</w:t>
      </w:r>
      <w:r w:rsidR="00964FC0" w:rsidRPr="00D54779">
        <w:rPr>
          <w:color w:val="0E2841" w:themeColor="text2"/>
          <w:kern w:val="2"/>
          <w14:ligatures w14:val="standardContextual"/>
        </w:rPr>
        <w:t xml:space="preserve"> të vitit</w:t>
      </w:r>
      <w:r w:rsidRPr="00D54779">
        <w:rPr>
          <w:color w:val="0E2841" w:themeColor="text2"/>
          <w:kern w:val="2"/>
          <w14:ligatures w14:val="standardContextual"/>
        </w:rPr>
        <w:t xml:space="preserve"> 202</w:t>
      </w:r>
      <w:r w:rsidR="00094925">
        <w:rPr>
          <w:color w:val="0E2841" w:themeColor="text2"/>
          <w:kern w:val="2"/>
          <w14:ligatures w14:val="standardContextual"/>
        </w:rPr>
        <w:t>4</w:t>
      </w:r>
      <w:r w:rsidRPr="00D54779">
        <w:rPr>
          <w:color w:val="0E2841" w:themeColor="text2"/>
          <w:kern w:val="2"/>
          <w14:ligatures w14:val="standardContextual"/>
        </w:rPr>
        <w:t xml:space="preserve"> është realizuar </w:t>
      </w:r>
      <w:r w:rsidR="00094925">
        <w:rPr>
          <w:color w:val="0E2841" w:themeColor="text2"/>
          <w:kern w:val="2"/>
          <w14:ligatures w14:val="standardContextual"/>
        </w:rPr>
        <w:t>nëntor</w:t>
      </w:r>
      <w:r w:rsidR="005C1685" w:rsidRPr="00D54779">
        <w:rPr>
          <w:color w:val="0E2841" w:themeColor="text2"/>
          <w:kern w:val="2"/>
          <w14:ligatures w14:val="standardContextual"/>
        </w:rPr>
        <w:t xml:space="preserve"> 202</w:t>
      </w:r>
      <w:r w:rsidR="00094925">
        <w:rPr>
          <w:color w:val="0E2841" w:themeColor="text2"/>
          <w:kern w:val="2"/>
          <w14:ligatures w14:val="standardContextual"/>
        </w:rPr>
        <w:t>5</w:t>
      </w:r>
      <w:r w:rsidR="005C1685" w:rsidRPr="00D54779">
        <w:rPr>
          <w:color w:val="0E2841" w:themeColor="text2"/>
          <w:kern w:val="2"/>
          <w14:ligatures w14:val="standardContextual"/>
        </w:rPr>
        <w:t>, në pajtim me kushtet minimale dhe treguesit e përcaktuar në Rregullat e Grantit të Performancës për vitin fiskal 202</w:t>
      </w:r>
      <w:r w:rsidR="00094925">
        <w:rPr>
          <w:color w:val="0E2841" w:themeColor="text2"/>
          <w:kern w:val="2"/>
          <w14:ligatures w14:val="standardContextual"/>
        </w:rPr>
        <w:t>6</w:t>
      </w:r>
      <w:r w:rsidR="005C1685" w:rsidRPr="00D54779">
        <w:rPr>
          <w:color w:val="0E2841" w:themeColor="text2"/>
          <w:kern w:val="2"/>
          <w14:ligatures w14:val="standardContextual"/>
        </w:rPr>
        <w:t xml:space="preserve">. </w:t>
      </w:r>
    </w:p>
    <w:p w:rsidR="00804DFE" w:rsidRDefault="00DE2133" w:rsidP="00A53355">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color w:val="0E2841" w:themeColor="text2"/>
          <w:kern w:val="2"/>
          <w14:ligatures w14:val="standardContextual"/>
        </w:rPr>
      </w:pPr>
      <w:r w:rsidRPr="00D54779">
        <w:rPr>
          <w:color w:val="0E2841" w:themeColor="text2"/>
          <w:kern w:val="2"/>
          <w14:ligatures w14:val="standardContextual"/>
        </w:rPr>
        <w:t>Komisioni i grantit të performancës komunale (KGPK) dhe grupi teknik</w:t>
      </w:r>
      <w:r w:rsidR="0066392E" w:rsidRPr="00D54779">
        <w:rPr>
          <w:color w:val="0E2841" w:themeColor="text2"/>
          <w:kern w:val="2"/>
          <w14:ligatures w14:val="standardContextual"/>
        </w:rPr>
        <w:t xml:space="preserve"> (GT)</w:t>
      </w:r>
      <w:r w:rsidRPr="00D54779">
        <w:rPr>
          <w:color w:val="0E2841" w:themeColor="text2"/>
          <w:kern w:val="2"/>
          <w14:ligatures w14:val="standardContextual"/>
        </w:rPr>
        <w:t xml:space="preserve"> janë organet përgjegjëse për vlerësimin dhe ndarjen e grantit të performancës komunale. Komisioni i ankesave shqyrton dhe vendosë lidhur me ankesat eventuale të komunave. </w:t>
      </w:r>
    </w:p>
    <w:p w:rsidR="00F241B2" w:rsidRDefault="00F16D9D" w:rsidP="00A53355">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color w:val="0E2841" w:themeColor="text2"/>
          <w:kern w:val="2"/>
          <w14:ligatures w14:val="standardContextual"/>
        </w:rPr>
      </w:pPr>
      <w:r w:rsidRPr="002A7744">
        <w:rPr>
          <w:color w:val="0E2841" w:themeColor="text2"/>
          <w:kern w:val="2"/>
          <w14:ligatures w14:val="standardContextual"/>
        </w:rPr>
        <w:t>Për të përfituar nga Granti i Performancës Komunale (GPK) i vitit 202</w:t>
      </w:r>
      <w:r w:rsidR="00094925">
        <w:rPr>
          <w:color w:val="0E2841" w:themeColor="text2"/>
          <w:kern w:val="2"/>
          <w14:ligatures w14:val="standardContextual"/>
        </w:rPr>
        <w:t>6</w:t>
      </w:r>
      <w:r w:rsidR="00401336">
        <w:rPr>
          <w:color w:val="0E2841" w:themeColor="text2"/>
          <w:kern w:val="2"/>
          <w14:ligatures w14:val="standardContextual"/>
        </w:rPr>
        <w:t>,</w:t>
      </w:r>
      <w:r w:rsidRPr="002A7744">
        <w:rPr>
          <w:color w:val="0E2841" w:themeColor="text2"/>
          <w:kern w:val="2"/>
          <w14:ligatures w14:val="standardContextual"/>
        </w:rPr>
        <w:t xml:space="preserve"> komunat duhet të përmbushin </w:t>
      </w:r>
      <w:r w:rsidR="00667BF5" w:rsidRPr="002A7744">
        <w:rPr>
          <w:color w:val="0E2841" w:themeColor="text2"/>
          <w:kern w:val="2"/>
          <w14:ligatures w14:val="standardContextual"/>
        </w:rPr>
        <w:t xml:space="preserve">katër </w:t>
      </w:r>
      <w:r w:rsidRPr="002A7744">
        <w:rPr>
          <w:color w:val="0E2841" w:themeColor="text2"/>
          <w:kern w:val="2"/>
          <w14:ligatures w14:val="standardContextual"/>
        </w:rPr>
        <w:t xml:space="preserve">kushte minimale: </w:t>
      </w:r>
    </w:p>
    <w:p w:rsidR="00AB64EB" w:rsidRDefault="00AB64EB" w:rsidP="00A53355">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color w:val="0E2841" w:themeColor="text2"/>
          <w:kern w:val="2"/>
          <w14:ligatures w14:val="standardContextual"/>
        </w:rPr>
      </w:pPr>
    </w:p>
    <w:p w:rsidR="00AB64EB" w:rsidRDefault="00AB64EB" w:rsidP="00A53355">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color w:val="0E2841" w:themeColor="text2"/>
          <w:kern w:val="2"/>
          <w14:ligatures w14:val="standardContextual"/>
        </w:rPr>
      </w:pPr>
    </w:p>
    <w:p w:rsidR="00633410" w:rsidRDefault="00633410" w:rsidP="00A53355">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color w:val="0E2841" w:themeColor="text2"/>
          <w:kern w:val="2"/>
          <w14:ligatures w14:val="standardContextual"/>
        </w:rPr>
      </w:pPr>
    </w:p>
    <w:p w:rsidR="00AB64EB" w:rsidRPr="002A7744" w:rsidRDefault="00AB64EB" w:rsidP="00A53355">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color w:val="0E2841" w:themeColor="text2"/>
          <w:kern w:val="2"/>
          <w14:ligatures w14:val="standardContextu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8575"/>
      </w:tblGrid>
      <w:tr w:rsidR="00804DFE" w:rsidRPr="00667BF5" w:rsidTr="00804DFE">
        <w:trPr>
          <w:trHeight w:val="171"/>
        </w:trPr>
        <w:tc>
          <w:tcPr>
            <w:tcW w:w="9464" w:type="dxa"/>
            <w:gridSpan w:val="2"/>
            <w:shd w:val="clear" w:color="auto" w:fill="4472C4"/>
          </w:tcPr>
          <w:p w:rsidR="00804DFE" w:rsidRPr="00244E12" w:rsidRDefault="00804DFE" w:rsidP="00F13D0A">
            <w:pPr>
              <w:spacing w:after="0" w:line="256" w:lineRule="auto"/>
              <w:jc w:val="center"/>
              <w:rPr>
                <w:rFonts w:eastAsia="Times New Roman" w:cs="Times New Roman"/>
                <w:b/>
                <w:bCs/>
                <w:color w:val="FFFFFF" w:themeColor="background1"/>
                <w:sz w:val="21"/>
                <w:szCs w:val="21"/>
              </w:rPr>
            </w:pPr>
            <w:r w:rsidRPr="00244E12">
              <w:rPr>
                <w:rFonts w:eastAsia="Times New Roman" w:cs="Times New Roman"/>
                <w:b/>
                <w:bCs/>
                <w:color w:val="FFFFFF" w:themeColor="background1"/>
                <w:sz w:val="21"/>
                <w:szCs w:val="21"/>
              </w:rPr>
              <w:lastRenderedPageBreak/>
              <w:t>Kushtet Minimale </w:t>
            </w:r>
          </w:p>
        </w:tc>
      </w:tr>
      <w:tr w:rsidR="00804DFE" w:rsidRPr="00667BF5" w:rsidTr="00804DFE">
        <w:trPr>
          <w:trHeight w:val="333"/>
        </w:trPr>
        <w:tc>
          <w:tcPr>
            <w:tcW w:w="889" w:type="dxa"/>
            <w:shd w:val="clear" w:color="auto" w:fill="D9E2F3"/>
          </w:tcPr>
          <w:p w:rsidR="00804DFE" w:rsidRPr="00667BF5" w:rsidRDefault="00804DFE" w:rsidP="007938D0">
            <w:pPr>
              <w:spacing w:after="0" w:line="240" w:lineRule="auto"/>
              <w:rPr>
                <w:rFonts w:eastAsia="Times New Roman" w:cs="Times New Roman"/>
                <w:sz w:val="21"/>
                <w:szCs w:val="21"/>
              </w:rPr>
            </w:pPr>
            <w:r w:rsidRPr="00667BF5">
              <w:rPr>
                <w:rFonts w:eastAsia="Times New Roman" w:cs="Times New Roman"/>
                <w:sz w:val="21"/>
                <w:szCs w:val="21"/>
              </w:rPr>
              <w:t>KM1</w:t>
            </w:r>
          </w:p>
        </w:tc>
        <w:tc>
          <w:tcPr>
            <w:tcW w:w="8574" w:type="dxa"/>
            <w:shd w:val="clear" w:color="auto" w:fill="D9E2F3"/>
            <w:vAlign w:val="center"/>
            <w:hideMark/>
          </w:tcPr>
          <w:p w:rsidR="00804DFE" w:rsidRPr="00667BF5" w:rsidRDefault="00804DFE" w:rsidP="002747F0">
            <w:pPr>
              <w:tabs>
                <w:tab w:val="num" w:pos="1789"/>
              </w:tabs>
              <w:spacing w:before="20" w:after="0" w:line="240" w:lineRule="auto"/>
              <w:rPr>
                <w:kern w:val="2"/>
                <w:sz w:val="21"/>
                <w:szCs w:val="21"/>
                <w14:ligatures w14:val="standardContextual"/>
              </w:rPr>
            </w:pPr>
            <w:r w:rsidRPr="00667BF5">
              <w:rPr>
                <w:kern w:val="2"/>
                <w:sz w:val="21"/>
                <w:szCs w:val="21"/>
                <w14:ligatures w14:val="standardContextual"/>
              </w:rPr>
              <w:t>Komunat duhet të kenë raportuar të dhënat në SMPK sipas afatit të përcaktuar në neni</w:t>
            </w:r>
            <w:r w:rsidR="00A841C6">
              <w:rPr>
                <w:kern w:val="2"/>
                <w:sz w:val="21"/>
                <w:szCs w:val="21"/>
                <w14:ligatures w14:val="standardContextual"/>
              </w:rPr>
              <w:t>n</w:t>
            </w:r>
            <w:r w:rsidRPr="00667BF5">
              <w:rPr>
                <w:kern w:val="2"/>
                <w:sz w:val="21"/>
                <w:szCs w:val="21"/>
                <w14:ligatures w14:val="standardContextual"/>
              </w:rPr>
              <w:t xml:space="preserve"> 19.2 të Ligjit për SMPK/GPK;</w:t>
            </w:r>
          </w:p>
          <w:p w:rsidR="00804DFE" w:rsidRPr="00667BF5" w:rsidRDefault="00804DFE" w:rsidP="002747F0">
            <w:pPr>
              <w:spacing w:after="0" w:line="240" w:lineRule="auto"/>
              <w:rPr>
                <w:rFonts w:eastAsia="Times New Roman" w:cs="Times New Roman"/>
                <w:sz w:val="21"/>
                <w:szCs w:val="21"/>
              </w:rPr>
            </w:pPr>
          </w:p>
        </w:tc>
      </w:tr>
      <w:tr w:rsidR="00804DFE" w:rsidRPr="00667BF5" w:rsidTr="00804DFE">
        <w:trPr>
          <w:trHeight w:val="333"/>
        </w:trPr>
        <w:tc>
          <w:tcPr>
            <w:tcW w:w="889" w:type="dxa"/>
            <w:shd w:val="clear" w:color="auto" w:fill="D9E2F3"/>
          </w:tcPr>
          <w:p w:rsidR="00804DFE" w:rsidRPr="00667BF5" w:rsidRDefault="00804DFE" w:rsidP="007938D0">
            <w:pPr>
              <w:spacing w:after="0" w:line="240" w:lineRule="auto"/>
              <w:rPr>
                <w:rFonts w:eastAsia="Times New Roman" w:cs="Times New Roman"/>
                <w:sz w:val="21"/>
                <w:szCs w:val="21"/>
              </w:rPr>
            </w:pPr>
            <w:r w:rsidRPr="00667BF5">
              <w:rPr>
                <w:rFonts w:eastAsia="Times New Roman" w:cs="Times New Roman"/>
                <w:sz w:val="21"/>
                <w:szCs w:val="21"/>
              </w:rPr>
              <w:t>KM2</w:t>
            </w:r>
          </w:p>
        </w:tc>
        <w:tc>
          <w:tcPr>
            <w:tcW w:w="8574" w:type="dxa"/>
            <w:shd w:val="clear" w:color="auto" w:fill="D9E2F3"/>
            <w:vAlign w:val="center"/>
          </w:tcPr>
          <w:p w:rsidR="00804DFE" w:rsidRPr="00667BF5" w:rsidRDefault="00804DFE" w:rsidP="002747F0">
            <w:pPr>
              <w:spacing w:after="0" w:line="240" w:lineRule="auto"/>
              <w:rPr>
                <w:rFonts w:eastAsia="Times New Roman" w:cs="Times New Roman"/>
                <w:sz w:val="21"/>
                <w:szCs w:val="21"/>
              </w:rPr>
            </w:pPr>
            <w:r w:rsidRPr="00667BF5">
              <w:rPr>
                <w:kern w:val="2"/>
                <w:sz w:val="21"/>
                <w:szCs w:val="21"/>
                <w14:ligatures w14:val="standardContextual"/>
              </w:rPr>
              <w:t>Komunat duhet të kenë respektuar obligimin ligjor për të rishqyrtuar aktet komunale të vlerësuara si të kundërligjshme nga autoriteti mbikëqyrës</w:t>
            </w:r>
          </w:p>
        </w:tc>
      </w:tr>
      <w:tr w:rsidR="00804DFE" w:rsidRPr="00667BF5" w:rsidTr="00804DFE">
        <w:trPr>
          <w:trHeight w:val="341"/>
        </w:trPr>
        <w:tc>
          <w:tcPr>
            <w:tcW w:w="889" w:type="dxa"/>
            <w:shd w:val="clear" w:color="auto" w:fill="D9E2F3"/>
          </w:tcPr>
          <w:p w:rsidR="00804DFE" w:rsidRPr="00667BF5" w:rsidRDefault="00804DFE" w:rsidP="007938D0">
            <w:pPr>
              <w:spacing w:after="0" w:line="240" w:lineRule="auto"/>
              <w:rPr>
                <w:rFonts w:eastAsia="Times New Roman" w:cs="Times New Roman"/>
                <w:sz w:val="21"/>
                <w:szCs w:val="21"/>
              </w:rPr>
            </w:pPr>
            <w:r w:rsidRPr="00667BF5">
              <w:rPr>
                <w:rFonts w:eastAsia="Times New Roman" w:cs="Times New Roman"/>
                <w:sz w:val="21"/>
                <w:szCs w:val="21"/>
              </w:rPr>
              <w:t>KM3</w:t>
            </w:r>
          </w:p>
        </w:tc>
        <w:tc>
          <w:tcPr>
            <w:tcW w:w="8574" w:type="dxa"/>
            <w:shd w:val="clear" w:color="auto" w:fill="D9E2F3"/>
            <w:vAlign w:val="center"/>
          </w:tcPr>
          <w:p w:rsidR="00804DFE" w:rsidRPr="00667BF5" w:rsidRDefault="00804DFE" w:rsidP="002747F0">
            <w:pPr>
              <w:spacing w:after="0" w:line="240" w:lineRule="auto"/>
              <w:rPr>
                <w:rFonts w:eastAsia="Times New Roman" w:cs="Times New Roman"/>
                <w:sz w:val="21"/>
                <w:szCs w:val="21"/>
              </w:rPr>
            </w:pPr>
            <w:r w:rsidRPr="00667BF5">
              <w:rPr>
                <w:kern w:val="2"/>
                <w:sz w:val="21"/>
                <w:szCs w:val="21"/>
                <w14:ligatures w14:val="standardContextual"/>
              </w:rPr>
              <w:t>Opinioni i auditimit duhet të jetë të paktën i pamodifikuar me theksim të çështjes</w:t>
            </w:r>
          </w:p>
        </w:tc>
      </w:tr>
      <w:tr w:rsidR="00804DFE" w:rsidRPr="00667BF5" w:rsidTr="00804DFE">
        <w:trPr>
          <w:trHeight w:val="368"/>
        </w:trPr>
        <w:tc>
          <w:tcPr>
            <w:tcW w:w="889" w:type="dxa"/>
            <w:shd w:val="clear" w:color="auto" w:fill="D9E2F3"/>
          </w:tcPr>
          <w:p w:rsidR="00804DFE" w:rsidRPr="00667BF5" w:rsidRDefault="00804DFE" w:rsidP="007938D0">
            <w:pPr>
              <w:spacing w:after="0" w:line="240" w:lineRule="auto"/>
              <w:rPr>
                <w:rFonts w:eastAsia="Times New Roman" w:cs="Times New Roman"/>
                <w:sz w:val="21"/>
                <w:szCs w:val="21"/>
              </w:rPr>
            </w:pPr>
            <w:r w:rsidRPr="00667BF5">
              <w:rPr>
                <w:rFonts w:eastAsia="Times New Roman" w:cs="Times New Roman"/>
                <w:sz w:val="21"/>
                <w:szCs w:val="21"/>
              </w:rPr>
              <w:t>KM4</w:t>
            </w:r>
          </w:p>
        </w:tc>
        <w:tc>
          <w:tcPr>
            <w:tcW w:w="8574" w:type="dxa"/>
            <w:shd w:val="clear" w:color="auto" w:fill="D9E2F3"/>
            <w:vAlign w:val="center"/>
          </w:tcPr>
          <w:p w:rsidR="00804DFE" w:rsidRPr="00667BF5" w:rsidRDefault="00804DFE" w:rsidP="002747F0">
            <w:pPr>
              <w:spacing w:after="0" w:line="240" w:lineRule="auto"/>
              <w:rPr>
                <w:rFonts w:eastAsia="Times New Roman" w:cs="Times New Roman"/>
                <w:sz w:val="21"/>
                <w:szCs w:val="21"/>
              </w:rPr>
            </w:pPr>
            <w:r w:rsidRPr="00667BF5">
              <w:rPr>
                <w:kern w:val="2"/>
                <w:sz w:val="21"/>
                <w:szCs w:val="21"/>
                <w14:ligatures w14:val="standardContextual"/>
              </w:rPr>
              <w:t>Komunat duhet të kenë shpenzuar 75% ose më tepër të buxhetit final për investime kapitale</w:t>
            </w:r>
          </w:p>
        </w:tc>
      </w:tr>
    </w:tbl>
    <w:p w:rsidR="007447E1" w:rsidRDefault="007447E1" w:rsidP="002A774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color w:val="0E2841" w:themeColor="text2"/>
          <w:kern w:val="2"/>
          <w14:ligatures w14:val="standardContextual"/>
        </w:rPr>
      </w:pPr>
    </w:p>
    <w:p w:rsidR="0066099E" w:rsidRDefault="00F16D9D" w:rsidP="002A774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color w:val="0E2841" w:themeColor="text2"/>
          <w:kern w:val="2"/>
          <w14:ligatures w14:val="standardContextual"/>
        </w:rPr>
      </w:pPr>
      <w:r w:rsidRPr="002A7744">
        <w:rPr>
          <w:color w:val="0E2841" w:themeColor="text2"/>
          <w:kern w:val="2"/>
          <w14:ligatures w14:val="standardContextual"/>
        </w:rPr>
        <w:t>Granti i Performancës Komunale (GPK) për vitin fiskal 202</w:t>
      </w:r>
      <w:r w:rsidR="00094925">
        <w:rPr>
          <w:color w:val="0E2841" w:themeColor="text2"/>
          <w:kern w:val="2"/>
          <w14:ligatures w14:val="standardContextual"/>
        </w:rPr>
        <w:t>6</w:t>
      </w:r>
      <w:r w:rsidRPr="002A7744">
        <w:rPr>
          <w:color w:val="0E2841" w:themeColor="text2"/>
          <w:kern w:val="2"/>
          <w14:ligatures w14:val="standardContextual"/>
        </w:rPr>
        <w:t xml:space="preserve"> do t’i ndahet komunave në pajtim me pikët e arritura në performancën komunale në bazë treguesve në tri </w:t>
      </w:r>
      <w:r w:rsidR="00804DFE">
        <w:rPr>
          <w:color w:val="0E2841" w:themeColor="text2"/>
          <w:kern w:val="2"/>
          <w14:ligatures w14:val="standardContextual"/>
        </w:rPr>
        <w:t>fushave</w:t>
      </w:r>
      <w:r w:rsidRPr="002A7744">
        <w:rPr>
          <w:color w:val="0E2841" w:themeColor="text2"/>
          <w:kern w:val="2"/>
          <w14:ligatures w14:val="standardContextual"/>
        </w:rPr>
        <w:t xml:space="preserve"> kryesore: (i) qeverisja demokratike, (ii) menaxhimi komunal, dhe (iii) ofrimi i shërbimeve.  Këto </w:t>
      </w:r>
      <w:r w:rsidR="00804DFE">
        <w:rPr>
          <w:color w:val="0E2841" w:themeColor="text2"/>
          <w:kern w:val="2"/>
          <w14:ligatures w14:val="standardContextual"/>
        </w:rPr>
        <w:t>fusha</w:t>
      </w:r>
      <w:r w:rsidRPr="002A7744">
        <w:rPr>
          <w:color w:val="0E2841" w:themeColor="text2"/>
          <w:kern w:val="2"/>
          <w14:ligatures w14:val="standardContextual"/>
        </w:rPr>
        <w:t xml:space="preserve">  ndahen tutje në dhjetë nën</w:t>
      </w:r>
      <w:r w:rsidR="00804DFE">
        <w:rPr>
          <w:color w:val="0E2841" w:themeColor="text2"/>
          <w:kern w:val="2"/>
          <w14:ligatures w14:val="standardContextual"/>
        </w:rPr>
        <w:t>fusha</w:t>
      </w:r>
      <w:r w:rsidRPr="002A7744">
        <w:rPr>
          <w:color w:val="0E2841" w:themeColor="text2"/>
          <w:kern w:val="2"/>
          <w14:ligatures w14:val="standardContextual"/>
        </w:rPr>
        <w:t xml:space="preserve"> siç janë të paraqitura në Tabelën </w:t>
      </w:r>
      <w:r w:rsidR="00E97E9B" w:rsidRPr="002A7744">
        <w:rPr>
          <w:color w:val="0E2841" w:themeColor="text2"/>
          <w:kern w:val="2"/>
          <w14:ligatures w14:val="standardContextual"/>
        </w:rPr>
        <w:t>2</w:t>
      </w:r>
      <w:r w:rsidRPr="002A7744">
        <w:rPr>
          <w:color w:val="0E2841" w:themeColor="text2"/>
          <w:kern w:val="2"/>
          <w14:ligatures w14:val="standardContextual"/>
        </w:rPr>
        <w:t>. Në kuadër të këtyre dhjetë nën-</w:t>
      </w:r>
      <w:r w:rsidR="00804DFE">
        <w:rPr>
          <w:color w:val="0E2841" w:themeColor="text2"/>
          <w:kern w:val="2"/>
          <w14:ligatures w14:val="standardContextual"/>
        </w:rPr>
        <w:t>fushave</w:t>
      </w:r>
      <w:r w:rsidRPr="002A7744">
        <w:rPr>
          <w:color w:val="0E2841" w:themeColor="text2"/>
          <w:kern w:val="2"/>
          <w14:ligatures w14:val="standardContextual"/>
        </w:rPr>
        <w:t xml:space="preserve">, janë identifikuar </w:t>
      </w:r>
      <w:r w:rsidR="00094925">
        <w:rPr>
          <w:color w:val="0E2841" w:themeColor="text2"/>
          <w:kern w:val="2"/>
          <w14:ligatures w14:val="standardContextual"/>
        </w:rPr>
        <w:t>29</w:t>
      </w:r>
      <w:r w:rsidRPr="002A7744">
        <w:rPr>
          <w:color w:val="0E2841" w:themeColor="text2"/>
          <w:kern w:val="2"/>
          <w14:ligatures w14:val="standardContextual"/>
        </w:rPr>
        <w:t xml:space="preserve"> tregues të performancës</w:t>
      </w:r>
      <w:r w:rsidR="00804DFE">
        <w:rPr>
          <w:color w:val="0E2841" w:themeColor="text2"/>
          <w:kern w:val="2"/>
          <w14:ligatures w14:val="standardContextual"/>
        </w:rPr>
        <w:t>, mirëpo, p</w:t>
      </w:r>
      <w:r w:rsidRPr="002A7744">
        <w:rPr>
          <w:color w:val="0E2841" w:themeColor="text2"/>
          <w:kern w:val="2"/>
          <w14:ligatures w14:val="standardContextual"/>
        </w:rPr>
        <w:t>ër GPK që do të jepet në vitin fiskal 202</w:t>
      </w:r>
      <w:r w:rsidR="00094925">
        <w:rPr>
          <w:color w:val="0E2841" w:themeColor="text2"/>
          <w:kern w:val="2"/>
          <w14:ligatures w14:val="standardContextual"/>
        </w:rPr>
        <w:t>6</w:t>
      </w:r>
      <w:r w:rsidRPr="002A7744">
        <w:rPr>
          <w:color w:val="0E2841" w:themeColor="text2"/>
          <w:kern w:val="2"/>
          <w14:ligatures w14:val="standardContextual"/>
        </w:rPr>
        <w:t xml:space="preserve">, bazuar në performancën </w:t>
      </w:r>
      <w:r w:rsidR="00D66A0D">
        <w:rPr>
          <w:color w:val="0E2841" w:themeColor="text2"/>
          <w:kern w:val="2"/>
          <w14:ligatures w14:val="standardContextual"/>
        </w:rPr>
        <w:t xml:space="preserve"> komunale për </w:t>
      </w:r>
      <w:r w:rsidRPr="002A7744">
        <w:rPr>
          <w:color w:val="0E2841" w:themeColor="text2"/>
          <w:kern w:val="2"/>
          <w14:ligatures w14:val="standardContextual"/>
        </w:rPr>
        <w:t>viti</w:t>
      </w:r>
      <w:r w:rsidR="00D66A0D">
        <w:rPr>
          <w:color w:val="0E2841" w:themeColor="text2"/>
          <w:kern w:val="2"/>
          <w14:ligatures w14:val="standardContextual"/>
        </w:rPr>
        <w:t>n</w:t>
      </w:r>
      <w:r w:rsidRPr="002A7744">
        <w:rPr>
          <w:color w:val="0E2841" w:themeColor="text2"/>
          <w:kern w:val="2"/>
          <w14:ligatures w14:val="standardContextual"/>
        </w:rPr>
        <w:t xml:space="preserve"> 202</w:t>
      </w:r>
      <w:r w:rsidR="00094925">
        <w:rPr>
          <w:color w:val="0E2841" w:themeColor="text2"/>
          <w:kern w:val="2"/>
          <w14:ligatures w14:val="standardContextual"/>
        </w:rPr>
        <w:t>4</w:t>
      </w:r>
      <w:r w:rsidRPr="002A7744">
        <w:rPr>
          <w:color w:val="0E2841" w:themeColor="text2"/>
          <w:kern w:val="2"/>
          <w14:ligatures w14:val="standardContextual"/>
        </w:rPr>
        <w:t>, do të vlerë</w:t>
      </w:r>
      <w:bookmarkStart w:id="7" w:name="_Hlk99103168"/>
      <w:r w:rsidRPr="002A7744">
        <w:rPr>
          <w:color w:val="0E2841" w:themeColor="text2"/>
          <w:kern w:val="2"/>
          <w14:ligatures w14:val="standardContextual"/>
        </w:rPr>
        <w:t>sohen 2</w:t>
      </w:r>
      <w:r w:rsidR="00094925">
        <w:rPr>
          <w:color w:val="0E2841" w:themeColor="text2"/>
          <w:kern w:val="2"/>
          <w14:ligatures w14:val="standardContextual"/>
        </w:rPr>
        <w:t>9</w:t>
      </w:r>
      <w:r w:rsidRPr="002A7744">
        <w:rPr>
          <w:color w:val="0E2841" w:themeColor="text2"/>
          <w:kern w:val="2"/>
          <w14:ligatures w14:val="standardContextual"/>
        </w:rPr>
        <w:t xml:space="preserve"> tregues</w:t>
      </w:r>
      <w:bookmarkEnd w:id="7"/>
      <w:r w:rsidRPr="002A7744">
        <w:rPr>
          <w:color w:val="0E2841" w:themeColor="text2"/>
          <w:kern w:val="2"/>
          <w14:ligatures w14:val="standardContextual"/>
        </w:rPr>
        <w:t xml:space="preserve"> me numër total të pikëve 9</w:t>
      </w:r>
      <w:r w:rsidR="00094925">
        <w:rPr>
          <w:color w:val="0E2841" w:themeColor="text2"/>
          <w:kern w:val="2"/>
          <w14:ligatures w14:val="standardContextual"/>
        </w:rPr>
        <w:t>8</w:t>
      </w:r>
      <w:r w:rsidRPr="002A7744">
        <w:rPr>
          <w:color w:val="0E2841" w:themeColor="text2"/>
          <w:kern w:val="2"/>
          <w14:ligatures w14:val="standardContextual"/>
        </w:rPr>
        <w:t xml:space="preserve"> pikë. </w:t>
      </w:r>
    </w:p>
    <w:p w:rsidR="0066099E" w:rsidRDefault="00C86F58" w:rsidP="002A774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color w:val="0E2841" w:themeColor="text2"/>
          <w:kern w:val="2"/>
          <w14:ligatures w14:val="standardContextual"/>
        </w:rPr>
      </w:pPr>
      <w:r>
        <w:rPr>
          <w:noProof/>
          <w:color w:val="0E2841" w:themeColor="text2"/>
          <w:kern w:val="2"/>
          <w:lang w:val="en-GB" w:eastAsia="en-GB"/>
          <w14:ligatures w14:val="standardContextual"/>
        </w:rPr>
        <mc:AlternateContent>
          <mc:Choice Requires="wps">
            <w:drawing>
              <wp:anchor distT="0" distB="0" distL="114300" distR="114300" simplePos="0" relativeHeight="251662336" behindDoc="0" locked="0" layoutInCell="1" allowOverlap="1" wp14:anchorId="47EB4B23" wp14:editId="7B3648F3">
                <wp:simplePos x="0" y="0"/>
                <wp:positionH relativeFrom="margin">
                  <wp:align>left</wp:align>
                </wp:positionH>
                <wp:positionV relativeFrom="paragraph">
                  <wp:posOffset>81915</wp:posOffset>
                </wp:positionV>
                <wp:extent cx="6139543" cy="511792"/>
                <wp:effectExtent l="0" t="0" r="13970" b="22225"/>
                <wp:wrapNone/>
                <wp:docPr id="2045662513" name="Rectangle 1"/>
                <wp:cNvGraphicFramePr/>
                <a:graphic xmlns:a="http://schemas.openxmlformats.org/drawingml/2006/main">
                  <a:graphicData uri="http://schemas.microsoft.com/office/word/2010/wordprocessingShape">
                    <wps:wsp>
                      <wps:cNvSpPr/>
                      <wps:spPr>
                        <a:xfrm>
                          <a:off x="0" y="0"/>
                          <a:ext cx="6139543" cy="51179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235368" w:rsidRDefault="00235368" w:rsidP="00094925">
                            <w:pPr>
                              <w:jc w:val="center"/>
                            </w:pPr>
                            <w:r w:rsidRPr="005100C8">
                              <w:rPr>
                                <w:rFonts w:ascii="Calibri Light" w:eastAsia="Times New Roman" w:hAnsi="Calibri Light" w:cs="Calibri Light"/>
                                <w:b/>
                                <w:bCs/>
                                <w:color w:val="FFFFFF"/>
                              </w:rPr>
                              <w:t>Treguesi nr. 16b</w:t>
                            </w:r>
                            <w:r>
                              <w:rPr>
                                <w:rFonts w:ascii="Calibri Light" w:eastAsia="Times New Roman" w:hAnsi="Calibri Light" w:cs="Calibri Light"/>
                                <w:b/>
                                <w:bCs/>
                                <w:color w:val="FFFFFF"/>
                              </w:rPr>
                              <w:t>, nuk do të matet marrë parasysh që ky tregues nuk është matur në SMPK për performancën e vitit 2024.</w:t>
                            </w:r>
                          </w:p>
                          <w:p w:rsidR="00235368" w:rsidRDefault="00235368" w:rsidP="006609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B4B23" id="Rectangle 1" o:spid="_x0000_s1026" style="position:absolute;left:0;text-align:left;margin-left:0;margin-top:6.45pt;width:483.45pt;height:40.3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" fillcolor="#156082 [3204]" strokecolor="#030e13 [484]" strokeweight="1pt">
                <v:textbox>
                  <w:txbxContent>
                    <w:p w:rsidR="00235368" w:rsidRDefault="00235368" w:rsidP="00094925">
                      <w:pPr>
                        <w:jc w:val="center"/>
                      </w:pPr>
                      <w:r w:rsidRPr="005100C8">
                        <w:rPr>
                          <w:rFonts w:ascii="Calibri Light" w:eastAsia="Times New Roman" w:hAnsi="Calibri Light" w:cs="Calibri Light"/>
                          <w:b/>
                          <w:bCs/>
                          <w:color w:val="FFFFFF"/>
                        </w:rPr>
                        <w:t>Treguesi nr. 16b</w:t>
                      </w:r>
                      <w:r>
                        <w:rPr>
                          <w:rFonts w:ascii="Calibri Light" w:eastAsia="Times New Roman" w:hAnsi="Calibri Light" w:cs="Calibri Light"/>
                          <w:b/>
                          <w:bCs/>
                          <w:color w:val="FFFFFF"/>
                        </w:rPr>
                        <w:t>, nuk do të matet marrë parasysh që ky tregues nuk është matur në SMPK për performancën e vitit 2024.</w:t>
                      </w:r>
                    </w:p>
                    <w:p w:rsidR="00235368" w:rsidRDefault="00235368" w:rsidP="0066099E">
                      <w:pPr>
                        <w:jc w:val="center"/>
                      </w:pPr>
                    </w:p>
                  </w:txbxContent>
                </v:textbox>
                <w10:wrap anchorx="margin"/>
              </v:rect>
            </w:pict>
          </mc:Fallback>
        </mc:AlternateContent>
      </w:r>
    </w:p>
    <w:p w:rsidR="0066099E" w:rsidRDefault="0066099E" w:rsidP="002A774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color w:val="0E2841" w:themeColor="text2"/>
          <w:kern w:val="2"/>
          <w14:ligatures w14:val="standardContextual"/>
        </w:rPr>
      </w:pPr>
    </w:p>
    <w:p w:rsidR="00545E84" w:rsidRDefault="00545E84" w:rsidP="00825133"/>
    <w:p w:rsidR="00F16D9D" w:rsidRPr="00545E84" w:rsidRDefault="00545E84" w:rsidP="00545E84">
      <w:pPr>
        <w:pStyle w:val="Caption"/>
        <w:keepNext/>
      </w:pPr>
      <w:r>
        <w:t xml:space="preserve">Tabela </w:t>
      </w:r>
      <w:r>
        <w:fldChar w:fldCharType="begin"/>
      </w:r>
      <w:r>
        <w:instrText xml:space="preserve"> SEQ Table \* ARABIC </w:instrText>
      </w:r>
      <w:r>
        <w:fldChar w:fldCharType="separate"/>
      </w:r>
      <w:r w:rsidR="009A0925">
        <w:rPr>
          <w:noProof/>
        </w:rPr>
        <w:t>2</w:t>
      </w:r>
      <w:r>
        <w:fldChar w:fldCharType="end"/>
      </w:r>
      <w:r>
        <w:t xml:space="preserve"> </w:t>
      </w:r>
      <w:r w:rsidRPr="008718A7">
        <w:t>Tre fushat kryesore dhe dhjetë nën-fushat me pikët maksimale për grantin që do të ndahet në vitin fiskal 202</w:t>
      </w:r>
      <w:r w:rsidR="00094925">
        <w:t>6</w:t>
      </w:r>
    </w:p>
    <w:tbl>
      <w:tblPr>
        <w:tblW w:w="9800" w:type="dxa"/>
        <w:tblLayout w:type="fixed"/>
        <w:tblLook w:val="04A0" w:firstRow="1" w:lastRow="0" w:firstColumn="1" w:lastColumn="0" w:noHBand="0" w:noVBand="1"/>
      </w:tblPr>
      <w:tblGrid>
        <w:gridCol w:w="620"/>
        <w:gridCol w:w="6840"/>
        <w:gridCol w:w="1080"/>
        <w:gridCol w:w="1260"/>
      </w:tblGrid>
      <w:tr w:rsidR="00DE2133" w:rsidRPr="00804DFE" w:rsidTr="007E106F">
        <w:trPr>
          <w:trHeight w:val="1249"/>
        </w:trPr>
        <w:tc>
          <w:tcPr>
            <w:tcW w:w="620" w:type="dxa"/>
            <w:tcBorders>
              <w:top w:val="single" w:sz="8" w:space="0" w:color="auto"/>
              <w:left w:val="single" w:sz="8" w:space="0" w:color="auto"/>
              <w:bottom w:val="single" w:sz="4" w:space="0" w:color="auto"/>
              <w:right w:val="single" w:sz="8" w:space="0" w:color="auto"/>
            </w:tcBorders>
            <w:shd w:val="clear" w:color="000000" w:fill="4472C4"/>
            <w:noWrap/>
            <w:vAlign w:val="center"/>
            <w:hideMark/>
          </w:tcPr>
          <w:p w:rsidR="00DE2133" w:rsidRPr="00804DFE" w:rsidRDefault="00DE2133" w:rsidP="00DE2133">
            <w:pPr>
              <w:spacing w:after="0" w:line="240" w:lineRule="auto"/>
              <w:rPr>
                <w:rFonts w:asciiTheme="majorHAnsi" w:eastAsia="Times New Roman" w:hAnsiTheme="majorHAnsi" w:cs="Calibri"/>
                <w:color w:val="FFFFFF"/>
                <w:sz w:val="20"/>
                <w:szCs w:val="20"/>
              </w:rPr>
            </w:pPr>
            <w:bookmarkStart w:id="8" w:name="_Hlk174604391"/>
            <w:r w:rsidRPr="00804DFE">
              <w:rPr>
                <w:rFonts w:asciiTheme="majorHAnsi" w:eastAsia="Times New Roman" w:hAnsiTheme="majorHAnsi" w:cs="Calibri"/>
                <w:color w:val="FFFFFF"/>
                <w:sz w:val="20"/>
                <w:szCs w:val="20"/>
              </w:rPr>
              <w:t>#</w:t>
            </w:r>
          </w:p>
        </w:tc>
        <w:tc>
          <w:tcPr>
            <w:tcW w:w="6840" w:type="dxa"/>
            <w:tcBorders>
              <w:top w:val="single" w:sz="8" w:space="0" w:color="auto"/>
              <w:left w:val="nil"/>
              <w:bottom w:val="single" w:sz="4" w:space="0" w:color="auto"/>
              <w:right w:val="single" w:sz="8" w:space="0" w:color="auto"/>
            </w:tcBorders>
            <w:shd w:val="clear" w:color="000000" w:fill="4472C4"/>
            <w:noWrap/>
            <w:vAlign w:val="center"/>
            <w:hideMark/>
          </w:tcPr>
          <w:p w:rsidR="00DE2133" w:rsidRPr="00383FA4" w:rsidRDefault="00DE2133" w:rsidP="00DE2133">
            <w:pPr>
              <w:spacing w:after="0" w:line="240" w:lineRule="auto"/>
              <w:rPr>
                <w:rFonts w:eastAsia="Times New Roman" w:cs="Calibri"/>
                <w:color w:val="FFFFFF"/>
                <w:sz w:val="20"/>
                <w:szCs w:val="20"/>
              </w:rPr>
            </w:pPr>
            <w:r w:rsidRPr="00383FA4">
              <w:rPr>
                <w:rFonts w:eastAsia="Times New Roman" w:cs="Calibri"/>
                <w:color w:val="FFFFFF"/>
                <w:sz w:val="20"/>
                <w:szCs w:val="20"/>
              </w:rPr>
              <w:t>Fushat, nënfushat dhe treguesit</w:t>
            </w:r>
          </w:p>
        </w:tc>
        <w:tc>
          <w:tcPr>
            <w:tcW w:w="1080" w:type="dxa"/>
            <w:tcBorders>
              <w:top w:val="single" w:sz="8" w:space="0" w:color="auto"/>
              <w:left w:val="nil"/>
              <w:bottom w:val="single" w:sz="8" w:space="0" w:color="auto"/>
              <w:right w:val="single" w:sz="8" w:space="0" w:color="auto"/>
            </w:tcBorders>
            <w:shd w:val="clear" w:color="000000" w:fill="4472C4"/>
            <w:vAlign w:val="center"/>
            <w:hideMark/>
          </w:tcPr>
          <w:p w:rsidR="00DE2133" w:rsidRPr="00383FA4" w:rsidRDefault="00DE2133" w:rsidP="00DE2133">
            <w:pPr>
              <w:spacing w:after="0" w:line="240" w:lineRule="auto"/>
              <w:jc w:val="center"/>
              <w:rPr>
                <w:rFonts w:eastAsia="Times New Roman" w:cs="Calibri"/>
                <w:color w:val="FFFFFF"/>
                <w:sz w:val="20"/>
                <w:szCs w:val="20"/>
              </w:rPr>
            </w:pPr>
            <w:r w:rsidRPr="00383FA4">
              <w:rPr>
                <w:rFonts w:eastAsia="Times New Roman" w:cs="Calibri"/>
                <w:color w:val="FFFFFF"/>
                <w:sz w:val="20"/>
                <w:szCs w:val="20"/>
              </w:rPr>
              <w:t># maks. i pikëve</w:t>
            </w:r>
          </w:p>
        </w:tc>
        <w:tc>
          <w:tcPr>
            <w:tcW w:w="1260" w:type="dxa"/>
            <w:tcBorders>
              <w:top w:val="single" w:sz="8" w:space="0" w:color="auto"/>
              <w:left w:val="nil"/>
              <w:bottom w:val="single" w:sz="8" w:space="0" w:color="auto"/>
              <w:right w:val="single" w:sz="8" w:space="0" w:color="auto"/>
            </w:tcBorders>
            <w:shd w:val="clear" w:color="000000" w:fill="4472C4"/>
          </w:tcPr>
          <w:p w:rsidR="00DE2133" w:rsidRPr="00383FA4" w:rsidRDefault="00DE2133" w:rsidP="00DE2133">
            <w:pPr>
              <w:spacing w:after="0" w:line="240" w:lineRule="auto"/>
              <w:jc w:val="center"/>
              <w:rPr>
                <w:rFonts w:eastAsia="Times New Roman" w:cs="Calibri"/>
                <w:color w:val="FFFFFF"/>
                <w:sz w:val="20"/>
                <w:szCs w:val="20"/>
              </w:rPr>
            </w:pPr>
            <w:r w:rsidRPr="00383FA4">
              <w:rPr>
                <w:rFonts w:eastAsia="Times New Roman" w:cs="Calibri"/>
                <w:color w:val="FFFFFF"/>
                <w:sz w:val="20"/>
                <w:szCs w:val="20"/>
              </w:rPr>
              <w:t xml:space="preserve"># i pikëve që do të </w:t>
            </w:r>
            <w:r w:rsidR="00F429B6">
              <w:rPr>
                <w:rFonts w:eastAsia="Times New Roman" w:cs="Calibri"/>
                <w:color w:val="FFFFFF"/>
                <w:sz w:val="20"/>
                <w:szCs w:val="20"/>
              </w:rPr>
              <w:t>vlerësohen në GPK 2026</w:t>
            </w:r>
          </w:p>
        </w:tc>
      </w:tr>
      <w:tr w:rsidR="00DE2133" w:rsidRPr="00804DFE" w:rsidTr="007E106F">
        <w:trPr>
          <w:trHeight w:val="298"/>
        </w:trPr>
        <w:tc>
          <w:tcPr>
            <w:tcW w:w="7460" w:type="dxa"/>
            <w:gridSpan w:val="2"/>
            <w:tcBorders>
              <w:top w:val="single" w:sz="4" w:space="0" w:color="auto"/>
              <w:left w:val="single" w:sz="4" w:space="0" w:color="auto"/>
              <w:bottom w:val="single" w:sz="4" w:space="0" w:color="auto"/>
              <w:right w:val="single" w:sz="4" w:space="0" w:color="auto"/>
            </w:tcBorders>
            <w:shd w:val="clear" w:color="000000" w:fill="4472C4"/>
            <w:vAlign w:val="center"/>
            <w:hideMark/>
          </w:tcPr>
          <w:p w:rsidR="00DE2133" w:rsidRPr="00383FA4" w:rsidRDefault="00DE2133" w:rsidP="00DE2133">
            <w:pPr>
              <w:spacing w:after="0" w:line="240" w:lineRule="auto"/>
              <w:rPr>
                <w:rFonts w:eastAsia="Times New Roman" w:cs="Calibri"/>
                <w:color w:val="FFFFFF"/>
                <w:sz w:val="20"/>
                <w:szCs w:val="20"/>
              </w:rPr>
            </w:pPr>
            <w:r w:rsidRPr="00383FA4">
              <w:rPr>
                <w:rFonts w:eastAsia="Times New Roman" w:cs="Calibri"/>
                <w:color w:val="FFFFFF"/>
                <w:sz w:val="20"/>
                <w:szCs w:val="20"/>
              </w:rPr>
              <w:t>QEVERISJA KOMUNALE - Roli i Kuvendit Komunal, Pjesëmarrja dhe  Përfshirja e qytetarëve, Transparenca dhe Llogaridhënia</w:t>
            </w:r>
          </w:p>
        </w:tc>
        <w:tc>
          <w:tcPr>
            <w:tcW w:w="1080" w:type="dxa"/>
            <w:tcBorders>
              <w:top w:val="nil"/>
              <w:left w:val="single" w:sz="4" w:space="0" w:color="auto"/>
              <w:bottom w:val="single" w:sz="8" w:space="0" w:color="auto"/>
              <w:right w:val="single" w:sz="8" w:space="0" w:color="auto"/>
            </w:tcBorders>
            <w:shd w:val="clear" w:color="000000" w:fill="4472C4"/>
            <w:noWrap/>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40</w:t>
            </w:r>
          </w:p>
        </w:tc>
        <w:tc>
          <w:tcPr>
            <w:tcW w:w="1260" w:type="dxa"/>
            <w:tcBorders>
              <w:top w:val="nil"/>
              <w:left w:val="single" w:sz="4" w:space="0" w:color="auto"/>
              <w:bottom w:val="single" w:sz="8" w:space="0" w:color="auto"/>
              <w:right w:val="single" w:sz="8" w:space="0" w:color="auto"/>
            </w:tcBorders>
            <w:shd w:val="clear" w:color="000000" w:fill="4472C4"/>
            <w:vAlign w:val="center"/>
          </w:tcPr>
          <w:p w:rsidR="00DE2133" w:rsidRPr="00383FA4" w:rsidRDefault="00094925" w:rsidP="0095339C">
            <w:pPr>
              <w:spacing w:after="0" w:line="240" w:lineRule="auto"/>
              <w:rPr>
                <w:rFonts w:eastAsia="Times New Roman" w:cs="Calibri"/>
                <w:sz w:val="20"/>
                <w:szCs w:val="20"/>
              </w:rPr>
            </w:pPr>
            <w:r>
              <w:rPr>
                <w:rFonts w:eastAsia="Times New Roman" w:cs="Calibri"/>
                <w:sz w:val="20"/>
                <w:szCs w:val="20"/>
              </w:rPr>
              <w:t>40</w:t>
            </w:r>
          </w:p>
        </w:tc>
      </w:tr>
      <w:tr w:rsidR="00DE2133" w:rsidRPr="00804DFE" w:rsidTr="007E106F">
        <w:trPr>
          <w:trHeight w:val="298"/>
        </w:trPr>
        <w:tc>
          <w:tcPr>
            <w:tcW w:w="620" w:type="dxa"/>
            <w:tcBorders>
              <w:top w:val="nil"/>
              <w:left w:val="single" w:sz="8" w:space="0" w:color="auto"/>
              <w:bottom w:val="single" w:sz="8" w:space="0" w:color="auto"/>
              <w:right w:val="single" w:sz="4" w:space="0" w:color="auto"/>
            </w:tcBorders>
            <w:shd w:val="clear" w:color="000000" w:fill="5B9BD5"/>
            <w:noWrap/>
            <w:vAlign w:val="center"/>
            <w:hideMark/>
          </w:tcPr>
          <w:p w:rsidR="00DE2133" w:rsidRPr="00804DFE" w:rsidRDefault="00DE2133" w:rsidP="00DE2133">
            <w:pPr>
              <w:spacing w:after="0" w:line="240" w:lineRule="auto"/>
              <w:rPr>
                <w:rFonts w:asciiTheme="majorHAnsi" w:eastAsia="Times New Roman" w:hAnsiTheme="majorHAnsi" w:cs="Calibri"/>
                <w:color w:val="FFFFFF"/>
                <w:sz w:val="20"/>
                <w:szCs w:val="20"/>
              </w:rPr>
            </w:pPr>
            <w:r w:rsidRPr="00804DFE">
              <w:rPr>
                <w:rFonts w:asciiTheme="majorHAnsi" w:eastAsia="Times New Roman" w:hAnsiTheme="majorHAnsi" w:cs="Calibri"/>
                <w:color w:val="FFFFFF"/>
                <w:sz w:val="20"/>
                <w:szCs w:val="20"/>
              </w:rPr>
              <w:t>I</w:t>
            </w:r>
          </w:p>
        </w:tc>
        <w:tc>
          <w:tcPr>
            <w:tcW w:w="6840"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DE2133" w:rsidRPr="00383FA4" w:rsidRDefault="00DE2133" w:rsidP="00DE2133">
            <w:pPr>
              <w:spacing w:after="0" w:line="240" w:lineRule="auto"/>
              <w:rPr>
                <w:rFonts w:eastAsia="Times New Roman" w:cs="Calibri"/>
                <w:color w:val="FFFFFF"/>
                <w:sz w:val="20"/>
                <w:szCs w:val="20"/>
              </w:rPr>
            </w:pPr>
            <w:r w:rsidRPr="00383FA4">
              <w:rPr>
                <w:rFonts w:eastAsia="Times New Roman" w:cs="Calibri"/>
                <w:color w:val="FFFFFF"/>
                <w:sz w:val="20"/>
                <w:szCs w:val="20"/>
              </w:rPr>
              <w:t>Roli i kuvendit komunal si organ mbikëqyrës</w:t>
            </w:r>
          </w:p>
        </w:tc>
        <w:tc>
          <w:tcPr>
            <w:tcW w:w="1080" w:type="dxa"/>
            <w:tcBorders>
              <w:top w:val="nil"/>
              <w:left w:val="single" w:sz="4" w:space="0" w:color="auto"/>
              <w:bottom w:val="single" w:sz="8" w:space="0" w:color="auto"/>
              <w:right w:val="single" w:sz="8" w:space="0" w:color="auto"/>
            </w:tcBorders>
            <w:shd w:val="clear" w:color="000000" w:fill="5B9BD5"/>
            <w:noWrap/>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12</w:t>
            </w:r>
          </w:p>
        </w:tc>
        <w:tc>
          <w:tcPr>
            <w:tcW w:w="1260" w:type="dxa"/>
            <w:tcBorders>
              <w:top w:val="nil"/>
              <w:left w:val="single" w:sz="4" w:space="0" w:color="auto"/>
              <w:bottom w:val="single" w:sz="8" w:space="0" w:color="auto"/>
              <w:right w:val="single" w:sz="8" w:space="0" w:color="auto"/>
            </w:tcBorders>
            <w:shd w:val="clear" w:color="000000" w:fill="5B9BD5"/>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10</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1</w:t>
            </w:r>
          </w:p>
        </w:tc>
        <w:tc>
          <w:tcPr>
            <w:tcW w:w="6840" w:type="dxa"/>
            <w:tcBorders>
              <w:top w:val="single" w:sz="4" w:space="0" w:color="auto"/>
              <w:left w:val="nil"/>
              <w:bottom w:val="single" w:sz="8"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Miratimi me kohë i propozim buxhetit vjetor komunal</w:t>
            </w:r>
          </w:p>
        </w:tc>
        <w:tc>
          <w:tcPr>
            <w:tcW w:w="108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2</w:t>
            </w:r>
          </w:p>
        </w:tc>
        <w:tc>
          <w:tcPr>
            <w:tcW w:w="1260" w:type="dxa"/>
            <w:tcBorders>
              <w:top w:val="nil"/>
              <w:left w:val="nil"/>
              <w:bottom w:val="single" w:sz="8"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2</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2</w:t>
            </w:r>
          </w:p>
        </w:tc>
        <w:tc>
          <w:tcPr>
            <w:tcW w:w="684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Diskutimi për raportet tremujore buxhetore nga Kuvendi Komunal</w:t>
            </w:r>
          </w:p>
        </w:tc>
        <w:tc>
          <w:tcPr>
            <w:tcW w:w="108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4</w:t>
            </w:r>
          </w:p>
        </w:tc>
        <w:tc>
          <w:tcPr>
            <w:tcW w:w="1260" w:type="dxa"/>
            <w:tcBorders>
              <w:top w:val="nil"/>
              <w:left w:val="nil"/>
              <w:bottom w:val="single" w:sz="8"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4</w:t>
            </w:r>
          </w:p>
        </w:tc>
      </w:tr>
      <w:tr w:rsidR="00DE2133" w:rsidRPr="00804DFE" w:rsidTr="00094925">
        <w:trPr>
          <w:trHeight w:val="298"/>
        </w:trPr>
        <w:tc>
          <w:tcPr>
            <w:tcW w:w="620" w:type="dxa"/>
            <w:tcBorders>
              <w:top w:val="nil"/>
              <w:left w:val="single" w:sz="8" w:space="0" w:color="auto"/>
              <w:bottom w:val="single" w:sz="8" w:space="0" w:color="auto"/>
              <w:right w:val="single" w:sz="8" w:space="0" w:color="auto"/>
            </w:tcBorders>
            <w:shd w:val="clear" w:color="auto" w:fill="DAE9F7" w:themeFill="text2" w:themeFillTint="1A"/>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3</w:t>
            </w:r>
          </w:p>
        </w:tc>
        <w:tc>
          <w:tcPr>
            <w:tcW w:w="6840" w:type="dxa"/>
            <w:tcBorders>
              <w:top w:val="nil"/>
              <w:left w:val="nil"/>
              <w:bottom w:val="single" w:sz="8" w:space="0" w:color="auto"/>
              <w:right w:val="single" w:sz="8" w:space="0" w:color="auto"/>
            </w:tcBorders>
            <w:shd w:val="clear" w:color="auto" w:fill="DAE9F7" w:themeFill="text2" w:themeFillTint="1A"/>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Diskutimi për raportin e performancës komunale nga Kuvendi Komunal për vitin e kaluar</w:t>
            </w:r>
          </w:p>
        </w:tc>
        <w:tc>
          <w:tcPr>
            <w:tcW w:w="1080" w:type="dxa"/>
            <w:tcBorders>
              <w:top w:val="nil"/>
              <w:left w:val="nil"/>
              <w:bottom w:val="single" w:sz="8" w:space="0" w:color="auto"/>
              <w:right w:val="single" w:sz="8" w:space="0" w:color="auto"/>
            </w:tcBorders>
            <w:shd w:val="clear" w:color="auto" w:fill="DAE9F7" w:themeFill="text2" w:themeFillTint="1A"/>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2</w:t>
            </w:r>
          </w:p>
        </w:tc>
        <w:tc>
          <w:tcPr>
            <w:tcW w:w="1260" w:type="dxa"/>
            <w:tcBorders>
              <w:top w:val="nil"/>
              <w:left w:val="nil"/>
              <w:bottom w:val="single" w:sz="8" w:space="0" w:color="auto"/>
              <w:right w:val="single" w:sz="8" w:space="0" w:color="auto"/>
            </w:tcBorders>
            <w:shd w:val="clear" w:color="auto" w:fill="DAE9F7" w:themeFill="text2" w:themeFillTint="1A"/>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0</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4</w:t>
            </w:r>
          </w:p>
        </w:tc>
        <w:tc>
          <w:tcPr>
            <w:tcW w:w="684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 xml:space="preserve">Diskutimi i raportit të auditorit të jashtëm dhe planit të veprimit për adresimin e rekomandimeve  në Kuvendin Komunal </w:t>
            </w:r>
          </w:p>
        </w:tc>
        <w:tc>
          <w:tcPr>
            <w:tcW w:w="108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2</w:t>
            </w:r>
          </w:p>
        </w:tc>
        <w:tc>
          <w:tcPr>
            <w:tcW w:w="1260" w:type="dxa"/>
            <w:tcBorders>
              <w:top w:val="nil"/>
              <w:left w:val="nil"/>
              <w:bottom w:val="single" w:sz="8"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2</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5</w:t>
            </w:r>
          </w:p>
        </w:tc>
        <w:tc>
          <w:tcPr>
            <w:tcW w:w="684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Mbledhje të Kuvendit Komunal me pjesëmarrje të kryetarit të komunës</w:t>
            </w:r>
          </w:p>
        </w:tc>
        <w:tc>
          <w:tcPr>
            <w:tcW w:w="108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2</w:t>
            </w:r>
          </w:p>
        </w:tc>
        <w:tc>
          <w:tcPr>
            <w:tcW w:w="1260" w:type="dxa"/>
            <w:tcBorders>
              <w:top w:val="nil"/>
              <w:left w:val="nil"/>
              <w:bottom w:val="single" w:sz="8"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2</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9BC2E6"/>
            <w:vAlign w:val="center"/>
            <w:hideMark/>
          </w:tcPr>
          <w:p w:rsidR="00DE2133" w:rsidRPr="00804DFE" w:rsidRDefault="00DE2133" w:rsidP="00DE2133">
            <w:pPr>
              <w:spacing w:after="0" w:line="240" w:lineRule="auto"/>
              <w:rPr>
                <w:rFonts w:asciiTheme="majorHAnsi" w:eastAsia="Times New Roman" w:hAnsiTheme="majorHAnsi" w:cs="Calibri"/>
                <w:color w:val="FFFFFF"/>
                <w:sz w:val="20"/>
                <w:szCs w:val="20"/>
              </w:rPr>
            </w:pPr>
            <w:r w:rsidRPr="00804DFE">
              <w:rPr>
                <w:rFonts w:asciiTheme="majorHAnsi" w:eastAsia="Times New Roman" w:hAnsiTheme="majorHAnsi" w:cs="Calibri"/>
                <w:color w:val="FFFFFF"/>
                <w:sz w:val="20"/>
                <w:szCs w:val="20"/>
              </w:rPr>
              <w:t>II</w:t>
            </w:r>
          </w:p>
        </w:tc>
        <w:tc>
          <w:tcPr>
            <w:tcW w:w="6840" w:type="dxa"/>
            <w:tcBorders>
              <w:top w:val="nil"/>
              <w:left w:val="nil"/>
              <w:bottom w:val="single" w:sz="8" w:space="0" w:color="auto"/>
              <w:right w:val="single" w:sz="8" w:space="0" w:color="auto"/>
            </w:tcBorders>
            <w:shd w:val="clear" w:color="000000" w:fill="9BC2E6"/>
            <w:vAlign w:val="center"/>
            <w:hideMark/>
          </w:tcPr>
          <w:p w:rsidR="00DE2133" w:rsidRPr="00383FA4" w:rsidRDefault="00DE2133" w:rsidP="00DE2133">
            <w:pPr>
              <w:spacing w:after="0" w:line="240" w:lineRule="auto"/>
              <w:rPr>
                <w:rFonts w:eastAsia="Times New Roman" w:cs="Calibri"/>
                <w:color w:val="FFFFFF"/>
                <w:sz w:val="20"/>
                <w:szCs w:val="20"/>
              </w:rPr>
            </w:pPr>
            <w:r w:rsidRPr="00383FA4">
              <w:rPr>
                <w:rFonts w:eastAsia="Times New Roman" w:cs="Calibri"/>
                <w:color w:val="FFFFFF"/>
                <w:sz w:val="20"/>
                <w:szCs w:val="20"/>
              </w:rPr>
              <w:t>Pjesëmarrja, konsultimi dhe gjithëpërfshirja e qytetarëve</w:t>
            </w:r>
          </w:p>
        </w:tc>
        <w:tc>
          <w:tcPr>
            <w:tcW w:w="1080" w:type="dxa"/>
            <w:tcBorders>
              <w:top w:val="nil"/>
              <w:left w:val="nil"/>
              <w:bottom w:val="single" w:sz="8" w:space="0" w:color="auto"/>
              <w:right w:val="single" w:sz="8" w:space="0" w:color="auto"/>
            </w:tcBorders>
            <w:shd w:val="clear" w:color="000000" w:fill="9BC2E6"/>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12</w:t>
            </w:r>
          </w:p>
        </w:tc>
        <w:tc>
          <w:tcPr>
            <w:tcW w:w="1260" w:type="dxa"/>
            <w:tcBorders>
              <w:top w:val="nil"/>
              <w:left w:val="nil"/>
              <w:bottom w:val="single" w:sz="8" w:space="0" w:color="auto"/>
              <w:right w:val="single" w:sz="8" w:space="0" w:color="auto"/>
            </w:tcBorders>
            <w:shd w:val="clear" w:color="000000" w:fill="9BC2E6"/>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12</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6</w:t>
            </w:r>
          </w:p>
        </w:tc>
        <w:tc>
          <w:tcPr>
            <w:tcW w:w="684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br/>
              <w:t xml:space="preserve">Pjesëmarrja e qytetarëve në konsultime publike, i disagreguar sipas gjinisë </w:t>
            </w:r>
          </w:p>
        </w:tc>
        <w:tc>
          <w:tcPr>
            <w:tcW w:w="108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4</w:t>
            </w:r>
          </w:p>
        </w:tc>
        <w:tc>
          <w:tcPr>
            <w:tcW w:w="1260" w:type="dxa"/>
            <w:tcBorders>
              <w:top w:val="nil"/>
              <w:left w:val="nil"/>
              <w:bottom w:val="single" w:sz="8"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4</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7</w:t>
            </w:r>
          </w:p>
        </w:tc>
        <w:tc>
          <w:tcPr>
            <w:tcW w:w="684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Aktet komunale dhe dokumentet e politikave lokale të konsultuara me publikun</w:t>
            </w:r>
          </w:p>
        </w:tc>
        <w:tc>
          <w:tcPr>
            <w:tcW w:w="108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4</w:t>
            </w:r>
          </w:p>
        </w:tc>
        <w:tc>
          <w:tcPr>
            <w:tcW w:w="1260" w:type="dxa"/>
            <w:tcBorders>
              <w:top w:val="nil"/>
              <w:left w:val="nil"/>
              <w:bottom w:val="single" w:sz="8"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4</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8</w:t>
            </w:r>
          </w:p>
        </w:tc>
        <w:tc>
          <w:tcPr>
            <w:tcW w:w="684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Dëgjime publike për KAB dhe buxhet komunal (proporcionalisht ndaj # banorëve)</w:t>
            </w:r>
          </w:p>
        </w:tc>
        <w:tc>
          <w:tcPr>
            <w:tcW w:w="108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4</w:t>
            </w:r>
          </w:p>
        </w:tc>
        <w:tc>
          <w:tcPr>
            <w:tcW w:w="1260" w:type="dxa"/>
            <w:tcBorders>
              <w:top w:val="nil"/>
              <w:left w:val="nil"/>
              <w:bottom w:val="single" w:sz="8"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4</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9BC2E6"/>
            <w:noWrap/>
            <w:vAlign w:val="center"/>
            <w:hideMark/>
          </w:tcPr>
          <w:p w:rsidR="00DE2133" w:rsidRPr="00804DFE" w:rsidRDefault="00DE2133" w:rsidP="00DE2133">
            <w:pPr>
              <w:spacing w:after="0" w:line="240" w:lineRule="auto"/>
              <w:rPr>
                <w:rFonts w:asciiTheme="majorHAnsi" w:eastAsia="Times New Roman" w:hAnsiTheme="majorHAnsi" w:cs="Calibri"/>
                <w:color w:val="FFFFFF"/>
                <w:sz w:val="20"/>
                <w:szCs w:val="20"/>
              </w:rPr>
            </w:pPr>
            <w:r w:rsidRPr="00804DFE">
              <w:rPr>
                <w:rFonts w:asciiTheme="majorHAnsi" w:eastAsia="Times New Roman" w:hAnsiTheme="majorHAnsi" w:cs="Calibri"/>
                <w:color w:val="FFFFFF"/>
                <w:sz w:val="20"/>
                <w:szCs w:val="20"/>
              </w:rPr>
              <w:t>III</w:t>
            </w:r>
          </w:p>
        </w:tc>
        <w:tc>
          <w:tcPr>
            <w:tcW w:w="6840" w:type="dxa"/>
            <w:tcBorders>
              <w:top w:val="nil"/>
              <w:left w:val="nil"/>
              <w:bottom w:val="single" w:sz="8" w:space="0" w:color="auto"/>
              <w:right w:val="single" w:sz="8" w:space="0" w:color="auto"/>
            </w:tcBorders>
            <w:shd w:val="clear" w:color="000000" w:fill="9BC2E6"/>
            <w:noWrap/>
            <w:vAlign w:val="center"/>
            <w:hideMark/>
          </w:tcPr>
          <w:p w:rsidR="00DE2133" w:rsidRPr="00383FA4" w:rsidRDefault="00DE2133" w:rsidP="00DE2133">
            <w:pPr>
              <w:spacing w:after="0" w:line="240" w:lineRule="auto"/>
              <w:rPr>
                <w:rFonts w:eastAsia="Times New Roman" w:cs="Calibri"/>
                <w:color w:val="FFFFFF"/>
                <w:sz w:val="20"/>
                <w:szCs w:val="20"/>
              </w:rPr>
            </w:pPr>
            <w:r w:rsidRPr="00383FA4">
              <w:rPr>
                <w:rFonts w:eastAsia="Times New Roman" w:cs="Calibri"/>
                <w:color w:val="FFFFFF"/>
                <w:sz w:val="20"/>
                <w:szCs w:val="20"/>
              </w:rPr>
              <w:t>Transparenca, qasja në informata dhe integriteti</w:t>
            </w:r>
          </w:p>
        </w:tc>
        <w:tc>
          <w:tcPr>
            <w:tcW w:w="1080" w:type="dxa"/>
            <w:tcBorders>
              <w:top w:val="nil"/>
              <w:left w:val="nil"/>
              <w:bottom w:val="single" w:sz="8" w:space="0" w:color="auto"/>
              <w:right w:val="single" w:sz="8" w:space="0" w:color="auto"/>
            </w:tcBorders>
            <w:shd w:val="clear" w:color="000000" w:fill="9BC2E6"/>
            <w:noWrap/>
            <w:vAlign w:val="center"/>
            <w:hideMark/>
          </w:tcPr>
          <w:p w:rsidR="00DE2133" w:rsidRPr="007447E1" w:rsidRDefault="00DE2133" w:rsidP="007447E1">
            <w:pPr>
              <w:spacing w:after="0" w:line="240" w:lineRule="auto"/>
              <w:jc w:val="center"/>
              <w:rPr>
                <w:rFonts w:eastAsia="Times New Roman" w:cs="Calibri"/>
                <w:color w:val="FFFFFF"/>
                <w:sz w:val="20"/>
                <w:szCs w:val="20"/>
              </w:rPr>
            </w:pPr>
            <w:r w:rsidRPr="007447E1">
              <w:rPr>
                <w:rFonts w:eastAsia="Times New Roman" w:cs="Calibri"/>
                <w:color w:val="FFFFFF"/>
                <w:sz w:val="20"/>
                <w:szCs w:val="20"/>
              </w:rPr>
              <w:t>16</w:t>
            </w:r>
          </w:p>
        </w:tc>
        <w:tc>
          <w:tcPr>
            <w:tcW w:w="1260" w:type="dxa"/>
            <w:tcBorders>
              <w:top w:val="nil"/>
              <w:left w:val="nil"/>
              <w:bottom w:val="single" w:sz="8" w:space="0" w:color="auto"/>
              <w:right w:val="single" w:sz="8" w:space="0" w:color="auto"/>
            </w:tcBorders>
            <w:shd w:val="clear" w:color="000000" w:fill="9BC2E6"/>
            <w:vAlign w:val="center"/>
          </w:tcPr>
          <w:p w:rsidR="00DE2133" w:rsidRPr="007447E1" w:rsidRDefault="00DE2133" w:rsidP="00C02A44">
            <w:pPr>
              <w:spacing w:after="0" w:line="240" w:lineRule="auto"/>
              <w:rPr>
                <w:rFonts w:eastAsia="Times New Roman" w:cs="Calibri"/>
                <w:color w:val="FFFFFF"/>
                <w:sz w:val="20"/>
                <w:szCs w:val="20"/>
              </w:rPr>
            </w:pPr>
            <w:r w:rsidRPr="007447E1">
              <w:rPr>
                <w:rFonts w:eastAsia="Times New Roman" w:cs="Calibri"/>
                <w:color w:val="FFFFFF"/>
                <w:sz w:val="20"/>
                <w:szCs w:val="20"/>
              </w:rPr>
              <w:t>16</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9</w:t>
            </w:r>
          </w:p>
        </w:tc>
        <w:tc>
          <w:tcPr>
            <w:tcW w:w="684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Mbledhjet e kuvendit të bëra publike dhe transmetuara drejtpërdrejtë online</w:t>
            </w:r>
          </w:p>
        </w:tc>
        <w:tc>
          <w:tcPr>
            <w:tcW w:w="108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4</w:t>
            </w:r>
          </w:p>
        </w:tc>
        <w:tc>
          <w:tcPr>
            <w:tcW w:w="1260" w:type="dxa"/>
            <w:tcBorders>
              <w:top w:val="nil"/>
              <w:left w:val="nil"/>
              <w:bottom w:val="single" w:sz="8"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4</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lastRenderedPageBreak/>
              <w:t>10</w:t>
            </w:r>
          </w:p>
        </w:tc>
        <w:tc>
          <w:tcPr>
            <w:tcW w:w="684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Përmbushja e kritereve të faqes zyrtare elektronike të komunës</w:t>
            </w:r>
          </w:p>
        </w:tc>
        <w:tc>
          <w:tcPr>
            <w:tcW w:w="108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3</w:t>
            </w:r>
          </w:p>
        </w:tc>
        <w:tc>
          <w:tcPr>
            <w:tcW w:w="1260" w:type="dxa"/>
            <w:tcBorders>
              <w:top w:val="nil"/>
              <w:left w:val="nil"/>
              <w:bottom w:val="single" w:sz="8"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3</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11</w:t>
            </w:r>
          </w:p>
        </w:tc>
        <w:tc>
          <w:tcPr>
            <w:tcW w:w="684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Publikimi i dokumenteve të prokurimit publik të komunës</w:t>
            </w:r>
          </w:p>
        </w:tc>
        <w:tc>
          <w:tcPr>
            <w:tcW w:w="108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3</w:t>
            </w:r>
          </w:p>
        </w:tc>
        <w:tc>
          <w:tcPr>
            <w:tcW w:w="1260" w:type="dxa"/>
            <w:tcBorders>
              <w:top w:val="nil"/>
              <w:left w:val="nil"/>
              <w:bottom w:val="single" w:sz="8"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3</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12</w:t>
            </w:r>
          </w:p>
        </w:tc>
        <w:tc>
          <w:tcPr>
            <w:tcW w:w="684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Publikimi i raporteve për procese të konsultimeve publike</w:t>
            </w:r>
          </w:p>
        </w:tc>
        <w:tc>
          <w:tcPr>
            <w:tcW w:w="108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4</w:t>
            </w:r>
          </w:p>
        </w:tc>
        <w:tc>
          <w:tcPr>
            <w:tcW w:w="1260" w:type="dxa"/>
            <w:tcBorders>
              <w:top w:val="nil"/>
              <w:left w:val="nil"/>
              <w:bottom w:val="single" w:sz="8"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4</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13</w:t>
            </w:r>
          </w:p>
        </w:tc>
        <w:tc>
          <w:tcPr>
            <w:tcW w:w="684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Raportimi i planit vjetor të planit të integritetit para Kuvendit Komunal</w:t>
            </w:r>
          </w:p>
        </w:tc>
        <w:tc>
          <w:tcPr>
            <w:tcW w:w="108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2</w:t>
            </w:r>
          </w:p>
        </w:tc>
        <w:tc>
          <w:tcPr>
            <w:tcW w:w="1260" w:type="dxa"/>
            <w:tcBorders>
              <w:top w:val="nil"/>
              <w:left w:val="nil"/>
              <w:bottom w:val="single" w:sz="8"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2</w:t>
            </w:r>
          </w:p>
        </w:tc>
      </w:tr>
      <w:tr w:rsidR="00DE2133" w:rsidRPr="00804DFE" w:rsidTr="007E106F">
        <w:trPr>
          <w:trHeight w:val="298"/>
        </w:trPr>
        <w:tc>
          <w:tcPr>
            <w:tcW w:w="7460" w:type="dxa"/>
            <w:gridSpan w:val="2"/>
            <w:tcBorders>
              <w:top w:val="single" w:sz="8" w:space="0" w:color="auto"/>
              <w:left w:val="single" w:sz="8" w:space="0" w:color="auto"/>
              <w:bottom w:val="single" w:sz="8" w:space="0" w:color="auto"/>
              <w:right w:val="single" w:sz="8" w:space="0" w:color="000000"/>
            </w:tcBorders>
            <w:shd w:val="clear" w:color="000000" w:fill="4472C4"/>
            <w:noWrap/>
            <w:vAlign w:val="center"/>
            <w:hideMark/>
          </w:tcPr>
          <w:p w:rsidR="00DE2133" w:rsidRPr="00383FA4" w:rsidRDefault="00DE2133" w:rsidP="00DE2133">
            <w:pPr>
              <w:spacing w:after="0" w:line="240" w:lineRule="auto"/>
              <w:rPr>
                <w:rFonts w:eastAsia="Times New Roman" w:cs="Calibri"/>
                <w:color w:val="FFFFFF"/>
                <w:sz w:val="20"/>
                <w:szCs w:val="20"/>
              </w:rPr>
            </w:pPr>
            <w:r w:rsidRPr="00383FA4">
              <w:rPr>
                <w:rFonts w:eastAsia="Times New Roman" w:cs="Calibri"/>
                <w:color w:val="FFFFFF"/>
                <w:sz w:val="20"/>
                <w:szCs w:val="20"/>
              </w:rPr>
              <w:t>II. MENAXHIMI KOMUNAL - Menaxhimi financiar, Menaxhimi i kontratës dhe Menaxhimi i BNj</w:t>
            </w:r>
          </w:p>
        </w:tc>
        <w:tc>
          <w:tcPr>
            <w:tcW w:w="1080" w:type="dxa"/>
            <w:tcBorders>
              <w:top w:val="nil"/>
              <w:left w:val="nil"/>
              <w:bottom w:val="single" w:sz="8" w:space="0" w:color="auto"/>
              <w:right w:val="single" w:sz="8" w:space="0" w:color="auto"/>
            </w:tcBorders>
            <w:shd w:val="clear" w:color="000000" w:fill="4472C4"/>
            <w:noWrap/>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30</w:t>
            </w:r>
          </w:p>
        </w:tc>
        <w:tc>
          <w:tcPr>
            <w:tcW w:w="1260" w:type="dxa"/>
            <w:tcBorders>
              <w:top w:val="nil"/>
              <w:left w:val="nil"/>
              <w:bottom w:val="single" w:sz="8" w:space="0" w:color="auto"/>
              <w:right w:val="single" w:sz="8" w:space="0" w:color="auto"/>
            </w:tcBorders>
            <w:shd w:val="clear" w:color="000000" w:fill="4472C4"/>
            <w:vAlign w:val="center"/>
          </w:tcPr>
          <w:p w:rsidR="00DE2133" w:rsidRPr="00383FA4" w:rsidRDefault="00DE2133" w:rsidP="005C11D8">
            <w:pPr>
              <w:spacing w:after="0" w:line="240" w:lineRule="auto"/>
              <w:rPr>
                <w:rFonts w:eastAsia="Times New Roman" w:cs="Calibri"/>
                <w:sz w:val="20"/>
                <w:szCs w:val="20"/>
              </w:rPr>
            </w:pPr>
            <w:r w:rsidRPr="00383FA4">
              <w:rPr>
                <w:rFonts w:eastAsia="Times New Roman" w:cs="Calibri"/>
                <w:sz w:val="20"/>
                <w:szCs w:val="20"/>
              </w:rPr>
              <w:t>2</w:t>
            </w:r>
            <w:r w:rsidR="005C11D8">
              <w:rPr>
                <w:rFonts w:eastAsia="Times New Roman" w:cs="Calibri"/>
                <w:sz w:val="20"/>
                <w:szCs w:val="20"/>
              </w:rPr>
              <w:t>8</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9BC2E6"/>
            <w:noWrap/>
            <w:vAlign w:val="center"/>
            <w:hideMark/>
          </w:tcPr>
          <w:p w:rsidR="00DE2133" w:rsidRPr="00804DFE" w:rsidRDefault="00DE2133" w:rsidP="00DE2133">
            <w:pPr>
              <w:spacing w:after="0" w:line="240" w:lineRule="auto"/>
              <w:rPr>
                <w:rFonts w:asciiTheme="majorHAnsi" w:eastAsia="Times New Roman" w:hAnsiTheme="majorHAnsi" w:cs="Calibri"/>
                <w:color w:val="FFFFFF"/>
                <w:sz w:val="20"/>
                <w:szCs w:val="20"/>
              </w:rPr>
            </w:pPr>
            <w:r w:rsidRPr="00804DFE">
              <w:rPr>
                <w:rFonts w:asciiTheme="majorHAnsi" w:eastAsia="Times New Roman" w:hAnsiTheme="majorHAnsi" w:cs="Calibri"/>
                <w:color w:val="FFFFFF"/>
                <w:sz w:val="20"/>
                <w:szCs w:val="20"/>
              </w:rPr>
              <w:t>IV</w:t>
            </w:r>
          </w:p>
        </w:tc>
        <w:tc>
          <w:tcPr>
            <w:tcW w:w="6840" w:type="dxa"/>
            <w:tcBorders>
              <w:top w:val="nil"/>
              <w:left w:val="nil"/>
              <w:bottom w:val="single" w:sz="8" w:space="0" w:color="auto"/>
              <w:right w:val="single" w:sz="8" w:space="0" w:color="auto"/>
            </w:tcBorders>
            <w:shd w:val="clear" w:color="000000" w:fill="9BC2E6"/>
            <w:noWrap/>
            <w:vAlign w:val="center"/>
            <w:hideMark/>
          </w:tcPr>
          <w:p w:rsidR="00DE2133" w:rsidRPr="00383FA4" w:rsidRDefault="00DE2133" w:rsidP="00DE2133">
            <w:pPr>
              <w:spacing w:after="0" w:line="240" w:lineRule="auto"/>
              <w:rPr>
                <w:rFonts w:eastAsia="Times New Roman" w:cs="Calibri"/>
                <w:color w:val="FFFFFF"/>
                <w:sz w:val="20"/>
                <w:szCs w:val="20"/>
              </w:rPr>
            </w:pPr>
            <w:r w:rsidRPr="00383FA4">
              <w:rPr>
                <w:rFonts w:eastAsia="Times New Roman" w:cs="Calibri"/>
                <w:color w:val="FFFFFF"/>
                <w:sz w:val="20"/>
                <w:szCs w:val="20"/>
              </w:rPr>
              <w:t>Menaxhimi financiar</w:t>
            </w:r>
          </w:p>
        </w:tc>
        <w:tc>
          <w:tcPr>
            <w:tcW w:w="1080" w:type="dxa"/>
            <w:tcBorders>
              <w:top w:val="nil"/>
              <w:left w:val="nil"/>
              <w:bottom w:val="single" w:sz="8" w:space="0" w:color="auto"/>
              <w:right w:val="single" w:sz="8" w:space="0" w:color="auto"/>
            </w:tcBorders>
            <w:shd w:val="clear" w:color="000000" w:fill="9BC2E6"/>
            <w:noWrap/>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13</w:t>
            </w:r>
          </w:p>
        </w:tc>
        <w:tc>
          <w:tcPr>
            <w:tcW w:w="1260" w:type="dxa"/>
            <w:tcBorders>
              <w:top w:val="nil"/>
              <w:left w:val="nil"/>
              <w:bottom w:val="single" w:sz="8" w:space="0" w:color="auto"/>
              <w:right w:val="single" w:sz="8" w:space="0" w:color="auto"/>
            </w:tcBorders>
            <w:shd w:val="clear" w:color="000000" w:fill="9BC2E6"/>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11</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14</w:t>
            </w:r>
          </w:p>
        </w:tc>
        <w:tc>
          <w:tcPr>
            <w:tcW w:w="684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Niveli i azhurnimit të regjistrit të tatimit në pronë</w:t>
            </w:r>
          </w:p>
        </w:tc>
        <w:tc>
          <w:tcPr>
            <w:tcW w:w="108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3</w:t>
            </w:r>
          </w:p>
        </w:tc>
        <w:tc>
          <w:tcPr>
            <w:tcW w:w="1260" w:type="dxa"/>
            <w:tcBorders>
              <w:top w:val="nil"/>
              <w:left w:val="nil"/>
              <w:bottom w:val="single" w:sz="8"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3</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15</w:t>
            </w:r>
          </w:p>
        </w:tc>
        <w:tc>
          <w:tcPr>
            <w:tcW w:w="684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Niveli i mbledhjes së faturës së tatimit në pronë (pa borxhe, interesa, ndëshkime)</w:t>
            </w:r>
          </w:p>
        </w:tc>
        <w:tc>
          <w:tcPr>
            <w:tcW w:w="108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5</w:t>
            </w:r>
          </w:p>
        </w:tc>
        <w:tc>
          <w:tcPr>
            <w:tcW w:w="1260" w:type="dxa"/>
            <w:tcBorders>
              <w:top w:val="nil"/>
              <w:left w:val="nil"/>
              <w:bottom w:val="single" w:sz="8"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5</w:t>
            </w:r>
          </w:p>
        </w:tc>
      </w:tr>
      <w:tr w:rsidR="00DE2133" w:rsidRPr="00804DFE" w:rsidTr="007E106F">
        <w:trPr>
          <w:trHeight w:val="298"/>
        </w:trPr>
        <w:tc>
          <w:tcPr>
            <w:tcW w:w="620" w:type="dxa"/>
            <w:tcBorders>
              <w:top w:val="nil"/>
              <w:left w:val="single" w:sz="8" w:space="0" w:color="auto"/>
              <w:bottom w:val="dotted" w:sz="4"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16 a</w:t>
            </w:r>
          </w:p>
        </w:tc>
        <w:tc>
          <w:tcPr>
            <w:tcW w:w="6840" w:type="dxa"/>
            <w:tcBorders>
              <w:top w:val="nil"/>
              <w:left w:val="nil"/>
              <w:bottom w:val="dotted" w:sz="4"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Niveli i adresimit të rekomandimeve të Zyrës Kombëtare të Auditorit</w:t>
            </w:r>
          </w:p>
        </w:tc>
        <w:tc>
          <w:tcPr>
            <w:tcW w:w="1080" w:type="dxa"/>
            <w:tcBorders>
              <w:top w:val="nil"/>
              <w:left w:val="nil"/>
              <w:bottom w:val="dotted" w:sz="4"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3</w:t>
            </w:r>
          </w:p>
        </w:tc>
        <w:tc>
          <w:tcPr>
            <w:tcW w:w="1260" w:type="dxa"/>
            <w:tcBorders>
              <w:top w:val="nil"/>
              <w:left w:val="nil"/>
              <w:bottom w:val="dotted" w:sz="4"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3</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FCE4D6"/>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16 b</w:t>
            </w:r>
          </w:p>
        </w:tc>
        <w:tc>
          <w:tcPr>
            <w:tcW w:w="6840" w:type="dxa"/>
            <w:tcBorders>
              <w:top w:val="nil"/>
              <w:left w:val="nil"/>
              <w:bottom w:val="single" w:sz="8" w:space="0" w:color="auto"/>
              <w:right w:val="single" w:sz="8" w:space="0" w:color="auto"/>
            </w:tcBorders>
            <w:shd w:val="clear" w:color="000000" w:fill="FCE4D6"/>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Niveli i adresimit të rekomandimeve të auditorit të brendshëm</w:t>
            </w:r>
          </w:p>
        </w:tc>
        <w:tc>
          <w:tcPr>
            <w:tcW w:w="1080" w:type="dxa"/>
            <w:tcBorders>
              <w:top w:val="nil"/>
              <w:left w:val="nil"/>
              <w:bottom w:val="single" w:sz="8" w:space="0" w:color="auto"/>
              <w:right w:val="single" w:sz="8" w:space="0" w:color="auto"/>
            </w:tcBorders>
            <w:shd w:val="clear" w:color="000000" w:fill="FCE4D6"/>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2</w:t>
            </w:r>
          </w:p>
        </w:tc>
        <w:tc>
          <w:tcPr>
            <w:tcW w:w="1260" w:type="dxa"/>
            <w:tcBorders>
              <w:top w:val="nil"/>
              <w:left w:val="nil"/>
              <w:bottom w:val="single" w:sz="8" w:space="0" w:color="auto"/>
              <w:right w:val="single" w:sz="8" w:space="0" w:color="auto"/>
            </w:tcBorders>
            <w:shd w:val="clear" w:color="000000" w:fill="FCE4D6"/>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0</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9BC2E6"/>
            <w:noWrap/>
            <w:vAlign w:val="center"/>
            <w:hideMark/>
          </w:tcPr>
          <w:p w:rsidR="00DE2133" w:rsidRPr="00804DFE" w:rsidRDefault="00DE2133" w:rsidP="00DE2133">
            <w:pPr>
              <w:spacing w:after="0" w:line="240" w:lineRule="auto"/>
              <w:rPr>
                <w:rFonts w:asciiTheme="majorHAnsi" w:eastAsia="Times New Roman" w:hAnsiTheme="majorHAnsi" w:cs="Calibri"/>
                <w:color w:val="FFFFFF"/>
                <w:sz w:val="20"/>
                <w:szCs w:val="20"/>
              </w:rPr>
            </w:pPr>
            <w:r w:rsidRPr="00804DFE">
              <w:rPr>
                <w:rFonts w:asciiTheme="majorHAnsi" w:eastAsia="Times New Roman" w:hAnsiTheme="majorHAnsi" w:cs="Calibri"/>
                <w:color w:val="FFFFFF"/>
                <w:sz w:val="20"/>
                <w:szCs w:val="20"/>
              </w:rPr>
              <w:t>V</w:t>
            </w:r>
          </w:p>
        </w:tc>
        <w:tc>
          <w:tcPr>
            <w:tcW w:w="6840" w:type="dxa"/>
            <w:tcBorders>
              <w:top w:val="nil"/>
              <w:left w:val="nil"/>
              <w:bottom w:val="single" w:sz="8" w:space="0" w:color="auto"/>
              <w:right w:val="single" w:sz="8" w:space="0" w:color="auto"/>
            </w:tcBorders>
            <w:shd w:val="clear" w:color="000000" w:fill="9BC2E6"/>
            <w:noWrap/>
            <w:vAlign w:val="center"/>
            <w:hideMark/>
          </w:tcPr>
          <w:p w:rsidR="00DE2133" w:rsidRPr="00383FA4" w:rsidRDefault="00DE2133" w:rsidP="00DE2133">
            <w:pPr>
              <w:spacing w:after="0" w:line="240" w:lineRule="auto"/>
              <w:rPr>
                <w:rFonts w:eastAsia="Times New Roman" w:cs="Calibri"/>
                <w:color w:val="FFFFFF"/>
                <w:sz w:val="20"/>
                <w:szCs w:val="20"/>
              </w:rPr>
            </w:pPr>
            <w:r w:rsidRPr="00383FA4">
              <w:rPr>
                <w:rFonts w:eastAsia="Times New Roman" w:cs="Calibri"/>
                <w:color w:val="FFFFFF"/>
                <w:sz w:val="20"/>
                <w:szCs w:val="20"/>
              </w:rPr>
              <w:t>Menaxhimi i kontratave</w:t>
            </w:r>
          </w:p>
        </w:tc>
        <w:tc>
          <w:tcPr>
            <w:tcW w:w="1080" w:type="dxa"/>
            <w:tcBorders>
              <w:top w:val="nil"/>
              <w:left w:val="nil"/>
              <w:bottom w:val="single" w:sz="8" w:space="0" w:color="auto"/>
              <w:right w:val="single" w:sz="8" w:space="0" w:color="auto"/>
            </w:tcBorders>
            <w:shd w:val="clear" w:color="000000" w:fill="9BC2E6"/>
            <w:noWrap/>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7</w:t>
            </w:r>
          </w:p>
        </w:tc>
        <w:tc>
          <w:tcPr>
            <w:tcW w:w="1260" w:type="dxa"/>
            <w:tcBorders>
              <w:top w:val="nil"/>
              <w:left w:val="nil"/>
              <w:bottom w:val="single" w:sz="8" w:space="0" w:color="auto"/>
              <w:right w:val="single" w:sz="8" w:space="0" w:color="auto"/>
            </w:tcBorders>
            <w:shd w:val="clear" w:color="000000" w:fill="9BC2E6"/>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7</w:t>
            </w:r>
          </w:p>
        </w:tc>
      </w:tr>
      <w:tr w:rsidR="00DE2133" w:rsidRPr="00804DFE" w:rsidTr="007E106F">
        <w:trPr>
          <w:trHeight w:val="268"/>
        </w:trPr>
        <w:tc>
          <w:tcPr>
            <w:tcW w:w="620" w:type="dxa"/>
            <w:tcBorders>
              <w:top w:val="nil"/>
              <w:left w:val="single" w:sz="8" w:space="0" w:color="auto"/>
              <w:bottom w:val="single" w:sz="8"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17</w:t>
            </w:r>
          </w:p>
        </w:tc>
        <w:tc>
          <w:tcPr>
            <w:tcW w:w="6840" w:type="dxa"/>
            <w:tcBorders>
              <w:top w:val="nil"/>
              <w:left w:val="nil"/>
              <w:bottom w:val="single" w:sz="8" w:space="0" w:color="auto"/>
              <w:right w:val="single" w:sz="8" w:space="0" w:color="auto"/>
            </w:tcBorders>
            <w:shd w:val="clear" w:color="000000" w:fill="DDEBF7"/>
            <w:vAlign w:val="center"/>
            <w:hideMark/>
          </w:tcPr>
          <w:p w:rsidR="00DE2133" w:rsidRPr="00383FA4" w:rsidRDefault="001F295F"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Niveli i z</w:t>
            </w:r>
            <w:r w:rsidR="00DE2133" w:rsidRPr="00383FA4">
              <w:rPr>
                <w:rFonts w:eastAsia="Times New Roman" w:cs="Calibri"/>
                <w:color w:val="000000"/>
                <w:sz w:val="20"/>
                <w:szCs w:val="20"/>
              </w:rPr>
              <w:t xml:space="preserve">batimi </w:t>
            </w:r>
            <w:r w:rsidR="002135C9" w:rsidRPr="00383FA4">
              <w:rPr>
                <w:rFonts w:eastAsia="Times New Roman" w:cs="Calibri"/>
                <w:color w:val="000000"/>
                <w:sz w:val="20"/>
                <w:szCs w:val="20"/>
              </w:rPr>
              <w:t>të</w:t>
            </w:r>
            <w:r w:rsidR="00DE2133" w:rsidRPr="00383FA4">
              <w:rPr>
                <w:rFonts w:eastAsia="Times New Roman" w:cs="Calibri"/>
                <w:color w:val="000000"/>
                <w:sz w:val="20"/>
                <w:szCs w:val="20"/>
              </w:rPr>
              <w:t xml:space="preserve"> planit të prokurimit</w:t>
            </w:r>
          </w:p>
        </w:tc>
        <w:tc>
          <w:tcPr>
            <w:tcW w:w="108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3</w:t>
            </w:r>
          </w:p>
        </w:tc>
        <w:tc>
          <w:tcPr>
            <w:tcW w:w="1260" w:type="dxa"/>
            <w:tcBorders>
              <w:top w:val="nil"/>
              <w:left w:val="nil"/>
              <w:bottom w:val="single" w:sz="8"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3</w:t>
            </w:r>
          </w:p>
        </w:tc>
      </w:tr>
      <w:tr w:rsidR="00DE2133" w:rsidRPr="00804DFE" w:rsidTr="007E106F">
        <w:trPr>
          <w:trHeight w:val="313"/>
        </w:trPr>
        <w:tc>
          <w:tcPr>
            <w:tcW w:w="620" w:type="dxa"/>
            <w:tcBorders>
              <w:top w:val="nil"/>
              <w:left w:val="single" w:sz="8" w:space="0" w:color="auto"/>
              <w:bottom w:val="single" w:sz="8"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18</w:t>
            </w:r>
          </w:p>
        </w:tc>
        <w:tc>
          <w:tcPr>
            <w:tcW w:w="684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Përgatitja dhe publikimi i listës së pronave komunale të planifikuar për dhënie në shfrytëzim</w:t>
            </w:r>
          </w:p>
        </w:tc>
        <w:tc>
          <w:tcPr>
            <w:tcW w:w="108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4</w:t>
            </w:r>
          </w:p>
        </w:tc>
        <w:tc>
          <w:tcPr>
            <w:tcW w:w="1260" w:type="dxa"/>
            <w:tcBorders>
              <w:top w:val="nil"/>
              <w:left w:val="nil"/>
              <w:bottom w:val="single" w:sz="8"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4</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9BC2E6"/>
            <w:noWrap/>
            <w:vAlign w:val="center"/>
            <w:hideMark/>
          </w:tcPr>
          <w:p w:rsidR="00DE2133" w:rsidRPr="00804DFE" w:rsidRDefault="00DE2133" w:rsidP="00DE2133">
            <w:pPr>
              <w:spacing w:after="0" w:line="240" w:lineRule="auto"/>
              <w:rPr>
                <w:rFonts w:asciiTheme="majorHAnsi" w:eastAsia="Times New Roman" w:hAnsiTheme="majorHAnsi" w:cs="Calibri"/>
                <w:color w:val="FFFFFF"/>
                <w:sz w:val="20"/>
                <w:szCs w:val="20"/>
              </w:rPr>
            </w:pPr>
            <w:r w:rsidRPr="00804DFE">
              <w:rPr>
                <w:rFonts w:asciiTheme="majorHAnsi" w:eastAsia="Times New Roman" w:hAnsiTheme="majorHAnsi" w:cs="Calibri"/>
                <w:color w:val="FFFFFF"/>
                <w:sz w:val="20"/>
                <w:szCs w:val="20"/>
              </w:rPr>
              <w:t>VI</w:t>
            </w:r>
          </w:p>
        </w:tc>
        <w:tc>
          <w:tcPr>
            <w:tcW w:w="6840" w:type="dxa"/>
            <w:tcBorders>
              <w:top w:val="nil"/>
              <w:left w:val="nil"/>
              <w:bottom w:val="single" w:sz="8" w:space="0" w:color="auto"/>
              <w:right w:val="single" w:sz="8" w:space="0" w:color="auto"/>
            </w:tcBorders>
            <w:shd w:val="clear" w:color="000000" w:fill="9BC2E6"/>
            <w:noWrap/>
            <w:vAlign w:val="center"/>
            <w:hideMark/>
          </w:tcPr>
          <w:p w:rsidR="00DE2133" w:rsidRPr="00383FA4" w:rsidRDefault="00DE2133" w:rsidP="00DE2133">
            <w:pPr>
              <w:spacing w:after="0" w:line="240" w:lineRule="auto"/>
              <w:rPr>
                <w:rFonts w:eastAsia="Times New Roman" w:cs="Calibri"/>
                <w:color w:val="FFFFFF"/>
                <w:sz w:val="20"/>
                <w:szCs w:val="20"/>
              </w:rPr>
            </w:pPr>
            <w:r w:rsidRPr="00383FA4">
              <w:rPr>
                <w:rFonts w:eastAsia="Times New Roman" w:cs="Calibri"/>
                <w:color w:val="FFFFFF"/>
                <w:sz w:val="20"/>
                <w:szCs w:val="20"/>
              </w:rPr>
              <w:t>Menaxhimi i burimeve njerëzore</w:t>
            </w:r>
          </w:p>
        </w:tc>
        <w:tc>
          <w:tcPr>
            <w:tcW w:w="1080" w:type="dxa"/>
            <w:tcBorders>
              <w:top w:val="nil"/>
              <w:left w:val="nil"/>
              <w:bottom w:val="single" w:sz="8" w:space="0" w:color="auto"/>
              <w:right w:val="single" w:sz="8" w:space="0" w:color="auto"/>
            </w:tcBorders>
            <w:shd w:val="clear" w:color="000000" w:fill="9BC2E6"/>
            <w:noWrap/>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10</w:t>
            </w:r>
          </w:p>
        </w:tc>
        <w:tc>
          <w:tcPr>
            <w:tcW w:w="1260" w:type="dxa"/>
            <w:tcBorders>
              <w:top w:val="nil"/>
              <w:left w:val="nil"/>
              <w:bottom w:val="single" w:sz="8" w:space="0" w:color="auto"/>
              <w:right w:val="single" w:sz="8" w:space="0" w:color="auto"/>
            </w:tcBorders>
            <w:shd w:val="clear" w:color="000000" w:fill="9BC2E6"/>
            <w:vAlign w:val="center"/>
          </w:tcPr>
          <w:p w:rsidR="00DE2133" w:rsidRPr="00383FA4" w:rsidRDefault="005C11D8" w:rsidP="0095339C">
            <w:pPr>
              <w:spacing w:after="0" w:line="240" w:lineRule="auto"/>
              <w:rPr>
                <w:rFonts w:eastAsia="Times New Roman" w:cs="Calibri"/>
                <w:sz w:val="20"/>
                <w:szCs w:val="20"/>
              </w:rPr>
            </w:pPr>
            <w:r>
              <w:rPr>
                <w:rFonts w:eastAsia="Times New Roman" w:cs="Calibri"/>
                <w:sz w:val="20"/>
                <w:szCs w:val="20"/>
              </w:rPr>
              <w:t>10</w:t>
            </w:r>
          </w:p>
        </w:tc>
      </w:tr>
      <w:tr w:rsidR="00DE2133" w:rsidRPr="00804DFE" w:rsidTr="005C11D8">
        <w:trPr>
          <w:trHeight w:val="298"/>
        </w:trPr>
        <w:tc>
          <w:tcPr>
            <w:tcW w:w="620" w:type="dxa"/>
            <w:tcBorders>
              <w:top w:val="nil"/>
              <w:left w:val="single" w:sz="8" w:space="0" w:color="auto"/>
              <w:bottom w:val="single" w:sz="8" w:space="0" w:color="auto"/>
              <w:right w:val="single" w:sz="8" w:space="0" w:color="auto"/>
            </w:tcBorders>
            <w:shd w:val="clear" w:color="auto" w:fill="DAE9F7" w:themeFill="text2" w:themeFillTint="1A"/>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19</w:t>
            </w:r>
          </w:p>
        </w:tc>
        <w:tc>
          <w:tcPr>
            <w:tcW w:w="6840" w:type="dxa"/>
            <w:tcBorders>
              <w:top w:val="nil"/>
              <w:left w:val="nil"/>
              <w:bottom w:val="single" w:sz="8" w:space="0" w:color="auto"/>
              <w:right w:val="single" w:sz="8" w:space="0" w:color="auto"/>
            </w:tcBorders>
            <w:shd w:val="clear" w:color="auto" w:fill="DAE9F7" w:themeFill="text2" w:themeFillTint="1A"/>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Përgatitja e planit për zhvillimin e personelit</w:t>
            </w:r>
          </w:p>
        </w:tc>
        <w:tc>
          <w:tcPr>
            <w:tcW w:w="1080" w:type="dxa"/>
            <w:tcBorders>
              <w:top w:val="nil"/>
              <w:left w:val="nil"/>
              <w:bottom w:val="single" w:sz="8" w:space="0" w:color="auto"/>
              <w:right w:val="single" w:sz="8" w:space="0" w:color="auto"/>
            </w:tcBorders>
            <w:shd w:val="clear" w:color="auto" w:fill="DAE9F7" w:themeFill="text2" w:themeFillTint="1A"/>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2</w:t>
            </w:r>
          </w:p>
        </w:tc>
        <w:tc>
          <w:tcPr>
            <w:tcW w:w="1260" w:type="dxa"/>
            <w:tcBorders>
              <w:top w:val="nil"/>
              <w:left w:val="nil"/>
              <w:bottom w:val="single" w:sz="8" w:space="0" w:color="auto"/>
              <w:right w:val="single" w:sz="8" w:space="0" w:color="auto"/>
            </w:tcBorders>
            <w:shd w:val="clear" w:color="auto" w:fill="DAE9F7" w:themeFill="text2" w:themeFillTint="1A"/>
            <w:vAlign w:val="center"/>
          </w:tcPr>
          <w:p w:rsidR="00DE2133" w:rsidRPr="00383FA4" w:rsidRDefault="005C11D8" w:rsidP="0095339C">
            <w:pPr>
              <w:spacing w:after="0" w:line="240" w:lineRule="auto"/>
              <w:rPr>
                <w:rFonts w:eastAsia="Times New Roman" w:cs="Calibri"/>
                <w:sz w:val="20"/>
                <w:szCs w:val="20"/>
              </w:rPr>
            </w:pPr>
            <w:r>
              <w:rPr>
                <w:rFonts w:eastAsia="Times New Roman" w:cs="Calibri"/>
                <w:sz w:val="20"/>
                <w:szCs w:val="20"/>
              </w:rPr>
              <w:t>2</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20</w:t>
            </w:r>
          </w:p>
        </w:tc>
        <w:tc>
          <w:tcPr>
            <w:tcW w:w="684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Gratë në pozita udhëheqëse në institucionet e arsimit, shëndetësisë dhe kulturës</w:t>
            </w:r>
          </w:p>
        </w:tc>
        <w:tc>
          <w:tcPr>
            <w:tcW w:w="108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5</w:t>
            </w:r>
          </w:p>
        </w:tc>
        <w:tc>
          <w:tcPr>
            <w:tcW w:w="1260" w:type="dxa"/>
            <w:tcBorders>
              <w:top w:val="nil"/>
              <w:left w:val="nil"/>
              <w:bottom w:val="single" w:sz="8" w:space="0" w:color="auto"/>
              <w:right w:val="single" w:sz="8" w:space="0" w:color="auto"/>
            </w:tcBorders>
            <w:shd w:val="clear" w:color="000000" w:fill="DDEBF7"/>
            <w:vAlign w:val="center"/>
          </w:tcPr>
          <w:p w:rsidR="0095339C" w:rsidRDefault="0095339C" w:rsidP="0095339C">
            <w:pPr>
              <w:spacing w:after="0" w:line="240" w:lineRule="auto"/>
              <w:rPr>
                <w:rFonts w:eastAsia="Times New Roman" w:cs="Calibri"/>
                <w:sz w:val="20"/>
                <w:szCs w:val="20"/>
              </w:rPr>
            </w:pPr>
            <w:r>
              <w:rPr>
                <w:rFonts w:eastAsia="Times New Roman" w:cs="Calibri"/>
                <w:sz w:val="20"/>
                <w:szCs w:val="20"/>
              </w:rPr>
              <w:t xml:space="preserve"> </w:t>
            </w:r>
          </w:p>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5</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21</w:t>
            </w:r>
          </w:p>
        </w:tc>
        <w:tc>
          <w:tcPr>
            <w:tcW w:w="684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Gra të emëruara në postet politike në komunë</w:t>
            </w:r>
          </w:p>
        </w:tc>
        <w:tc>
          <w:tcPr>
            <w:tcW w:w="108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3</w:t>
            </w:r>
          </w:p>
        </w:tc>
        <w:tc>
          <w:tcPr>
            <w:tcW w:w="1260" w:type="dxa"/>
            <w:tcBorders>
              <w:top w:val="nil"/>
              <w:left w:val="nil"/>
              <w:bottom w:val="single" w:sz="8"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3</w:t>
            </w:r>
          </w:p>
        </w:tc>
      </w:tr>
      <w:tr w:rsidR="00DE2133" w:rsidRPr="00804DFE" w:rsidTr="007E106F">
        <w:trPr>
          <w:trHeight w:val="298"/>
        </w:trPr>
        <w:tc>
          <w:tcPr>
            <w:tcW w:w="7460" w:type="dxa"/>
            <w:gridSpan w:val="2"/>
            <w:tcBorders>
              <w:top w:val="single" w:sz="8" w:space="0" w:color="auto"/>
              <w:left w:val="single" w:sz="8" w:space="0" w:color="auto"/>
              <w:bottom w:val="single" w:sz="8" w:space="0" w:color="auto"/>
              <w:right w:val="single" w:sz="8" w:space="0" w:color="000000"/>
            </w:tcBorders>
            <w:shd w:val="clear" w:color="000000" w:fill="4472C4"/>
            <w:noWrap/>
            <w:vAlign w:val="center"/>
            <w:hideMark/>
          </w:tcPr>
          <w:p w:rsidR="00DE2133" w:rsidRPr="00383FA4" w:rsidRDefault="00DE2133" w:rsidP="00DE2133">
            <w:pPr>
              <w:spacing w:after="0" w:line="240" w:lineRule="auto"/>
              <w:rPr>
                <w:rFonts w:eastAsia="Times New Roman" w:cs="Calibri"/>
                <w:color w:val="FFFFFF"/>
                <w:sz w:val="20"/>
                <w:szCs w:val="20"/>
              </w:rPr>
            </w:pPr>
            <w:r w:rsidRPr="00383FA4">
              <w:rPr>
                <w:rFonts w:eastAsia="Times New Roman" w:cs="Calibri"/>
                <w:color w:val="FFFFFF"/>
                <w:sz w:val="20"/>
                <w:szCs w:val="20"/>
              </w:rPr>
              <w:t>III. OFRIMI I SHËRBIMEVE - Qasja dhe cilësia e ofrimit të shërbimeve - Sipas sektorit</w:t>
            </w:r>
          </w:p>
        </w:tc>
        <w:tc>
          <w:tcPr>
            <w:tcW w:w="1080" w:type="dxa"/>
            <w:tcBorders>
              <w:top w:val="nil"/>
              <w:left w:val="nil"/>
              <w:bottom w:val="single" w:sz="8" w:space="0" w:color="auto"/>
              <w:right w:val="single" w:sz="8" w:space="0" w:color="auto"/>
            </w:tcBorders>
            <w:shd w:val="clear" w:color="000000" w:fill="4472C4"/>
            <w:noWrap/>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30</w:t>
            </w:r>
          </w:p>
        </w:tc>
        <w:tc>
          <w:tcPr>
            <w:tcW w:w="1260" w:type="dxa"/>
            <w:tcBorders>
              <w:top w:val="nil"/>
              <w:left w:val="nil"/>
              <w:bottom w:val="single" w:sz="8" w:space="0" w:color="auto"/>
              <w:right w:val="single" w:sz="8" w:space="0" w:color="auto"/>
            </w:tcBorders>
            <w:shd w:val="clear" w:color="000000" w:fill="4472C4"/>
            <w:vAlign w:val="center"/>
          </w:tcPr>
          <w:p w:rsidR="00DE2133" w:rsidRPr="00383FA4" w:rsidRDefault="005C11D8" w:rsidP="0095339C">
            <w:pPr>
              <w:spacing w:after="0" w:line="240" w:lineRule="auto"/>
              <w:rPr>
                <w:rFonts w:eastAsia="Times New Roman" w:cs="Calibri"/>
                <w:sz w:val="20"/>
                <w:szCs w:val="20"/>
              </w:rPr>
            </w:pPr>
            <w:r>
              <w:rPr>
                <w:rFonts w:eastAsia="Times New Roman" w:cs="Calibri"/>
                <w:sz w:val="20"/>
                <w:szCs w:val="20"/>
              </w:rPr>
              <w:t>30</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9BC2E6"/>
            <w:noWrap/>
            <w:vAlign w:val="center"/>
            <w:hideMark/>
          </w:tcPr>
          <w:p w:rsidR="00DE2133" w:rsidRPr="00804DFE" w:rsidRDefault="00DE2133" w:rsidP="00DE2133">
            <w:pPr>
              <w:spacing w:after="0" w:line="240" w:lineRule="auto"/>
              <w:rPr>
                <w:rFonts w:asciiTheme="majorHAnsi" w:eastAsia="Times New Roman" w:hAnsiTheme="majorHAnsi" w:cs="Calibri"/>
                <w:color w:val="FFFFFF"/>
                <w:sz w:val="20"/>
                <w:szCs w:val="20"/>
              </w:rPr>
            </w:pPr>
            <w:r w:rsidRPr="00804DFE">
              <w:rPr>
                <w:rFonts w:asciiTheme="majorHAnsi" w:eastAsia="Times New Roman" w:hAnsiTheme="majorHAnsi" w:cs="Calibri"/>
                <w:color w:val="FFFFFF"/>
                <w:sz w:val="20"/>
                <w:szCs w:val="20"/>
              </w:rPr>
              <w:t>VII</w:t>
            </w:r>
          </w:p>
        </w:tc>
        <w:tc>
          <w:tcPr>
            <w:tcW w:w="6840" w:type="dxa"/>
            <w:tcBorders>
              <w:top w:val="nil"/>
              <w:left w:val="nil"/>
              <w:bottom w:val="single" w:sz="8" w:space="0" w:color="auto"/>
              <w:right w:val="single" w:sz="8" w:space="0" w:color="auto"/>
            </w:tcBorders>
            <w:shd w:val="clear" w:color="000000" w:fill="9BC2E6"/>
            <w:noWrap/>
            <w:vAlign w:val="center"/>
            <w:hideMark/>
          </w:tcPr>
          <w:p w:rsidR="00DE2133" w:rsidRPr="00383FA4" w:rsidRDefault="00DE2133" w:rsidP="00DE2133">
            <w:pPr>
              <w:spacing w:after="0" w:line="240" w:lineRule="auto"/>
              <w:rPr>
                <w:rFonts w:eastAsia="Times New Roman" w:cs="Calibri"/>
                <w:color w:val="FFFFFF"/>
                <w:sz w:val="20"/>
                <w:szCs w:val="20"/>
              </w:rPr>
            </w:pPr>
            <w:r w:rsidRPr="00383FA4">
              <w:rPr>
                <w:rFonts w:eastAsia="Times New Roman" w:cs="Calibri"/>
                <w:color w:val="FFFFFF"/>
                <w:sz w:val="20"/>
                <w:szCs w:val="20"/>
              </w:rPr>
              <w:t>Shërbimet administrative</w:t>
            </w:r>
          </w:p>
        </w:tc>
        <w:tc>
          <w:tcPr>
            <w:tcW w:w="1080" w:type="dxa"/>
            <w:tcBorders>
              <w:top w:val="nil"/>
              <w:left w:val="nil"/>
              <w:bottom w:val="single" w:sz="8" w:space="0" w:color="auto"/>
              <w:right w:val="single" w:sz="8" w:space="0" w:color="auto"/>
            </w:tcBorders>
            <w:shd w:val="clear" w:color="000000" w:fill="9BC2E6"/>
            <w:noWrap/>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6</w:t>
            </w:r>
          </w:p>
        </w:tc>
        <w:tc>
          <w:tcPr>
            <w:tcW w:w="1260" w:type="dxa"/>
            <w:tcBorders>
              <w:top w:val="nil"/>
              <w:left w:val="nil"/>
              <w:bottom w:val="single" w:sz="8" w:space="0" w:color="auto"/>
              <w:right w:val="single" w:sz="8" w:space="0" w:color="auto"/>
            </w:tcBorders>
            <w:shd w:val="clear" w:color="000000" w:fill="9BC2E6"/>
            <w:vAlign w:val="center"/>
          </w:tcPr>
          <w:p w:rsidR="00DE2133" w:rsidRPr="00383FA4" w:rsidRDefault="005C11D8" w:rsidP="0095339C">
            <w:pPr>
              <w:spacing w:after="0" w:line="240" w:lineRule="auto"/>
              <w:rPr>
                <w:rFonts w:eastAsia="Times New Roman" w:cs="Calibri"/>
                <w:sz w:val="20"/>
                <w:szCs w:val="20"/>
              </w:rPr>
            </w:pPr>
            <w:r>
              <w:rPr>
                <w:rFonts w:eastAsia="Times New Roman" w:cs="Calibri"/>
                <w:sz w:val="20"/>
                <w:szCs w:val="20"/>
              </w:rPr>
              <w:t>6</w:t>
            </w:r>
          </w:p>
        </w:tc>
      </w:tr>
      <w:tr w:rsidR="00DE2133" w:rsidRPr="00804DFE" w:rsidTr="005C11D8">
        <w:trPr>
          <w:trHeight w:val="298"/>
        </w:trPr>
        <w:tc>
          <w:tcPr>
            <w:tcW w:w="620" w:type="dxa"/>
            <w:tcBorders>
              <w:top w:val="nil"/>
              <w:left w:val="single" w:sz="8" w:space="0" w:color="auto"/>
              <w:bottom w:val="single" w:sz="8" w:space="0" w:color="auto"/>
              <w:right w:val="single" w:sz="8" w:space="0" w:color="auto"/>
            </w:tcBorders>
            <w:shd w:val="clear" w:color="auto" w:fill="DAE9F7" w:themeFill="text2" w:themeFillTint="1A"/>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22</w:t>
            </w:r>
          </w:p>
        </w:tc>
        <w:tc>
          <w:tcPr>
            <w:tcW w:w="6840" w:type="dxa"/>
            <w:tcBorders>
              <w:top w:val="nil"/>
              <w:left w:val="nil"/>
              <w:bottom w:val="single" w:sz="8" w:space="0" w:color="auto"/>
              <w:right w:val="single" w:sz="8" w:space="0" w:color="auto"/>
            </w:tcBorders>
            <w:shd w:val="clear" w:color="auto" w:fill="DAE9F7" w:themeFill="text2" w:themeFillTint="1A"/>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Shërbimet administrative të thjeshtuara për zvogëlimin e barrës administrative në nivel komunal</w:t>
            </w:r>
          </w:p>
        </w:tc>
        <w:tc>
          <w:tcPr>
            <w:tcW w:w="1080" w:type="dxa"/>
            <w:tcBorders>
              <w:top w:val="nil"/>
              <w:left w:val="nil"/>
              <w:bottom w:val="single" w:sz="8" w:space="0" w:color="auto"/>
              <w:right w:val="single" w:sz="8" w:space="0" w:color="auto"/>
            </w:tcBorders>
            <w:shd w:val="clear" w:color="auto" w:fill="DAE9F7" w:themeFill="text2" w:themeFillTint="1A"/>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4</w:t>
            </w:r>
          </w:p>
        </w:tc>
        <w:tc>
          <w:tcPr>
            <w:tcW w:w="1260" w:type="dxa"/>
            <w:tcBorders>
              <w:top w:val="nil"/>
              <w:left w:val="nil"/>
              <w:bottom w:val="single" w:sz="8" w:space="0" w:color="auto"/>
              <w:right w:val="single" w:sz="8" w:space="0" w:color="auto"/>
            </w:tcBorders>
            <w:shd w:val="clear" w:color="auto" w:fill="DAE9F7" w:themeFill="text2" w:themeFillTint="1A"/>
            <w:vAlign w:val="center"/>
          </w:tcPr>
          <w:p w:rsidR="00DE2133" w:rsidRPr="00383FA4" w:rsidRDefault="005C11D8" w:rsidP="0095339C">
            <w:pPr>
              <w:spacing w:after="0" w:line="240" w:lineRule="auto"/>
              <w:rPr>
                <w:rFonts w:eastAsia="Times New Roman" w:cs="Calibri"/>
                <w:sz w:val="20"/>
                <w:szCs w:val="20"/>
              </w:rPr>
            </w:pPr>
            <w:r>
              <w:rPr>
                <w:rFonts w:eastAsia="Times New Roman" w:cs="Calibri"/>
                <w:sz w:val="20"/>
                <w:szCs w:val="20"/>
              </w:rPr>
              <w:t>4</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23</w:t>
            </w:r>
          </w:p>
        </w:tc>
        <w:tc>
          <w:tcPr>
            <w:tcW w:w="684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Kërkesa të shqyrtuara për leje të ndërtimit</w:t>
            </w:r>
          </w:p>
        </w:tc>
        <w:tc>
          <w:tcPr>
            <w:tcW w:w="108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2</w:t>
            </w:r>
          </w:p>
        </w:tc>
        <w:tc>
          <w:tcPr>
            <w:tcW w:w="1260" w:type="dxa"/>
            <w:tcBorders>
              <w:top w:val="nil"/>
              <w:left w:val="nil"/>
              <w:bottom w:val="single" w:sz="8"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2</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9BC2E6"/>
            <w:noWrap/>
            <w:vAlign w:val="center"/>
            <w:hideMark/>
          </w:tcPr>
          <w:p w:rsidR="00DE2133" w:rsidRPr="00804DFE" w:rsidRDefault="00DE2133" w:rsidP="00DE2133">
            <w:pPr>
              <w:spacing w:after="0" w:line="240" w:lineRule="auto"/>
              <w:rPr>
                <w:rFonts w:asciiTheme="majorHAnsi" w:eastAsia="Times New Roman" w:hAnsiTheme="majorHAnsi" w:cs="Calibri"/>
                <w:color w:val="FFFFFF"/>
                <w:sz w:val="20"/>
                <w:szCs w:val="20"/>
              </w:rPr>
            </w:pPr>
            <w:r w:rsidRPr="00804DFE">
              <w:rPr>
                <w:rFonts w:asciiTheme="majorHAnsi" w:eastAsia="Times New Roman" w:hAnsiTheme="majorHAnsi" w:cs="Calibri"/>
                <w:color w:val="FFFFFF"/>
                <w:sz w:val="20"/>
                <w:szCs w:val="20"/>
              </w:rPr>
              <w:t>VIII</w:t>
            </w:r>
          </w:p>
        </w:tc>
        <w:tc>
          <w:tcPr>
            <w:tcW w:w="6840" w:type="dxa"/>
            <w:tcBorders>
              <w:top w:val="nil"/>
              <w:left w:val="nil"/>
              <w:bottom w:val="single" w:sz="8" w:space="0" w:color="auto"/>
              <w:right w:val="single" w:sz="8" w:space="0" w:color="auto"/>
            </w:tcBorders>
            <w:shd w:val="clear" w:color="000000" w:fill="9BC2E6"/>
            <w:noWrap/>
            <w:vAlign w:val="center"/>
            <w:hideMark/>
          </w:tcPr>
          <w:p w:rsidR="00DE2133" w:rsidRPr="00383FA4" w:rsidRDefault="00DE2133" w:rsidP="00DE2133">
            <w:pPr>
              <w:spacing w:after="0" w:line="240" w:lineRule="auto"/>
              <w:rPr>
                <w:rFonts w:eastAsia="Times New Roman" w:cs="Calibri"/>
                <w:color w:val="FFFFFF"/>
                <w:sz w:val="20"/>
                <w:szCs w:val="20"/>
              </w:rPr>
            </w:pPr>
            <w:r w:rsidRPr="00383FA4">
              <w:rPr>
                <w:rFonts w:eastAsia="Times New Roman" w:cs="Calibri"/>
                <w:color w:val="FFFFFF"/>
                <w:sz w:val="20"/>
                <w:szCs w:val="20"/>
              </w:rPr>
              <w:t>Planifikimi hapësinor, transporti publik dhe mjedisi</w:t>
            </w:r>
          </w:p>
        </w:tc>
        <w:tc>
          <w:tcPr>
            <w:tcW w:w="1080" w:type="dxa"/>
            <w:tcBorders>
              <w:top w:val="nil"/>
              <w:left w:val="nil"/>
              <w:bottom w:val="single" w:sz="8" w:space="0" w:color="auto"/>
              <w:right w:val="single" w:sz="8" w:space="0" w:color="auto"/>
            </w:tcBorders>
            <w:shd w:val="clear" w:color="000000" w:fill="9BC2E6"/>
            <w:noWrap/>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8</w:t>
            </w:r>
          </w:p>
        </w:tc>
        <w:tc>
          <w:tcPr>
            <w:tcW w:w="1260" w:type="dxa"/>
            <w:tcBorders>
              <w:top w:val="nil"/>
              <w:left w:val="nil"/>
              <w:bottom w:val="single" w:sz="8" w:space="0" w:color="auto"/>
              <w:right w:val="single" w:sz="8" w:space="0" w:color="auto"/>
            </w:tcBorders>
            <w:shd w:val="clear" w:color="000000" w:fill="9BC2E6"/>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8</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24</w:t>
            </w:r>
          </w:p>
        </w:tc>
        <w:tc>
          <w:tcPr>
            <w:tcW w:w="684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Sipërfaqja e territorit të komunave të mbuluar sipas planeve zhvillimore të komunës</w:t>
            </w:r>
          </w:p>
        </w:tc>
        <w:tc>
          <w:tcPr>
            <w:tcW w:w="108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3</w:t>
            </w:r>
          </w:p>
        </w:tc>
        <w:tc>
          <w:tcPr>
            <w:tcW w:w="1260" w:type="dxa"/>
            <w:tcBorders>
              <w:top w:val="nil"/>
              <w:left w:val="nil"/>
              <w:bottom w:val="single" w:sz="8"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3</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25</w:t>
            </w:r>
          </w:p>
        </w:tc>
        <w:tc>
          <w:tcPr>
            <w:tcW w:w="684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 xml:space="preserve">Vendbanimet e përfshira në transportin lokal publik </w:t>
            </w:r>
          </w:p>
        </w:tc>
        <w:tc>
          <w:tcPr>
            <w:tcW w:w="108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3</w:t>
            </w:r>
          </w:p>
        </w:tc>
        <w:tc>
          <w:tcPr>
            <w:tcW w:w="1260" w:type="dxa"/>
            <w:tcBorders>
              <w:top w:val="nil"/>
              <w:left w:val="nil"/>
              <w:bottom w:val="single" w:sz="8"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3</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26</w:t>
            </w:r>
          </w:p>
        </w:tc>
        <w:tc>
          <w:tcPr>
            <w:tcW w:w="684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Realizimi i Planit Lokal të Veprimit në mjedis</w:t>
            </w:r>
          </w:p>
        </w:tc>
        <w:tc>
          <w:tcPr>
            <w:tcW w:w="108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2</w:t>
            </w:r>
          </w:p>
        </w:tc>
        <w:tc>
          <w:tcPr>
            <w:tcW w:w="1260" w:type="dxa"/>
            <w:tcBorders>
              <w:top w:val="nil"/>
              <w:left w:val="nil"/>
              <w:bottom w:val="single" w:sz="8"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2</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9BC2E6"/>
            <w:vAlign w:val="center"/>
            <w:hideMark/>
          </w:tcPr>
          <w:p w:rsidR="00DE2133" w:rsidRPr="00804DFE" w:rsidRDefault="00DE2133" w:rsidP="00DE2133">
            <w:pPr>
              <w:spacing w:after="0" w:line="240" w:lineRule="auto"/>
              <w:rPr>
                <w:rFonts w:asciiTheme="majorHAnsi" w:eastAsia="Times New Roman" w:hAnsiTheme="majorHAnsi" w:cs="Calibri"/>
                <w:color w:val="FFFFFF"/>
                <w:sz w:val="20"/>
                <w:szCs w:val="20"/>
              </w:rPr>
            </w:pPr>
            <w:r w:rsidRPr="00804DFE">
              <w:rPr>
                <w:rFonts w:asciiTheme="majorHAnsi" w:eastAsia="Times New Roman" w:hAnsiTheme="majorHAnsi" w:cs="Calibri"/>
                <w:color w:val="FFFFFF"/>
                <w:sz w:val="20"/>
                <w:szCs w:val="20"/>
              </w:rPr>
              <w:t>IX</w:t>
            </w:r>
          </w:p>
        </w:tc>
        <w:tc>
          <w:tcPr>
            <w:tcW w:w="6840" w:type="dxa"/>
            <w:tcBorders>
              <w:top w:val="nil"/>
              <w:left w:val="nil"/>
              <w:bottom w:val="single" w:sz="8" w:space="0" w:color="auto"/>
              <w:right w:val="single" w:sz="8" w:space="0" w:color="auto"/>
            </w:tcBorders>
            <w:shd w:val="clear" w:color="000000" w:fill="9BC2E6"/>
            <w:vAlign w:val="center"/>
            <w:hideMark/>
          </w:tcPr>
          <w:p w:rsidR="00DE2133" w:rsidRPr="00383FA4" w:rsidRDefault="00DE2133" w:rsidP="00DE2133">
            <w:pPr>
              <w:spacing w:after="0" w:line="240" w:lineRule="auto"/>
              <w:rPr>
                <w:rFonts w:eastAsia="Times New Roman" w:cs="Calibri"/>
                <w:color w:val="FFFFFF"/>
                <w:sz w:val="20"/>
                <w:szCs w:val="20"/>
              </w:rPr>
            </w:pPr>
            <w:r w:rsidRPr="00383FA4">
              <w:rPr>
                <w:rFonts w:eastAsia="Times New Roman" w:cs="Calibri"/>
                <w:color w:val="FFFFFF"/>
                <w:sz w:val="20"/>
                <w:szCs w:val="20"/>
              </w:rPr>
              <w:t>Arsimi para-universitar</w:t>
            </w:r>
          </w:p>
        </w:tc>
        <w:tc>
          <w:tcPr>
            <w:tcW w:w="1080" w:type="dxa"/>
            <w:tcBorders>
              <w:top w:val="nil"/>
              <w:left w:val="nil"/>
              <w:bottom w:val="single" w:sz="8" w:space="0" w:color="auto"/>
              <w:right w:val="single" w:sz="8" w:space="0" w:color="auto"/>
            </w:tcBorders>
            <w:shd w:val="clear" w:color="000000" w:fill="9BC2E6"/>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8</w:t>
            </w:r>
          </w:p>
        </w:tc>
        <w:tc>
          <w:tcPr>
            <w:tcW w:w="1260" w:type="dxa"/>
            <w:tcBorders>
              <w:top w:val="nil"/>
              <w:left w:val="nil"/>
              <w:bottom w:val="single" w:sz="8" w:space="0" w:color="auto"/>
              <w:right w:val="single" w:sz="8" w:space="0" w:color="auto"/>
            </w:tcBorders>
            <w:shd w:val="clear" w:color="000000" w:fill="9BC2E6"/>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8</w:t>
            </w:r>
          </w:p>
        </w:tc>
      </w:tr>
      <w:tr w:rsidR="00DE2133" w:rsidRPr="00804DFE" w:rsidTr="007E106F">
        <w:trPr>
          <w:trHeight w:val="565"/>
        </w:trPr>
        <w:tc>
          <w:tcPr>
            <w:tcW w:w="620" w:type="dxa"/>
            <w:tcBorders>
              <w:top w:val="nil"/>
              <w:left w:val="single" w:sz="8" w:space="0" w:color="auto"/>
              <w:bottom w:val="single" w:sz="8"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27</w:t>
            </w:r>
          </w:p>
        </w:tc>
        <w:tc>
          <w:tcPr>
            <w:tcW w:w="684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 xml:space="preserve">Plotësimi i kushteve të kërkuara me infrastrukturë, pajisje dhe mjete në institucionet e arsimit parauniversitar  </w:t>
            </w:r>
          </w:p>
        </w:tc>
        <w:tc>
          <w:tcPr>
            <w:tcW w:w="108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4</w:t>
            </w:r>
          </w:p>
        </w:tc>
        <w:tc>
          <w:tcPr>
            <w:tcW w:w="1260" w:type="dxa"/>
            <w:tcBorders>
              <w:top w:val="nil"/>
              <w:left w:val="nil"/>
              <w:bottom w:val="single" w:sz="8"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4</w:t>
            </w:r>
          </w:p>
        </w:tc>
      </w:tr>
      <w:tr w:rsidR="00DE2133" w:rsidRPr="00804DFE" w:rsidTr="007E106F">
        <w:trPr>
          <w:trHeight w:val="340"/>
        </w:trPr>
        <w:tc>
          <w:tcPr>
            <w:tcW w:w="620" w:type="dxa"/>
            <w:tcBorders>
              <w:top w:val="nil"/>
              <w:left w:val="single" w:sz="8" w:space="0" w:color="auto"/>
              <w:bottom w:val="single" w:sz="8"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28</w:t>
            </w:r>
          </w:p>
        </w:tc>
        <w:tc>
          <w:tcPr>
            <w:tcW w:w="684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Niveli i pajtueshmërisë me raportin e synuar nxënës për mësimdhënës</w:t>
            </w:r>
          </w:p>
        </w:tc>
        <w:tc>
          <w:tcPr>
            <w:tcW w:w="108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4</w:t>
            </w:r>
          </w:p>
        </w:tc>
        <w:tc>
          <w:tcPr>
            <w:tcW w:w="1260" w:type="dxa"/>
            <w:tcBorders>
              <w:top w:val="nil"/>
              <w:left w:val="nil"/>
              <w:bottom w:val="single" w:sz="8"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4</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9BC2E6"/>
            <w:vAlign w:val="center"/>
            <w:hideMark/>
          </w:tcPr>
          <w:p w:rsidR="00DE2133" w:rsidRPr="00804DFE" w:rsidRDefault="00DE2133" w:rsidP="00DE2133">
            <w:pPr>
              <w:spacing w:after="0" w:line="240" w:lineRule="auto"/>
              <w:rPr>
                <w:rFonts w:asciiTheme="majorHAnsi" w:eastAsia="Times New Roman" w:hAnsiTheme="majorHAnsi" w:cs="Calibri"/>
                <w:color w:val="FFFFFF"/>
                <w:sz w:val="20"/>
                <w:szCs w:val="20"/>
              </w:rPr>
            </w:pPr>
            <w:r w:rsidRPr="00804DFE">
              <w:rPr>
                <w:rFonts w:asciiTheme="majorHAnsi" w:eastAsia="Times New Roman" w:hAnsiTheme="majorHAnsi" w:cs="Calibri"/>
                <w:color w:val="FFFFFF"/>
                <w:sz w:val="20"/>
                <w:szCs w:val="20"/>
              </w:rPr>
              <w:t>X</w:t>
            </w:r>
          </w:p>
        </w:tc>
        <w:tc>
          <w:tcPr>
            <w:tcW w:w="6840" w:type="dxa"/>
            <w:tcBorders>
              <w:top w:val="nil"/>
              <w:left w:val="nil"/>
              <w:bottom w:val="single" w:sz="8" w:space="0" w:color="auto"/>
              <w:right w:val="single" w:sz="8" w:space="0" w:color="auto"/>
            </w:tcBorders>
            <w:shd w:val="clear" w:color="000000" w:fill="9BC2E6"/>
            <w:vAlign w:val="center"/>
            <w:hideMark/>
          </w:tcPr>
          <w:p w:rsidR="00DE2133" w:rsidRPr="00383FA4" w:rsidRDefault="00DE2133" w:rsidP="00DE2133">
            <w:pPr>
              <w:spacing w:after="0" w:line="240" w:lineRule="auto"/>
              <w:rPr>
                <w:rFonts w:eastAsia="Times New Roman" w:cs="Calibri"/>
                <w:color w:val="FFFFFF"/>
                <w:sz w:val="20"/>
                <w:szCs w:val="20"/>
              </w:rPr>
            </w:pPr>
            <w:r w:rsidRPr="00383FA4">
              <w:rPr>
                <w:rFonts w:eastAsia="Times New Roman" w:cs="Calibri"/>
                <w:color w:val="FFFFFF"/>
                <w:sz w:val="20"/>
                <w:szCs w:val="20"/>
              </w:rPr>
              <w:t>Kujdesi shëndetësor primar</w:t>
            </w:r>
          </w:p>
        </w:tc>
        <w:tc>
          <w:tcPr>
            <w:tcW w:w="1080" w:type="dxa"/>
            <w:tcBorders>
              <w:top w:val="nil"/>
              <w:left w:val="nil"/>
              <w:bottom w:val="single" w:sz="8" w:space="0" w:color="auto"/>
              <w:right w:val="single" w:sz="8" w:space="0" w:color="auto"/>
            </w:tcBorders>
            <w:shd w:val="clear" w:color="000000" w:fill="9BC2E6"/>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8</w:t>
            </w:r>
          </w:p>
        </w:tc>
        <w:tc>
          <w:tcPr>
            <w:tcW w:w="1260" w:type="dxa"/>
            <w:tcBorders>
              <w:top w:val="nil"/>
              <w:left w:val="nil"/>
              <w:bottom w:val="single" w:sz="8" w:space="0" w:color="auto"/>
              <w:right w:val="single" w:sz="8" w:space="0" w:color="auto"/>
            </w:tcBorders>
            <w:shd w:val="clear" w:color="000000" w:fill="9BC2E6"/>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8</w:t>
            </w:r>
          </w:p>
        </w:tc>
      </w:tr>
      <w:tr w:rsidR="00DE2133" w:rsidRPr="00804DFE" w:rsidTr="007E106F">
        <w:trPr>
          <w:trHeight w:val="298"/>
        </w:trPr>
        <w:tc>
          <w:tcPr>
            <w:tcW w:w="620" w:type="dxa"/>
            <w:tcBorders>
              <w:top w:val="nil"/>
              <w:left w:val="single" w:sz="8" w:space="0" w:color="auto"/>
              <w:bottom w:val="single" w:sz="8"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29</w:t>
            </w:r>
          </w:p>
        </w:tc>
        <w:tc>
          <w:tcPr>
            <w:tcW w:w="684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Njësitë e shëndetësisë primare me pajisje dhe shërbime laboratorike sipas udhëzimit administrativ</w:t>
            </w:r>
          </w:p>
        </w:tc>
        <w:tc>
          <w:tcPr>
            <w:tcW w:w="1080" w:type="dxa"/>
            <w:tcBorders>
              <w:top w:val="nil"/>
              <w:left w:val="nil"/>
              <w:bottom w:val="single" w:sz="8"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4</w:t>
            </w:r>
          </w:p>
        </w:tc>
        <w:tc>
          <w:tcPr>
            <w:tcW w:w="1260" w:type="dxa"/>
            <w:tcBorders>
              <w:top w:val="nil"/>
              <w:left w:val="nil"/>
              <w:bottom w:val="single" w:sz="8"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4</w:t>
            </w:r>
          </w:p>
        </w:tc>
      </w:tr>
      <w:tr w:rsidR="00DE2133" w:rsidRPr="00804DFE" w:rsidTr="007E106F">
        <w:trPr>
          <w:trHeight w:val="298"/>
        </w:trPr>
        <w:tc>
          <w:tcPr>
            <w:tcW w:w="620" w:type="dxa"/>
            <w:tcBorders>
              <w:top w:val="nil"/>
              <w:left w:val="single" w:sz="8" w:space="0" w:color="auto"/>
              <w:bottom w:val="single" w:sz="4" w:space="0" w:color="auto"/>
              <w:right w:val="single" w:sz="8" w:space="0" w:color="auto"/>
            </w:tcBorders>
            <w:shd w:val="clear" w:color="000000" w:fill="DDEBF7"/>
            <w:vAlign w:val="center"/>
            <w:hideMark/>
          </w:tcPr>
          <w:p w:rsidR="00DE2133" w:rsidRPr="00804DFE" w:rsidRDefault="00DE2133" w:rsidP="00DE2133">
            <w:pPr>
              <w:spacing w:after="0" w:line="240" w:lineRule="auto"/>
              <w:rPr>
                <w:rFonts w:asciiTheme="majorHAnsi" w:eastAsia="Times New Roman" w:hAnsiTheme="majorHAnsi" w:cs="Calibri"/>
                <w:color w:val="000000"/>
                <w:sz w:val="20"/>
                <w:szCs w:val="20"/>
              </w:rPr>
            </w:pPr>
            <w:r w:rsidRPr="00804DFE">
              <w:rPr>
                <w:rFonts w:asciiTheme="majorHAnsi" w:eastAsia="Times New Roman" w:hAnsiTheme="majorHAnsi" w:cs="Calibri"/>
                <w:color w:val="000000"/>
                <w:sz w:val="20"/>
                <w:szCs w:val="20"/>
              </w:rPr>
              <w:t>30</w:t>
            </w:r>
          </w:p>
        </w:tc>
        <w:tc>
          <w:tcPr>
            <w:tcW w:w="6840" w:type="dxa"/>
            <w:tcBorders>
              <w:top w:val="nil"/>
              <w:left w:val="nil"/>
              <w:bottom w:val="single" w:sz="4" w:space="0" w:color="auto"/>
              <w:right w:val="single" w:sz="8" w:space="0" w:color="auto"/>
            </w:tcBorders>
            <w:shd w:val="clear" w:color="000000" w:fill="DDEBF7"/>
            <w:vAlign w:val="center"/>
            <w:hideMark/>
          </w:tcPr>
          <w:p w:rsidR="00DE2133" w:rsidRPr="00383FA4" w:rsidRDefault="00DE2133" w:rsidP="00DE2133">
            <w:pPr>
              <w:spacing w:after="0" w:line="240" w:lineRule="auto"/>
              <w:rPr>
                <w:rFonts w:eastAsia="Times New Roman" w:cs="Calibri"/>
                <w:color w:val="000000"/>
                <w:sz w:val="20"/>
                <w:szCs w:val="20"/>
              </w:rPr>
            </w:pPr>
            <w:r w:rsidRPr="00383FA4">
              <w:rPr>
                <w:rFonts w:eastAsia="Times New Roman" w:cs="Calibri"/>
                <w:color w:val="000000"/>
                <w:sz w:val="20"/>
                <w:szCs w:val="20"/>
              </w:rPr>
              <w:t xml:space="preserve">Niveli i pajtueshmërisë me ekipet e mjekësisë familjare dhe shëndetit oral </w:t>
            </w:r>
          </w:p>
        </w:tc>
        <w:tc>
          <w:tcPr>
            <w:tcW w:w="1080" w:type="dxa"/>
            <w:tcBorders>
              <w:top w:val="nil"/>
              <w:left w:val="nil"/>
              <w:bottom w:val="single" w:sz="4" w:space="0" w:color="auto"/>
              <w:right w:val="single" w:sz="8" w:space="0" w:color="auto"/>
            </w:tcBorders>
            <w:shd w:val="clear" w:color="000000" w:fill="DDEBF7"/>
            <w:vAlign w:val="center"/>
            <w:hideMark/>
          </w:tcPr>
          <w:p w:rsidR="00DE2133" w:rsidRPr="00383FA4" w:rsidRDefault="00DE2133" w:rsidP="00383FA4">
            <w:pPr>
              <w:spacing w:after="0" w:line="240" w:lineRule="auto"/>
              <w:jc w:val="center"/>
              <w:rPr>
                <w:rFonts w:eastAsia="Times New Roman" w:cs="Calibri"/>
                <w:sz w:val="20"/>
                <w:szCs w:val="20"/>
              </w:rPr>
            </w:pPr>
            <w:r w:rsidRPr="00383FA4">
              <w:rPr>
                <w:rFonts w:eastAsia="Times New Roman" w:cs="Calibri"/>
                <w:sz w:val="20"/>
                <w:szCs w:val="20"/>
              </w:rPr>
              <w:t>4</w:t>
            </w:r>
          </w:p>
        </w:tc>
        <w:tc>
          <w:tcPr>
            <w:tcW w:w="1260" w:type="dxa"/>
            <w:tcBorders>
              <w:top w:val="nil"/>
              <w:left w:val="nil"/>
              <w:bottom w:val="single" w:sz="4" w:space="0" w:color="auto"/>
              <w:right w:val="single" w:sz="8" w:space="0" w:color="auto"/>
            </w:tcBorders>
            <w:shd w:val="clear" w:color="000000" w:fill="DDEBF7"/>
            <w:vAlign w:val="center"/>
          </w:tcPr>
          <w:p w:rsidR="00DE2133" w:rsidRPr="00383FA4" w:rsidRDefault="00DE2133" w:rsidP="0095339C">
            <w:pPr>
              <w:spacing w:after="0" w:line="240" w:lineRule="auto"/>
              <w:rPr>
                <w:rFonts w:eastAsia="Times New Roman" w:cs="Calibri"/>
                <w:sz w:val="20"/>
                <w:szCs w:val="20"/>
              </w:rPr>
            </w:pPr>
            <w:r w:rsidRPr="00383FA4">
              <w:rPr>
                <w:rFonts w:eastAsia="Times New Roman" w:cs="Calibri"/>
                <w:sz w:val="20"/>
                <w:szCs w:val="20"/>
              </w:rPr>
              <w:t>4</w:t>
            </w:r>
          </w:p>
        </w:tc>
      </w:tr>
      <w:tr w:rsidR="00DE2133" w:rsidRPr="00804DFE" w:rsidTr="007E106F">
        <w:trPr>
          <w:trHeight w:val="298"/>
        </w:trPr>
        <w:tc>
          <w:tcPr>
            <w:tcW w:w="7460" w:type="dxa"/>
            <w:gridSpan w:val="2"/>
            <w:tcBorders>
              <w:top w:val="single" w:sz="4" w:space="0" w:color="auto"/>
              <w:left w:val="single" w:sz="8" w:space="0" w:color="auto"/>
              <w:bottom w:val="single" w:sz="4" w:space="0" w:color="auto"/>
              <w:right w:val="single" w:sz="8" w:space="0" w:color="auto"/>
            </w:tcBorders>
            <w:shd w:val="clear" w:color="000000" w:fill="DDEBF7"/>
            <w:vAlign w:val="center"/>
          </w:tcPr>
          <w:p w:rsidR="00DE2133" w:rsidRPr="00383FA4" w:rsidRDefault="00DE2133" w:rsidP="00DE2133">
            <w:pPr>
              <w:spacing w:after="0" w:line="240" w:lineRule="auto"/>
              <w:rPr>
                <w:rFonts w:eastAsia="Times New Roman" w:cs="Calibri"/>
                <w:b/>
                <w:bCs/>
                <w:color w:val="000000"/>
                <w:sz w:val="20"/>
                <w:szCs w:val="20"/>
              </w:rPr>
            </w:pPr>
            <w:r w:rsidRPr="00383FA4">
              <w:rPr>
                <w:rFonts w:eastAsia="Times New Roman" w:cs="Calibri"/>
                <w:b/>
                <w:bCs/>
                <w:color w:val="000000"/>
                <w:sz w:val="20"/>
                <w:szCs w:val="20"/>
              </w:rPr>
              <w:t>Totali i pikëve</w:t>
            </w:r>
          </w:p>
        </w:tc>
        <w:tc>
          <w:tcPr>
            <w:tcW w:w="1080" w:type="dxa"/>
            <w:tcBorders>
              <w:top w:val="single" w:sz="4" w:space="0" w:color="auto"/>
              <w:left w:val="nil"/>
              <w:bottom w:val="single" w:sz="4" w:space="0" w:color="auto"/>
              <w:right w:val="single" w:sz="8" w:space="0" w:color="auto"/>
            </w:tcBorders>
            <w:shd w:val="clear" w:color="000000" w:fill="DDEBF7"/>
            <w:vAlign w:val="center"/>
          </w:tcPr>
          <w:p w:rsidR="00DE2133" w:rsidRPr="00383FA4" w:rsidRDefault="00DE2133" w:rsidP="00383FA4">
            <w:pPr>
              <w:spacing w:after="0" w:line="240" w:lineRule="auto"/>
              <w:jc w:val="center"/>
              <w:rPr>
                <w:rFonts w:eastAsia="Times New Roman" w:cs="Calibri"/>
                <w:b/>
                <w:bCs/>
                <w:sz w:val="20"/>
                <w:szCs w:val="20"/>
              </w:rPr>
            </w:pPr>
            <w:r w:rsidRPr="00383FA4">
              <w:rPr>
                <w:rFonts w:eastAsia="Times New Roman" w:cs="Calibri"/>
                <w:b/>
                <w:bCs/>
                <w:sz w:val="20"/>
                <w:szCs w:val="20"/>
              </w:rPr>
              <w:t>100</w:t>
            </w:r>
          </w:p>
        </w:tc>
        <w:tc>
          <w:tcPr>
            <w:tcW w:w="1260" w:type="dxa"/>
            <w:tcBorders>
              <w:top w:val="single" w:sz="4" w:space="0" w:color="auto"/>
              <w:left w:val="nil"/>
              <w:bottom w:val="single" w:sz="4" w:space="0" w:color="auto"/>
              <w:right w:val="single" w:sz="8" w:space="0" w:color="auto"/>
            </w:tcBorders>
            <w:shd w:val="clear" w:color="000000" w:fill="DDEBF7"/>
            <w:vAlign w:val="center"/>
          </w:tcPr>
          <w:p w:rsidR="00DE2133" w:rsidRPr="00AA61B8" w:rsidRDefault="00DE2133" w:rsidP="005C11D8">
            <w:pPr>
              <w:spacing w:after="0" w:line="240" w:lineRule="auto"/>
              <w:rPr>
                <w:rFonts w:eastAsia="Times New Roman" w:cs="Calibri"/>
                <w:b/>
                <w:bCs/>
                <w:sz w:val="20"/>
                <w:szCs w:val="20"/>
              </w:rPr>
            </w:pPr>
            <w:r w:rsidRPr="00AA61B8">
              <w:rPr>
                <w:rFonts w:eastAsia="Times New Roman" w:cs="Calibri"/>
                <w:b/>
                <w:bCs/>
                <w:sz w:val="20"/>
                <w:szCs w:val="20"/>
              </w:rPr>
              <w:t>9</w:t>
            </w:r>
            <w:r w:rsidR="005C11D8">
              <w:rPr>
                <w:rFonts w:eastAsia="Times New Roman" w:cs="Calibri"/>
                <w:b/>
                <w:bCs/>
                <w:sz w:val="20"/>
                <w:szCs w:val="20"/>
              </w:rPr>
              <w:t>8</w:t>
            </w:r>
          </w:p>
        </w:tc>
      </w:tr>
    </w:tbl>
    <w:p w:rsidR="00F57AC2" w:rsidRDefault="00F57AC2" w:rsidP="0066099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color w:val="0E2841" w:themeColor="text2"/>
          <w:kern w:val="2"/>
          <w14:ligatures w14:val="standardContextual"/>
        </w:rPr>
      </w:pPr>
    </w:p>
    <w:p w:rsidR="00F16D9D" w:rsidRPr="0066099E" w:rsidRDefault="00F16D9D" w:rsidP="0066099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color w:val="0E2841" w:themeColor="text2"/>
          <w:kern w:val="2"/>
          <w14:ligatures w14:val="standardContextual"/>
        </w:rPr>
      </w:pPr>
      <w:r w:rsidRPr="0066099E">
        <w:rPr>
          <w:color w:val="0E2841" w:themeColor="text2"/>
          <w:kern w:val="2"/>
          <w14:ligatures w14:val="standardContextual"/>
        </w:rPr>
        <w:t>Vlerësimi i performancës për grantin e vitit 202</w:t>
      </w:r>
      <w:r w:rsidR="005C11D8">
        <w:rPr>
          <w:color w:val="0E2841" w:themeColor="text2"/>
          <w:kern w:val="2"/>
          <w14:ligatures w14:val="standardContextual"/>
        </w:rPr>
        <w:t>6</w:t>
      </w:r>
      <w:r w:rsidRPr="0066099E">
        <w:rPr>
          <w:color w:val="0E2841" w:themeColor="text2"/>
          <w:kern w:val="2"/>
          <w14:ligatures w14:val="standardContextual"/>
        </w:rPr>
        <w:t xml:space="preserve"> është bërë për të gjitha komunat e Republikës së Kosovës.</w:t>
      </w:r>
      <w:bookmarkEnd w:id="8"/>
      <w:r w:rsidR="0066099E" w:rsidRPr="0066099E">
        <w:rPr>
          <w:color w:val="0E2841" w:themeColor="text2"/>
          <w:kern w:val="2"/>
          <w14:ligatures w14:val="standardContextual"/>
        </w:rPr>
        <w:t xml:space="preserve"> </w:t>
      </w:r>
      <w:r w:rsidR="00F64B49" w:rsidRPr="0066099E">
        <w:rPr>
          <w:color w:val="0E2841" w:themeColor="text2"/>
          <w:kern w:val="2"/>
          <w14:ligatures w14:val="standardContextual"/>
        </w:rPr>
        <w:t xml:space="preserve">Detajet </w:t>
      </w:r>
      <w:r w:rsidR="00DE2133" w:rsidRPr="0066099E">
        <w:rPr>
          <w:color w:val="0E2841" w:themeColor="text2"/>
          <w:kern w:val="2"/>
          <w14:ligatures w14:val="standardContextual"/>
        </w:rPr>
        <w:t xml:space="preserve">lidhur me metodologjinë, procesin, mbledhjen e të dhënave, </w:t>
      </w:r>
      <w:r w:rsidR="00107A0A" w:rsidRPr="0066099E">
        <w:rPr>
          <w:color w:val="0E2841" w:themeColor="text2"/>
          <w:kern w:val="2"/>
          <w14:ligatures w14:val="standardContextual"/>
        </w:rPr>
        <w:t xml:space="preserve">shtjellohen në shtojcën </w:t>
      </w:r>
      <w:r w:rsidR="00107A0A">
        <w:rPr>
          <w:color w:val="0E2841" w:themeColor="text2"/>
          <w:kern w:val="2"/>
          <w14:ligatures w14:val="standardContextual"/>
        </w:rPr>
        <w:t xml:space="preserve">5. </w:t>
      </w:r>
    </w:p>
    <w:p w:rsidR="00BE4C50" w:rsidRDefault="00BE4C50"/>
    <w:p w:rsidR="00550E54" w:rsidRDefault="00550E54"/>
    <w:p w:rsidR="00060901" w:rsidRPr="0014373D" w:rsidRDefault="00060901" w:rsidP="008E660A">
      <w:pPr>
        <w:keepNext/>
        <w:numPr>
          <w:ilvl w:val="0"/>
          <w:numId w:val="1"/>
        </w:numPr>
        <w:shd w:val="clear" w:color="auto" w:fill="215E99" w:themeFill="text2" w:themeFillTint="BF"/>
        <w:tabs>
          <w:tab w:val="left" w:pos="540"/>
        </w:tabs>
        <w:spacing w:after="0" w:line="240" w:lineRule="auto"/>
        <w:ind w:left="902" w:hanging="902"/>
        <w:outlineLvl w:val="0"/>
        <w:rPr>
          <w:rFonts w:asciiTheme="majorHAnsi" w:eastAsiaTheme="majorEastAsia" w:hAnsiTheme="majorHAnsi" w:cstheme="majorHAnsi"/>
          <w:b/>
          <w:color w:val="2C7FCE" w:themeColor="text2" w:themeTint="99"/>
          <w:sz w:val="28"/>
          <w:szCs w:val="28"/>
        </w:rPr>
      </w:pPr>
      <w:bookmarkStart w:id="9" w:name="_Toc115186039"/>
      <w:bookmarkStart w:id="10" w:name="_Toc178434853"/>
      <w:r w:rsidRPr="0014373D">
        <w:rPr>
          <w:rFonts w:asciiTheme="majorHAnsi" w:eastAsiaTheme="majorEastAsia" w:hAnsiTheme="majorHAnsi" w:cstheme="majorHAnsi"/>
          <w:b/>
          <w:color w:val="FFFFFF" w:themeColor="background1"/>
          <w:sz w:val="28"/>
          <w:szCs w:val="28"/>
        </w:rPr>
        <w:t>Granti i performancës komunale për vitin 202</w:t>
      </w:r>
      <w:r w:rsidR="005C11D8">
        <w:rPr>
          <w:rFonts w:asciiTheme="majorHAnsi" w:eastAsiaTheme="majorEastAsia" w:hAnsiTheme="majorHAnsi" w:cstheme="majorHAnsi"/>
          <w:b/>
          <w:color w:val="FFFFFF" w:themeColor="background1"/>
          <w:sz w:val="28"/>
          <w:szCs w:val="28"/>
        </w:rPr>
        <w:t>6</w:t>
      </w:r>
      <w:r w:rsidRPr="0014373D">
        <w:rPr>
          <w:rFonts w:asciiTheme="majorHAnsi" w:eastAsiaTheme="majorEastAsia" w:hAnsiTheme="majorHAnsi" w:cstheme="majorHAnsi"/>
          <w:b/>
          <w:color w:val="FFFFFF" w:themeColor="background1"/>
          <w:sz w:val="28"/>
          <w:szCs w:val="28"/>
        </w:rPr>
        <w:t xml:space="preserve"> – Rezultatet </w:t>
      </w:r>
      <w:r w:rsidR="00BA3FB3" w:rsidRPr="0014373D">
        <w:rPr>
          <w:rFonts w:asciiTheme="majorHAnsi" w:eastAsiaTheme="majorEastAsia" w:hAnsiTheme="majorHAnsi" w:cstheme="majorHAnsi"/>
          <w:b/>
          <w:color w:val="FFFFFF" w:themeColor="background1"/>
          <w:sz w:val="28"/>
          <w:szCs w:val="28"/>
        </w:rPr>
        <w:t>e</w:t>
      </w:r>
      <w:r w:rsidRPr="0014373D">
        <w:rPr>
          <w:rFonts w:asciiTheme="majorHAnsi" w:eastAsiaTheme="majorEastAsia" w:hAnsiTheme="majorHAnsi" w:cstheme="majorHAnsi"/>
          <w:b/>
          <w:color w:val="FFFFFF" w:themeColor="background1"/>
          <w:sz w:val="28"/>
          <w:szCs w:val="28"/>
        </w:rPr>
        <w:t xml:space="preserve"> vlerësimit</w:t>
      </w:r>
      <w:bookmarkEnd w:id="9"/>
      <w:bookmarkEnd w:id="10"/>
    </w:p>
    <w:p w:rsidR="00060901" w:rsidRDefault="00060901" w:rsidP="005F07B5">
      <w:pPr>
        <w:keepNext/>
        <w:tabs>
          <w:tab w:val="left" w:pos="540"/>
        </w:tabs>
        <w:spacing w:after="0" w:line="240" w:lineRule="auto"/>
        <w:ind w:left="540" w:hanging="540"/>
        <w:outlineLvl w:val="0"/>
        <w:rPr>
          <w:rFonts w:asciiTheme="majorHAnsi" w:eastAsiaTheme="majorEastAsia" w:hAnsiTheme="majorHAnsi" w:cstheme="majorHAnsi"/>
          <w:b/>
          <w:color w:val="CC9900"/>
          <w:sz w:val="24"/>
          <w:szCs w:val="24"/>
        </w:rPr>
      </w:pPr>
      <w:bookmarkStart w:id="11" w:name="_Toc178434854"/>
      <w:r w:rsidRPr="00D91869">
        <w:rPr>
          <w:rFonts w:asciiTheme="majorHAnsi" w:eastAsiaTheme="majorEastAsia" w:hAnsiTheme="majorHAnsi" w:cstheme="majorHAnsi"/>
          <w:b/>
          <w:color w:val="CC9900"/>
          <w:sz w:val="24"/>
          <w:szCs w:val="24"/>
        </w:rPr>
        <w:t>2.1 Rezultatet e kushteve minimale</w:t>
      </w:r>
      <w:bookmarkEnd w:id="11"/>
    </w:p>
    <w:p w:rsidR="005F07B5" w:rsidRPr="005F07B5" w:rsidRDefault="005F07B5" w:rsidP="005F07B5">
      <w:pPr>
        <w:keepNext/>
        <w:tabs>
          <w:tab w:val="left" w:pos="540"/>
        </w:tabs>
        <w:spacing w:after="0" w:line="240" w:lineRule="auto"/>
        <w:ind w:left="540" w:hanging="540"/>
        <w:outlineLvl w:val="0"/>
        <w:rPr>
          <w:rFonts w:asciiTheme="majorHAnsi" w:eastAsiaTheme="majorEastAsia" w:hAnsiTheme="majorHAnsi" w:cstheme="majorHAnsi"/>
          <w:b/>
          <w:color w:val="CC9900"/>
          <w:sz w:val="24"/>
          <w:szCs w:val="24"/>
        </w:rPr>
      </w:pPr>
    </w:p>
    <w:p w:rsidR="00A004F2" w:rsidRDefault="00A004F2" w:rsidP="00A004F2">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color w:val="0E2841" w:themeColor="text2"/>
          <w:kern w:val="2"/>
          <w14:ligatures w14:val="standardContextual"/>
        </w:rPr>
      </w:pPr>
      <w:r w:rsidRPr="008D7239">
        <w:rPr>
          <w:color w:val="0E2841" w:themeColor="text2"/>
          <w:kern w:val="2"/>
          <w14:ligatures w14:val="standardContextual"/>
        </w:rPr>
        <w:t xml:space="preserve">Nga 38 komunat e Republikës së Kosovës, </w:t>
      </w:r>
      <w:r>
        <w:rPr>
          <w:color w:val="0E2841" w:themeColor="text2"/>
          <w:kern w:val="2"/>
          <w14:ligatures w14:val="standardContextual"/>
        </w:rPr>
        <w:t>5</w:t>
      </w:r>
      <w:r w:rsidRPr="008D7239">
        <w:rPr>
          <w:color w:val="0E2841" w:themeColor="text2"/>
          <w:kern w:val="2"/>
          <w14:ligatures w14:val="standardContextual"/>
        </w:rPr>
        <w:t xml:space="preserve"> komuna apo </w:t>
      </w:r>
      <w:r>
        <w:rPr>
          <w:color w:val="0E2841" w:themeColor="text2"/>
          <w:kern w:val="2"/>
          <w14:ligatures w14:val="standardContextual"/>
        </w:rPr>
        <w:t>13.15</w:t>
      </w:r>
      <w:r w:rsidRPr="008D7239">
        <w:rPr>
          <w:color w:val="0E2841" w:themeColor="text2"/>
          <w:kern w:val="2"/>
          <w14:ligatures w14:val="standardContextual"/>
        </w:rPr>
        <w:t>% kanë përmbushur katër kushtet minimale dhe do të jenë komuna përfituese të grantit të performancës komunale në vitin 202</w:t>
      </w:r>
      <w:r>
        <w:rPr>
          <w:color w:val="0E2841" w:themeColor="text2"/>
          <w:kern w:val="2"/>
          <w14:ligatures w14:val="standardContextual"/>
        </w:rPr>
        <w:t>6</w:t>
      </w:r>
      <w:r w:rsidRPr="008D7239">
        <w:rPr>
          <w:color w:val="0E2841" w:themeColor="text2"/>
          <w:kern w:val="2"/>
          <w14:ligatures w14:val="standardContextual"/>
        </w:rPr>
        <w:t xml:space="preserve">. Komunat përfituese janë komuna e Dragashit, </w:t>
      </w:r>
      <w:r>
        <w:rPr>
          <w:color w:val="0E2841" w:themeColor="text2"/>
          <w:kern w:val="2"/>
          <w14:ligatures w14:val="standardContextual"/>
        </w:rPr>
        <w:t>Klinës</w:t>
      </w:r>
      <w:r w:rsidRPr="008D7239">
        <w:rPr>
          <w:color w:val="0E2841" w:themeColor="text2"/>
          <w:kern w:val="2"/>
          <w14:ligatures w14:val="standardContextual"/>
        </w:rPr>
        <w:t xml:space="preserve">, </w:t>
      </w:r>
      <w:r>
        <w:rPr>
          <w:color w:val="0E2841" w:themeColor="text2"/>
          <w:kern w:val="2"/>
          <w14:ligatures w14:val="standardContextual"/>
        </w:rPr>
        <w:t>Rahovecit</w:t>
      </w:r>
      <w:r w:rsidRPr="008D7239">
        <w:rPr>
          <w:color w:val="0E2841" w:themeColor="text2"/>
          <w:kern w:val="2"/>
          <w14:ligatures w14:val="standardContextual"/>
        </w:rPr>
        <w:t xml:space="preserve">, </w:t>
      </w:r>
      <w:r>
        <w:rPr>
          <w:color w:val="0E2841" w:themeColor="text2"/>
          <w:kern w:val="2"/>
          <w14:ligatures w14:val="standardContextual"/>
        </w:rPr>
        <w:t>Mamushës dhe Parteshit.</w:t>
      </w:r>
    </w:p>
    <w:p w:rsidR="0017640A" w:rsidRDefault="0017640A" w:rsidP="00C24D9F">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color w:val="0E2841" w:themeColor="text2"/>
          <w:kern w:val="2"/>
          <w14:ligatures w14:val="standardContextual"/>
        </w:rPr>
      </w:pPr>
    </w:p>
    <w:p w:rsidR="002D0BD8" w:rsidRPr="0017640A" w:rsidRDefault="00550E54" w:rsidP="0017640A">
      <w:pPr>
        <w:pStyle w:val="Caption"/>
      </w:pPr>
      <w:r>
        <w:rPr>
          <w:noProof/>
          <w:lang w:val="en-GB" w:eastAsia="en-GB"/>
          <w14:ligatures w14:val="standardContextual"/>
        </w:rPr>
        <w:drawing>
          <wp:anchor distT="0" distB="0" distL="114300" distR="114300" simplePos="0" relativeHeight="251869184" behindDoc="0" locked="0" layoutInCell="1" allowOverlap="1" wp14:anchorId="4F8E2201" wp14:editId="1ABB6F2F">
            <wp:simplePos x="0" y="0"/>
            <wp:positionH relativeFrom="margin">
              <wp:align>left</wp:align>
            </wp:positionH>
            <wp:positionV relativeFrom="margin">
              <wp:posOffset>1630452</wp:posOffset>
            </wp:positionV>
            <wp:extent cx="3234055" cy="2714625"/>
            <wp:effectExtent l="0" t="0" r="4445" b="9525"/>
            <wp:wrapSquare wrapText="bothSides"/>
            <wp:docPr id="1708941621" name="Chart 170894162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E93B2567-7F32-040F-7EC9-B3F9A8BC48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anchor>
        </w:drawing>
      </w:r>
      <w:r w:rsidR="0017640A">
        <w:t xml:space="preserve">Grafiku </w:t>
      </w:r>
      <w:r w:rsidR="0017640A">
        <w:fldChar w:fldCharType="begin"/>
      </w:r>
      <w:r w:rsidR="0017640A">
        <w:instrText xml:space="preserve"> SEQ Figure \* ARABIC </w:instrText>
      </w:r>
      <w:r w:rsidR="0017640A">
        <w:fldChar w:fldCharType="separate"/>
      </w:r>
      <w:r w:rsidR="00092DE1">
        <w:rPr>
          <w:noProof/>
        </w:rPr>
        <w:t>1</w:t>
      </w:r>
      <w:r w:rsidR="0017640A">
        <w:fldChar w:fldCharType="end"/>
      </w:r>
      <w:r w:rsidR="0017640A">
        <w:t xml:space="preserve"> </w:t>
      </w:r>
      <w:r w:rsidR="0017640A" w:rsidRPr="00EB5B1E">
        <w:t>Numri i komunave që kanë përmbushur K</w:t>
      </w:r>
      <w:r w:rsidR="00FE6A5E">
        <w:t>M për performancën e vitit  2024</w:t>
      </w:r>
    </w:p>
    <w:p w:rsidR="00D56BFE" w:rsidRPr="00D56BFE" w:rsidRDefault="00D56BFE" w:rsidP="00D56BF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color w:val="0E2841" w:themeColor="text2"/>
          <w:kern w:val="2"/>
          <w14:ligatures w14:val="standardContextual"/>
        </w:rPr>
      </w:pPr>
      <w:r w:rsidRPr="00D56BFE">
        <w:rPr>
          <w:color w:val="0E2841" w:themeColor="text2"/>
          <w:kern w:val="2"/>
          <w14:ligatures w14:val="standardContextual"/>
        </w:rPr>
        <w:t>•</w:t>
      </w:r>
      <w:r w:rsidRPr="00D56BFE">
        <w:rPr>
          <w:color w:val="0E2841" w:themeColor="text2"/>
          <w:kern w:val="2"/>
          <w14:ligatures w14:val="standardContextual"/>
        </w:rPr>
        <w:tab/>
        <w:t>3</w:t>
      </w:r>
      <w:r w:rsidR="00FE6A5E">
        <w:rPr>
          <w:color w:val="0E2841" w:themeColor="text2"/>
          <w:kern w:val="2"/>
          <w14:ligatures w14:val="standardContextual"/>
        </w:rPr>
        <w:t>3</w:t>
      </w:r>
      <w:r w:rsidRPr="00D56BFE">
        <w:rPr>
          <w:color w:val="0E2841" w:themeColor="text2"/>
          <w:kern w:val="2"/>
          <w14:ligatures w14:val="standardContextual"/>
        </w:rPr>
        <w:t xml:space="preserve"> nga 38 komunat apo </w:t>
      </w:r>
      <w:r w:rsidR="00550E54">
        <w:rPr>
          <w:color w:val="0E2841" w:themeColor="text2"/>
          <w:kern w:val="2"/>
          <w14:ligatures w14:val="standardContextual"/>
        </w:rPr>
        <w:t>86.8</w:t>
      </w:r>
      <w:r w:rsidRPr="00D56BFE">
        <w:rPr>
          <w:color w:val="0E2841" w:themeColor="text2"/>
          <w:kern w:val="2"/>
          <w14:ligatures w14:val="standardContextual"/>
        </w:rPr>
        <w:t>% e kanë përmbushur kushtin e parë minimal (Komunat duhet të kenë raportuar të dhënat në SMPK sipas afatit të përcaktuar),</w:t>
      </w:r>
    </w:p>
    <w:p w:rsidR="00D56BFE" w:rsidRPr="00D56BFE" w:rsidRDefault="00FE6A5E" w:rsidP="00D56BF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color w:val="0E2841" w:themeColor="text2"/>
          <w:kern w:val="2"/>
          <w14:ligatures w14:val="standardContextual"/>
        </w:rPr>
      </w:pPr>
      <w:r>
        <w:rPr>
          <w:color w:val="0E2841" w:themeColor="text2"/>
          <w:kern w:val="2"/>
          <w14:ligatures w14:val="standardContextual"/>
        </w:rPr>
        <w:t>•</w:t>
      </w:r>
      <w:r>
        <w:rPr>
          <w:color w:val="0E2841" w:themeColor="text2"/>
          <w:kern w:val="2"/>
          <w14:ligatures w14:val="standardContextual"/>
        </w:rPr>
        <w:tab/>
        <w:t>33</w:t>
      </w:r>
      <w:r w:rsidR="00D56BFE" w:rsidRPr="00D56BFE">
        <w:rPr>
          <w:color w:val="0E2841" w:themeColor="text2"/>
          <w:kern w:val="2"/>
          <w14:ligatures w14:val="standardContextual"/>
        </w:rPr>
        <w:t xml:space="preserve"> nga 38 komunat apo </w:t>
      </w:r>
      <w:r w:rsidR="00550E54">
        <w:rPr>
          <w:color w:val="0E2841" w:themeColor="text2"/>
          <w:kern w:val="2"/>
          <w14:ligatures w14:val="standardContextual"/>
        </w:rPr>
        <w:t>86.8</w:t>
      </w:r>
      <w:r w:rsidR="00D56BFE" w:rsidRPr="00D56BFE">
        <w:rPr>
          <w:color w:val="0E2841" w:themeColor="text2"/>
          <w:kern w:val="2"/>
          <w14:ligatures w14:val="standardContextual"/>
        </w:rPr>
        <w:t xml:space="preserve">% e kanë përmbushur kushtin e dytë minimal (Komunat duhet të kenë respektuar obligimin ligjor për t’i rishqyrtuar aktet komunale të vlerësuara si të kundërligjshme nga autoriteti mbikëqyrës). </w:t>
      </w:r>
    </w:p>
    <w:p w:rsidR="00D56BFE" w:rsidRDefault="00D56BFE" w:rsidP="00D56BFE">
      <w:pPr>
        <w:spacing w:after="0"/>
        <w:jc w:val="both"/>
        <w:rPr>
          <w:rFonts w:ascii="Aptos" w:hAnsi="Aptos"/>
          <w:color w:val="0F4761" w:themeColor="accent1" w:themeShade="BF"/>
          <w:kern w:val="2"/>
          <w:sz w:val="20"/>
          <w:szCs w:val="20"/>
          <w14:ligatures w14:val="standardContextual"/>
        </w:rPr>
      </w:pPr>
    </w:p>
    <w:p w:rsidR="00550E54" w:rsidRDefault="00550E54" w:rsidP="00D56BFE">
      <w:pPr>
        <w:spacing w:after="0"/>
        <w:jc w:val="both"/>
        <w:rPr>
          <w:rFonts w:ascii="Aptos" w:hAnsi="Aptos"/>
          <w:color w:val="0F4761" w:themeColor="accent1" w:themeShade="BF"/>
          <w:kern w:val="2"/>
          <w:sz w:val="20"/>
          <w:szCs w:val="20"/>
          <w14:ligatures w14:val="standardContextual"/>
        </w:rPr>
      </w:pPr>
    </w:p>
    <w:p w:rsidR="00550E54" w:rsidRDefault="00550E54" w:rsidP="00D56BFE">
      <w:pPr>
        <w:spacing w:after="0"/>
        <w:jc w:val="both"/>
        <w:rPr>
          <w:rFonts w:ascii="Aptos" w:hAnsi="Aptos"/>
          <w:color w:val="0F4761" w:themeColor="accent1" w:themeShade="BF"/>
          <w:kern w:val="2"/>
          <w:sz w:val="20"/>
          <w:szCs w:val="20"/>
          <w14:ligatures w14:val="standardContextual"/>
        </w:rPr>
      </w:pPr>
    </w:p>
    <w:p w:rsidR="00550E54" w:rsidRDefault="00550E54" w:rsidP="00D56BFE">
      <w:pPr>
        <w:spacing w:after="0"/>
        <w:jc w:val="both"/>
        <w:rPr>
          <w:rFonts w:ascii="Aptos" w:hAnsi="Aptos"/>
          <w:color w:val="0F4761" w:themeColor="accent1" w:themeShade="BF"/>
          <w:kern w:val="2"/>
          <w:sz w:val="20"/>
          <w:szCs w:val="20"/>
          <w14:ligatures w14:val="standardContextual"/>
        </w:rPr>
      </w:pPr>
    </w:p>
    <w:p w:rsidR="00550E54" w:rsidRDefault="00550E54" w:rsidP="00D56BFE">
      <w:pPr>
        <w:spacing w:after="0"/>
        <w:jc w:val="both"/>
        <w:rPr>
          <w:rFonts w:ascii="Aptos" w:hAnsi="Aptos"/>
          <w:color w:val="0F4761" w:themeColor="accent1" w:themeShade="BF"/>
          <w:kern w:val="2"/>
          <w:sz w:val="20"/>
          <w:szCs w:val="20"/>
          <w14:ligatures w14:val="standardContextual"/>
        </w:rPr>
      </w:pPr>
    </w:p>
    <w:p w:rsidR="00BF4778" w:rsidRDefault="00BF4778" w:rsidP="00BF4778">
      <w:pPr>
        <w:pStyle w:val="Caption"/>
        <w:jc w:val="both"/>
      </w:pPr>
      <w:r>
        <w:t xml:space="preserve">Grafiku </w:t>
      </w:r>
      <w:r>
        <w:fldChar w:fldCharType="begin"/>
      </w:r>
      <w:r>
        <w:instrText xml:space="preserve"> SEQ Figure \* ARABIC </w:instrText>
      </w:r>
      <w:r>
        <w:fldChar w:fldCharType="separate"/>
      </w:r>
      <w:r w:rsidR="00092DE1">
        <w:rPr>
          <w:noProof/>
        </w:rPr>
        <w:t>2</w:t>
      </w:r>
      <w:r>
        <w:fldChar w:fldCharType="end"/>
      </w:r>
      <w:r>
        <w:t xml:space="preserve"> Numri i komunave që kanë përmbushur KM 1,2,3 dhe 4</w:t>
      </w:r>
    </w:p>
    <w:p w:rsidR="00DA7FF9" w:rsidRPr="00DA7FF9" w:rsidRDefault="00DA7FF9" w:rsidP="00DA7FF9">
      <w:r>
        <w:rPr>
          <w:noProof/>
          <w:lang w:val="en-GB" w:eastAsia="en-GB"/>
          <w14:ligatures w14:val="standardContextual"/>
        </w:rPr>
        <w:drawing>
          <wp:anchor distT="0" distB="0" distL="114300" distR="114300" simplePos="0" relativeHeight="251884544" behindDoc="0" locked="0" layoutInCell="1" allowOverlap="1" wp14:anchorId="5873358E" wp14:editId="56DA5FBA">
            <wp:simplePos x="0" y="0"/>
            <wp:positionH relativeFrom="margin">
              <wp:posOffset>0</wp:posOffset>
            </wp:positionH>
            <wp:positionV relativeFrom="paragraph">
              <wp:posOffset>-603885</wp:posOffset>
            </wp:positionV>
            <wp:extent cx="3601720" cy="2618105"/>
            <wp:effectExtent l="0" t="0" r="17780" b="10795"/>
            <wp:wrapSquare wrapText="bothSides"/>
            <wp:docPr id="32" name="Chart 32">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D0F8640D-83B0-4135-9565-F3797B2A1D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D56BFE" w:rsidRPr="00D56BFE" w:rsidRDefault="00FE6A5E" w:rsidP="004A29F8">
      <w:pPr>
        <w:pStyle w:val="ListParagraph"/>
        <w:numPr>
          <w:ilvl w:val="0"/>
          <w:numId w:val="7"/>
        </w:numPr>
        <w:jc w:val="both"/>
        <w:rPr>
          <w:rFonts w:ascii="Aptos" w:hAnsi="Aptos"/>
          <w:kern w:val="2"/>
          <w:sz w:val="21"/>
          <w:szCs w:val="21"/>
          <w14:ligatures w14:val="standardContextual"/>
        </w:rPr>
      </w:pPr>
      <w:bookmarkStart w:id="12" w:name="_Hlk178255790"/>
      <w:r>
        <w:rPr>
          <w:color w:val="0E2841" w:themeColor="text2"/>
          <w:kern w:val="2"/>
          <w14:ligatures w14:val="standardContextual"/>
        </w:rPr>
        <w:t>7</w:t>
      </w:r>
      <w:r w:rsidR="00D56BFE" w:rsidRPr="00D56BFE">
        <w:rPr>
          <w:color w:val="0E2841" w:themeColor="text2"/>
          <w:kern w:val="2"/>
          <w14:ligatures w14:val="standardContextual"/>
        </w:rPr>
        <w:t xml:space="preserve"> nga 38 komunat apo </w:t>
      </w:r>
      <w:r w:rsidR="00550E54">
        <w:rPr>
          <w:color w:val="0E2841" w:themeColor="text2"/>
          <w:kern w:val="2"/>
          <w14:ligatures w14:val="standardContextual"/>
        </w:rPr>
        <w:t>18.4</w:t>
      </w:r>
      <w:r w:rsidR="00D56BFE" w:rsidRPr="00D56BFE">
        <w:rPr>
          <w:color w:val="0E2841" w:themeColor="text2"/>
          <w:kern w:val="2"/>
          <w14:ligatures w14:val="standardContextual"/>
        </w:rPr>
        <w:t xml:space="preserve">% e kanë përmbushur kushtin e tretë minimal (Opinioni i auditimit duhet të jetë të paktën i pamodifikuar me theksim të çështjes). </w:t>
      </w:r>
    </w:p>
    <w:p w:rsidR="00D56BFE" w:rsidRDefault="00D56BFE" w:rsidP="00D56BF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color w:val="0E2841" w:themeColor="text2"/>
          <w:kern w:val="2"/>
          <w14:ligatures w14:val="standardContextual"/>
        </w:rPr>
      </w:pPr>
      <w:r w:rsidRPr="00D56BFE">
        <w:rPr>
          <w:color w:val="0E2841" w:themeColor="text2"/>
          <w:kern w:val="2"/>
          <w14:ligatures w14:val="standardContextual"/>
        </w:rPr>
        <w:t>•</w:t>
      </w:r>
      <w:r w:rsidRPr="00D56BFE">
        <w:rPr>
          <w:color w:val="0E2841" w:themeColor="text2"/>
          <w:kern w:val="2"/>
          <w14:ligatures w14:val="standardContextual"/>
        </w:rPr>
        <w:tab/>
        <w:t>2</w:t>
      </w:r>
      <w:r w:rsidR="00FE6A5E">
        <w:rPr>
          <w:color w:val="0E2841" w:themeColor="text2"/>
          <w:kern w:val="2"/>
          <w14:ligatures w14:val="standardContextual"/>
        </w:rPr>
        <w:t>8</w:t>
      </w:r>
      <w:r w:rsidRPr="00D56BFE">
        <w:rPr>
          <w:color w:val="0E2841" w:themeColor="text2"/>
          <w:kern w:val="2"/>
          <w14:ligatures w14:val="standardContextual"/>
        </w:rPr>
        <w:t xml:space="preserve"> nga 38 komunat apo </w:t>
      </w:r>
      <w:r w:rsidR="00550E54">
        <w:rPr>
          <w:color w:val="0E2841" w:themeColor="text2"/>
          <w:kern w:val="2"/>
          <w14:ligatures w14:val="standardContextual"/>
        </w:rPr>
        <w:t>73.7</w:t>
      </w:r>
      <w:r w:rsidRPr="00D56BFE">
        <w:rPr>
          <w:color w:val="0E2841" w:themeColor="text2"/>
          <w:kern w:val="2"/>
          <w14:ligatures w14:val="standardContextual"/>
        </w:rPr>
        <w:t>% e kanë përmbushur kushtin e katërt minimal (Komunat duhet të kenë shpenzuar 75% ose më tepër të buxhetit final për investime kapitale).</w:t>
      </w:r>
      <w:bookmarkEnd w:id="12"/>
    </w:p>
    <w:p w:rsidR="00D56BFE" w:rsidRPr="00D56BFE" w:rsidRDefault="00D56BFE" w:rsidP="00D56BF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color w:val="0E2841" w:themeColor="text2"/>
          <w:kern w:val="2"/>
          <w14:ligatures w14:val="standardContextual"/>
        </w:rPr>
      </w:pPr>
    </w:p>
    <w:p w:rsidR="004E6A7E" w:rsidRDefault="004E6A7E" w:rsidP="00851593">
      <w:pPr>
        <w:spacing w:before="60" w:line="264" w:lineRule="auto"/>
        <w:jc w:val="both"/>
        <w:rPr>
          <w:rFonts w:cs="Calibri Light"/>
          <w:i/>
          <w:iCs/>
          <w:color w:val="0E2841" w:themeColor="text2"/>
        </w:rPr>
      </w:pPr>
    </w:p>
    <w:p w:rsidR="00227290" w:rsidRPr="00175531" w:rsidRDefault="003F5A9E" w:rsidP="00851593">
      <w:pPr>
        <w:spacing w:before="60" w:line="264" w:lineRule="auto"/>
        <w:jc w:val="both"/>
        <w:rPr>
          <w:rFonts w:cs="Calibri Light"/>
          <w:i/>
          <w:iCs/>
          <w:color w:val="0E2841" w:themeColor="text2"/>
        </w:rPr>
      </w:pPr>
      <w:r w:rsidRPr="00175531">
        <w:rPr>
          <w:rFonts w:cs="Calibri Light"/>
          <w:i/>
          <w:iCs/>
          <w:color w:val="0E2841" w:themeColor="text2"/>
        </w:rPr>
        <w:t xml:space="preserve">Përmbledhja e rezultateve të kushteve minimale për të gjitha komunat është dhënë në shtojcën numër 1, ndërsa shtojca numër </w:t>
      </w:r>
      <w:r w:rsidR="000078B6" w:rsidRPr="00175531">
        <w:rPr>
          <w:rFonts w:cs="Calibri Light"/>
          <w:i/>
          <w:iCs/>
          <w:color w:val="0E2841" w:themeColor="text2"/>
        </w:rPr>
        <w:t>4</w:t>
      </w:r>
      <w:r w:rsidRPr="00175531">
        <w:rPr>
          <w:rFonts w:cs="Calibri Light"/>
          <w:i/>
          <w:iCs/>
          <w:color w:val="0E2841" w:themeColor="text2"/>
        </w:rPr>
        <w:t xml:space="preserve"> jep një përmbledhje të rezultateve për secilën komunë veç e veç.  </w:t>
      </w:r>
    </w:p>
    <w:p w:rsidR="0064780E" w:rsidRDefault="0064780E" w:rsidP="00326F10">
      <w:pPr>
        <w:spacing w:before="60" w:after="0" w:line="264" w:lineRule="auto"/>
        <w:contextualSpacing/>
        <w:jc w:val="both"/>
        <w:rPr>
          <w:rFonts w:ascii="Aptos" w:hAnsi="Aptos"/>
          <w:kern w:val="2"/>
          <w:sz w:val="21"/>
          <w:szCs w:val="21"/>
          <w14:ligatures w14:val="standardContextual"/>
        </w:rPr>
      </w:pPr>
    </w:p>
    <w:p w:rsidR="00C16AC7" w:rsidRDefault="00C16AC7" w:rsidP="00326F10">
      <w:pPr>
        <w:spacing w:before="60" w:after="0" w:line="264" w:lineRule="auto"/>
        <w:contextualSpacing/>
        <w:jc w:val="both"/>
        <w:rPr>
          <w:rFonts w:ascii="Aptos" w:hAnsi="Aptos"/>
          <w:kern w:val="2"/>
          <w:sz w:val="21"/>
          <w:szCs w:val="21"/>
          <w14:ligatures w14:val="standardContextual"/>
        </w:rPr>
      </w:pPr>
    </w:p>
    <w:p w:rsidR="00C16AC7" w:rsidRDefault="00C16AC7" w:rsidP="00326F10">
      <w:pPr>
        <w:spacing w:before="60" w:after="0" w:line="264" w:lineRule="auto"/>
        <w:contextualSpacing/>
        <w:jc w:val="both"/>
        <w:rPr>
          <w:rFonts w:ascii="Aptos" w:hAnsi="Aptos"/>
          <w:kern w:val="2"/>
          <w:sz w:val="21"/>
          <w:szCs w:val="21"/>
          <w14:ligatures w14:val="standardContextual"/>
        </w:rPr>
      </w:pPr>
    </w:p>
    <w:p w:rsidR="00C16AC7" w:rsidRDefault="00C16AC7" w:rsidP="00326F10">
      <w:pPr>
        <w:spacing w:before="60" w:after="0" w:line="264" w:lineRule="auto"/>
        <w:contextualSpacing/>
        <w:jc w:val="both"/>
        <w:rPr>
          <w:rFonts w:ascii="Aptos" w:hAnsi="Aptos"/>
          <w:kern w:val="2"/>
          <w:sz w:val="21"/>
          <w:szCs w:val="21"/>
          <w14:ligatures w14:val="standardContextual"/>
        </w:rPr>
      </w:pPr>
    </w:p>
    <w:p w:rsidR="00DA7FC0" w:rsidRDefault="00DA7FC0" w:rsidP="00326F10">
      <w:pPr>
        <w:spacing w:before="60" w:after="0" w:line="264" w:lineRule="auto"/>
        <w:contextualSpacing/>
        <w:jc w:val="both"/>
        <w:rPr>
          <w:rFonts w:ascii="Aptos" w:hAnsi="Aptos"/>
          <w:i/>
          <w:iCs/>
          <w:kern w:val="2"/>
          <w:sz w:val="20"/>
          <w:szCs w:val="20"/>
          <w14:ligatures w14:val="standardContextual"/>
        </w:rPr>
      </w:pPr>
    </w:p>
    <w:p w:rsidR="00C16AC7" w:rsidRDefault="00210077" w:rsidP="001B3F86">
      <w:pPr>
        <w:pStyle w:val="Caption"/>
        <w:tabs>
          <w:tab w:val="left" w:pos="5676"/>
        </w:tabs>
        <w:jc w:val="both"/>
      </w:pPr>
      <w:r>
        <w:t xml:space="preserve">Grafiku  </w:t>
      </w:r>
      <w:r>
        <w:fldChar w:fldCharType="begin"/>
      </w:r>
      <w:r>
        <w:instrText xml:space="preserve"> SEQ Figure \* ARABIC </w:instrText>
      </w:r>
      <w:r>
        <w:fldChar w:fldCharType="separate"/>
      </w:r>
      <w:r w:rsidR="00092DE1">
        <w:rPr>
          <w:noProof/>
        </w:rPr>
        <w:t>3</w:t>
      </w:r>
      <w:r>
        <w:fldChar w:fldCharType="end"/>
      </w:r>
      <w:r>
        <w:t xml:space="preserve"> Numri i komunave që nuk kanë përmbushur asnjë KM,</w:t>
      </w:r>
    </w:p>
    <w:p w:rsidR="00210077" w:rsidRDefault="001B3F86" w:rsidP="001B3F86">
      <w:pPr>
        <w:pStyle w:val="Caption"/>
        <w:tabs>
          <w:tab w:val="left" w:pos="5676"/>
        </w:tabs>
        <w:jc w:val="both"/>
      </w:pPr>
      <w:r>
        <w:tab/>
      </w:r>
    </w:p>
    <w:p w:rsidR="00CA416D" w:rsidRPr="00240156" w:rsidRDefault="008E1859" w:rsidP="0064780E">
      <w:pPr>
        <w:tabs>
          <w:tab w:val="left" w:pos="5412"/>
        </w:tabs>
        <w:spacing w:after="0"/>
        <w:rPr>
          <w:color w:val="0E2841" w:themeColor="text2"/>
          <w:kern w:val="2"/>
          <w14:ligatures w14:val="standardContextual"/>
        </w:rPr>
      </w:pPr>
      <w:r>
        <w:rPr>
          <w:noProof/>
          <w:lang w:val="en-GB" w:eastAsia="en-GB"/>
          <w14:ligatures w14:val="standardContextual"/>
        </w:rPr>
        <w:drawing>
          <wp:anchor distT="0" distB="0" distL="114300" distR="114300" simplePos="0" relativeHeight="251873280" behindDoc="0" locked="0" layoutInCell="1" allowOverlap="1" wp14:anchorId="3070E4C2" wp14:editId="7604C1BC">
            <wp:simplePos x="0" y="0"/>
            <wp:positionH relativeFrom="column">
              <wp:posOffset>0</wp:posOffset>
            </wp:positionH>
            <wp:positionV relativeFrom="paragraph">
              <wp:posOffset>-502</wp:posOffset>
            </wp:positionV>
            <wp:extent cx="2776855" cy="2552131"/>
            <wp:effectExtent l="0" t="0" r="4445" b="635"/>
            <wp:wrapSquare wrapText="bothSides"/>
            <wp:docPr id="37" name="Chart 37">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6EE635F-4F5E-8C9F-E442-B9BE9161F7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D156AE" w:rsidRPr="00240156">
        <w:rPr>
          <w:color w:val="0F4761" w:themeColor="accent1" w:themeShade="BF"/>
          <w:kern w:val="2"/>
          <w14:ligatures w14:val="standardContextual"/>
        </w:rPr>
        <w:t>A</w:t>
      </w:r>
      <w:r w:rsidR="00D156AE" w:rsidRPr="00240156">
        <w:rPr>
          <w:color w:val="0E2841" w:themeColor="text2"/>
          <w:kern w:val="2"/>
          <w14:ligatures w14:val="standardContextual"/>
        </w:rPr>
        <w:t>shtu siç mund të vërehet nga grafiku</w:t>
      </w:r>
      <w:r w:rsidR="005533FB" w:rsidRPr="00240156">
        <w:rPr>
          <w:color w:val="0E2841" w:themeColor="text2"/>
          <w:kern w:val="2"/>
          <w14:ligatures w14:val="standardContextual"/>
        </w:rPr>
        <w:t xml:space="preserve"> nga 38 komuna</w:t>
      </w:r>
      <w:r w:rsidR="00D156AE" w:rsidRPr="00240156">
        <w:rPr>
          <w:color w:val="0E2841" w:themeColor="text2"/>
          <w:kern w:val="2"/>
          <w14:ligatures w14:val="standardContextual"/>
        </w:rPr>
        <w:t>;</w:t>
      </w:r>
    </w:p>
    <w:p w:rsidR="00D156AE" w:rsidRPr="00240156" w:rsidRDefault="005533FB" w:rsidP="004A29F8">
      <w:pPr>
        <w:pStyle w:val="ListParagraph"/>
        <w:numPr>
          <w:ilvl w:val="0"/>
          <w:numId w:val="2"/>
        </w:numPr>
        <w:tabs>
          <w:tab w:val="left" w:pos="5412"/>
        </w:tabs>
        <w:spacing w:after="0"/>
        <w:jc w:val="both"/>
        <w:rPr>
          <w:color w:val="0E2841" w:themeColor="text2"/>
          <w:kern w:val="2"/>
          <w14:ligatures w14:val="standardContextual"/>
        </w:rPr>
      </w:pPr>
      <w:r w:rsidRPr="00240156">
        <w:rPr>
          <w:color w:val="0E2841" w:themeColor="text2"/>
          <w:kern w:val="2"/>
          <w14:ligatures w14:val="standardContextual"/>
        </w:rPr>
        <w:t xml:space="preserve">4 kushtet minimale i kanë përmbushur </w:t>
      </w:r>
      <w:r w:rsidR="00D0787F">
        <w:rPr>
          <w:color w:val="0E2841" w:themeColor="text2"/>
          <w:kern w:val="2"/>
          <w14:ligatures w14:val="standardContextual"/>
        </w:rPr>
        <w:t>5</w:t>
      </w:r>
      <w:r w:rsidR="00D156AE" w:rsidRPr="00240156">
        <w:rPr>
          <w:color w:val="0E2841" w:themeColor="text2"/>
          <w:kern w:val="2"/>
          <w14:ligatures w14:val="standardContextual"/>
        </w:rPr>
        <w:t xml:space="preserve"> komuna </w:t>
      </w:r>
      <w:r w:rsidR="000801BC" w:rsidRPr="00240156">
        <w:rPr>
          <w:color w:val="0E2841" w:themeColor="text2"/>
          <w:kern w:val="2"/>
          <w14:ligatures w14:val="standardContextual"/>
        </w:rPr>
        <w:t xml:space="preserve"> apo </w:t>
      </w:r>
      <w:r w:rsidR="00D0787F">
        <w:rPr>
          <w:color w:val="0E2841" w:themeColor="text2"/>
          <w:kern w:val="2"/>
          <w14:ligatures w14:val="standardContextual"/>
        </w:rPr>
        <w:t>13.15</w:t>
      </w:r>
      <w:r w:rsidR="000801BC" w:rsidRPr="00240156">
        <w:rPr>
          <w:color w:val="0E2841" w:themeColor="text2"/>
          <w:kern w:val="2"/>
          <w14:ligatures w14:val="standardContextual"/>
        </w:rPr>
        <w:t xml:space="preserve">%, </w:t>
      </w:r>
      <w:r w:rsidRPr="00240156">
        <w:rPr>
          <w:color w:val="0E2841" w:themeColor="text2"/>
          <w:kern w:val="2"/>
          <w14:ligatures w14:val="standardContextual"/>
        </w:rPr>
        <w:t>të cilat edhe janë</w:t>
      </w:r>
      <w:r w:rsidR="00CA416D" w:rsidRPr="00240156">
        <w:rPr>
          <w:color w:val="0E2841" w:themeColor="text2"/>
          <w:kern w:val="2"/>
          <w14:ligatures w14:val="standardContextual"/>
        </w:rPr>
        <w:t xml:space="preserve"> përfituese të GPK për vitin fiskal 202</w:t>
      </w:r>
      <w:r w:rsidR="00D0787F">
        <w:rPr>
          <w:color w:val="0E2841" w:themeColor="text2"/>
          <w:kern w:val="2"/>
          <w14:ligatures w14:val="standardContextual"/>
        </w:rPr>
        <w:t>6</w:t>
      </w:r>
      <w:r w:rsidR="00CA416D" w:rsidRPr="00240156">
        <w:rPr>
          <w:color w:val="0E2841" w:themeColor="text2"/>
          <w:kern w:val="2"/>
          <w14:ligatures w14:val="standardContextual"/>
        </w:rPr>
        <w:t>;</w:t>
      </w:r>
    </w:p>
    <w:p w:rsidR="00C16AC7" w:rsidRPr="00C16AC7" w:rsidRDefault="005533FB" w:rsidP="00C16AC7">
      <w:pPr>
        <w:pStyle w:val="ListParagraph"/>
        <w:numPr>
          <w:ilvl w:val="0"/>
          <w:numId w:val="2"/>
        </w:numPr>
        <w:tabs>
          <w:tab w:val="left" w:pos="5412"/>
        </w:tabs>
        <w:spacing w:after="0"/>
        <w:jc w:val="both"/>
        <w:rPr>
          <w:color w:val="0E2841" w:themeColor="text2"/>
          <w:kern w:val="2"/>
          <w14:ligatures w14:val="standardContextual"/>
        </w:rPr>
      </w:pPr>
      <w:r w:rsidRPr="00240156">
        <w:rPr>
          <w:color w:val="0E2841" w:themeColor="text2"/>
          <w:kern w:val="2"/>
          <w14:ligatures w14:val="standardContextual"/>
        </w:rPr>
        <w:t xml:space="preserve">3 kushte minimale i kanë përmbushur </w:t>
      </w:r>
      <w:r w:rsidR="00D0787F">
        <w:rPr>
          <w:color w:val="0E2841" w:themeColor="text2"/>
          <w:kern w:val="2"/>
          <w14:ligatures w14:val="standardContextual"/>
        </w:rPr>
        <w:t>21</w:t>
      </w:r>
      <w:r w:rsidR="00CA416D" w:rsidRPr="00240156">
        <w:rPr>
          <w:color w:val="0E2841" w:themeColor="text2"/>
          <w:kern w:val="2"/>
          <w14:ligatures w14:val="standardContextual"/>
        </w:rPr>
        <w:t xml:space="preserve"> komuna</w:t>
      </w:r>
      <w:r w:rsidR="000801BC" w:rsidRPr="00240156">
        <w:rPr>
          <w:color w:val="0E2841" w:themeColor="text2"/>
          <w:kern w:val="2"/>
          <w14:ligatures w14:val="standardContextual"/>
        </w:rPr>
        <w:t xml:space="preserve"> apo </w:t>
      </w:r>
      <w:r w:rsidR="00550E54">
        <w:rPr>
          <w:color w:val="0E2841" w:themeColor="text2"/>
          <w:kern w:val="2"/>
          <w14:ligatures w14:val="standardContextual"/>
        </w:rPr>
        <w:t>55.3</w:t>
      </w:r>
      <w:r w:rsidR="000801BC" w:rsidRPr="00240156">
        <w:rPr>
          <w:color w:val="0E2841" w:themeColor="text2"/>
          <w:kern w:val="2"/>
          <w14:ligatures w14:val="standardContextual"/>
        </w:rPr>
        <w:t>%</w:t>
      </w:r>
      <w:r w:rsidR="00C16AC7">
        <w:rPr>
          <w:color w:val="0E2841" w:themeColor="text2"/>
          <w:kern w:val="2"/>
          <w14:ligatures w14:val="standardContextual"/>
        </w:rPr>
        <w:t>.</w:t>
      </w:r>
    </w:p>
    <w:p w:rsidR="0064780E" w:rsidRPr="00240156" w:rsidRDefault="005533FB" w:rsidP="004A29F8">
      <w:pPr>
        <w:pStyle w:val="ListParagraph"/>
        <w:numPr>
          <w:ilvl w:val="0"/>
          <w:numId w:val="2"/>
        </w:numPr>
        <w:tabs>
          <w:tab w:val="left" w:pos="5412"/>
        </w:tabs>
        <w:spacing w:after="0"/>
        <w:jc w:val="both"/>
        <w:rPr>
          <w:color w:val="0E2841" w:themeColor="text2"/>
          <w:kern w:val="2"/>
          <w14:ligatures w14:val="standardContextual"/>
        </w:rPr>
      </w:pPr>
      <w:r w:rsidRPr="00240156">
        <w:rPr>
          <w:color w:val="0E2841" w:themeColor="text2"/>
          <w:kern w:val="2"/>
          <w14:ligatures w14:val="standardContextual"/>
        </w:rPr>
        <w:t xml:space="preserve">2 kushte minimale i kanë përmbushur </w:t>
      </w:r>
      <w:r w:rsidR="00D0787F">
        <w:rPr>
          <w:color w:val="0E2841" w:themeColor="text2"/>
          <w:kern w:val="2"/>
          <w14:ligatures w14:val="standardContextual"/>
        </w:rPr>
        <w:t>7</w:t>
      </w:r>
      <w:r w:rsidR="00000AFE" w:rsidRPr="00240156">
        <w:rPr>
          <w:color w:val="0E2841" w:themeColor="text2"/>
          <w:kern w:val="2"/>
          <w14:ligatures w14:val="standardContextual"/>
        </w:rPr>
        <w:t xml:space="preserve"> komuna</w:t>
      </w:r>
      <w:r w:rsidR="000801BC" w:rsidRPr="00240156">
        <w:rPr>
          <w:color w:val="0E2841" w:themeColor="text2"/>
          <w:kern w:val="2"/>
          <w14:ligatures w14:val="standardContextual"/>
        </w:rPr>
        <w:t xml:space="preserve"> apo </w:t>
      </w:r>
      <w:r w:rsidR="00550E54">
        <w:rPr>
          <w:color w:val="0E2841" w:themeColor="text2"/>
          <w:kern w:val="2"/>
          <w14:ligatures w14:val="standardContextual"/>
        </w:rPr>
        <w:t>18.4</w:t>
      </w:r>
      <w:r w:rsidR="004E6B36" w:rsidRPr="00240156">
        <w:rPr>
          <w:color w:val="0E2841" w:themeColor="text2"/>
          <w:kern w:val="2"/>
          <w14:ligatures w14:val="standardContextual"/>
        </w:rPr>
        <w:t xml:space="preserve">%. </w:t>
      </w:r>
      <w:r w:rsidRPr="00240156">
        <w:rPr>
          <w:color w:val="0E2841" w:themeColor="text2"/>
          <w:kern w:val="2"/>
          <w14:ligatures w14:val="standardContextual"/>
        </w:rPr>
        <w:t xml:space="preserve"> </w:t>
      </w:r>
    </w:p>
    <w:p w:rsidR="005533FB" w:rsidRPr="00240156" w:rsidRDefault="00E03A12" w:rsidP="004A29F8">
      <w:pPr>
        <w:pStyle w:val="ListParagraph"/>
        <w:numPr>
          <w:ilvl w:val="0"/>
          <w:numId w:val="2"/>
        </w:numPr>
        <w:tabs>
          <w:tab w:val="left" w:pos="5412"/>
        </w:tabs>
        <w:jc w:val="both"/>
        <w:rPr>
          <w:color w:val="0E2841" w:themeColor="text2"/>
          <w:kern w:val="2"/>
          <w14:ligatures w14:val="standardContextual"/>
        </w:rPr>
      </w:pPr>
      <w:r w:rsidRPr="00240156">
        <w:rPr>
          <w:color w:val="0E2841" w:themeColor="text2"/>
          <w:kern w:val="2"/>
          <w14:ligatures w14:val="standardContextual"/>
        </w:rPr>
        <w:t>1 kusht minimal e kanë përmbushur 4 komuna</w:t>
      </w:r>
      <w:r w:rsidR="000801BC" w:rsidRPr="00240156">
        <w:rPr>
          <w:color w:val="0E2841" w:themeColor="text2"/>
          <w:kern w:val="2"/>
          <w14:ligatures w14:val="standardContextual"/>
        </w:rPr>
        <w:t xml:space="preserve"> apo 10.5%</w:t>
      </w:r>
      <w:r w:rsidRPr="00240156">
        <w:rPr>
          <w:color w:val="0E2841" w:themeColor="text2"/>
          <w:kern w:val="2"/>
          <w14:ligatures w14:val="standardContextual"/>
        </w:rPr>
        <w:t xml:space="preserve">. </w:t>
      </w:r>
    </w:p>
    <w:p w:rsidR="005C4A4C" w:rsidRDefault="005C4A4C" w:rsidP="004A29F8">
      <w:pPr>
        <w:pStyle w:val="ListParagraph"/>
        <w:numPr>
          <w:ilvl w:val="0"/>
          <w:numId w:val="2"/>
        </w:numPr>
        <w:tabs>
          <w:tab w:val="left" w:pos="5412"/>
        </w:tabs>
        <w:rPr>
          <w:color w:val="0E2841" w:themeColor="text2"/>
          <w:kern w:val="2"/>
          <w14:ligatures w14:val="standardContextual"/>
        </w:rPr>
      </w:pPr>
      <w:r w:rsidRPr="00240156">
        <w:rPr>
          <w:color w:val="0E2841" w:themeColor="text2"/>
          <w:kern w:val="2"/>
          <w14:ligatures w14:val="standardContextual"/>
        </w:rPr>
        <w:t>Asnjë kusht minimal nuk e ka arritur një komunë</w:t>
      </w:r>
      <w:r w:rsidR="000801BC" w:rsidRPr="00240156">
        <w:rPr>
          <w:color w:val="0E2841" w:themeColor="text2"/>
          <w:kern w:val="2"/>
          <w14:ligatures w14:val="standardContextual"/>
        </w:rPr>
        <w:t xml:space="preserve"> apo 2.6%</w:t>
      </w:r>
      <w:r w:rsidR="004E6B36" w:rsidRPr="00240156">
        <w:rPr>
          <w:color w:val="0E2841" w:themeColor="text2"/>
          <w:kern w:val="2"/>
          <w14:ligatures w14:val="standardContextual"/>
        </w:rPr>
        <w:t xml:space="preserve">. </w:t>
      </w:r>
    </w:p>
    <w:p w:rsidR="00B559BF" w:rsidRDefault="00B559BF" w:rsidP="00C76279">
      <w:pPr>
        <w:pStyle w:val="ListParagraph"/>
        <w:tabs>
          <w:tab w:val="left" w:pos="5412"/>
        </w:tabs>
        <w:rPr>
          <w:color w:val="0E2841" w:themeColor="text2"/>
          <w:kern w:val="2"/>
          <w14:ligatures w14:val="standardContextual"/>
        </w:rPr>
      </w:pPr>
    </w:p>
    <w:p w:rsidR="00C76279" w:rsidRDefault="00C76279" w:rsidP="00C76279">
      <w:pPr>
        <w:pStyle w:val="ListParagraph"/>
        <w:tabs>
          <w:tab w:val="left" w:pos="5412"/>
        </w:tabs>
        <w:rPr>
          <w:color w:val="0E2841" w:themeColor="text2"/>
          <w:kern w:val="2"/>
          <w14:ligatures w14:val="standardContextual"/>
        </w:rPr>
      </w:pPr>
    </w:p>
    <w:p w:rsidR="00C76279" w:rsidRDefault="00C76279" w:rsidP="00C76279">
      <w:pPr>
        <w:pStyle w:val="ListParagraph"/>
        <w:tabs>
          <w:tab w:val="left" w:pos="5412"/>
        </w:tabs>
        <w:rPr>
          <w:color w:val="0E2841" w:themeColor="text2"/>
          <w:kern w:val="2"/>
          <w14:ligatures w14:val="standardContextual"/>
        </w:rPr>
      </w:pPr>
    </w:p>
    <w:p w:rsidR="00C76279" w:rsidRDefault="00C76279" w:rsidP="00C76279">
      <w:pPr>
        <w:pStyle w:val="ListParagraph"/>
        <w:tabs>
          <w:tab w:val="left" w:pos="5412"/>
        </w:tabs>
        <w:rPr>
          <w:color w:val="0E2841" w:themeColor="text2"/>
          <w:kern w:val="2"/>
          <w14:ligatures w14:val="standardContextual"/>
        </w:rPr>
      </w:pPr>
    </w:p>
    <w:p w:rsidR="00C76279" w:rsidRPr="00240156" w:rsidRDefault="00C76279" w:rsidP="00C76279">
      <w:pPr>
        <w:pStyle w:val="ListParagraph"/>
        <w:tabs>
          <w:tab w:val="left" w:pos="5412"/>
        </w:tabs>
        <w:rPr>
          <w:color w:val="0E2841" w:themeColor="text2"/>
          <w:kern w:val="2"/>
          <w14:ligatures w14:val="standardContextual"/>
        </w:rPr>
      </w:pPr>
    </w:p>
    <w:p w:rsidR="000801BC" w:rsidRPr="009A0925" w:rsidRDefault="009A0925" w:rsidP="009A0925">
      <w:pPr>
        <w:pStyle w:val="Caption"/>
        <w:keepNext/>
      </w:pPr>
      <w:r>
        <w:t xml:space="preserve">Tabela </w:t>
      </w:r>
      <w:r>
        <w:fldChar w:fldCharType="begin"/>
      </w:r>
      <w:r>
        <w:instrText xml:space="preserve"> SEQ Table \* ARABIC </w:instrText>
      </w:r>
      <w:r>
        <w:fldChar w:fldCharType="separate"/>
      </w:r>
      <w:r>
        <w:rPr>
          <w:noProof/>
        </w:rPr>
        <w:t>3</w:t>
      </w:r>
      <w:r>
        <w:fldChar w:fldCharType="end"/>
      </w:r>
      <w:r>
        <w:t xml:space="preserve"> </w:t>
      </w:r>
      <w:r w:rsidRPr="006A1DEB">
        <w:t>Komunat që kanë përmbushur 4, 3, 2, 1 apo asnjë kusht minimal</w:t>
      </w:r>
    </w:p>
    <w:tbl>
      <w:tblPr>
        <w:tblStyle w:val="TableGrid"/>
        <w:tblW w:w="9707" w:type="dxa"/>
        <w:tblLook w:val="04A0" w:firstRow="1" w:lastRow="0" w:firstColumn="1" w:lastColumn="0" w:noHBand="0" w:noVBand="1"/>
      </w:tblPr>
      <w:tblGrid>
        <w:gridCol w:w="1426"/>
        <w:gridCol w:w="1912"/>
        <w:gridCol w:w="2147"/>
        <w:gridCol w:w="1821"/>
        <w:gridCol w:w="1128"/>
        <w:gridCol w:w="1273"/>
      </w:tblGrid>
      <w:tr w:rsidR="0064780E" w:rsidRPr="0064780E" w:rsidTr="00A44EB1">
        <w:trPr>
          <w:trHeight w:val="516"/>
        </w:trPr>
        <w:tc>
          <w:tcPr>
            <w:tcW w:w="1435" w:type="dxa"/>
          </w:tcPr>
          <w:p w:rsidR="005C4A4C" w:rsidRPr="00835178" w:rsidRDefault="005C4A4C" w:rsidP="005C4A4C">
            <w:pPr>
              <w:tabs>
                <w:tab w:val="left" w:pos="5412"/>
              </w:tabs>
              <w:jc w:val="center"/>
              <w:rPr>
                <w:rFonts w:ascii="Aptos" w:hAnsi="Aptos"/>
                <w:b/>
                <w:bCs/>
                <w:color w:val="0F4761" w:themeColor="accent1" w:themeShade="BF"/>
                <w:kern w:val="2"/>
                <w:sz w:val="20"/>
                <w:szCs w:val="20"/>
                <w14:ligatures w14:val="standardContextual"/>
              </w:rPr>
            </w:pPr>
            <w:r w:rsidRPr="00835178">
              <w:rPr>
                <w:rFonts w:ascii="Aptos" w:hAnsi="Aptos"/>
                <w:b/>
                <w:bCs/>
                <w:color w:val="0F4761" w:themeColor="accent1" w:themeShade="BF"/>
                <w:kern w:val="2"/>
                <w:sz w:val="20"/>
                <w:szCs w:val="20"/>
                <w14:ligatures w14:val="standardContextual"/>
              </w:rPr>
              <w:t>Kushtet minimale</w:t>
            </w:r>
          </w:p>
        </w:tc>
        <w:tc>
          <w:tcPr>
            <w:tcW w:w="1933" w:type="dxa"/>
          </w:tcPr>
          <w:p w:rsidR="005C4A4C" w:rsidRPr="00835178" w:rsidRDefault="005C4A4C" w:rsidP="005C4A4C">
            <w:pPr>
              <w:tabs>
                <w:tab w:val="left" w:pos="5412"/>
              </w:tabs>
              <w:jc w:val="center"/>
              <w:rPr>
                <w:rFonts w:ascii="Aptos" w:hAnsi="Aptos"/>
                <w:b/>
                <w:bCs/>
                <w:color w:val="0F4761" w:themeColor="accent1" w:themeShade="BF"/>
                <w:kern w:val="2"/>
                <w:sz w:val="20"/>
                <w:szCs w:val="20"/>
                <w14:ligatures w14:val="standardContextual"/>
              </w:rPr>
            </w:pPr>
            <w:r w:rsidRPr="00835178">
              <w:rPr>
                <w:rFonts w:ascii="Aptos" w:hAnsi="Aptos"/>
                <w:b/>
                <w:bCs/>
                <w:color w:val="0F4761" w:themeColor="accent1" w:themeShade="BF"/>
                <w:kern w:val="2"/>
                <w:sz w:val="20"/>
                <w:szCs w:val="20"/>
                <w14:ligatures w14:val="standardContextual"/>
              </w:rPr>
              <w:t>4 KM</w:t>
            </w:r>
          </w:p>
        </w:tc>
        <w:tc>
          <w:tcPr>
            <w:tcW w:w="2170" w:type="dxa"/>
          </w:tcPr>
          <w:p w:rsidR="005C4A4C" w:rsidRPr="00835178" w:rsidRDefault="005C4A4C" w:rsidP="005C4A4C">
            <w:pPr>
              <w:tabs>
                <w:tab w:val="left" w:pos="5412"/>
              </w:tabs>
              <w:rPr>
                <w:rFonts w:ascii="Aptos" w:hAnsi="Aptos"/>
                <w:b/>
                <w:bCs/>
                <w:color w:val="0F4761" w:themeColor="accent1" w:themeShade="BF"/>
                <w:kern w:val="2"/>
                <w:sz w:val="20"/>
                <w:szCs w:val="20"/>
                <w14:ligatures w14:val="standardContextual"/>
              </w:rPr>
            </w:pPr>
            <w:r w:rsidRPr="00835178">
              <w:rPr>
                <w:rFonts w:ascii="Aptos" w:hAnsi="Aptos"/>
                <w:b/>
                <w:bCs/>
                <w:color w:val="0F4761" w:themeColor="accent1" w:themeShade="BF"/>
                <w:kern w:val="2"/>
                <w:sz w:val="20"/>
                <w:szCs w:val="20"/>
                <w14:ligatures w14:val="standardContextual"/>
              </w:rPr>
              <w:t>3 KM</w:t>
            </w:r>
          </w:p>
        </w:tc>
        <w:tc>
          <w:tcPr>
            <w:tcW w:w="1837" w:type="dxa"/>
          </w:tcPr>
          <w:p w:rsidR="005C4A4C" w:rsidRPr="00835178" w:rsidRDefault="005C4A4C" w:rsidP="005C4A4C">
            <w:pPr>
              <w:tabs>
                <w:tab w:val="left" w:pos="5412"/>
              </w:tabs>
              <w:rPr>
                <w:rFonts w:ascii="Aptos" w:hAnsi="Aptos"/>
                <w:b/>
                <w:bCs/>
                <w:color w:val="0F4761" w:themeColor="accent1" w:themeShade="BF"/>
                <w:kern w:val="2"/>
                <w:sz w:val="20"/>
                <w:szCs w:val="20"/>
                <w14:ligatures w14:val="standardContextual"/>
              </w:rPr>
            </w:pPr>
            <w:r w:rsidRPr="00835178">
              <w:rPr>
                <w:rFonts w:ascii="Aptos" w:hAnsi="Aptos"/>
                <w:b/>
                <w:bCs/>
                <w:color w:val="0F4761" w:themeColor="accent1" w:themeShade="BF"/>
                <w:kern w:val="2"/>
                <w:sz w:val="20"/>
                <w:szCs w:val="20"/>
                <w14:ligatures w14:val="standardContextual"/>
              </w:rPr>
              <w:t>2 KM</w:t>
            </w:r>
          </w:p>
        </w:tc>
        <w:tc>
          <w:tcPr>
            <w:tcW w:w="1052" w:type="dxa"/>
          </w:tcPr>
          <w:p w:rsidR="005C4A4C" w:rsidRPr="00835178" w:rsidRDefault="005C4A4C" w:rsidP="005C4A4C">
            <w:pPr>
              <w:tabs>
                <w:tab w:val="left" w:pos="5412"/>
              </w:tabs>
              <w:rPr>
                <w:rFonts w:ascii="Aptos" w:hAnsi="Aptos"/>
                <w:b/>
                <w:bCs/>
                <w:color w:val="0F4761" w:themeColor="accent1" w:themeShade="BF"/>
                <w:kern w:val="2"/>
                <w:sz w:val="20"/>
                <w:szCs w:val="20"/>
                <w14:ligatures w14:val="standardContextual"/>
              </w:rPr>
            </w:pPr>
            <w:r w:rsidRPr="00835178">
              <w:rPr>
                <w:rFonts w:ascii="Aptos" w:hAnsi="Aptos"/>
                <w:b/>
                <w:bCs/>
                <w:color w:val="0F4761" w:themeColor="accent1" w:themeShade="BF"/>
                <w:kern w:val="2"/>
                <w:sz w:val="20"/>
                <w:szCs w:val="20"/>
                <w14:ligatures w14:val="standardContextual"/>
              </w:rPr>
              <w:t>1 KM</w:t>
            </w:r>
          </w:p>
        </w:tc>
        <w:tc>
          <w:tcPr>
            <w:tcW w:w="1280" w:type="dxa"/>
          </w:tcPr>
          <w:p w:rsidR="005C4A4C" w:rsidRPr="00835178" w:rsidRDefault="00B11F1B" w:rsidP="005C4A4C">
            <w:pPr>
              <w:tabs>
                <w:tab w:val="left" w:pos="5412"/>
              </w:tabs>
              <w:jc w:val="center"/>
              <w:rPr>
                <w:rFonts w:ascii="Aptos" w:hAnsi="Aptos"/>
                <w:b/>
                <w:bCs/>
                <w:color w:val="0F4761" w:themeColor="accent1" w:themeShade="BF"/>
                <w:kern w:val="2"/>
                <w:sz w:val="20"/>
                <w:szCs w:val="20"/>
                <w14:ligatures w14:val="standardContextual"/>
              </w:rPr>
            </w:pPr>
            <w:r w:rsidRPr="00835178">
              <w:rPr>
                <w:rFonts w:ascii="Aptos" w:hAnsi="Aptos"/>
                <w:b/>
                <w:bCs/>
                <w:color w:val="0F4761" w:themeColor="accent1" w:themeShade="BF"/>
                <w:kern w:val="2"/>
                <w:sz w:val="20"/>
                <w:szCs w:val="20"/>
                <w14:ligatures w14:val="standardContextual"/>
              </w:rPr>
              <w:t xml:space="preserve">Asnjë </w:t>
            </w:r>
            <w:r w:rsidR="005C4A4C" w:rsidRPr="00835178">
              <w:rPr>
                <w:rFonts w:ascii="Aptos" w:hAnsi="Aptos"/>
                <w:b/>
                <w:bCs/>
                <w:color w:val="0F4761" w:themeColor="accent1" w:themeShade="BF"/>
                <w:kern w:val="2"/>
                <w:sz w:val="20"/>
                <w:szCs w:val="20"/>
                <w14:ligatures w14:val="standardContextual"/>
              </w:rPr>
              <w:t>KM</w:t>
            </w:r>
          </w:p>
        </w:tc>
      </w:tr>
      <w:tr w:rsidR="0064780E" w:rsidRPr="0064780E" w:rsidTr="00A44EB1">
        <w:trPr>
          <w:trHeight w:val="1799"/>
        </w:trPr>
        <w:tc>
          <w:tcPr>
            <w:tcW w:w="1435" w:type="dxa"/>
          </w:tcPr>
          <w:p w:rsidR="005C4A4C" w:rsidRPr="00835178" w:rsidRDefault="005C4A4C" w:rsidP="005C4A4C">
            <w:pPr>
              <w:tabs>
                <w:tab w:val="left" w:pos="5412"/>
              </w:tabs>
              <w:rPr>
                <w:rFonts w:ascii="Aptos" w:hAnsi="Aptos"/>
                <w:b/>
                <w:bCs/>
                <w:color w:val="0F4761" w:themeColor="accent1" w:themeShade="BF"/>
                <w:kern w:val="2"/>
                <w:sz w:val="20"/>
                <w:szCs w:val="20"/>
                <w14:ligatures w14:val="standardContextual"/>
              </w:rPr>
            </w:pPr>
            <w:r w:rsidRPr="00835178">
              <w:rPr>
                <w:rFonts w:ascii="Aptos" w:hAnsi="Aptos"/>
                <w:color w:val="0F4761" w:themeColor="accent1" w:themeShade="BF"/>
                <w:kern w:val="2"/>
                <w:sz w:val="20"/>
                <w:szCs w:val="20"/>
                <w14:ligatures w14:val="standardContextual"/>
              </w:rPr>
              <w:t xml:space="preserve"> </w:t>
            </w:r>
            <w:r w:rsidRPr="00835178">
              <w:rPr>
                <w:rFonts w:ascii="Aptos" w:hAnsi="Aptos"/>
                <w:b/>
                <w:bCs/>
                <w:color w:val="0F4761" w:themeColor="accent1" w:themeShade="BF"/>
                <w:kern w:val="2"/>
                <w:sz w:val="20"/>
                <w:szCs w:val="20"/>
                <w14:ligatures w14:val="standardContextual"/>
              </w:rPr>
              <w:t>Komunat</w:t>
            </w:r>
          </w:p>
        </w:tc>
        <w:tc>
          <w:tcPr>
            <w:tcW w:w="1933" w:type="dxa"/>
          </w:tcPr>
          <w:p w:rsidR="005C4A4C" w:rsidRPr="00835178" w:rsidRDefault="00D0787F" w:rsidP="005C4A4C">
            <w:pPr>
              <w:tabs>
                <w:tab w:val="left" w:pos="5412"/>
              </w:tabs>
              <w:rPr>
                <w:rFonts w:ascii="Aptos" w:hAnsi="Aptos"/>
                <w:color w:val="0F4761" w:themeColor="accent1" w:themeShade="BF"/>
                <w:kern w:val="2"/>
                <w:sz w:val="20"/>
                <w:szCs w:val="20"/>
                <w14:ligatures w14:val="standardContextual"/>
              </w:rPr>
            </w:pPr>
            <w:r>
              <w:rPr>
                <w:rFonts w:ascii="Aptos" w:hAnsi="Aptos"/>
                <w:color w:val="0F4761" w:themeColor="accent1" w:themeShade="BF"/>
                <w:kern w:val="2"/>
                <w:sz w:val="20"/>
                <w:szCs w:val="20"/>
                <w14:ligatures w14:val="standardContextual"/>
              </w:rPr>
              <w:t>Dragash, Klinë, Rahoveci, Mamushë dhe Partesh.</w:t>
            </w:r>
          </w:p>
        </w:tc>
        <w:tc>
          <w:tcPr>
            <w:tcW w:w="2170" w:type="dxa"/>
          </w:tcPr>
          <w:p w:rsidR="005C4A4C" w:rsidRPr="00835178" w:rsidRDefault="00D0787F" w:rsidP="00642403">
            <w:pPr>
              <w:tabs>
                <w:tab w:val="left" w:pos="5412"/>
              </w:tabs>
              <w:rPr>
                <w:rFonts w:ascii="Aptos" w:hAnsi="Aptos"/>
                <w:color w:val="0F4761" w:themeColor="accent1" w:themeShade="BF"/>
                <w:kern w:val="2"/>
                <w:sz w:val="20"/>
                <w:szCs w:val="20"/>
                <w14:ligatures w14:val="standardContextual"/>
              </w:rPr>
            </w:pPr>
            <w:r w:rsidRPr="00D0787F">
              <w:rPr>
                <w:rFonts w:ascii="Aptos" w:hAnsi="Aptos"/>
                <w:color w:val="0F4761" w:themeColor="accent1" w:themeShade="BF"/>
                <w:kern w:val="2"/>
                <w:sz w:val="20"/>
                <w:szCs w:val="20"/>
                <w14:ligatures w14:val="standardContextual"/>
              </w:rPr>
              <w:t>Deçan</w:t>
            </w:r>
            <w:r>
              <w:rPr>
                <w:rFonts w:ascii="Aptos" w:hAnsi="Aptos"/>
                <w:color w:val="0F4761" w:themeColor="accent1" w:themeShade="BF"/>
                <w:kern w:val="2"/>
                <w:sz w:val="20"/>
                <w:szCs w:val="20"/>
                <w14:ligatures w14:val="standardContextual"/>
              </w:rPr>
              <w:t xml:space="preserve">, </w:t>
            </w:r>
            <w:r w:rsidRPr="00D0787F">
              <w:rPr>
                <w:rFonts w:ascii="Aptos" w:hAnsi="Aptos"/>
                <w:color w:val="0F4761" w:themeColor="accent1" w:themeShade="BF"/>
                <w:kern w:val="2"/>
                <w:sz w:val="20"/>
                <w:szCs w:val="20"/>
                <w14:ligatures w14:val="standardContextual"/>
              </w:rPr>
              <w:t>Gjakovë</w:t>
            </w:r>
            <w:r>
              <w:rPr>
                <w:rFonts w:ascii="Aptos" w:hAnsi="Aptos"/>
                <w:color w:val="0F4761" w:themeColor="accent1" w:themeShade="BF"/>
                <w:kern w:val="2"/>
                <w:sz w:val="20"/>
                <w:szCs w:val="20"/>
                <w14:ligatures w14:val="standardContextual"/>
              </w:rPr>
              <w:t xml:space="preserve">, </w:t>
            </w:r>
            <w:r w:rsidRPr="00D0787F">
              <w:rPr>
                <w:rFonts w:ascii="Aptos" w:hAnsi="Aptos"/>
                <w:color w:val="0F4761" w:themeColor="accent1" w:themeShade="BF"/>
                <w:kern w:val="2"/>
                <w:sz w:val="20"/>
                <w:szCs w:val="20"/>
                <w14:ligatures w14:val="standardContextual"/>
              </w:rPr>
              <w:t>Gllogoc</w:t>
            </w:r>
            <w:r>
              <w:rPr>
                <w:rFonts w:ascii="Aptos" w:hAnsi="Aptos"/>
                <w:color w:val="0F4761" w:themeColor="accent1" w:themeShade="BF"/>
                <w:kern w:val="2"/>
                <w:sz w:val="20"/>
                <w:szCs w:val="20"/>
                <w14:ligatures w14:val="standardContextual"/>
              </w:rPr>
              <w:t xml:space="preserve">, </w:t>
            </w:r>
            <w:r w:rsidRPr="00D0787F">
              <w:rPr>
                <w:rFonts w:ascii="Aptos" w:hAnsi="Aptos"/>
                <w:color w:val="0F4761" w:themeColor="accent1" w:themeShade="BF"/>
                <w:kern w:val="2"/>
                <w:sz w:val="20"/>
                <w:szCs w:val="20"/>
                <w14:ligatures w14:val="standardContextual"/>
              </w:rPr>
              <w:t>Gjilan</w:t>
            </w:r>
            <w:r>
              <w:rPr>
                <w:rFonts w:ascii="Aptos" w:hAnsi="Aptos"/>
                <w:color w:val="0F4761" w:themeColor="accent1" w:themeShade="BF"/>
                <w:kern w:val="2"/>
                <w:sz w:val="20"/>
                <w:szCs w:val="20"/>
                <w14:ligatures w14:val="standardContextual"/>
              </w:rPr>
              <w:t xml:space="preserve">, </w:t>
            </w:r>
            <w:r w:rsidR="00C249D9" w:rsidRPr="00C249D9">
              <w:rPr>
                <w:rFonts w:ascii="Aptos" w:hAnsi="Aptos"/>
                <w:color w:val="0F4761" w:themeColor="accent1" w:themeShade="BF"/>
                <w:kern w:val="2"/>
                <w:sz w:val="20"/>
                <w:szCs w:val="20"/>
                <w14:ligatures w14:val="standardContextual"/>
              </w:rPr>
              <w:t>Istog</w:t>
            </w:r>
            <w:r w:rsidR="00C249D9">
              <w:rPr>
                <w:rFonts w:ascii="Aptos" w:hAnsi="Aptos"/>
                <w:color w:val="0F4761" w:themeColor="accent1" w:themeShade="BF"/>
                <w:kern w:val="2"/>
                <w:sz w:val="20"/>
                <w:szCs w:val="20"/>
                <w14:ligatures w14:val="standardContextual"/>
              </w:rPr>
              <w:t xml:space="preserve">, </w:t>
            </w:r>
            <w:r w:rsidR="00C249D9" w:rsidRPr="00C249D9">
              <w:rPr>
                <w:rFonts w:ascii="Aptos" w:hAnsi="Aptos"/>
                <w:color w:val="0F4761" w:themeColor="accent1" w:themeShade="BF"/>
                <w:kern w:val="2"/>
                <w:sz w:val="20"/>
                <w:szCs w:val="20"/>
                <w14:ligatures w14:val="standardContextual"/>
              </w:rPr>
              <w:t>Kamenicë</w:t>
            </w:r>
            <w:r w:rsidR="00C249D9">
              <w:rPr>
                <w:rFonts w:ascii="Aptos" w:hAnsi="Aptos"/>
                <w:color w:val="0F4761" w:themeColor="accent1" w:themeShade="BF"/>
                <w:kern w:val="2"/>
                <w:sz w:val="20"/>
                <w:szCs w:val="20"/>
                <w14:ligatures w14:val="standardContextual"/>
              </w:rPr>
              <w:t xml:space="preserve">, </w:t>
            </w:r>
            <w:r w:rsidR="00C249D9" w:rsidRPr="00C249D9">
              <w:rPr>
                <w:rFonts w:ascii="Aptos" w:hAnsi="Aptos"/>
                <w:color w:val="0F4761" w:themeColor="accent1" w:themeShade="BF"/>
                <w:kern w:val="2"/>
                <w:sz w:val="20"/>
                <w:szCs w:val="20"/>
                <w14:ligatures w14:val="standardContextual"/>
              </w:rPr>
              <w:t>Mitrovicë e Jugut</w:t>
            </w:r>
            <w:r w:rsidR="00C249D9">
              <w:rPr>
                <w:rFonts w:ascii="Aptos" w:hAnsi="Aptos"/>
                <w:color w:val="0F4761" w:themeColor="accent1" w:themeShade="BF"/>
                <w:kern w:val="2"/>
                <w:sz w:val="20"/>
                <w:szCs w:val="20"/>
                <w14:ligatures w14:val="standardContextual"/>
              </w:rPr>
              <w:t xml:space="preserve">, </w:t>
            </w:r>
            <w:r w:rsidR="00C249D9" w:rsidRPr="00C249D9">
              <w:rPr>
                <w:rFonts w:ascii="Aptos" w:hAnsi="Aptos"/>
                <w:color w:val="0F4761" w:themeColor="accent1" w:themeShade="BF"/>
                <w:kern w:val="2"/>
                <w:sz w:val="20"/>
                <w:szCs w:val="20"/>
                <w14:ligatures w14:val="standardContextual"/>
              </w:rPr>
              <w:t>Lipjan</w:t>
            </w:r>
            <w:r w:rsidR="00C249D9">
              <w:rPr>
                <w:rFonts w:ascii="Aptos" w:hAnsi="Aptos"/>
                <w:color w:val="0F4761" w:themeColor="accent1" w:themeShade="BF"/>
                <w:kern w:val="2"/>
                <w:sz w:val="20"/>
                <w:szCs w:val="20"/>
                <w14:ligatures w14:val="standardContextual"/>
              </w:rPr>
              <w:t xml:space="preserve">, </w:t>
            </w:r>
            <w:r w:rsidR="00C249D9" w:rsidRPr="00C249D9">
              <w:rPr>
                <w:rFonts w:ascii="Aptos" w:hAnsi="Aptos"/>
                <w:color w:val="0F4761" w:themeColor="accent1" w:themeShade="BF"/>
                <w:kern w:val="2"/>
                <w:sz w:val="20"/>
                <w:szCs w:val="20"/>
                <w14:ligatures w14:val="standardContextual"/>
              </w:rPr>
              <w:t>Novobërdë</w:t>
            </w:r>
            <w:r w:rsidR="00C249D9">
              <w:rPr>
                <w:rFonts w:ascii="Aptos" w:hAnsi="Aptos"/>
                <w:color w:val="0F4761" w:themeColor="accent1" w:themeShade="BF"/>
                <w:kern w:val="2"/>
                <w:sz w:val="20"/>
                <w:szCs w:val="20"/>
                <w14:ligatures w14:val="standardContextual"/>
              </w:rPr>
              <w:t xml:space="preserve">, </w:t>
            </w:r>
            <w:r w:rsidR="00C249D9" w:rsidRPr="00C249D9">
              <w:rPr>
                <w:rFonts w:ascii="Aptos" w:hAnsi="Aptos"/>
                <w:color w:val="0F4761" w:themeColor="accent1" w:themeShade="BF"/>
                <w:kern w:val="2"/>
                <w:sz w:val="20"/>
                <w:szCs w:val="20"/>
                <w14:ligatures w14:val="standardContextual"/>
              </w:rPr>
              <w:t>Obiliq</w:t>
            </w:r>
            <w:r w:rsidR="00C249D9">
              <w:rPr>
                <w:rFonts w:ascii="Aptos" w:hAnsi="Aptos"/>
                <w:color w:val="0F4761" w:themeColor="accent1" w:themeShade="BF"/>
                <w:kern w:val="2"/>
                <w:sz w:val="20"/>
                <w:szCs w:val="20"/>
                <w14:ligatures w14:val="standardContextual"/>
              </w:rPr>
              <w:t xml:space="preserve">, </w:t>
            </w:r>
            <w:r w:rsidR="00C249D9" w:rsidRPr="00C249D9">
              <w:rPr>
                <w:rFonts w:ascii="Aptos" w:hAnsi="Aptos"/>
                <w:color w:val="0F4761" w:themeColor="accent1" w:themeShade="BF"/>
                <w:kern w:val="2"/>
                <w:sz w:val="20"/>
                <w:szCs w:val="20"/>
                <w14:ligatures w14:val="standardContextual"/>
              </w:rPr>
              <w:t>Pejë</w:t>
            </w:r>
            <w:r w:rsidR="00C249D9">
              <w:rPr>
                <w:rFonts w:ascii="Aptos" w:hAnsi="Aptos"/>
                <w:color w:val="0F4761" w:themeColor="accent1" w:themeShade="BF"/>
                <w:kern w:val="2"/>
                <w:sz w:val="20"/>
                <w:szCs w:val="20"/>
                <w14:ligatures w14:val="standardContextual"/>
              </w:rPr>
              <w:t xml:space="preserve">, </w:t>
            </w:r>
            <w:r w:rsidR="00C249D9" w:rsidRPr="00C249D9">
              <w:rPr>
                <w:rFonts w:ascii="Aptos" w:hAnsi="Aptos"/>
                <w:color w:val="0F4761" w:themeColor="accent1" w:themeShade="BF"/>
                <w:kern w:val="2"/>
                <w:sz w:val="20"/>
                <w:szCs w:val="20"/>
                <w14:ligatures w14:val="standardContextual"/>
              </w:rPr>
              <w:t>Podujevë</w:t>
            </w:r>
            <w:r w:rsidR="00C249D9">
              <w:rPr>
                <w:rFonts w:ascii="Aptos" w:hAnsi="Aptos"/>
                <w:color w:val="0F4761" w:themeColor="accent1" w:themeShade="BF"/>
                <w:kern w:val="2"/>
                <w:sz w:val="20"/>
                <w:szCs w:val="20"/>
                <w14:ligatures w14:val="standardContextual"/>
              </w:rPr>
              <w:t xml:space="preserve">, </w:t>
            </w:r>
            <w:r w:rsidR="00C249D9" w:rsidRPr="00C249D9">
              <w:rPr>
                <w:rFonts w:ascii="Aptos" w:hAnsi="Aptos"/>
                <w:color w:val="0F4761" w:themeColor="accent1" w:themeShade="BF"/>
                <w:kern w:val="2"/>
                <w:sz w:val="20"/>
                <w:szCs w:val="20"/>
                <w14:ligatures w14:val="standardContextual"/>
              </w:rPr>
              <w:t>Prizren</w:t>
            </w:r>
            <w:r w:rsidR="00C249D9">
              <w:rPr>
                <w:rFonts w:ascii="Aptos" w:hAnsi="Aptos"/>
                <w:color w:val="0F4761" w:themeColor="accent1" w:themeShade="BF"/>
                <w:kern w:val="2"/>
                <w:sz w:val="20"/>
                <w:szCs w:val="20"/>
                <w14:ligatures w14:val="standardContextual"/>
              </w:rPr>
              <w:t xml:space="preserve">, </w:t>
            </w:r>
            <w:r w:rsidR="00C249D9" w:rsidRPr="00C249D9">
              <w:rPr>
                <w:rFonts w:ascii="Aptos" w:hAnsi="Aptos"/>
                <w:color w:val="0F4761" w:themeColor="accent1" w:themeShade="BF"/>
                <w:kern w:val="2"/>
                <w:sz w:val="20"/>
                <w:szCs w:val="20"/>
                <w14:ligatures w14:val="standardContextual"/>
              </w:rPr>
              <w:t>Skenderaj</w:t>
            </w:r>
            <w:r w:rsidR="00C249D9">
              <w:rPr>
                <w:rFonts w:ascii="Aptos" w:hAnsi="Aptos"/>
                <w:color w:val="0F4761" w:themeColor="accent1" w:themeShade="BF"/>
                <w:kern w:val="2"/>
                <w:sz w:val="20"/>
                <w:szCs w:val="20"/>
                <w14:ligatures w14:val="standardContextual"/>
              </w:rPr>
              <w:t xml:space="preserve">, </w:t>
            </w:r>
            <w:r w:rsidR="00C249D9" w:rsidRPr="00C249D9">
              <w:rPr>
                <w:rFonts w:ascii="Aptos" w:hAnsi="Aptos"/>
                <w:color w:val="0F4761" w:themeColor="accent1" w:themeShade="BF"/>
                <w:kern w:val="2"/>
                <w:sz w:val="20"/>
                <w:szCs w:val="20"/>
                <w14:ligatures w14:val="standardContextual"/>
              </w:rPr>
              <w:t>Shtime</w:t>
            </w:r>
            <w:r w:rsidR="00C249D9">
              <w:rPr>
                <w:rFonts w:ascii="Aptos" w:hAnsi="Aptos"/>
                <w:color w:val="0F4761" w:themeColor="accent1" w:themeShade="BF"/>
                <w:kern w:val="2"/>
                <w:sz w:val="20"/>
                <w:szCs w:val="20"/>
                <w14:ligatures w14:val="standardContextual"/>
              </w:rPr>
              <w:t xml:space="preserve">, </w:t>
            </w:r>
            <w:r w:rsidR="00C249D9" w:rsidRPr="00C249D9">
              <w:rPr>
                <w:rFonts w:ascii="Aptos" w:hAnsi="Aptos"/>
                <w:color w:val="0F4761" w:themeColor="accent1" w:themeShade="BF"/>
                <w:kern w:val="2"/>
                <w:sz w:val="20"/>
                <w:szCs w:val="20"/>
                <w14:ligatures w14:val="standardContextual"/>
              </w:rPr>
              <w:t>Suharekë</w:t>
            </w:r>
            <w:r w:rsidR="00C249D9">
              <w:rPr>
                <w:rFonts w:ascii="Aptos" w:hAnsi="Aptos"/>
                <w:color w:val="0F4761" w:themeColor="accent1" w:themeShade="BF"/>
                <w:kern w:val="2"/>
                <w:sz w:val="20"/>
                <w:szCs w:val="20"/>
                <w14:ligatures w14:val="standardContextual"/>
              </w:rPr>
              <w:t xml:space="preserve">, </w:t>
            </w:r>
            <w:r w:rsidR="00C249D9" w:rsidRPr="00C249D9">
              <w:rPr>
                <w:rFonts w:ascii="Aptos" w:hAnsi="Aptos"/>
                <w:color w:val="0F4761" w:themeColor="accent1" w:themeShade="BF"/>
                <w:kern w:val="2"/>
                <w:sz w:val="20"/>
                <w:szCs w:val="20"/>
                <w14:ligatures w14:val="standardContextual"/>
              </w:rPr>
              <w:t>Ferizaj</w:t>
            </w:r>
            <w:r w:rsidR="00C249D9">
              <w:rPr>
                <w:rFonts w:ascii="Aptos" w:hAnsi="Aptos"/>
                <w:color w:val="0F4761" w:themeColor="accent1" w:themeShade="BF"/>
                <w:kern w:val="2"/>
                <w:sz w:val="20"/>
                <w:szCs w:val="20"/>
                <w14:ligatures w14:val="standardContextual"/>
              </w:rPr>
              <w:t xml:space="preserve">, </w:t>
            </w:r>
            <w:r w:rsidR="00C249D9" w:rsidRPr="00C249D9">
              <w:rPr>
                <w:rFonts w:ascii="Aptos" w:hAnsi="Aptos"/>
                <w:color w:val="0F4761" w:themeColor="accent1" w:themeShade="BF"/>
                <w:kern w:val="2"/>
                <w:sz w:val="20"/>
                <w:szCs w:val="20"/>
                <w14:ligatures w14:val="standardContextual"/>
              </w:rPr>
              <w:t>Viti</w:t>
            </w:r>
            <w:r w:rsidR="00C249D9">
              <w:rPr>
                <w:rFonts w:ascii="Aptos" w:hAnsi="Aptos"/>
                <w:color w:val="0F4761" w:themeColor="accent1" w:themeShade="BF"/>
                <w:kern w:val="2"/>
                <w:sz w:val="20"/>
                <w:szCs w:val="20"/>
                <w14:ligatures w14:val="standardContextual"/>
              </w:rPr>
              <w:t xml:space="preserve">, </w:t>
            </w:r>
            <w:r w:rsidR="00C249D9" w:rsidRPr="00C249D9">
              <w:rPr>
                <w:rFonts w:ascii="Aptos" w:hAnsi="Aptos"/>
                <w:color w:val="0F4761" w:themeColor="accent1" w:themeShade="BF"/>
                <w:kern w:val="2"/>
                <w:sz w:val="20"/>
                <w:szCs w:val="20"/>
                <w14:ligatures w14:val="standardContextual"/>
              </w:rPr>
              <w:t>Malishevë</w:t>
            </w:r>
            <w:r w:rsidR="00C249D9">
              <w:rPr>
                <w:rFonts w:ascii="Aptos" w:hAnsi="Aptos"/>
                <w:color w:val="0F4761" w:themeColor="accent1" w:themeShade="BF"/>
                <w:kern w:val="2"/>
                <w:sz w:val="20"/>
                <w:szCs w:val="20"/>
                <w14:ligatures w14:val="standardContextual"/>
              </w:rPr>
              <w:t xml:space="preserve">, </w:t>
            </w:r>
            <w:r w:rsidR="00C249D9" w:rsidRPr="00C249D9">
              <w:rPr>
                <w:rFonts w:ascii="Aptos" w:hAnsi="Aptos"/>
                <w:color w:val="0F4761" w:themeColor="accent1" w:themeShade="BF"/>
                <w:kern w:val="2"/>
                <w:sz w:val="20"/>
                <w:szCs w:val="20"/>
                <w14:ligatures w14:val="standardContextual"/>
              </w:rPr>
              <w:t>Hani i Elezit</w:t>
            </w:r>
            <w:r w:rsidR="00C249D9">
              <w:rPr>
                <w:rFonts w:ascii="Aptos" w:hAnsi="Aptos"/>
                <w:color w:val="0F4761" w:themeColor="accent1" w:themeShade="BF"/>
                <w:kern w:val="2"/>
                <w:sz w:val="20"/>
                <w:szCs w:val="20"/>
                <w14:ligatures w14:val="standardContextual"/>
              </w:rPr>
              <w:t xml:space="preserve">, </w:t>
            </w:r>
            <w:r w:rsidR="00C249D9" w:rsidRPr="00C249D9">
              <w:rPr>
                <w:rFonts w:ascii="Aptos" w:hAnsi="Aptos"/>
                <w:color w:val="0F4761" w:themeColor="accent1" w:themeShade="BF"/>
                <w:kern w:val="2"/>
                <w:sz w:val="20"/>
                <w:szCs w:val="20"/>
                <w14:ligatures w14:val="standardContextual"/>
              </w:rPr>
              <w:t>Mitrovicë e Veriut</w:t>
            </w:r>
            <w:r w:rsidR="00C249D9">
              <w:rPr>
                <w:rFonts w:ascii="Aptos" w:hAnsi="Aptos"/>
                <w:color w:val="0F4761" w:themeColor="accent1" w:themeShade="BF"/>
                <w:kern w:val="2"/>
                <w:sz w:val="20"/>
                <w:szCs w:val="20"/>
                <w14:ligatures w14:val="standardContextual"/>
              </w:rPr>
              <w:t>.</w:t>
            </w:r>
          </w:p>
        </w:tc>
        <w:tc>
          <w:tcPr>
            <w:tcW w:w="1837" w:type="dxa"/>
          </w:tcPr>
          <w:p w:rsidR="005C4A4C" w:rsidRPr="00835178" w:rsidRDefault="00C249D9" w:rsidP="00642403">
            <w:pPr>
              <w:tabs>
                <w:tab w:val="left" w:pos="5412"/>
              </w:tabs>
              <w:rPr>
                <w:rFonts w:ascii="Aptos" w:hAnsi="Aptos"/>
                <w:color w:val="0F4761" w:themeColor="accent1" w:themeShade="BF"/>
                <w:kern w:val="2"/>
                <w:sz w:val="20"/>
                <w:szCs w:val="20"/>
                <w14:ligatures w14:val="standardContextual"/>
              </w:rPr>
            </w:pPr>
            <w:r w:rsidRPr="00C249D9">
              <w:rPr>
                <w:rFonts w:ascii="Aptos" w:hAnsi="Aptos"/>
                <w:color w:val="0F4761" w:themeColor="accent1" w:themeShade="BF"/>
                <w:kern w:val="2"/>
                <w:sz w:val="20"/>
                <w:szCs w:val="20"/>
                <w14:ligatures w14:val="standardContextual"/>
              </w:rPr>
              <w:t>Kaçanik</w:t>
            </w:r>
            <w:r>
              <w:rPr>
                <w:rFonts w:ascii="Aptos" w:hAnsi="Aptos"/>
                <w:color w:val="0F4761" w:themeColor="accent1" w:themeShade="BF"/>
                <w:kern w:val="2"/>
                <w:sz w:val="20"/>
                <w:szCs w:val="20"/>
                <w14:ligatures w14:val="standardContextual"/>
              </w:rPr>
              <w:t xml:space="preserve">, </w:t>
            </w:r>
            <w:r w:rsidRPr="00C249D9">
              <w:rPr>
                <w:rFonts w:ascii="Aptos" w:hAnsi="Aptos"/>
                <w:color w:val="0F4761" w:themeColor="accent1" w:themeShade="BF"/>
                <w:kern w:val="2"/>
                <w:sz w:val="20"/>
                <w:szCs w:val="20"/>
                <w14:ligatures w14:val="standardContextual"/>
              </w:rPr>
              <w:t>Fushë Kosovë</w:t>
            </w:r>
            <w:r>
              <w:rPr>
                <w:rFonts w:ascii="Aptos" w:hAnsi="Aptos"/>
                <w:color w:val="0F4761" w:themeColor="accent1" w:themeShade="BF"/>
                <w:kern w:val="2"/>
                <w:sz w:val="20"/>
                <w:szCs w:val="20"/>
                <w14:ligatures w14:val="standardContextual"/>
              </w:rPr>
              <w:t xml:space="preserve">, </w:t>
            </w:r>
            <w:r w:rsidRPr="00C249D9">
              <w:rPr>
                <w:rFonts w:ascii="Aptos" w:hAnsi="Aptos"/>
                <w:color w:val="0F4761" w:themeColor="accent1" w:themeShade="BF"/>
                <w:kern w:val="2"/>
                <w:sz w:val="20"/>
                <w:szCs w:val="20"/>
                <w14:ligatures w14:val="standardContextual"/>
              </w:rPr>
              <w:t>Vushtrri</w:t>
            </w:r>
            <w:r>
              <w:rPr>
                <w:rFonts w:ascii="Aptos" w:hAnsi="Aptos"/>
                <w:color w:val="0F4761" w:themeColor="accent1" w:themeShade="BF"/>
                <w:kern w:val="2"/>
                <w:sz w:val="20"/>
                <w:szCs w:val="20"/>
                <w14:ligatures w14:val="standardContextual"/>
              </w:rPr>
              <w:t xml:space="preserve">, </w:t>
            </w:r>
            <w:r w:rsidRPr="00C249D9">
              <w:rPr>
                <w:rFonts w:ascii="Aptos" w:hAnsi="Aptos"/>
                <w:color w:val="0F4761" w:themeColor="accent1" w:themeShade="BF"/>
                <w:kern w:val="2"/>
                <w:sz w:val="20"/>
                <w:szCs w:val="20"/>
                <w14:ligatures w14:val="standardContextual"/>
              </w:rPr>
              <w:t>Junik</w:t>
            </w:r>
            <w:r>
              <w:rPr>
                <w:rFonts w:ascii="Aptos" w:hAnsi="Aptos"/>
                <w:color w:val="0F4761" w:themeColor="accent1" w:themeShade="BF"/>
                <w:kern w:val="2"/>
                <w:sz w:val="20"/>
                <w:szCs w:val="20"/>
                <w14:ligatures w14:val="standardContextual"/>
              </w:rPr>
              <w:t xml:space="preserve">, </w:t>
            </w:r>
            <w:r w:rsidRPr="00C249D9">
              <w:rPr>
                <w:rFonts w:ascii="Aptos" w:hAnsi="Aptos"/>
                <w:color w:val="0F4761" w:themeColor="accent1" w:themeShade="BF"/>
                <w:kern w:val="2"/>
                <w:sz w:val="20"/>
                <w:szCs w:val="20"/>
                <w14:ligatures w14:val="standardContextual"/>
              </w:rPr>
              <w:t>Graçanicë</w:t>
            </w:r>
            <w:r>
              <w:rPr>
                <w:rFonts w:ascii="Aptos" w:hAnsi="Aptos"/>
                <w:color w:val="0F4761" w:themeColor="accent1" w:themeShade="BF"/>
                <w:kern w:val="2"/>
                <w:sz w:val="20"/>
                <w:szCs w:val="20"/>
                <w14:ligatures w14:val="standardContextual"/>
              </w:rPr>
              <w:t xml:space="preserve">, </w:t>
            </w:r>
            <w:r w:rsidRPr="00C249D9">
              <w:rPr>
                <w:rFonts w:ascii="Aptos" w:hAnsi="Aptos"/>
                <w:color w:val="0F4761" w:themeColor="accent1" w:themeShade="BF"/>
                <w:kern w:val="2"/>
                <w:sz w:val="20"/>
                <w:szCs w:val="20"/>
                <w14:ligatures w14:val="standardContextual"/>
              </w:rPr>
              <w:t>Ranillug</w:t>
            </w:r>
            <w:r>
              <w:rPr>
                <w:rFonts w:ascii="Aptos" w:hAnsi="Aptos"/>
                <w:color w:val="0F4761" w:themeColor="accent1" w:themeShade="BF"/>
                <w:kern w:val="2"/>
                <w:sz w:val="20"/>
                <w:szCs w:val="20"/>
                <w14:ligatures w14:val="standardContextual"/>
              </w:rPr>
              <w:t xml:space="preserve">, </w:t>
            </w:r>
            <w:r w:rsidRPr="00C249D9">
              <w:rPr>
                <w:rFonts w:ascii="Aptos" w:hAnsi="Aptos"/>
                <w:color w:val="0F4761" w:themeColor="accent1" w:themeShade="BF"/>
                <w:kern w:val="2"/>
                <w:sz w:val="20"/>
                <w:szCs w:val="20"/>
                <w14:ligatures w14:val="standardContextual"/>
              </w:rPr>
              <w:t>Zveçan</w:t>
            </w:r>
            <w:r>
              <w:rPr>
                <w:rFonts w:ascii="Aptos" w:hAnsi="Aptos"/>
                <w:color w:val="0F4761" w:themeColor="accent1" w:themeShade="BF"/>
                <w:kern w:val="2"/>
                <w:sz w:val="20"/>
                <w:szCs w:val="20"/>
                <w14:ligatures w14:val="standardContextual"/>
              </w:rPr>
              <w:t>.</w:t>
            </w:r>
          </w:p>
        </w:tc>
        <w:tc>
          <w:tcPr>
            <w:tcW w:w="1052" w:type="dxa"/>
          </w:tcPr>
          <w:p w:rsidR="005C4A4C" w:rsidRPr="00835178" w:rsidRDefault="00C249D9" w:rsidP="00642403">
            <w:pPr>
              <w:tabs>
                <w:tab w:val="left" w:pos="5412"/>
              </w:tabs>
              <w:rPr>
                <w:rFonts w:ascii="Aptos" w:hAnsi="Aptos"/>
                <w:color w:val="0F4761" w:themeColor="accent1" w:themeShade="BF"/>
                <w:kern w:val="2"/>
                <w:sz w:val="20"/>
                <w:szCs w:val="20"/>
                <w14:ligatures w14:val="standardContextual"/>
              </w:rPr>
            </w:pPr>
            <w:r w:rsidRPr="00C249D9">
              <w:rPr>
                <w:rFonts w:ascii="Aptos" w:hAnsi="Aptos"/>
                <w:color w:val="0F4761" w:themeColor="accent1" w:themeShade="BF"/>
                <w:kern w:val="2"/>
                <w:sz w:val="20"/>
                <w:szCs w:val="20"/>
                <w14:ligatures w14:val="standardContextual"/>
              </w:rPr>
              <w:t>Prishtinë</w:t>
            </w:r>
            <w:r>
              <w:rPr>
                <w:rFonts w:ascii="Aptos" w:hAnsi="Aptos"/>
                <w:color w:val="0F4761" w:themeColor="accent1" w:themeShade="BF"/>
                <w:kern w:val="2"/>
                <w:sz w:val="20"/>
                <w:szCs w:val="20"/>
                <w14:ligatures w14:val="standardContextual"/>
              </w:rPr>
              <w:t xml:space="preserve">, </w:t>
            </w:r>
            <w:r w:rsidRPr="00C249D9">
              <w:rPr>
                <w:rFonts w:ascii="Aptos" w:hAnsi="Aptos"/>
                <w:color w:val="0F4761" w:themeColor="accent1" w:themeShade="BF"/>
                <w:kern w:val="2"/>
                <w:sz w:val="20"/>
                <w:szCs w:val="20"/>
                <w14:ligatures w14:val="standardContextual"/>
              </w:rPr>
              <w:t>Kllokot</w:t>
            </w:r>
            <w:r>
              <w:rPr>
                <w:rFonts w:ascii="Aptos" w:hAnsi="Aptos"/>
                <w:color w:val="0F4761" w:themeColor="accent1" w:themeShade="BF"/>
                <w:kern w:val="2"/>
                <w:sz w:val="20"/>
                <w:szCs w:val="20"/>
                <w14:ligatures w14:val="standardContextual"/>
              </w:rPr>
              <w:t xml:space="preserve">, </w:t>
            </w:r>
            <w:r w:rsidRPr="00C249D9">
              <w:rPr>
                <w:rFonts w:ascii="Aptos" w:hAnsi="Aptos"/>
                <w:color w:val="0F4761" w:themeColor="accent1" w:themeShade="BF"/>
                <w:kern w:val="2"/>
                <w:sz w:val="20"/>
                <w:szCs w:val="20"/>
                <w14:ligatures w14:val="standardContextual"/>
              </w:rPr>
              <w:t>Zubin Potok</w:t>
            </w:r>
            <w:r>
              <w:rPr>
                <w:rFonts w:ascii="Aptos" w:hAnsi="Aptos"/>
                <w:color w:val="0F4761" w:themeColor="accent1" w:themeShade="BF"/>
                <w:kern w:val="2"/>
                <w:sz w:val="20"/>
                <w:szCs w:val="20"/>
                <w14:ligatures w14:val="standardContextual"/>
              </w:rPr>
              <w:t xml:space="preserve">, </w:t>
            </w:r>
            <w:r w:rsidRPr="00C249D9">
              <w:rPr>
                <w:rFonts w:ascii="Aptos" w:hAnsi="Aptos"/>
                <w:color w:val="0F4761" w:themeColor="accent1" w:themeShade="BF"/>
                <w:kern w:val="2"/>
                <w:sz w:val="20"/>
                <w:szCs w:val="20"/>
                <w14:ligatures w14:val="standardContextual"/>
              </w:rPr>
              <w:t>Leposaviq</w:t>
            </w:r>
          </w:p>
        </w:tc>
        <w:tc>
          <w:tcPr>
            <w:tcW w:w="1280" w:type="dxa"/>
          </w:tcPr>
          <w:p w:rsidR="005C4A4C" w:rsidRPr="00835178" w:rsidRDefault="00D0787F" w:rsidP="005C4A4C">
            <w:pPr>
              <w:tabs>
                <w:tab w:val="left" w:pos="5412"/>
              </w:tabs>
              <w:rPr>
                <w:rFonts w:ascii="Aptos" w:hAnsi="Aptos"/>
                <w:color w:val="0F4761" w:themeColor="accent1" w:themeShade="BF"/>
                <w:kern w:val="2"/>
                <w:sz w:val="20"/>
                <w:szCs w:val="20"/>
                <w14:ligatures w14:val="standardContextual"/>
              </w:rPr>
            </w:pPr>
            <w:r>
              <w:rPr>
                <w:rFonts w:ascii="Aptos" w:hAnsi="Aptos"/>
                <w:color w:val="0F4761" w:themeColor="accent1" w:themeShade="BF"/>
                <w:kern w:val="2"/>
                <w:sz w:val="20"/>
                <w:szCs w:val="20"/>
                <w14:ligatures w14:val="standardContextual"/>
              </w:rPr>
              <w:t>Shtërpcë</w:t>
            </w:r>
          </w:p>
        </w:tc>
      </w:tr>
    </w:tbl>
    <w:p w:rsidR="00C249D9" w:rsidRDefault="00C249D9" w:rsidP="00E919F0">
      <w:pPr>
        <w:pStyle w:val="Caption"/>
      </w:pPr>
    </w:p>
    <w:p w:rsidR="00AB64EB" w:rsidRDefault="00DA7FF9" w:rsidP="00E919F0">
      <w:pPr>
        <w:pStyle w:val="Caption"/>
      </w:pPr>
      <w:r w:rsidRPr="008E1859">
        <w:rPr>
          <w:noProof/>
          <w:lang w:val="en-GB" w:eastAsia="en-GB"/>
          <w14:ligatures w14:val="standardContextual"/>
        </w:rPr>
        <w:drawing>
          <wp:anchor distT="0" distB="0" distL="114300" distR="114300" simplePos="0" relativeHeight="251872256" behindDoc="0" locked="0" layoutInCell="1" allowOverlap="1" wp14:anchorId="0E52F09C" wp14:editId="1EE5389C">
            <wp:simplePos x="0" y="0"/>
            <wp:positionH relativeFrom="margin">
              <wp:posOffset>7684</wp:posOffset>
            </wp:positionH>
            <wp:positionV relativeFrom="margin">
              <wp:posOffset>389848</wp:posOffset>
            </wp:positionV>
            <wp:extent cx="3302635" cy="2284095"/>
            <wp:effectExtent l="0" t="0" r="12065" b="1905"/>
            <wp:wrapSquare wrapText="bothSides"/>
            <wp:docPr id="36" name="Chart 3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26DA08FE-8A8B-5AE3-DF0E-9CF89C672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AB64EB" w:rsidRDefault="00AB64EB" w:rsidP="00E919F0">
      <w:pPr>
        <w:pStyle w:val="Caption"/>
      </w:pPr>
    </w:p>
    <w:p w:rsidR="00835178" w:rsidRPr="00835178" w:rsidRDefault="00E919F0" w:rsidP="00E919F0">
      <w:pPr>
        <w:pStyle w:val="Caption"/>
        <w:rPr>
          <w:rFonts w:ascii="Aptos" w:hAnsi="Aptos"/>
          <w:i w:val="0"/>
          <w:iCs w:val="0"/>
          <w:color w:val="0F4761" w:themeColor="accent1" w:themeShade="BF"/>
          <w:kern w:val="2"/>
          <w:sz w:val="20"/>
          <w:szCs w:val="20"/>
          <w:highlight w:val="lightGray"/>
          <w14:ligatures w14:val="standardContextual"/>
        </w:rPr>
      </w:pPr>
      <w:r>
        <w:t xml:space="preserve">Grafiku </w:t>
      </w:r>
      <w:r>
        <w:fldChar w:fldCharType="begin"/>
      </w:r>
      <w:r>
        <w:instrText xml:space="preserve"> SEQ Figure \* ARABIC </w:instrText>
      </w:r>
      <w:r>
        <w:fldChar w:fldCharType="separate"/>
      </w:r>
      <w:r w:rsidR="00092DE1">
        <w:rPr>
          <w:noProof/>
        </w:rPr>
        <w:t>4</w:t>
      </w:r>
      <w:r>
        <w:fldChar w:fldCharType="end"/>
      </w:r>
      <w:r>
        <w:t xml:space="preserve"> </w:t>
      </w:r>
      <w:r w:rsidRPr="00150A58">
        <w:t>Komunat që kanë arritur kushtet minimale GPK 202</w:t>
      </w:r>
      <w:r w:rsidR="00C249D9">
        <w:t>4</w:t>
      </w:r>
      <w:r w:rsidRPr="00150A58">
        <w:t>-202</w:t>
      </w:r>
      <w:r w:rsidR="00C249D9">
        <w:t>6</w:t>
      </w:r>
    </w:p>
    <w:p w:rsidR="008E1859" w:rsidRDefault="008E1859" w:rsidP="00E03A12">
      <w:pPr>
        <w:tabs>
          <w:tab w:val="left" w:pos="5412"/>
          <w:tab w:val="left" w:pos="6552"/>
        </w:tabs>
        <w:rPr>
          <w:rFonts w:ascii="Aptos" w:hAnsi="Aptos"/>
          <w:color w:val="FF0000"/>
          <w:kern w:val="2"/>
          <w14:ligatures w14:val="standardContextual"/>
        </w:rPr>
      </w:pPr>
    </w:p>
    <w:p w:rsidR="002A0C26" w:rsidRDefault="002A0C26" w:rsidP="00E03A12">
      <w:pPr>
        <w:tabs>
          <w:tab w:val="left" w:pos="5412"/>
          <w:tab w:val="left" w:pos="6552"/>
        </w:tabs>
        <w:rPr>
          <w:rFonts w:ascii="Aptos" w:hAnsi="Aptos"/>
          <w:kern w:val="2"/>
          <w14:ligatures w14:val="standardContextual"/>
        </w:rPr>
      </w:pPr>
    </w:p>
    <w:p w:rsidR="00CA416D" w:rsidRDefault="00B559BF" w:rsidP="00E03A12">
      <w:pPr>
        <w:tabs>
          <w:tab w:val="left" w:pos="5412"/>
          <w:tab w:val="left" w:pos="6552"/>
        </w:tabs>
        <w:rPr>
          <w:rFonts w:ascii="Aptos" w:hAnsi="Aptos"/>
          <w:color w:val="0F4761" w:themeColor="accent1" w:themeShade="BF"/>
          <w:kern w:val="2"/>
          <w14:ligatures w14:val="standardContextual"/>
        </w:rPr>
      </w:pPr>
      <w:r>
        <w:rPr>
          <w:rFonts w:ascii="Aptos" w:hAnsi="Aptos"/>
          <w:kern w:val="2"/>
          <w14:ligatures w14:val="standardContextual"/>
        </w:rPr>
        <w:t xml:space="preserve">Krahasuar me GPK 2025 në </w:t>
      </w:r>
      <w:r w:rsidR="008E1859" w:rsidRPr="008E1859">
        <w:rPr>
          <w:rFonts w:ascii="Aptos" w:hAnsi="Aptos"/>
          <w:kern w:val="2"/>
          <w14:ligatures w14:val="standardContextual"/>
        </w:rPr>
        <w:t>GPK 202</w:t>
      </w:r>
      <w:r>
        <w:rPr>
          <w:rFonts w:ascii="Aptos" w:hAnsi="Aptos"/>
          <w:kern w:val="2"/>
          <w14:ligatures w14:val="standardContextual"/>
        </w:rPr>
        <w:t xml:space="preserve">6 kemi </w:t>
      </w:r>
      <w:r w:rsidR="00835178" w:rsidRPr="008E1859">
        <w:rPr>
          <w:rFonts w:ascii="Aptos" w:hAnsi="Aptos"/>
          <w:kern w:val="2"/>
          <w14:ligatures w14:val="standardContextual"/>
        </w:rPr>
        <w:t xml:space="preserve"> </w:t>
      </w:r>
      <w:r>
        <w:rPr>
          <w:rFonts w:ascii="Aptos" w:hAnsi="Aptos"/>
          <w:kern w:val="2"/>
          <w14:ligatures w14:val="standardContextual"/>
        </w:rPr>
        <w:t>rënie</w:t>
      </w:r>
      <w:r w:rsidR="00835178" w:rsidRPr="008E1859">
        <w:rPr>
          <w:rFonts w:ascii="Aptos" w:hAnsi="Aptos"/>
          <w:kern w:val="2"/>
          <w14:ligatures w14:val="standardContextual"/>
        </w:rPr>
        <w:t xml:space="preserve"> të</w:t>
      </w:r>
      <w:r>
        <w:rPr>
          <w:rFonts w:ascii="Aptos" w:hAnsi="Aptos"/>
          <w:kern w:val="2"/>
          <w14:ligatures w14:val="standardContextual"/>
        </w:rPr>
        <w:t xml:space="preserve"> komunave që kanë përmbushur  kushtet minimale. </w:t>
      </w:r>
      <w:r w:rsidR="008E1859" w:rsidRPr="008E1859">
        <w:rPr>
          <w:rFonts w:ascii="Aptos" w:hAnsi="Aptos"/>
          <w:kern w:val="2"/>
          <w14:ligatures w14:val="standardContextual"/>
        </w:rPr>
        <w:t xml:space="preserve">Nga </w:t>
      </w:r>
      <w:r>
        <w:rPr>
          <w:rFonts w:ascii="Aptos" w:hAnsi="Aptos"/>
          <w:kern w:val="2"/>
          <w14:ligatures w14:val="standardContextual"/>
        </w:rPr>
        <w:t>12</w:t>
      </w:r>
      <w:r w:rsidR="008E1859" w:rsidRPr="008E1859">
        <w:rPr>
          <w:rFonts w:ascii="Aptos" w:hAnsi="Aptos"/>
          <w:kern w:val="2"/>
          <w14:ligatures w14:val="standardContextual"/>
        </w:rPr>
        <w:t xml:space="preserve"> komuna në GPK 202</w:t>
      </w:r>
      <w:r>
        <w:rPr>
          <w:rFonts w:ascii="Aptos" w:hAnsi="Aptos"/>
          <w:kern w:val="2"/>
          <w14:ligatures w14:val="standardContextual"/>
        </w:rPr>
        <w:t>5</w:t>
      </w:r>
      <w:r w:rsidR="008E1859" w:rsidRPr="008E1859">
        <w:rPr>
          <w:rFonts w:ascii="Aptos" w:hAnsi="Aptos"/>
          <w:kern w:val="2"/>
          <w14:ligatures w14:val="standardContextual"/>
        </w:rPr>
        <w:t xml:space="preserve"> në </w:t>
      </w:r>
      <w:r>
        <w:rPr>
          <w:rFonts w:ascii="Aptos" w:hAnsi="Aptos"/>
          <w:kern w:val="2"/>
          <w14:ligatures w14:val="standardContextual"/>
        </w:rPr>
        <w:t>5</w:t>
      </w:r>
      <w:r w:rsidR="008E1859" w:rsidRPr="008E1859">
        <w:rPr>
          <w:rFonts w:ascii="Aptos" w:hAnsi="Aptos"/>
          <w:kern w:val="2"/>
          <w14:ligatures w14:val="standardContextual"/>
        </w:rPr>
        <w:t xml:space="preserve"> komuna në GPK 202</w:t>
      </w:r>
      <w:r>
        <w:rPr>
          <w:rFonts w:ascii="Aptos" w:hAnsi="Aptos"/>
          <w:kern w:val="2"/>
          <w14:ligatures w14:val="standardContextual"/>
        </w:rPr>
        <w:t>6.</w:t>
      </w:r>
      <w:r w:rsidR="00835178" w:rsidRPr="004A36DD">
        <w:rPr>
          <w:rFonts w:ascii="Aptos" w:hAnsi="Aptos"/>
          <w:color w:val="0F4761" w:themeColor="accent1" w:themeShade="BF"/>
          <w:kern w:val="2"/>
          <w14:ligatures w14:val="standardContextual"/>
        </w:rPr>
        <w:t xml:space="preserve"> </w:t>
      </w:r>
    </w:p>
    <w:p w:rsidR="002A0C26" w:rsidRDefault="002A0C26" w:rsidP="00E03A12">
      <w:pPr>
        <w:tabs>
          <w:tab w:val="left" w:pos="5412"/>
          <w:tab w:val="left" w:pos="6552"/>
        </w:tabs>
        <w:rPr>
          <w:rFonts w:ascii="Aptos" w:hAnsi="Aptos"/>
          <w:kern w:val="2"/>
          <w14:ligatures w14:val="standardContextual"/>
        </w:rPr>
      </w:pPr>
    </w:p>
    <w:p w:rsidR="008E1859" w:rsidRPr="004A36DD" w:rsidRDefault="008E1859" w:rsidP="00E03A12">
      <w:pPr>
        <w:tabs>
          <w:tab w:val="left" w:pos="5412"/>
          <w:tab w:val="left" w:pos="6552"/>
        </w:tabs>
        <w:rPr>
          <w:rFonts w:ascii="Aptos" w:hAnsi="Aptos"/>
          <w:kern w:val="2"/>
          <w14:ligatures w14:val="standardContextual"/>
        </w:rPr>
      </w:pPr>
    </w:p>
    <w:p w:rsidR="00326F10" w:rsidRPr="001F33FF" w:rsidRDefault="00326F10" w:rsidP="00CA416D">
      <w:pPr>
        <w:keepNext/>
        <w:tabs>
          <w:tab w:val="left" w:pos="540"/>
          <w:tab w:val="left" w:pos="5412"/>
        </w:tabs>
        <w:spacing w:after="0" w:line="240" w:lineRule="auto"/>
        <w:outlineLvl w:val="0"/>
        <w:rPr>
          <w:rFonts w:asciiTheme="majorHAnsi" w:eastAsiaTheme="majorEastAsia" w:hAnsiTheme="majorHAnsi" w:cstheme="majorHAnsi"/>
          <w:b/>
          <w:color w:val="CC9900"/>
          <w:sz w:val="28"/>
          <w:szCs w:val="28"/>
        </w:rPr>
      </w:pPr>
      <w:bookmarkStart w:id="13" w:name="_Toc178434855"/>
      <w:r w:rsidRPr="001F33FF">
        <w:rPr>
          <w:rFonts w:asciiTheme="majorHAnsi" w:eastAsiaTheme="majorEastAsia" w:hAnsiTheme="majorHAnsi" w:cstheme="majorHAnsi"/>
          <w:b/>
          <w:color w:val="CC9900"/>
          <w:sz w:val="28"/>
          <w:szCs w:val="28"/>
        </w:rPr>
        <w:t>2.2 Rezultatet e treguesve të Grantit për Performancë Komunale</w:t>
      </w:r>
      <w:bookmarkEnd w:id="13"/>
    </w:p>
    <w:p w:rsidR="00326F10" w:rsidRDefault="00326F10" w:rsidP="00326F10">
      <w:pPr>
        <w:keepNext/>
        <w:tabs>
          <w:tab w:val="left" w:pos="810"/>
        </w:tabs>
        <w:spacing w:before="240" w:after="0" w:line="240" w:lineRule="auto"/>
        <w:outlineLvl w:val="0"/>
        <w:rPr>
          <w:rFonts w:eastAsia="Times New Roman" w:cs="Calibri Light"/>
          <w:b/>
          <w:color w:val="0E2841" w:themeColor="text2"/>
          <w:sz w:val="24"/>
          <w:szCs w:val="24"/>
        </w:rPr>
      </w:pPr>
      <w:bookmarkStart w:id="14" w:name="_Toc178434856"/>
      <w:r w:rsidRPr="00326F10">
        <w:rPr>
          <w:rFonts w:eastAsiaTheme="majorEastAsia" w:cstheme="majorHAnsi"/>
          <w:b/>
          <w:color w:val="0E2841" w:themeColor="text2"/>
          <w:sz w:val="24"/>
          <w:szCs w:val="24"/>
        </w:rPr>
        <w:t xml:space="preserve">2.2.1 </w:t>
      </w:r>
      <w:r w:rsidRPr="00326F10">
        <w:rPr>
          <w:rFonts w:eastAsia="Times New Roman" w:cs="Calibri Light"/>
          <w:b/>
          <w:color w:val="0E2841" w:themeColor="text2"/>
          <w:sz w:val="24"/>
          <w:szCs w:val="24"/>
        </w:rPr>
        <w:t>Rezultatet e përgjithshme për treguesit e Grantit të Performancës Komunale</w:t>
      </w:r>
      <w:bookmarkEnd w:id="14"/>
    </w:p>
    <w:p w:rsidR="00692788" w:rsidRPr="00F940FB" w:rsidRDefault="00692788" w:rsidP="00692788">
      <w:pPr>
        <w:spacing w:before="60" w:after="0" w:line="264" w:lineRule="auto"/>
        <w:contextualSpacing/>
        <w:jc w:val="both"/>
        <w:rPr>
          <w:kern w:val="2"/>
          <w:sz w:val="21"/>
          <w:szCs w:val="21"/>
          <w14:ligatures w14:val="standardContextual"/>
        </w:rPr>
      </w:pPr>
      <w:bookmarkStart w:id="15" w:name="_Hlk174606193"/>
    </w:p>
    <w:p w:rsidR="007D5320" w:rsidRPr="00734C8B" w:rsidRDefault="00692788" w:rsidP="00692788">
      <w:pPr>
        <w:spacing w:before="60" w:after="0" w:line="264" w:lineRule="auto"/>
        <w:contextualSpacing/>
        <w:jc w:val="both"/>
        <w:rPr>
          <w:color w:val="0E2841" w:themeColor="text2"/>
          <w:kern w:val="2"/>
          <w14:ligatures w14:val="standardContextual"/>
        </w:rPr>
      </w:pPr>
      <w:r w:rsidRPr="00734C8B">
        <w:rPr>
          <w:color w:val="0E2841" w:themeColor="text2"/>
          <w:kern w:val="2"/>
          <w14:ligatures w14:val="standardContextual"/>
        </w:rPr>
        <w:t>Për performancën e vitit 202</w:t>
      </w:r>
      <w:r w:rsidR="009A3C5F">
        <w:rPr>
          <w:color w:val="0E2841" w:themeColor="text2"/>
          <w:kern w:val="2"/>
          <w14:ligatures w14:val="standardContextual"/>
        </w:rPr>
        <w:t>4</w:t>
      </w:r>
      <w:r w:rsidRPr="00734C8B">
        <w:rPr>
          <w:color w:val="0E2841" w:themeColor="text2"/>
          <w:kern w:val="2"/>
          <w14:ligatures w14:val="standardContextual"/>
        </w:rPr>
        <w:t xml:space="preserve"> në S</w:t>
      </w:r>
      <w:r w:rsidR="00457F79" w:rsidRPr="00734C8B">
        <w:rPr>
          <w:color w:val="0E2841" w:themeColor="text2"/>
          <w:kern w:val="2"/>
          <w14:ligatures w14:val="standardContextual"/>
        </w:rPr>
        <w:t xml:space="preserve">istemin për </w:t>
      </w:r>
      <w:r w:rsidRPr="00734C8B">
        <w:rPr>
          <w:color w:val="0E2841" w:themeColor="text2"/>
          <w:kern w:val="2"/>
          <w14:ligatures w14:val="standardContextual"/>
        </w:rPr>
        <w:t>M</w:t>
      </w:r>
      <w:r w:rsidR="00457F79" w:rsidRPr="00734C8B">
        <w:rPr>
          <w:color w:val="0E2841" w:themeColor="text2"/>
          <w:kern w:val="2"/>
          <w14:ligatures w14:val="standardContextual"/>
        </w:rPr>
        <w:t xml:space="preserve">enaxhimit të </w:t>
      </w:r>
      <w:r w:rsidRPr="00734C8B">
        <w:rPr>
          <w:color w:val="0E2841" w:themeColor="text2"/>
          <w:kern w:val="2"/>
          <w14:ligatures w14:val="standardContextual"/>
        </w:rPr>
        <w:t>P</w:t>
      </w:r>
      <w:r w:rsidR="00457F79" w:rsidRPr="00734C8B">
        <w:rPr>
          <w:color w:val="0E2841" w:themeColor="text2"/>
          <w:kern w:val="2"/>
          <w14:ligatures w14:val="standardContextual"/>
        </w:rPr>
        <w:t xml:space="preserve">erformancës </w:t>
      </w:r>
      <w:r w:rsidRPr="00734C8B">
        <w:rPr>
          <w:color w:val="0E2841" w:themeColor="text2"/>
          <w:kern w:val="2"/>
          <w14:ligatures w14:val="standardContextual"/>
        </w:rPr>
        <w:t>K</w:t>
      </w:r>
      <w:r w:rsidR="00457F79" w:rsidRPr="00734C8B">
        <w:rPr>
          <w:color w:val="0E2841" w:themeColor="text2"/>
          <w:kern w:val="2"/>
          <w14:ligatures w14:val="standardContextual"/>
        </w:rPr>
        <w:t>omunale</w:t>
      </w:r>
      <w:r w:rsidRPr="00734C8B">
        <w:rPr>
          <w:color w:val="0E2841" w:themeColor="text2"/>
          <w:kern w:val="2"/>
          <w14:ligatures w14:val="standardContextual"/>
        </w:rPr>
        <w:t xml:space="preserve"> kanë raportuar vetëm </w:t>
      </w:r>
      <w:r w:rsidRPr="00AB64EB">
        <w:rPr>
          <w:color w:val="0E2841" w:themeColor="text2"/>
          <w:kern w:val="2"/>
          <w14:ligatures w14:val="standardContextual"/>
        </w:rPr>
        <w:t>3</w:t>
      </w:r>
      <w:r w:rsidR="00272DBB" w:rsidRPr="00AB64EB">
        <w:rPr>
          <w:color w:val="0E2841" w:themeColor="text2"/>
          <w:kern w:val="2"/>
          <w14:ligatures w14:val="standardContextual"/>
        </w:rPr>
        <w:t>3</w:t>
      </w:r>
      <w:r w:rsidRPr="00AB64EB">
        <w:rPr>
          <w:color w:val="0E2841" w:themeColor="text2"/>
          <w:kern w:val="2"/>
          <w14:ligatures w14:val="standardContextual"/>
        </w:rPr>
        <w:t xml:space="preserve"> komun</w:t>
      </w:r>
      <w:r w:rsidR="003A7FBE" w:rsidRPr="00AB64EB">
        <w:rPr>
          <w:color w:val="0E2841" w:themeColor="text2"/>
          <w:kern w:val="2"/>
          <w14:ligatures w14:val="standardContextual"/>
        </w:rPr>
        <w:t>a</w:t>
      </w:r>
      <w:r w:rsidR="00311E41" w:rsidRPr="00AB64EB">
        <w:rPr>
          <w:rStyle w:val="FootnoteReference"/>
          <w:rFonts w:cstheme="majorHAnsi"/>
          <w:bCs/>
          <w:color w:val="0E2841" w:themeColor="text2"/>
        </w:rPr>
        <w:footnoteReference w:id="1"/>
      </w:r>
      <w:r w:rsidRPr="00AB64EB">
        <w:rPr>
          <w:color w:val="0E2841" w:themeColor="text2"/>
          <w:kern w:val="2"/>
          <w14:ligatures w14:val="standardContextual"/>
        </w:rPr>
        <w:t>.</w:t>
      </w:r>
      <w:r w:rsidRPr="00734C8B">
        <w:rPr>
          <w:color w:val="0E2841" w:themeColor="text2"/>
          <w:kern w:val="2"/>
          <w14:ligatures w14:val="standardContextual"/>
        </w:rPr>
        <w:t xml:space="preserve"> </w:t>
      </w:r>
      <w:r w:rsidR="00A62418" w:rsidRPr="00734C8B">
        <w:rPr>
          <w:color w:val="0E2841" w:themeColor="text2"/>
          <w:kern w:val="2"/>
          <w14:ligatures w14:val="standardContextual"/>
        </w:rPr>
        <w:t xml:space="preserve">Pavarësisht se përfituese të GPK-së janë </w:t>
      </w:r>
      <w:r w:rsidR="00272DBB">
        <w:rPr>
          <w:color w:val="0E2841" w:themeColor="text2"/>
          <w:kern w:val="2"/>
          <w14:ligatures w14:val="standardContextual"/>
        </w:rPr>
        <w:t xml:space="preserve">5 </w:t>
      </w:r>
      <w:r w:rsidR="00A62418" w:rsidRPr="00734C8B">
        <w:rPr>
          <w:color w:val="0E2841" w:themeColor="text2"/>
          <w:kern w:val="2"/>
          <w14:ligatures w14:val="standardContextual"/>
        </w:rPr>
        <w:t xml:space="preserve">komuna, ne kemi bëre matjen e performancës për </w:t>
      </w:r>
      <w:r w:rsidRPr="00734C8B">
        <w:rPr>
          <w:color w:val="0E2841" w:themeColor="text2"/>
          <w:kern w:val="2"/>
          <w14:ligatures w14:val="standardContextual"/>
        </w:rPr>
        <w:t xml:space="preserve">të gjitha komunat. </w:t>
      </w:r>
      <w:r w:rsidR="007D5320" w:rsidRPr="00734C8B">
        <w:rPr>
          <w:color w:val="0E2841" w:themeColor="text2"/>
          <w:kern w:val="2"/>
          <w14:ligatures w14:val="standardContextual"/>
        </w:rPr>
        <w:t>Rezultat e përmbledhura janë prezantuar më poshtë</w:t>
      </w:r>
      <w:r w:rsidR="0014373D" w:rsidRPr="00734C8B">
        <w:rPr>
          <w:rFonts w:ascii="Arial" w:hAnsi="Arial" w:cs="Arial"/>
          <w:color w:val="0E2841" w:themeColor="text2"/>
          <w:kern w:val="2"/>
          <w14:ligatures w14:val="standardContextual"/>
        </w:rPr>
        <w:t>˸</w:t>
      </w:r>
    </w:p>
    <w:p w:rsidR="000D0BF2" w:rsidRPr="00AB64EB" w:rsidRDefault="00FD3BD3" w:rsidP="00FD3BD3">
      <w:pPr>
        <w:spacing w:before="60" w:after="0" w:line="264" w:lineRule="auto"/>
        <w:jc w:val="both"/>
        <w:rPr>
          <w:color w:val="0E2841" w:themeColor="text2"/>
          <w:kern w:val="2"/>
          <w14:ligatures w14:val="standardContextual"/>
        </w:rPr>
      </w:pPr>
      <w:r w:rsidRPr="00AB64EB">
        <w:rPr>
          <w:noProof/>
          <w:lang w:val="en-GB" w:eastAsia="en-GB"/>
        </w:rPr>
        <w:drawing>
          <wp:anchor distT="0" distB="0" distL="114300" distR="114300" simplePos="0" relativeHeight="251663360" behindDoc="1" locked="0" layoutInCell="1" allowOverlap="1" wp14:anchorId="0F50834D" wp14:editId="1EC9E516">
            <wp:simplePos x="0" y="0"/>
            <wp:positionH relativeFrom="margin">
              <wp:align>left</wp:align>
            </wp:positionH>
            <wp:positionV relativeFrom="paragraph">
              <wp:posOffset>38735</wp:posOffset>
            </wp:positionV>
            <wp:extent cx="739140" cy="670560"/>
            <wp:effectExtent l="0" t="0" r="3810" b="0"/>
            <wp:wrapThrough wrapText="bothSides">
              <wp:wrapPolygon edited="0">
                <wp:start x="0" y="0"/>
                <wp:lineTo x="0" y="20864"/>
                <wp:lineTo x="21155" y="20864"/>
                <wp:lineTo x="21155" y="0"/>
                <wp:lineTo x="0" y="0"/>
              </wp:wrapPolygon>
            </wp:wrapThrough>
            <wp:docPr id="1340050303" name="Picture 3" descr="3D graph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50303" name="Picture 1340050303" descr="3D graph graphic"/>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9140" cy="670560"/>
                    </a:xfrm>
                    <a:prstGeom prst="rect">
                      <a:avLst/>
                    </a:prstGeom>
                  </pic:spPr>
                </pic:pic>
              </a:graphicData>
            </a:graphic>
            <wp14:sizeRelH relativeFrom="margin">
              <wp14:pctWidth>0</wp14:pctWidth>
            </wp14:sizeRelH>
            <wp14:sizeRelV relativeFrom="margin">
              <wp14:pctHeight>0</wp14:pctHeight>
            </wp14:sizeRelV>
          </wp:anchor>
        </w:drawing>
      </w:r>
      <w:r w:rsidR="000D0BF2" w:rsidRPr="00AB64EB">
        <w:rPr>
          <w:b/>
          <w:bCs/>
          <w:color w:val="0E2841" w:themeColor="text2"/>
          <w:kern w:val="2"/>
          <w14:ligatures w14:val="standardContextual"/>
        </w:rPr>
        <w:t>P</w:t>
      </w:r>
      <w:r w:rsidR="00692788" w:rsidRPr="00AB64EB">
        <w:rPr>
          <w:b/>
          <w:bCs/>
          <w:color w:val="0E2841" w:themeColor="text2"/>
          <w:kern w:val="2"/>
          <w14:ligatures w14:val="standardContextual"/>
        </w:rPr>
        <w:t xml:space="preserve">erformanca </w:t>
      </w:r>
      <w:r w:rsidR="000E1C12" w:rsidRPr="00AB64EB">
        <w:rPr>
          <w:b/>
          <w:bCs/>
          <w:color w:val="0E2841" w:themeColor="text2"/>
          <w:kern w:val="2"/>
          <w14:ligatures w14:val="standardContextual"/>
        </w:rPr>
        <w:t>e përgjithshme</w:t>
      </w:r>
      <w:r w:rsidR="00692788" w:rsidRPr="00AB64EB">
        <w:rPr>
          <w:color w:val="0E2841" w:themeColor="text2"/>
          <w:kern w:val="2"/>
          <w14:ligatures w14:val="standardContextual"/>
        </w:rPr>
        <w:t xml:space="preserve"> </w:t>
      </w:r>
      <w:r w:rsidR="00EC5CF8" w:rsidRPr="00AB64EB">
        <w:rPr>
          <w:color w:val="0E2841" w:themeColor="text2"/>
          <w:kern w:val="2"/>
          <w14:ligatures w14:val="standardContextual"/>
        </w:rPr>
        <w:t xml:space="preserve">e </w:t>
      </w:r>
      <w:r w:rsidR="00692788" w:rsidRPr="00AB64EB">
        <w:rPr>
          <w:color w:val="0E2841" w:themeColor="text2"/>
          <w:kern w:val="2"/>
          <w14:ligatures w14:val="standardContextual"/>
        </w:rPr>
        <w:t>38 komunave në 2</w:t>
      </w:r>
      <w:r w:rsidR="00272DBB" w:rsidRPr="00AB64EB">
        <w:rPr>
          <w:color w:val="0E2841" w:themeColor="text2"/>
          <w:kern w:val="2"/>
          <w14:ligatures w14:val="standardContextual"/>
        </w:rPr>
        <w:t>9</w:t>
      </w:r>
      <w:r w:rsidR="00692788" w:rsidRPr="00AB64EB">
        <w:rPr>
          <w:color w:val="0E2841" w:themeColor="text2"/>
          <w:kern w:val="2"/>
          <w14:ligatures w14:val="standardContextual"/>
        </w:rPr>
        <w:t xml:space="preserve"> treguesit e performancës</w:t>
      </w:r>
      <w:r w:rsidR="007D5320" w:rsidRPr="00AB64EB">
        <w:rPr>
          <w:color w:val="0E2841" w:themeColor="text2"/>
          <w:kern w:val="2"/>
          <w14:ligatures w14:val="standardContextual"/>
        </w:rPr>
        <w:t xml:space="preserve"> </w:t>
      </w:r>
      <w:r w:rsidR="00692788" w:rsidRPr="00AB64EB">
        <w:rPr>
          <w:color w:val="0E2841" w:themeColor="text2"/>
          <w:kern w:val="2"/>
          <w14:ligatures w14:val="standardContextual"/>
        </w:rPr>
        <w:t>për vitin 202</w:t>
      </w:r>
      <w:r w:rsidR="00272DBB" w:rsidRPr="00AB64EB">
        <w:rPr>
          <w:color w:val="0E2841" w:themeColor="text2"/>
          <w:kern w:val="2"/>
          <w14:ligatures w14:val="standardContextual"/>
        </w:rPr>
        <w:t>4</w:t>
      </w:r>
      <w:r w:rsidR="007D5320" w:rsidRPr="00AB64EB">
        <w:rPr>
          <w:color w:val="0E2841" w:themeColor="text2"/>
          <w:kern w:val="2"/>
          <w14:ligatures w14:val="standardContextual"/>
        </w:rPr>
        <w:t xml:space="preserve">, GPK </w:t>
      </w:r>
      <w:r w:rsidR="00692788" w:rsidRPr="00AB64EB">
        <w:rPr>
          <w:color w:val="0E2841" w:themeColor="text2"/>
          <w:kern w:val="2"/>
          <w14:ligatures w14:val="standardContextual"/>
        </w:rPr>
        <w:t>202</w:t>
      </w:r>
      <w:r w:rsidR="00272DBB" w:rsidRPr="00AB64EB">
        <w:rPr>
          <w:color w:val="0E2841" w:themeColor="text2"/>
          <w:kern w:val="2"/>
          <w14:ligatures w14:val="standardContextual"/>
        </w:rPr>
        <w:t>6</w:t>
      </w:r>
      <w:r w:rsidR="00692788" w:rsidRPr="00AB64EB">
        <w:rPr>
          <w:color w:val="0E2841" w:themeColor="text2"/>
          <w:kern w:val="2"/>
          <w14:ligatures w14:val="standardContextual"/>
        </w:rPr>
        <w:t xml:space="preserve"> është </w:t>
      </w:r>
      <w:r w:rsidR="00B559BF" w:rsidRPr="00AB64EB">
        <w:rPr>
          <w:color w:val="0E2841" w:themeColor="text2"/>
          <w:kern w:val="2"/>
          <w14:ligatures w14:val="standardContextual"/>
        </w:rPr>
        <w:t>41.8</w:t>
      </w:r>
      <w:r w:rsidR="00692788" w:rsidRPr="00AB64EB">
        <w:rPr>
          <w:color w:val="0E2841" w:themeColor="text2"/>
          <w:kern w:val="2"/>
          <w14:ligatures w14:val="standardContextual"/>
        </w:rPr>
        <w:t xml:space="preserve">% </w:t>
      </w:r>
      <w:bookmarkStart w:id="16" w:name="_Hlk176803538"/>
      <w:r w:rsidR="00692788" w:rsidRPr="00AB64EB">
        <w:rPr>
          <w:color w:val="0E2841" w:themeColor="text2"/>
          <w:kern w:val="2"/>
          <w14:ligatures w14:val="standardContextual"/>
        </w:rPr>
        <w:t>(</w:t>
      </w:r>
      <w:r w:rsidR="00B559BF" w:rsidRPr="00AB64EB">
        <w:rPr>
          <w:color w:val="0E2841" w:themeColor="text2"/>
          <w:kern w:val="2"/>
          <w14:ligatures w14:val="standardContextual"/>
        </w:rPr>
        <w:t>40.9</w:t>
      </w:r>
      <w:r w:rsidR="007D5320" w:rsidRPr="00AB64EB">
        <w:rPr>
          <w:color w:val="0E2841" w:themeColor="text2"/>
          <w:kern w:val="2"/>
          <w14:ligatures w14:val="standardContextual"/>
        </w:rPr>
        <w:t xml:space="preserve"> </w:t>
      </w:r>
      <w:r w:rsidR="00692788" w:rsidRPr="00AB64EB">
        <w:rPr>
          <w:color w:val="0E2841" w:themeColor="text2"/>
          <w:kern w:val="2"/>
          <w14:ligatures w14:val="standardContextual"/>
        </w:rPr>
        <w:t xml:space="preserve">pikë nga gjithsej </w:t>
      </w:r>
      <w:r w:rsidR="00EC5CF8" w:rsidRPr="00AB64EB">
        <w:rPr>
          <w:color w:val="0E2841" w:themeColor="text2"/>
          <w:kern w:val="2"/>
          <w14:ligatures w14:val="standardContextual"/>
        </w:rPr>
        <w:t>9</w:t>
      </w:r>
      <w:r w:rsidR="00272DBB" w:rsidRPr="00AB64EB">
        <w:rPr>
          <w:color w:val="0E2841" w:themeColor="text2"/>
          <w:kern w:val="2"/>
          <w14:ligatures w14:val="standardContextual"/>
        </w:rPr>
        <w:t>8</w:t>
      </w:r>
      <w:r w:rsidR="00692788" w:rsidRPr="00AB64EB">
        <w:rPr>
          <w:color w:val="0E2841" w:themeColor="text2"/>
          <w:kern w:val="2"/>
          <w14:ligatures w14:val="standardContextual"/>
        </w:rPr>
        <w:t xml:space="preserve"> pikë të mundshme), ndërsa performanca mesatare e </w:t>
      </w:r>
      <w:r w:rsidR="00065F18" w:rsidRPr="00AB64EB">
        <w:rPr>
          <w:color w:val="0E2841" w:themeColor="text2"/>
          <w:kern w:val="2"/>
          <w14:ligatures w14:val="standardContextual"/>
        </w:rPr>
        <w:t>5</w:t>
      </w:r>
      <w:r w:rsidR="0091104D" w:rsidRPr="00AB64EB">
        <w:rPr>
          <w:color w:val="0E2841" w:themeColor="text2"/>
          <w:kern w:val="2"/>
          <w14:ligatures w14:val="standardContextual"/>
        </w:rPr>
        <w:t xml:space="preserve"> </w:t>
      </w:r>
      <w:r w:rsidR="00692788" w:rsidRPr="00AB64EB">
        <w:rPr>
          <w:color w:val="0E2841" w:themeColor="text2"/>
          <w:kern w:val="2"/>
          <w14:ligatures w14:val="standardContextual"/>
        </w:rPr>
        <w:t xml:space="preserve">komunave që </w:t>
      </w:r>
      <w:r w:rsidR="00DD69D7" w:rsidRPr="00AB64EB">
        <w:rPr>
          <w:color w:val="0E2841" w:themeColor="text2"/>
          <w:kern w:val="2"/>
          <w14:ligatures w14:val="standardContextual"/>
        </w:rPr>
        <w:t>jan</w:t>
      </w:r>
      <w:r w:rsidR="00692788" w:rsidRPr="00AB64EB">
        <w:rPr>
          <w:color w:val="0E2841" w:themeColor="text2"/>
          <w:kern w:val="2"/>
          <w14:ligatures w14:val="standardContextual"/>
        </w:rPr>
        <w:t xml:space="preserve">ë kualifikuar për grantin e performancës komunale </w:t>
      </w:r>
      <w:bookmarkStart w:id="17" w:name="_Hlk177174118"/>
      <w:r w:rsidR="00692788" w:rsidRPr="00AB64EB">
        <w:rPr>
          <w:color w:val="0E2841" w:themeColor="text2"/>
          <w:kern w:val="2"/>
          <w14:ligatures w14:val="standardContextual"/>
        </w:rPr>
        <w:t xml:space="preserve">është </w:t>
      </w:r>
      <w:r w:rsidR="00B559BF" w:rsidRPr="00AB64EB">
        <w:rPr>
          <w:color w:val="0E2841" w:themeColor="text2"/>
          <w:kern w:val="2"/>
          <w14:ligatures w14:val="standardContextual"/>
        </w:rPr>
        <w:t>46.3</w:t>
      </w:r>
      <w:r w:rsidR="004F44EC" w:rsidRPr="00AB64EB">
        <w:rPr>
          <w:color w:val="0E2841" w:themeColor="text2"/>
          <w:kern w:val="2"/>
          <w14:ligatures w14:val="standardContextual"/>
        </w:rPr>
        <w:t>%</w:t>
      </w:r>
      <w:r w:rsidR="009A4BC1" w:rsidRPr="00AB64EB">
        <w:rPr>
          <w:color w:val="0E2841" w:themeColor="text2"/>
          <w:kern w:val="2"/>
          <w14:ligatures w14:val="standardContextual"/>
        </w:rPr>
        <w:t xml:space="preserve"> </w:t>
      </w:r>
      <w:r w:rsidR="00692788" w:rsidRPr="00AB64EB">
        <w:rPr>
          <w:color w:val="0E2841" w:themeColor="text2"/>
          <w:kern w:val="2"/>
          <w14:ligatures w14:val="standardContextual"/>
        </w:rPr>
        <w:t>(</w:t>
      </w:r>
      <w:r w:rsidR="00B559BF" w:rsidRPr="00AB64EB">
        <w:rPr>
          <w:color w:val="0E2841" w:themeColor="text2"/>
          <w:kern w:val="2"/>
          <w14:ligatures w14:val="standardContextual"/>
        </w:rPr>
        <w:t>45.4</w:t>
      </w:r>
      <w:r w:rsidR="00692788" w:rsidRPr="00AB64EB">
        <w:rPr>
          <w:color w:val="0E2841" w:themeColor="text2"/>
          <w:kern w:val="2"/>
          <w14:ligatures w14:val="standardContextual"/>
        </w:rPr>
        <w:t xml:space="preserve"> pikë nga gjithsej 9</w:t>
      </w:r>
      <w:r w:rsidR="00065F18" w:rsidRPr="00AB64EB">
        <w:rPr>
          <w:color w:val="0E2841" w:themeColor="text2"/>
          <w:kern w:val="2"/>
          <w14:ligatures w14:val="standardContextual"/>
        </w:rPr>
        <w:t>8</w:t>
      </w:r>
      <w:r w:rsidR="00692788" w:rsidRPr="00AB64EB">
        <w:rPr>
          <w:color w:val="0E2841" w:themeColor="text2"/>
          <w:kern w:val="2"/>
          <w14:ligatures w14:val="standardContextual"/>
        </w:rPr>
        <w:t xml:space="preserve"> pikë të mundshme</w:t>
      </w:r>
      <w:bookmarkEnd w:id="17"/>
      <w:r w:rsidR="00692788" w:rsidRPr="00AB64EB">
        <w:rPr>
          <w:color w:val="0E2841" w:themeColor="text2"/>
          <w:kern w:val="2"/>
          <w14:ligatures w14:val="standardContextual"/>
        </w:rPr>
        <w:t xml:space="preserve">). </w:t>
      </w:r>
      <w:bookmarkEnd w:id="16"/>
    </w:p>
    <w:p w:rsidR="00B335BF" w:rsidRPr="00272DBB" w:rsidRDefault="00FD3BD3" w:rsidP="00E76ED8">
      <w:pPr>
        <w:spacing w:before="60" w:after="0" w:line="264" w:lineRule="auto"/>
        <w:jc w:val="both"/>
        <w:rPr>
          <w:color w:val="0E2841" w:themeColor="text2"/>
          <w:kern w:val="2"/>
          <w:highlight w:val="yellow"/>
          <w14:ligatures w14:val="standardContextual"/>
        </w:rPr>
      </w:pPr>
      <w:r w:rsidRPr="00AB64EB">
        <w:rPr>
          <w:noProof/>
          <w:lang w:val="en-GB" w:eastAsia="en-GB"/>
        </w:rPr>
        <w:drawing>
          <wp:anchor distT="0" distB="0" distL="114300" distR="114300" simplePos="0" relativeHeight="251664384" behindDoc="0" locked="0" layoutInCell="1" allowOverlap="1" wp14:anchorId="426634BD" wp14:editId="660215E4">
            <wp:simplePos x="0" y="0"/>
            <wp:positionH relativeFrom="margin">
              <wp:align>left</wp:align>
            </wp:positionH>
            <wp:positionV relativeFrom="paragraph">
              <wp:posOffset>38735</wp:posOffset>
            </wp:positionV>
            <wp:extent cx="762000" cy="510540"/>
            <wp:effectExtent l="0" t="0" r="0" b="3810"/>
            <wp:wrapThrough wrapText="bothSides">
              <wp:wrapPolygon edited="0">
                <wp:start x="0" y="0"/>
                <wp:lineTo x="0" y="20955"/>
                <wp:lineTo x="21060" y="20955"/>
                <wp:lineTo x="21060" y="0"/>
                <wp:lineTo x="0" y="0"/>
              </wp:wrapPolygon>
            </wp:wrapThrough>
            <wp:docPr id="1013863154" name="Picture 4" descr="Pen pointing to a graph on 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63154" name="Picture 1013863154" descr="Pen pointing to a graph on a scree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2000" cy="510540"/>
                    </a:xfrm>
                    <a:prstGeom prst="rect">
                      <a:avLst/>
                    </a:prstGeom>
                  </pic:spPr>
                </pic:pic>
              </a:graphicData>
            </a:graphic>
            <wp14:sizeRelH relativeFrom="margin">
              <wp14:pctWidth>0</wp14:pctWidth>
            </wp14:sizeRelH>
            <wp14:sizeRelV relativeFrom="margin">
              <wp14:pctHeight>0</wp14:pctHeight>
            </wp14:sizeRelV>
          </wp:anchor>
        </w:drawing>
      </w:r>
      <w:r w:rsidR="00C164C4" w:rsidRPr="00AB64EB">
        <w:rPr>
          <w:color w:val="0E2841" w:themeColor="text2"/>
          <w:kern w:val="2"/>
          <w14:ligatures w14:val="standardContextual"/>
        </w:rPr>
        <w:t xml:space="preserve">Performanca e përgjithshme e 38 komunave ka pasur </w:t>
      </w:r>
      <w:r w:rsidR="00B559BF" w:rsidRPr="00AB64EB">
        <w:rPr>
          <w:color w:val="0E2841" w:themeColor="text2"/>
          <w:kern w:val="2"/>
          <w14:ligatures w14:val="standardContextual"/>
        </w:rPr>
        <w:t>ulje</w:t>
      </w:r>
      <w:r w:rsidR="00C164C4" w:rsidRPr="00AB64EB">
        <w:rPr>
          <w:color w:val="0E2841" w:themeColor="text2"/>
          <w:kern w:val="2"/>
          <w14:ligatures w14:val="standardContextual"/>
        </w:rPr>
        <w:t xml:space="preserve"> nga viti i kaluar</w:t>
      </w:r>
      <w:r w:rsidR="00B559BF" w:rsidRPr="00AB64EB">
        <w:rPr>
          <w:color w:val="0E2841" w:themeColor="text2"/>
          <w:kern w:val="2"/>
          <w14:ligatures w14:val="standardContextual"/>
        </w:rPr>
        <w:t>.</w:t>
      </w:r>
      <w:r w:rsidR="00C164C4" w:rsidRPr="00AB64EB">
        <w:rPr>
          <w:color w:val="0E2841" w:themeColor="text2"/>
          <w:kern w:val="2"/>
          <w14:ligatures w14:val="standardContextual"/>
        </w:rPr>
        <w:t xml:space="preserve"> </w:t>
      </w:r>
      <w:r w:rsidR="00B559BF" w:rsidRPr="00AB64EB">
        <w:rPr>
          <w:color w:val="0E2841" w:themeColor="text2"/>
          <w:kern w:val="2"/>
          <w14:ligatures w14:val="standardContextual"/>
        </w:rPr>
        <w:t>Në 41.8</w:t>
      </w:r>
      <w:r w:rsidR="00C164C4" w:rsidRPr="00AB64EB">
        <w:rPr>
          <w:color w:val="0E2841" w:themeColor="text2"/>
          <w:kern w:val="2"/>
          <w14:ligatures w14:val="standardContextual"/>
        </w:rPr>
        <w:t xml:space="preserve">% </w:t>
      </w:r>
      <w:r w:rsidR="00B559BF" w:rsidRPr="00AB64EB">
        <w:rPr>
          <w:color w:val="0E2841" w:themeColor="text2"/>
          <w:kern w:val="2"/>
          <w14:ligatures w14:val="standardContextual"/>
        </w:rPr>
        <w:t xml:space="preserve">krahsuar me 47.7% </w:t>
      </w:r>
      <w:r w:rsidR="00C164C4" w:rsidRPr="00AB64EB">
        <w:rPr>
          <w:color w:val="0E2841" w:themeColor="text2"/>
          <w:kern w:val="2"/>
          <w14:ligatures w14:val="standardContextual"/>
        </w:rPr>
        <w:t xml:space="preserve"> në vitin 202</w:t>
      </w:r>
      <w:r w:rsidR="00B559BF" w:rsidRPr="00AB64EB">
        <w:rPr>
          <w:color w:val="0E2841" w:themeColor="text2"/>
          <w:kern w:val="2"/>
          <w14:ligatures w14:val="standardContextual"/>
        </w:rPr>
        <w:t>3 dhe 42.1</w:t>
      </w:r>
      <w:r w:rsidR="00C164C4" w:rsidRPr="00AB64EB">
        <w:rPr>
          <w:color w:val="0E2841" w:themeColor="text2"/>
          <w:kern w:val="2"/>
          <w14:ligatures w14:val="standardContextual"/>
        </w:rPr>
        <w:t xml:space="preserve"> </w:t>
      </w:r>
      <w:r w:rsidR="002A0C26" w:rsidRPr="00AB64EB">
        <w:rPr>
          <w:color w:val="0E2841" w:themeColor="text2"/>
          <w:kern w:val="2"/>
          <w14:ligatures w14:val="standardContextual"/>
        </w:rPr>
        <w:t xml:space="preserve">në vitin </w:t>
      </w:r>
      <w:r w:rsidR="002A0C26" w:rsidRPr="00C346B0">
        <w:rPr>
          <w:color w:val="0E2841" w:themeColor="text2"/>
          <w:kern w:val="2"/>
          <w14:ligatures w14:val="standardContextual"/>
        </w:rPr>
        <w:t>2022</w:t>
      </w:r>
      <w:r w:rsidR="00C164C4" w:rsidRPr="00C346B0">
        <w:rPr>
          <w:color w:val="0E2841" w:themeColor="text2"/>
          <w:kern w:val="2"/>
          <w14:ligatures w14:val="standardContextual"/>
        </w:rPr>
        <w:t>.</w:t>
      </w:r>
    </w:p>
    <w:p w:rsidR="003C44BC" w:rsidRPr="00272DBB" w:rsidRDefault="003C44BC" w:rsidP="00E76ED8">
      <w:pPr>
        <w:spacing w:before="60" w:after="0" w:line="264" w:lineRule="auto"/>
        <w:jc w:val="both"/>
        <w:rPr>
          <w:color w:val="0E2841" w:themeColor="text2"/>
          <w:kern w:val="2"/>
          <w:highlight w:val="yellow"/>
          <w14:ligatures w14:val="standardContextual"/>
        </w:rPr>
      </w:pPr>
    </w:p>
    <w:p w:rsidR="00384EAC" w:rsidRPr="00AB64EB" w:rsidRDefault="00E76ED8" w:rsidP="00384EAC">
      <w:pPr>
        <w:spacing w:after="0" w:line="264" w:lineRule="auto"/>
        <w:jc w:val="both"/>
        <w:rPr>
          <w:color w:val="0E2841" w:themeColor="text2"/>
          <w:kern w:val="2"/>
          <w14:ligatures w14:val="standardContextual"/>
        </w:rPr>
      </w:pPr>
      <w:r w:rsidRPr="00AB64EB">
        <w:rPr>
          <w:noProof/>
          <w:color w:val="0E2841" w:themeColor="text2"/>
          <w:kern w:val="2"/>
          <w:lang w:val="en-GB" w:eastAsia="en-GB"/>
          <w14:ligatures w14:val="standardContextual"/>
        </w:rPr>
        <w:drawing>
          <wp:anchor distT="0" distB="0" distL="114300" distR="114300" simplePos="0" relativeHeight="251665408" behindDoc="0" locked="0" layoutInCell="1" allowOverlap="1" wp14:anchorId="790EC6DB" wp14:editId="46EFC980">
            <wp:simplePos x="0" y="0"/>
            <wp:positionH relativeFrom="margin">
              <wp:align>left</wp:align>
            </wp:positionH>
            <wp:positionV relativeFrom="paragraph">
              <wp:posOffset>7620</wp:posOffset>
            </wp:positionV>
            <wp:extent cx="739140" cy="472440"/>
            <wp:effectExtent l="0" t="0" r="3810" b="3810"/>
            <wp:wrapSquare wrapText="bothSides"/>
            <wp:docPr id="1380672308" name="Picture 2" descr="Pie chart and st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72308" name="Picture 1380672308" descr="Pie chart and stack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9140" cy="472440"/>
                    </a:xfrm>
                    <a:prstGeom prst="rect">
                      <a:avLst/>
                    </a:prstGeom>
                  </pic:spPr>
                </pic:pic>
              </a:graphicData>
            </a:graphic>
            <wp14:sizeRelH relativeFrom="margin">
              <wp14:pctWidth>0</wp14:pctWidth>
            </wp14:sizeRelH>
            <wp14:sizeRelV relativeFrom="margin">
              <wp14:pctHeight>0</wp14:pctHeight>
            </wp14:sizeRelV>
          </wp:anchor>
        </w:drawing>
      </w:r>
      <w:r w:rsidR="002A0C26" w:rsidRPr="00AB64EB">
        <w:rPr>
          <w:color w:val="0E2841" w:themeColor="text2"/>
          <w:kern w:val="2"/>
          <w14:ligatures w14:val="standardContextual"/>
        </w:rPr>
        <w:t>17</w:t>
      </w:r>
      <w:r w:rsidRPr="00AB64EB">
        <w:rPr>
          <w:color w:val="0E2841" w:themeColor="text2"/>
          <w:kern w:val="2"/>
          <w14:ligatures w14:val="standardContextual"/>
        </w:rPr>
        <w:t xml:space="preserve"> nga 38 komunat (</w:t>
      </w:r>
      <w:r w:rsidR="002A0C26" w:rsidRPr="00AB64EB">
        <w:rPr>
          <w:color w:val="0E2841" w:themeColor="text2"/>
          <w:kern w:val="2"/>
          <w14:ligatures w14:val="standardContextual"/>
        </w:rPr>
        <w:t>44.7</w:t>
      </w:r>
      <w:r w:rsidRPr="00AB64EB">
        <w:rPr>
          <w:color w:val="0E2841" w:themeColor="text2"/>
          <w:kern w:val="2"/>
          <w14:ligatures w14:val="standardContextual"/>
        </w:rPr>
        <w:t>%) kanë arritur një performancë të përgjithshme mbi 50% në 2</w:t>
      </w:r>
      <w:r w:rsidR="002A0C26" w:rsidRPr="00AB64EB">
        <w:rPr>
          <w:color w:val="0E2841" w:themeColor="text2"/>
          <w:kern w:val="2"/>
          <w14:ligatures w14:val="standardContextual"/>
        </w:rPr>
        <w:t>9</w:t>
      </w:r>
      <w:r w:rsidRPr="00AB64EB">
        <w:rPr>
          <w:color w:val="0E2841" w:themeColor="text2"/>
          <w:kern w:val="2"/>
          <w14:ligatures w14:val="standardContextual"/>
        </w:rPr>
        <w:t xml:space="preserve"> treguesit e performancës.  Ndërsa, te</w:t>
      </w:r>
      <w:r w:rsidR="002A0C26" w:rsidRPr="00AB64EB">
        <w:rPr>
          <w:color w:val="0E2841" w:themeColor="text2"/>
          <w:kern w:val="2"/>
          <w14:ligatures w14:val="standardContextual"/>
        </w:rPr>
        <w:t>k komunat përfituese të GPK 2026</w:t>
      </w:r>
      <w:r w:rsidRPr="00AB64EB">
        <w:rPr>
          <w:color w:val="0E2841" w:themeColor="text2"/>
          <w:kern w:val="2"/>
          <w14:ligatures w14:val="standardContextual"/>
        </w:rPr>
        <w:t xml:space="preserve">, </w:t>
      </w:r>
      <w:r w:rsidR="002A0C26" w:rsidRPr="00AB64EB">
        <w:rPr>
          <w:color w:val="0E2841" w:themeColor="text2"/>
          <w:kern w:val="2"/>
          <w14:ligatures w14:val="standardContextual"/>
        </w:rPr>
        <w:t>3</w:t>
      </w:r>
      <w:r w:rsidRPr="00AB64EB">
        <w:rPr>
          <w:color w:val="0E2841" w:themeColor="text2"/>
          <w:kern w:val="2"/>
          <w14:ligatures w14:val="standardContextual"/>
        </w:rPr>
        <w:t xml:space="preserve"> nga </w:t>
      </w:r>
      <w:r w:rsidR="002A0C26" w:rsidRPr="00AB64EB">
        <w:rPr>
          <w:color w:val="0E2841" w:themeColor="text2"/>
          <w:kern w:val="2"/>
          <w14:ligatures w14:val="standardContextual"/>
        </w:rPr>
        <w:t>5</w:t>
      </w:r>
      <w:r w:rsidRPr="00AB64EB">
        <w:rPr>
          <w:color w:val="0E2841" w:themeColor="text2"/>
          <w:kern w:val="2"/>
          <w14:ligatures w14:val="standardContextual"/>
        </w:rPr>
        <w:t xml:space="preserve"> apo </w:t>
      </w:r>
      <w:r w:rsidR="002A0C26" w:rsidRPr="00AB64EB">
        <w:rPr>
          <w:color w:val="0E2841" w:themeColor="text2"/>
          <w:kern w:val="2"/>
          <w14:ligatures w14:val="standardContextual"/>
        </w:rPr>
        <w:t>60.0</w:t>
      </w:r>
      <w:r w:rsidRPr="00AB64EB">
        <w:rPr>
          <w:color w:val="0E2841" w:themeColor="text2"/>
          <w:kern w:val="2"/>
          <w14:ligatures w14:val="standardContextual"/>
        </w:rPr>
        <w:t xml:space="preserve">% kanë arritur performancë mbi mesataren. </w:t>
      </w:r>
      <w:bookmarkStart w:id="18" w:name="_Hlk174608922"/>
    </w:p>
    <w:p w:rsidR="00DE557E" w:rsidRPr="00AB64EB" w:rsidRDefault="00384EAC" w:rsidP="00384EAC">
      <w:pPr>
        <w:spacing w:after="0" w:line="264" w:lineRule="auto"/>
        <w:jc w:val="both"/>
        <w:rPr>
          <w:rFonts w:cstheme="majorHAnsi"/>
          <w:color w:val="0E2841" w:themeColor="text2"/>
        </w:rPr>
      </w:pPr>
      <w:r w:rsidRPr="00AB64EB">
        <w:rPr>
          <w:noProof/>
          <w:lang w:val="en-GB" w:eastAsia="en-GB"/>
        </w:rPr>
        <w:drawing>
          <wp:anchor distT="0" distB="0" distL="114300" distR="114300" simplePos="0" relativeHeight="251666432" behindDoc="0" locked="0" layoutInCell="1" allowOverlap="1" wp14:anchorId="78121CC5" wp14:editId="69E6B9A2">
            <wp:simplePos x="0" y="0"/>
            <wp:positionH relativeFrom="margin">
              <wp:align>left</wp:align>
            </wp:positionH>
            <wp:positionV relativeFrom="paragraph">
              <wp:posOffset>4445</wp:posOffset>
            </wp:positionV>
            <wp:extent cx="746760" cy="586740"/>
            <wp:effectExtent l="0" t="0" r="0" b="3810"/>
            <wp:wrapThrough wrapText="bothSides">
              <wp:wrapPolygon edited="0">
                <wp:start x="0" y="0"/>
                <wp:lineTo x="0" y="21039"/>
                <wp:lineTo x="20939" y="21039"/>
                <wp:lineTo x="20939" y="0"/>
                <wp:lineTo x="0" y="0"/>
              </wp:wrapPolygon>
            </wp:wrapThrough>
            <wp:docPr id="104672481" name="Picture 5" descr="A map of the republic of kosov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2481" name="Picture 5" descr="A map of the republic of kosov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6760" cy="586740"/>
                    </a:xfrm>
                    <a:prstGeom prst="rect">
                      <a:avLst/>
                    </a:prstGeom>
                  </pic:spPr>
                </pic:pic>
              </a:graphicData>
            </a:graphic>
            <wp14:sizeRelH relativeFrom="margin">
              <wp14:pctWidth>0</wp14:pctWidth>
            </wp14:sizeRelH>
            <wp14:sizeRelV relativeFrom="margin">
              <wp14:pctHeight>0</wp14:pctHeight>
            </wp14:sizeRelV>
          </wp:anchor>
        </w:drawing>
      </w:r>
      <w:r w:rsidR="00DE557E" w:rsidRPr="00AB64EB">
        <w:rPr>
          <w:rFonts w:cstheme="majorHAnsi"/>
          <w:color w:val="0E2841" w:themeColor="text2"/>
        </w:rPr>
        <w:t>Komuna me performancën më të lartë në 2</w:t>
      </w:r>
      <w:r w:rsidR="00065F18" w:rsidRPr="00AB64EB">
        <w:rPr>
          <w:rFonts w:cstheme="majorHAnsi"/>
          <w:color w:val="0E2841" w:themeColor="text2"/>
        </w:rPr>
        <w:t>9</w:t>
      </w:r>
      <w:r w:rsidR="00DE557E" w:rsidRPr="00AB64EB">
        <w:rPr>
          <w:rFonts w:cstheme="majorHAnsi"/>
          <w:color w:val="0E2841" w:themeColor="text2"/>
        </w:rPr>
        <w:t xml:space="preserve"> treguesit e performancës së vitit 202</w:t>
      </w:r>
      <w:r w:rsidR="00065F18" w:rsidRPr="00AB64EB">
        <w:rPr>
          <w:rFonts w:cstheme="majorHAnsi"/>
          <w:color w:val="0E2841" w:themeColor="text2"/>
        </w:rPr>
        <w:t>4</w:t>
      </w:r>
      <w:r w:rsidR="00DE557E" w:rsidRPr="00AB64EB">
        <w:rPr>
          <w:rFonts w:cstheme="majorHAnsi"/>
          <w:color w:val="0E2841" w:themeColor="text2"/>
        </w:rPr>
        <w:t xml:space="preserve"> është Komuna e </w:t>
      </w:r>
      <w:r w:rsidR="00733023" w:rsidRPr="00AB64EB">
        <w:rPr>
          <w:rFonts w:cstheme="majorHAnsi"/>
          <w:color w:val="0E2841" w:themeColor="text2"/>
        </w:rPr>
        <w:t xml:space="preserve">Gllogovcit. </w:t>
      </w:r>
      <w:r w:rsidR="00DE557E" w:rsidRPr="00AB64EB">
        <w:rPr>
          <w:rFonts w:cstheme="majorHAnsi"/>
          <w:color w:val="0E2841" w:themeColor="text2"/>
        </w:rPr>
        <w:t xml:space="preserve">Rezultati i përgjithshëm i performancës së </w:t>
      </w:r>
      <w:r w:rsidR="009569BD" w:rsidRPr="00AB64EB">
        <w:rPr>
          <w:rFonts w:cstheme="majorHAnsi"/>
          <w:color w:val="0E2841" w:themeColor="text2"/>
        </w:rPr>
        <w:t xml:space="preserve">kësaj komune </w:t>
      </w:r>
      <w:r w:rsidR="00DE557E" w:rsidRPr="00AB64EB">
        <w:rPr>
          <w:rFonts w:cstheme="majorHAnsi"/>
          <w:color w:val="0E2841" w:themeColor="text2"/>
        </w:rPr>
        <w:t>është</w:t>
      </w:r>
      <w:r w:rsidR="00733023" w:rsidRPr="00AB64EB">
        <w:rPr>
          <w:rFonts w:cstheme="majorHAnsi"/>
          <w:color w:val="0E2841" w:themeColor="text2"/>
        </w:rPr>
        <w:t xml:space="preserve"> </w:t>
      </w:r>
      <w:r w:rsidR="002A0C26" w:rsidRPr="00AB64EB">
        <w:rPr>
          <w:rFonts w:cstheme="majorHAnsi"/>
          <w:color w:val="0E2841" w:themeColor="text2"/>
        </w:rPr>
        <w:t>75</w:t>
      </w:r>
      <w:r w:rsidR="00733023" w:rsidRPr="00AB64EB">
        <w:rPr>
          <w:rFonts w:cstheme="majorHAnsi"/>
          <w:color w:val="0E2841" w:themeColor="text2"/>
        </w:rPr>
        <w:t xml:space="preserve"> </w:t>
      </w:r>
      <w:r w:rsidR="002A0C26" w:rsidRPr="00AB64EB">
        <w:rPr>
          <w:rFonts w:cstheme="majorHAnsi"/>
          <w:color w:val="0E2841" w:themeColor="text2"/>
        </w:rPr>
        <w:t>nga 98</w:t>
      </w:r>
      <w:r w:rsidR="00DE557E" w:rsidRPr="00AB64EB">
        <w:rPr>
          <w:rFonts w:cstheme="majorHAnsi"/>
          <w:color w:val="0E2841" w:themeColor="text2"/>
        </w:rPr>
        <w:t xml:space="preserve"> pikë të mundshme </w:t>
      </w:r>
      <w:r w:rsidR="00B5078D" w:rsidRPr="00AB64EB">
        <w:rPr>
          <w:rFonts w:cstheme="majorHAnsi"/>
          <w:color w:val="0E2841" w:themeColor="text2"/>
        </w:rPr>
        <w:t>(</w:t>
      </w:r>
      <w:r w:rsidR="002A0C26" w:rsidRPr="00AB64EB">
        <w:rPr>
          <w:rFonts w:cstheme="majorHAnsi"/>
          <w:color w:val="0E2841" w:themeColor="text2"/>
        </w:rPr>
        <w:t>76.5</w:t>
      </w:r>
      <w:r w:rsidR="00DE557E" w:rsidRPr="00AB64EB">
        <w:rPr>
          <w:rFonts w:cstheme="majorHAnsi"/>
          <w:color w:val="0E2841" w:themeColor="text2"/>
        </w:rPr>
        <w:t xml:space="preserve">%). </w:t>
      </w:r>
      <w:r w:rsidR="002A0C26" w:rsidRPr="00AB64EB">
        <w:rPr>
          <w:rFonts w:cstheme="majorHAnsi"/>
          <w:color w:val="0E2841" w:themeColor="text2"/>
        </w:rPr>
        <w:t xml:space="preserve">Nga komunat përfituese performancën më të lartë e ka komuna e Rahovecit 72 nga 98 pikë të mundshme (73.5%). </w:t>
      </w:r>
      <w:r w:rsidR="004E7718" w:rsidRPr="00AB64EB">
        <w:rPr>
          <w:rFonts w:cstheme="majorHAnsi"/>
          <w:color w:val="0E2841" w:themeColor="text2"/>
        </w:rPr>
        <w:t>Ndërsa, komuna me performancë</w:t>
      </w:r>
      <w:r w:rsidR="00BC4D82" w:rsidRPr="00AB64EB">
        <w:rPr>
          <w:rFonts w:cstheme="majorHAnsi"/>
          <w:color w:val="0E2841" w:themeColor="text2"/>
        </w:rPr>
        <w:t>n</w:t>
      </w:r>
      <w:r w:rsidR="004E7718" w:rsidRPr="00AB64EB">
        <w:rPr>
          <w:rFonts w:cstheme="majorHAnsi"/>
          <w:color w:val="0E2841" w:themeColor="text2"/>
        </w:rPr>
        <w:t xml:space="preserve"> më të ulët është komuna e </w:t>
      </w:r>
      <w:r w:rsidR="00F13D0A" w:rsidRPr="00AB64EB">
        <w:rPr>
          <w:rFonts w:ascii="Times New Roman" w:eastAsia="Times New Roman" w:hAnsi="Times New Roman" w:cs="Times New Roman"/>
          <w:sz w:val="24"/>
          <w:szCs w:val="24"/>
          <w:lang w:val="de-DE"/>
        </w:rPr>
        <w:t>`</w:t>
      </w:r>
      <w:r w:rsidR="002A0C26" w:rsidRPr="00AB64EB">
        <w:rPr>
          <w:rFonts w:cstheme="majorHAnsi"/>
          <w:color w:val="0E2841" w:themeColor="text2"/>
        </w:rPr>
        <w:t>Novobërdës me 2.04</w:t>
      </w:r>
      <w:r w:rsidR="004E7718" w:rsidRPr="00AB64EB">
        <w:rPr>
          <w:rFonts w:cstheme="majorHAnsi"/>
          <w:color w:val="0E2841" w:themeColor="text2"/>
        </w:rPr>
        <w:t xml:space="preserve">%. </w:t>
      </w:r>
      <w:r w:rsidR="00BC4D82" w:rsidRPr="00AB64EB">
        <w:rPr>
          <w:rFonts w:cstheme="majorHAnsi"/>
          <w:color w:val="0E2841" w:themeColor="text2"/>
        </w:rPr>
        <w:t>N</w:t>
      </w:r>
      <w:r w:rsidR="004E7718" w:rsidRPr="00AB64EB">
        <w:rPr>
          <w:rFonts w:cstheme="majorHAnsi"/>
          <w:color w:val="0E2841" w:themeColor="text2"/>
        </w:rPr>
        <w:t>ga komunat përfituese të</w:t>
      </w:r>
      <w:r w:rsidR="00E76ED8" w:rsidRPr="00AB64EB">
        <w:rPr>
          <w:rFonts w:cstheme="majorHAnsi"/>
          <w:color w:val="0E2841" w:themeColor="text2"/>
        </w:rPr>
        <w:t xml:space="preserve"> </w:t>
      </w:r>
      <w:r w:rsidR="004E7718" w:rsidRPr="00AB64EB">
        <w:rPr>
          <w:rFonts w:cstheme="majorHAnsi"/>
          <w:color w:val="0E2841" w:themeColor="text2"/>
        </w:rPr>
        <w:t>Grantit, k</w:t>
      </w:r>
      <w:r w:rsidR="00DE557E" w:rsidRPr="00AB64EB">
        <w:rPr>
          <w:rFonts w:cstheme="majorHAnsi"/>
          <w:color w:val="0E2841" w:themeColor="text2"/>
        </w:rPr>
        <w:t>omunat me performancë më të ulët ë</w:t>
      </w:r>
      <w:r w:rsidR="000D037C" w:rsidRPr="00AB64EB">
        <w:rPr>
          <w:rFonts w:cstheme="majorHAnsi"/>
          <w:color w:val="0E2841" w:themeColor="text2"/>
        </w:rPr>
        <w:t>shtë</w:t>
      </w:r>
      <w:r w:rsidR="00DE557E" w:rsidRPr="00AB64EB">
        <w:rPr>
          <w:rFonts w:cstheme="majorHAnsi"/>
          <w:color w:val="0E2841" w:themeColor="text2"/>
        </w:rPr>
        <w:t xml:space="preserve"> komuna e Parteshit</w:t>
      </w:r>
      <w:r w:rsidR="004B356B" w:rsidRPr="00AB64EB">
        <w:rPr>
          <w:rFonts w:cstheme="majorHAnsi"/>
          <w:color w:val="0E2841" w:themeColor="text2"/>
        </w:rPr>
        <w:t xml:space="preserve"> me </w:t>
      </w:r>
      <w:r w:rsidR="002A0C26" w:rsidRPr="00AB64EB">
        <w:rPr>
          <w:rFonts w:cstheme="majorHAnsi"/>
          <w:color w:val="0E2841" w:themeColor="text2"/>
        </w:rPr>
        <w:t>11.2</w:t>
      </w:r>
      <w:r w:rsidR="004B356B" w:rsidRPr="00AB64EB">
        <w:rPr>
          <w:rFonts w:cstheme="majorHAnsi"/>
          <w:color w:val="0E2841" w:themeColor="text2"/>
        </w:rPr>
        <w:t xml:space="preserve">% apo </w:t>
      </w:r>
      <w:r w:rsidR="002A0C26" w:rsidRPr="00AB64EB">
        <w:rPr>
          <w:rFonts w:cstheme="majorHAnsi"/>
          <w:color w:val="0E2841" w:themeColor="text2"/>
        </w:rPr>
        <w:t>11</w:t>
      </w:r>
      <w:r w:rsidR="004B356B" w:rsidRPr="00AB64EB">
        <w:rPr>
          <w:rFonts w:cstheme="majorHAnsi"/>
          <w:color w:val="0E2841" w:themeColor="text2"/>
        </w:rPr>
        <w:t xml:space="preserve"> pikë nga 9</w:t>
      </w:r>
      <w:r w:rsidR="002A0C26" w:rsidRPr="00AB64EB">
        <w:rPr>
          <w:rFonts w:cstheme="majorHAnsi"/>
          <w:color w:val="0E2841" w:themeColor="text2"/>
        </w:rPr>
        <w:t>8</w:t>
      </w:r>
      <w:r w:rsidR="004B356B" w:rsidRPr="00AB64EB">
        <w:rPr>
          <w:rFonts w:cstheme="majorHAnsi"/>
          <w:color w:val="0E2841" w:themeColor="text2"/>
        </w:rPr>
        <w:t xml:space="preserve"> pikë të mundshme</w:t>
      </w:r>
      <w:r w:rsidR="004E7718" w:rsidRPr="00AB64EB">
        <w:rPr>
          <w:rFonts w:cstheme="majorHAnsi"/>
          <w:color w:val="0E2841" w:themeColor="text2"/>
        </w:rPr>
        <w:t>.</w:t>
      </w:r>
      <w:r w:rsidR="00DE557E" w:rsidRPr="00AB64EB">
        <w:rPr>
          <w:rFonts w:cstheme="majorHAnsi"/>
          <w:color w:val="0E2841" w:themeColor="text2"/>
        </w:rPr>
        <w:t xml:space="preserve"> </w:t>
      </w:r>
    </w:p>
    <w:p w:rsidR="005C6CF5" w:rsidRPr="00734C8B" w:rsidRDefault="002A0C26" w:rsidP="008111DB">
      <w:pPr>
        <w:jc w:val="both"/>
        <w:rPr>
          <w:rFonts w:cstheme="majorHAnsi"/>
          <w:color w:val="0E2841" w:themeColor="text2"/>
        </w:rPr>
      </w:pPr>
      <w:r w:rsidRPr="00AB64EB">
        <w:rPr>
          <w:rFonts w:cstheme="majorHAnsi"/>
          <w:color w:val="0E2841" w:themeColor="text2"/>
        </w:rPr>
        <w:lastRenderedPageBreak/>
        <w:t>5</w:t>
      </w:r>
      <w:r w:rsidR="00EC5CF8" w:rsidRPr="00AB64EB">
        <w:rPr>
          <w:rFonts w:cstheme="majorHAnsi"/>
          <w:color w:val="0E2841" w:themeColor="text2"/>
        </w:rPr>
        <w:t xml:space="preserve"> </w:t>
      </w:r>
      <w:r w:rsidR="00DE557E" w:rsidRPr="00AB64EB">
        <w:rPr>
          <w:rFonts w:cstheme="majorHAnsi"/>
          <w:color w:val="0E2841" w:themeColor="text2"/>
        </w:rPr>
        <w:t>komunat përfituese kanë arritur një performancë të përgjithshme ndërmjet</w:t>
      </w:r>
      <w:r w:rsidR="00733023" w:rsidRPr="00AB64EB">
        <w:rPr>
          <w:rFonts w:cstheme="majorHAnsi"/>
          <w:color w:val="0E2841" w:themeColor="text2"/>
        </w:rPr>
        <w:t xml:space="preserve"> </w:t>
      </w:r>
      <w:r w:rsidRPr="00AB64EB">
        <w:rPr>
          <w:rFonts w:cstheme="majorHAnsi"/>
          <w:color w:val="0E2841" w:themeColor="text2"/>
        </w:rPr>
        <w:t>11</w:t>
      </w:r>
      <w:r w:rsidR="00DE557E" w:rsidRPr="00AB64EB">
        <w:rPr>
          <w:rFonts w:cstheme="majorHAnsi"/>
          <w:color w:val="0E2841" w:themeColor="text2"/>
        </w:rPr>
        <w:t xml:space="preserve"> (</w:t>
      </w:r>
      <w:r w:rsidRPr="00AB64EB">
        <w:rPr>
          <w:rFonts w:cstheme="majorHAnsi"/>
          <w:color w:val="0E2841" w:themeColor="text2"/>
        </w:rPr>
        <w:t>11.2</w:t>
      </w:r>
      <w:r w:rsidR="00DE557E" w:rsidRPr="00AB64EB">
        <w:rPr>
          <w:rFonts w:cstheme="majorHAnsi"/>
          <w:color w:val="0E2841" w:themeColor="text2"/>
        </w:rPr>
        <w:t xml:space="preserve">%) dhe </w:t>
      </w:r>
      <w:r w:rsidRPr="00AB64EB">
        <w:rPr>
          <w:rFonts w:cstheme="majorHAnsi"/>
          <w:color w:val="0E2841" w:themeColor="text2"/>
        </w:rPr>
        <w:t>72</w:t>
      </w:r>
      <w:r w:rsidR="00DE557E" w:rsidRPr="00AB64EB">
        <w:rPr>
          <w:rFonts w:cstheme="majorHAnsi"/>
          <w:color w:val="0E2841" w:themeColor="text2"/>
        </w:rPr>
        <w:t xml:space="preserve"> pikëve (</w:t>
      </w:r>
      <w:r w:rsidRPr="00AB64EB">
        <w:rPr>
          <w:rFonts w:cstheme="majorHAnsi"/>
          <w:color w:val="0E2841" w:themeColor="text2"/>
        </w:rPr>
        <w:t>73.5</w:t>
      </w:r>
      <w:r w:rsidR="00DE557E" w:rsidRPr="00AB64EB">
        <w:rPr>
          <w:rFonts w:cstheme="majorHAnsi"/>
          <w:color w:val="0E2841" w:themeColor="text2"/>
        </w:rPr>
        <w:t>%).</w:t>
      </w:r>
      <w:bookmarkEnd w:id="15"/>
      <w:bookmarkEnd w:id="18"/>
    </w:p>
    <w:p w:rsidR="00C346B0" w:rsidRDefault="0011086A" w:rsidP="009B2A99">
      <w:pPr>
        <w:pStyle w:val="Caption"/>
        <w:jc w:val="both"/>
      </w:pPr>
      <w:r>
        <w:rPr>
          <w:noProof/>
          <w:lang w:val="en-GB" w:eastAsia="en-GB"/>
          <w14:ligatures w14:val="standardContextual"/>
        </w:rPr>
        <w:drawing>
          <wp:anchor distT="0" distB="0" distL="114300" distR="114300" simplePos="0" relativeHeight="251875328" behindDoc="0" locked="0" layoutInCell="1" allowOverlap="1" wp14:anchorId="1A701F64" wp14:editId="5A70FC9E">
            <wp:simplePos x="0" y="0"/>
            <wp:positionH relativeFrom="margin">
              <wp:posOffset>-635</wp:posOffset>
            </wp:positionH>
            <wp:positionV relativeFrom="page">
              <wp:posOffset>1615675</wp:posOffset>
            </wp:positionV>
            <wp:extent cx="3575685" cy="2724150"/>
            <wp:effectExtent l="0" t="0" r="5715" b="0"/>
            <wp:wrapSquare wrapText="bothSides"/>
            <wp:docPr id="39" name="Chart 39">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11B07DFC-952A-B7F6-433B-002F5917F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p>
    <w:p w:rsidR="00C346B0" w:rsidRDefault="00C346B0" w:rsidP="009B2A99">
      <w:pPr>
        <w:pStyle w:val="Caption"/>
        <w:jc w:val="both"/>
      </w:pPr>
    </w:p>
    <w:p w:rsidR="00C346B0" w:rsidRDefault="00C346B0" w:rsidP="009B2A99">
      <w:pPr>
        <w:pStyle w:val="Caption"/>
        <w:jc w:val="both"/>
      </w:pPr>
    </w:p>
    <w:p w:rsidR="00C346B0" w:rsidRPr="00C346B0" w:rsidRDefault="009B2A99" w:rsidP="00C346B0">
      <w:pPr>
        <w:pStyle w:val="Caption"/>
        <w:jc w:val="both"/>
        <w:rPr>
          <w:rFonts w:ascii="Aptos" w:hAnsi="Aptos"/>
          <w:i w:val="0"/>
          <w:iCs w:val="0"/>
          <w:kern w:val="2"/>
          <w14:ligatures w14:val="standardContextual"/>
        </w:rPr>
      </w:pPr>
      <w:r>
        <w:t xml:space="preserve">Grafiku </w:t>
      </w:r>
      <w:r>
        <w:fldChar w:fldCharType="begin"/>
      </w:r>
      <w:r>
        <w:instrText xml:space="preserve"> SEQ Figure \* ARABIC </w:instrText>
      </w:r>
      <w:r>
        <w:fldChar w:fldCharType="separate"/>
      </w:r>
      <w:r w:rsidR="00092DE1">
        <w:rPr>
          <w:noProof/>
        </w:rPr>
        <w:t>5</w:t>
      </w:r>
      <w:r>
        <w:fldChar w:fldCharType="end"/>
      </w:r>
      <w:r>
        <w:t xml:space="preserve"> </w:t>
      </w:r>
      <w:r w:rsidRPr="002A01B6">
        <w:t>Performanca mesatare e të gjitha komunave në GPK-së tri vitet e fundit</w:t>
      </w:r>
    </w:p>
    <w:p w:rsidR="005358F3" w:rsidRDefault="0059523B" w:rsidP="00692788">
      <w:pPr>
        <w:spacing w:before="60" w:after="0" w:line="264" w:lineRule="auto"/>
        <w:contextualSpacing/>
        <w:jc w:val="both"/>
        <w:rPr>
          <w:rFonts w:cstheme="majorHAnsi"/>
          <w:color w:val="0E2841" w:themeColor="text2"/>
        </w:rPr>
      </w:pPr>
      <w:r w:rsidRPr="00C346B0">
        <w:rPr>
          <w:rFonts w:cstheme="majorHAnsi"/>
          <w:color w:val="0E2841" w:themeColor="text2"/>
        </w:rPr>
        <w:t>Ashtu siç mund të vërehet nga grafiqet më lartë, performanca mesatare e të gjitha komunave në indikatorët e Grantit të Performancës Komunale ka pasur rritje</w:t>
      </w:r>
      <w:r w:rsidR="00CC6C01" w:rsidRPr="00C346B0">
        <w:rPr>
          <w:rFonts w:cstheme="majorHAnsi"/>
          <w:color w:val="0E2841" w:themeColor="text2"/>
        </w:rPr>
        <w:t xml:space="preserve"> dhe ulje</w:t>
      </w:r>
      <w:r w:rsidRPr="00C346B0">
        <w:rPr>
          <w:rFonts w:cstheme="majorHAnsi"/>
          <w:color w:val="0E2841" w:themeColor="text2"/>
        </w:rPr>
        <w:t xml:space="preserve"> në tri vitet e fundit. Nëse krahasojmë perfor</w:t>
      </w:r>
      <w:r w:rsidR="00CC6C01" w:rsidRPr="00C346B0">
        <w:rPr>
          <w:rFonts w:cstheme="majorHAnsi"/>
          <w:color w:val="0E2841" w:themeColor="text2"/>
        </w:rPr>
        <w:t>mancen mesatare me vitin 2025</w:t>
      </w:r>
      <w:r w:rsidRPr="00C346B0">
        <w:rPr>
          <w:rFonts w:cstheme="majorHAnsi"/>
          <w:color w:val="0E2841" w:themeColor="text2"/>
        </w:rPr>
        <w:t xml:space="preserve"> kemi </w:t>
      </w:r>
      <w:r w:rsidR="00CC6C01" w:rsidRPr="00C346B0">
        <w:rPr>
          <w:rFonts w:cstheme="majorHAnsi"/>
          <w:color w:val="0E2841" w:themeColor="text2"/>
        </w:rPr>
        <w:t>ulje</w:t>
      </w:r>
      <w:r w:rsidRPr="00C346B0">
        <w:rPr>
          <w:rFonts w:cstheme="majorHAnsi"/>
          <w:color w:val="0E2841" w:themeColor="text2"/>
        </w:rPr>
        <w:t xml:space="preserve"> prej </w:t>
      </w:r>
      <w:r w:rsidR="00CC6C01" w:rsidRPr="00C346B0">
        <w:rPr>
          <w:rFonts w:cstheme="majorHAnsi"/>
          <w:color w:val="0E2841" w:themeColor="text2"/>
        </w:rPr>
        <w:t xml:space="preserve">5.93%. </w:t>
      </w:r>
      <w:r w:rsidRPr="00C346B0">
        <w:rPr>
          <w:rFonts w:cstheme="majorHAnsi"/>
          <w:color w:val="0E2841" w:themeColor="text2"/>
        </w:rPr>
        <w:t xml:space="preserve">Ndërsa, nga komunat përfituese të GPK-së kemi </w:t>
      </w:r>
      <w:r w:rsidR="00CC6C01" w:rsidRPr="00C346B0">
        <w:rPr>
          <w:rFonts w:cstheme="majorHAnsi"/>
          <w:color w:val="0E2841" w:themeColor="text2"/>
        </w:rPr>
        <w:t>ulje</w:t>
      </w:r>
      <w:r w:rsidRPr="00C346B0">
        <w:rPr>
          <w:rFonts w:cstheme="majorHAnsi"/>
          <w:color w:val="0E2841" w:themeColor="text2"/>
        </w:rPr>
        <w:t xml:space="preserve"> të performancës mesatare nga </w:t>
      </w:r>
      <w:r w:rsidR="00CC6C01" w:rsidRPr="00C346B0">
        <w:rPr>
          <w:rFonts w:cstheme="majorHAnsi"/>
          <w:color w:val="0E2841" w:themeColor="text2"/>
        </w:rPr>
        <w:t xml:space="preserve">60.2 </w:t>
      </w:r>
      <w:r w:rsidRPr="00C346B0">
        <w:rPr>
          <w:rFonts w:cstheme="majorHAnsi"/>
          <w:color w:val="0E2841" w:themeColor="text2"/>
        </w:rPr>
        <w:t xml:space="preserve">% në vitin e kaluar në </w:t>
      </w:r>
      <w:r w:rsidR="00CC6C01" w:rsidRPr="00C346B0">
        <w:rPr>
          <w:rFonts w:cstheme="majorHAnsi"/>
          <w:color w:val="0E2841" w:themeColor="text2"/>
        </w:rPr>
        <w:t>46.33</w:t>
      </w:r>
      <w:r w:rsidRPr="00C346B0">
        <w:rPr>
          <w:rFonts w:cstheme="majorHAnsi"/>
          <w:color w:val="0E2841" w:themeColor="text2"/>
        </w:rPr>
        <w:t xml:space="preserve">% në vitin aktual apo kemi </w:t>
      </w:r>
      <w:r w:rsidR="00CC6C01" w:rsidRPr="00C346B0">
        <w:rPr>
          <w:rFonts w:cstheme="majorHAnsi"/>
          <w:color w:val="0E2841" w:themeColor="text2"/>
        </w:rPr>
        <w:t>ulje</w:t>
      </w:r>
      <w:r w:rsidRPr="00C346B0">
        <w:rPr>
          <w:rFonts w:cstheme="majorHAnsi"/>
          <w:color w:val="0E2841" w:themeColor="text2"/>
        </w:rPr>
        <w:t xml:space="preserve"> prej </w:t>
      </w:r>
      <w:r w:rsidR="00CC6C01" w:rsidRPr="00C346B0">
        <w:rPr>
          <w:rFonts w:cstheme="majorHAnsi"/>
          <w:color w:val="0E2841" w:themeColor="text2"/>
        </w:rPr>
        <w:t>13.87</w:t>
      </w:r>
      <w:r w:rsidRPr="00C346B0">
        <w:rPr>
          <w:rFonts w:cstheme="majorHAnsi"/>
          <w:color w:val="0E2841" w:themeColor="text2"/>
        </w:rPr>
        <w:t>%.</w:t>
      </w:r>
    </w:p>
    <w:p w:rsidR="004745FF" w:rsidRDefault="004745FF" w:rsidP="00FA7DD1">
      <w:pPr>
        <w:spacing w:before="60" w:after="0" w:line="264" w:lineRule="auto"/>
        <w:ind w:firstLine="720"/>
        <w:contextualSpacing/>
        <w:jc w:val="both"/>
        <w:rPr>
          <w:rFonts w:cstheme="majorHAnsi"/>
          <w:color w:val="0E2841" w:themeColor="text2"/>
        </w:rPr>
      </w:pPr>
    </w:p>
    <w:p w:rsidR="004745FF" w:rsidRDefault="004745FF" w:rsidP="00692788">
      <w:pPr>
        <w:spacing w:before="60" w:after="0" w:line="264" w:lineRule="auto"/>
        <w:contextualSpacing/>
        <w:jc w:val="both"/>
        <w:rPr>
          <w:noProof/>
          <w14:ligatures w14:val="standardContextual"/>
        </w:rPr>
      </w:pPr>
    </w:p>
    <w:p w:rsidR="00457EF1" w:rsidRDefault="00457EF1" w:rsidP="00692788">
      <w:pPr>
        <w:spacing w:before="60" w:after="0" w:line="264" w:lineRule="auto"/>
        <w:contextualSpacing/>
        <w:jc w:val="both"/>
        <w:rPr>
          <w:noProof/>
          <w14:ligatures w14:val="standardContextual"/>
        </w:rPr>
      </w:pPr>
    </w:p>
    <w:p w:rsidR="00457EF1" w:rsidRDefault="0011086A" w:rsidP="00692788">
      <w:pPr>
        <w:spacing w:before="60" w:after="0" w:line="264" w:lineRule="auto"/>
        <w:contextualSpacing/>
        <w:jc w:val="both"/>
        <w:rPr>
          <w:noProof/>
          <w14:ligatures w14:val="standardContextual"/>
        </w:rPr>
      </w:pPr>
      <w:r w:rsidRPr="00C346B0">
        <w:rPr>
          <w:noProof/>
          <w:lang w:val="en-GB" w:eastAsia="en-GB"/>
          <w14:ligatures w14:val="standardContextual"/>
        </w:rPr>
        <w:drawing>
          <wp:anchor distT="0" distB="0" distL="114300" distR="114300" simplePos="0" relativeHeight="251874304" behindDoc="0" locked="0" layoutInCell="1" allowOverlap="1" wp14:anchorId="2E2BB4D7" wp14:editId="5DC55D84">
            <wp:simplePos x="0" y="0"/>
            <wp:positionH relativeFrom="margin">
              <wp:posOffset>-100020</wp:posOffset>
            </wp:positionH>
            <wp:positionV relativeFrom="margin">
              <wp:posOffset>4357237</wp:posOffset>
            </wp:positionV>
            <wp:extent cx="3568700" cy="2517775"/>
            <wp:effectExtent l="0" t="0" r="12700" b="15875"/>
            <wp:wrapSquare wrapText="bothSides"/>
            <wp:docPr id="38" name="Chart 3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447A677-131E-5223-44F1-0896F9C6CD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457EF1" w:rsidRDefault="00457EF1" w:rsidP="00692788">
      <w:pPr>
        <w:spacing w:before="60" w:after="0" w:line="264" w:lineRule="auto"/>
        <w:contextualSpacing/>
        <w:jc w:val="both"/>
        <w:rPr>
          <w:noProof/>
          <w14:ligatures w14:val="standardContextual"/>
        </w:rPr>
      </w:pPr>
    </w:p>
    <w:p w:rsidR="00457EF1" w:rsidRDefault="00457EF1" w:rsidP="00692788">
      <w:pPr>
        <w:spacing w:before="60" w:after="0" w:line="264" w:lineRule="auto"/>
        <w:contextualSpacing/>
        <w:jc w:val="both"/>
        <w:rPr>
          <w:noProof/>
          <w14:ligatures w14:val="standardContextual"/>
        </w:rPr>
      </w:pPr>
    </w:p>
    <w:p w:rsidR="00457EF1" w:rsidRPr="00242921" w:rsidRDefault="00457EF1" w:rsidP="00692788">
      <w:pPr>
        <w:spacing w:before="60" w:after="0" w:line="264" w:lineRule="auto"/>
        <w:contextualSpacing/>
        <w:jc w:val="both"/>
        <w:rPr>
          <w:noProof/>
          <w14:ligatures w14:val="standardContextual"/>
        </w:rPr>
      </w:pPr>
    </w:p>
    <w:p w:rsidR="00DD3D58" w:rsidRDefault="009E1E10" w:rsidP="009E1E10">
      <w:pPr>
        <w:pStyle w:val="Caption"/>
        <w:jc w:val="both"/>
      </w:pPr>
      <w:r>
        <w:t xml:space="preserve">Grafiku </w:t>
      </w:r>
      <w:r>
        <w:fldChar w:fldCharType="begin"/>
      </w:r>
      <w:r>
        <w:instrText xml:space="preserve"> SEQ Figure \* ARABIC </w:instrText>
      </w:r>
      <w:r>
        <w:fldChar w:fldCharType="separate"/>
      </w:r>
      <w:r w:rsidR="00092DE1">
        <w:rPr>
          <w:noProof/>
        </w:rPr>
        <w:t>6</w:t>
      </w:r>
      <w:r>
        <w:fldChar w:fldCharType="end"/>
      </w:r>
      <w:r>
        <w:t xml:space="preserve"> </w:t>
      </w:r>
      <w:r w:rsidRPr="00A979C3">
        <w:t xml:space="preserve">Performanca mesatare e komunave </w:t>
      </w:r>
      <w:r>
        <w:t xml:space="preserve">përfituese </w:t>
      </w:r>
      <w:r w:rsidRPr="00A979C3">
        <w:t>në GPK-së tri vitet e fundit</w:t>
      </w:r>
    </w:p>
    <w:p w:rsidR="004745FF" w:rsidRDefault="004745FF" w:rsidP="00A83652">
      <w:pPr>
        <w:jc w:val="both"/>
        <w:rPr>
          <w:rFonts w:cstheme="majorHAnsi"/>
          <w:color w:val="0E2841" w:themeColor="text2"/>
        </w:rPr>
      </w:pPr>
    </w:p>
    <w:p w:rsidR="004745FF" w:rsidRDefault="004745FF" w:rsidP="00A83652">
      <w:pPr>
        <w:jc w:val="both"/>
        <w:rPr>
          <w:rFonts w:cstheme="majorHAnsi"/>
          <w:color w:val="0E2841" w:themeColor="text2"/>
        </w:rPr>
      </w:pPr>
    </w:p>
    <w:p w:rsidR="004745FF" w:rsidRDefault="004745FF" w:rsidP="00A83652">
      <w:pPr>
        <w:jc w:val="both"/>
        <w:rPr>
          <w:rFonts w:cstheme="majorHAnsi"/>
          <w:color w:val="0E2841" w:themeColor="text2"/>
        </w:rPr>
      </w:pPr>
      <w:r>
        <w:rPr>
          <w:rFonts w:cstheme="majorHAnsi"/>
          <w:color w:val="0E2841" w:themeColor="text2"/>
        </w:rPr>
        <w:t>Poashtu, në komunat përfituese kemi një rënie nga 60.23% në vitin 2025 në 46.33% në vitin 2026.</w:t>
      </w:r>
    </w:p>
    <w:p w:rsidR="004745FF" w:rsidRDefault="004745FF" w:rsidP="00A83652">
      <w:pPr>
        <w:jc w:val="both"/>
        <w:rPr>
          <w:rFonts w:cstheme="majorHAnsi"/>
          <w:color w:val="0E2841" w:themeColor="text2"/>
        </w:rPr>
      </w:pPr>
    </w:p>
    <w:p w:rsidR="004745FF" w:rsidRDefault="004745FF" w:rsidP="00A83652">
      <w:pPr>
        <w:jc w:val="both"/>
        <w:rPr>
          <w:rFonts w:cstheme="majorHAnsi"/>
          <w:color w:val="0E2841" w:themeColor="text2"/>
        </w:rPr>
      </w:pPr>
    </w:p>
    <w:p w:rsidR="004745FF" w:rsidRDefault="004745FF" w:rsidP="00A83652">
      <w:pPr>
        <w:jc w:val="both"/>
        <w:rPr>
          <w:rFonts w:cstheme="majorHAnsi"/>
          <w:color w:val="0E2841" w:themeColor="text2"/>
        </w:rPr>
      </w:pPr>
    </w:p>
    <w:p w:rsidR="004745FF" w:rsidRDefault="004745FF" w:rsidP="00A83652">
      <w:pPr>
        <w:jc w:val="both"/>
        <w:rPr>
          <w:rFonts w:cstheme="majorHAnsi"/>
          <w:color w:val="0E2841" w:themeColor="text2"/>
        </w:rPr>
      </w:pPr>
    </w:p>
    <w:p w:rsidR="00273BF6" w:rsidRDefault="00273BF6" w:rsidP="00A83652">
      <w:pPr>
        <w:jc w:val="both"/>
        <w:rPr>
          <w:rFonts w:cstheme="majorHAnsi"/>
          <w:color w:val="0E2841" w:themeColor="text2"/>
        </w:rPr>
      </w:pPr>
    </w:p>
    <w:p w:rsidR="006F3FF4" w:rsidRPr="004E1421" w:rsidRDefault="006F3FF4" w:rsidP="00A83652">
      <w:pPr>
        <w:jc w:val="both"/>
      </w:pPr>
    </w:p>
    <w:p w:rsidR="005468AB" w:rsidRDefault="00273BF6" w:rsidP="00A83652">
      <w:pPr>
        <w:jc w:val="both"/>
        <w:rPr>
          <w:rFonts w:cstheme="majorHAnsi"/>
          <w:color w:val="0E2841" w:themeColor="text2"/>
        </w:rPr>
      </w:pPr>
      <w:r>
        <w:rPr>
          <w:rFonts w:cstheme="majorHAnsi"/>
          <w:color w:val="0E2841" w:themeColor="text2"/>
        </w:rPr>
        <w:lastRenderedPageBreak/>
        <w:t xml:space="preserve">   </w:t>
      </w:r>
      <w:r w:rsidR="00A83652" w:rsidRPr="009E336C">
        <w:rPr>
          <w:rFonts w:cstheme="majorHAnsi"/>
          <w:color w:val="0E2841" w:themeColor="text2"/>
        </w:rPr>
        <w:t xml:space="preserve">Më poshtë janë paraqitur rezultat e përgjithshme të perfomancës së secilës komunë veç e veç. </w:t>
      </w:r>
    </w:p>
    <w:p w:rsidR="00452454" w:rsidRPr="00DF66B3" w:rsidRDefault="00DF66B3" w:rsidP="00DF66B3">
      <w:pPr>
        <w:jc w:val="both"/>
        <w:rPr>
          <w:rFonts w:cstheme="majorHAnsi"/>
          <w:color w:val="0E2841" w:themeColor="text2"/>
        </w:rPr>
      </w:pPr>
      <w:r>
        <w:rPr>
          <w:noProof/>
          <w:lang w:val="en-GB" w:eastAsia="en-GB"/>
          <w14:ligatures w14:val="standardContextual"/>
        </w:rPr>
        <w:drawing>
          <wp:inline distT="0" distB="0" distL="0" distR="0" wp14:anchorId="6F07FDA6" wp14:editId="2078DCB7">
            <wp:extent cx="5943600" cy="5668645"/>
            <wp:effectExtent l="0" t="0" r="0" b="8255"/>
            <wp:docPr id="33" name="Chart 3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358FE69E-49C3-7A0F-43DC-10616A5C39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42249" w:rsidRPr="00452454" w:rsidRDefault="00642249" w:rsidP="00452454">
      <w:pPr>
        <w:pStyle w:val="Caption"/>
        <w:jc w:val="both"/>
      </w:pPr>
      <w:r>
        <w:t xml:space="preserve">Grafiku </w:t>
      </w:r>
      <w:r>
        <w:fldChar w:fldCharType="begin"/>
      </w:r>
      <w:r>
        <w:instrText xml:space="preserve"> SEQ Figure \* ARABIC </w:instrText>
      </w:r>
      <w:r>
        <w:fldChar w:fldCharType="separate"/>
      </w:r>
      <w:r>
        <w:rPr>
          <w:noProof/>
        </w:rPr>
        <w:t>7</w:t>
      </w:r>
      <w:r>
        <w:fldChar w:fldCharType="end"/>
      </w:r>
      <w:r>
        <w:t xml:space="preserve"> </w:t>
      </w:r>
      <w:r w:rsidR="00DF66B3">
        <w:t>Performanca e përgjithshme në 29</w:t>
      </w:r>
      <w:r w:rsidRPr="00F120F8">
        <w:t xml:space="preserve"> tregues të GPK-së sipas komunave në përqindje</w:t>
      </w:r>
    </w:p>
    <w:p w:rsidR="00330BCB" w:rsidRDefault="00330BCB" w:rsidP="002D5509">
      <w:pPr>
        <w:spacing w:after="200" w:line="240" w:lineRule="auto"/>
        <w:jc w:val="both"/>
        <w:rPr>
          <w:rFonts w:ascii="Calibri" w:hAnsi="Calibri" w:cs="Times New Roman"/>
          <w:b/>
          <w:iCs/>
          <w:sz w:val="18"/>
          <w:szCs w:val="18"/>
        </w:rPr>
      </w:pPr>
    </w:p>
    <w:p w:rsidR="00DB7966" w:rsidRDefault="00DB7966" w:rsidP="002D5509">
      <w:pPr>
        <w:spacing w:after="200" w:line="240" w:lineRule="auto"/>
        <w:jc w:val="both"/>
        <w:rPr>
          <w:rFonts w:ascii="Calibri" w:hAnsi="Calibri" w:cs="Times New Roman"/>
          <w:b/>
          <w:iCs/>
          <w:sz w:val="18"/>
          <w:szCs w:val="18"/>
        </w:rPr>
      </w:pPr>
    </w:p>
    <w:p w:rsidR="00DB7966" w:rsidRDefault="00DB7966" w:rsidP="002D5509">
      <w:pPr>
        <w:spacing w:after="200" w:line="240" w:lineRule="auto"/>
        <w:jc w:val="both"/>
        <w:rPr>
          <w:rFonts w:ascii="Calibri" w:hAnsi="Calibri" w:cs="Times New Roman"/>
          <w:b/>
          <w:iCs/>
          <w:sz w:val="18"/>
          <w:szCs w:val="18"/>
        </w:rPr>
      </w:pPr>
    </w:p>
    <w:p w:rsidR="00DF66B3" w:rsidRDefault="00DF66B3" w:rsidP="002D5509">
      <w:pPr>
        <w:spacing w:after="200" w:line="240" w:lineRule="auto"/>
        <w:jc w:val="both"/>
        <w:rPr>
          <w:rFonts w:ascii="Calibri" w:hAnsi="Calibri" w:cs="Times New Roman"/>
          <w:b/>
          <w:iCs/>
          <w:sz w:val="18"/>
          <w:szCs w:val="18"/>
        </w:rPr>
      </w:pPr>
    </w:p>
    <w:p w:rsidR="00DF66B3" w:rsidRDefault="00DF66B3" w:rsidP="002D5509">
      <w:pPr>
        <w:spacing w:after="200" w:line="240" w:lineRule="auto"/>
        <w:jc w:val="both"/>
        <w:rPr>
          <w:rFonts w:ascii="Calibri" w:hAnsi="Calibri" w:cs="Times New Roman"/>
          <w:b/>
          <w:iCs/>
          <w:sz w:val="18"/>
          <w:szCs w:val="18"/>
        </w:rPr>
      </w:pPr>
    </w:p>
    <w:p w:rsidR="00DF66B3" w:rsidRDefault="00DF66B3" w:rsidP="002D5509">
      <w:pPr>
        <w:spacing w:after="200" w:line="240" w:lineRule="auto"/>
        <w:jc w:val="both"/>
        <w:rPr>
          <w:rFonts w:ascii="Calibri" w:hAnsi="Calibri" w:cs="Times New Roman"/>
          <w:b/>
          <w:iCs/>
          <w:sz w:val="18"/>
          <w:szCs w:val="18"/>
        </w:rPr>
      </w:pPr>
    </w:p>
    <w:p w:rsidR="00376641" w:rsidRDefault="00376641" w:rsidP="002D5509">
      <w:pPr>
        <w:spacing w:after="200" w:line="240" w:lineRule="auto"/>
        <w:jc w:val="both"/>
        <w:rPr>
          <w:rFonts w:ascii="Calibri" w:hAnsi="Calibri" w:cs="Times New Roman"/>
          <w:b/>
          <w:iCs/>
          <w:sz w:val="18"/>
          <w:szCs w:val="18"/>
        </w:rPr>
      </w:pPr>
    </w:p>
    <w:p w:rsidR="00DB7966" w:rsidRPr="00061ED5" w:rsidRDefault="00DB7966" w:rsidP="00C31B72">
      <w:pPr>
        <w:tabs>
          <w:tab w:val="left" w:pos="6708"/>
        </w:tabs>
        <w:spacing w:after="200" w:line="240" w:lineRule="auto"/>
        <w:jc w:val="both"/>
        <w:rPr>
          <w:rFonts w:ascii="Calibri" w:hAnsi="Calibri" w:cs="Times New Roman"/>
          <w:b/>
          <w:iCs/>
          <w:sz w:val="18"/>
          <w:szCs w:val="18"/>
        </w:rPr>
      </w:pPr>
    </w:p>
    <w:p w:rsidR="00061ED5" w:rsidRDefault="00EF7060" w:rsidP="00061ED5">
      <w:pPr>
        <w:pStyle w:val="Caption"/>
        <w:jc w:val="both"/>
      </w:pPr>
      <w:r>
        <w:t xml:space="preserve">Grafiku </w:t>
      </w:r>
      <w:r w:rsidR="00061ED5">
        <w:t xml:space="preserve"> </w:t>
      </w:r>
      <w:r w:rsidR="00061ED5">
        <w:fldChar w:fldCharType="begin"/>
      </w:r>
      <w:r w:rsidR="00061ED5">
        <w:instrText xml:space="preserve"> SEQ Figure \* ARABIC </w:instrText>
      </w:r>
      <w:r w:rsidR="00061ED5">
        <w:fldChar w:fldCharType="separate"/>
      </w:r>
      <w:r w:rsidR="00092DE1">
        <w:rPr>
          <w:noProof/>
        </w:rPr>
        <w:t>8</w:t>
      </w:r>
      <w:r w:rsidR="00061ED5">
        <w:fldChar w:fldCharType="end"/>
      </w:r>
      <w:r w:rsidR="00061ED5">
        <w:t xml:space="preserve"> </w:t>
      </w:r>
      <w:r w:rsidR="00061ED5" w:rsidRPr="00E119C1">
        <w:t>Performanca e përgjith</w:t>
      </w:r>
      <w:r w:rsidR="00DF66B3">
        <w:t>shme e komunave përfituese në 29</w:t>
      </w:r>
      <w:r w:rsidR="00061ED5" w:rsidRPr="00E119C1">
        <w:t xml:space="preserve"> tregues të GPK-së në përqindje</w:t>
      </w:r>
    </w:p>
    <w:p w:rsidR="00DF66B3" w:rsidRPr="00DF66B3" w:rsidRDefault="00DF66B3" w:rsidP="00DF66B3">
      <w:r>
        <w:rPr>
          <w:noProof/>
          <w:lang w:val="en-GB" w:eastAsia="en-GB"/>
          <w14:ligatures w14:val="standardContextual"/>
        </w:rPr>
        <w:drawing>
          <wp:inline distT="0" distB="0" distL="0" distR="0" wp14:anchorId="0C7F2E5A" wp14:editId="5D42FAC2">
            <wp:extent cx="5889009" cy="2735580"/>
            <wp:effectExtent l="0" t="0" r="16510" b="7620"/>
            <wp:docPr id="34" name="Chart 3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F5CDAEC2-8D10-3F35-EDAF-DDDBB02900BF}"/>
                </a:ext>
                <a:ext uri="{147F2762-F138-4A5C-976F-8EAC2B608ADB}">
                  <a16:predDERef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pred="{358FE69E-49C3-7A0F-43DC-10616A5C39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F66B3" w:rsidRPr="00DF66B3" w:rsidRDefault="00DF66B3" w:rsidP="00DF66B3">
      <w:pPr>
        <w:tabs>
          <w:tab w:val="left" w:pos="1053"/>
        </w:tabs>
      </w:pPr>
    </w:p>
    <w:p w:rsidR="009D5556" w:rsidRDefault="00F95FA1" w:rsidP="00F95FA1">
      <w:pPr>
        <w:keepNext/>
        <w:tabs>
          <w:tab w:val="left" w:pos="810"/>
        </w:tabs>
        <w:spacing w:before="240" w:after="0" w:line="240" w:lineRule="auto"/>
        <w:outlineLvl w:val="0"/>
        <w:rPr>
          <w:rFonts w:eastAsiaTheme="majorEastAsia" w:cstheme="majorHAnsi"/>
          <w:b/>
          <w:color w:val="0E2841" w:themeColor="text2"/>
          <w:sz w:val="24"/>
          <w:szCs w:val="24"/>
        </w:rPr>
      </w:pPr>
      <w:bookmarkStart w:id="19" w:name="_Toc178434857"/>
      <w:r>
        <w:rPr>
          <w:rFonts w:eastAsiaTheme="majorEastAsia" w:cstheme="majorHAnsi"/>
          <w:b/>
          <w:color w:val="0E2841" w:themeColor="text2"/>
          <w:sz w:val="24"/>
          <w:szCs w:val="24"/>
        </w:rPr>
        <w:lastRenderedPageBreak/>
        <w:t xml:space="preserve">2.2.2 </w:t>
      </w:r>
      <w:r w:rsidRPr="00F95FA1">
        <w:rPr>
          <w:rFonts w:eastAsiaTheme="majorEastAsia" w:cstheme="majorHAnsi"/>
          <w:b/>
          <w:color w:val="0E2841" w:themeColor="text2"/>
          <w:sz w:val="24"/>
          <w:szCs w:val="24"/>
        </w:rPr>
        <w:t xml:space="preserve"> Rezultatet për treguesit e GPK-së në </w:t>
      </w:r>
      <w:r>
        <w:rPr>
          <w:rFonts w:eastAsiaTheme="majorEastAsia" w:cstheme="majorHAnsi"/>
          <w:b/>
          <w:color w:val="0E2841" w:themeColor="text2"/>
          <w:sz w:val="24"/>
          <w:szCs w:val="24"/>
        </w:rPr>
        <w:t>fusha dhe nën fusha</w:t>
      </w:r>
      <w:bookmarkEnd w:id="19"/>
    </w:p>
    <w:p w:rsidR="009D5556" w:rsidRDefault="009D5556" w:rsidP="009D5556">
      <w:pPr>
        <w:keepNext/>
        <w:tabs>
          <w:tab w:val="left" w:pos="810"/>
        </w:tabs>
        <w:spacing w:after="0" w:line="240" w:lineRule="auto"/>
        <w:outlineLvl w:val="0"/>
        <w:rPr>
          <w:rFonts w:eastAsiaTheme="majorEastAsia" w:cstheme="majorHAnsi"/>
          <w:b/>
          <w:color w:val="0E2841" w:themeColor="text2"/>
          <w:sz w:val="24"/>
          <w:szCs w:val="24"/>
        </w:rPr>
      </w:pPr>
    </w:p>
    <w:p w:rsidR="00616499" w:rsidRPr="00E30471" w:rsidRDefault="00DF66B3" w:rsidP="009D5556">
      <w:pPr>
        <w:jc w:val="both"/>
        <w:rPr>
          <w:rFonts w:cstheme="majorHAnsi"/>
          <w:color w:val="0E2841" w:themeColor="text2"/>
        </w:rPr>
      </w:pPr>
      <w:r>
        <w:rPr>
          <w:noProof/>
          <w:lang w:val="en-GB" w:eastAsia="en-GB"/>
          <w14:ligatures w14:val="standardContextual"/>
        </w:rPr>
        <w:drawing>
          <wp:anchor distT="0" distB="0" distL="114300" distR="114300" simplePos="0" relativeHeight="251877376" behindDoc="0" locked="0" layoutInCell="1" allowOverlap="1" wp14:anchorId="4C883C27" wp14:editId="21788979">
            <wp:simplePos x="0" y="0"/>
            <wp:positionH relativeFrom="margin">
              <wp:align>left</wp:align>
            </wp:positionH>
            <wp:positionV relativeFrom="margin">
              <wp:posOffset>1664638</wp:posOffset>
            </wp:positionV>
            <wp:extent cx="5745480" cy="2714625"/>
            <wp:effectExtent l="0" t="0" r="7620" b="9525"/>
            <wp:wrapSquare wrapText="bothSides"/>
            <wp:docPr id="43" name="Chart 43">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4FED86B-9BD3-C908-7491-80F2E140B3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BA3D82" w:rsidRPr="00E30471">
        <w:rPr>
          <w:rFonts w:cstheme="majorHAnsi"/>
          <w:color w:val="0E2841" w:themeColor="text2"/>
        </w:rPr>
        <w:t>Performanca e mesatare e 38 komunave në</w:t>
      </w:r>
      <w:r w:rsidR="00224AFD" w:rsidRPr="00E30471">
        <w:rPr>
          <w:rFonts w:cstheme="majorHAnsi"/>
          <w:color w:val="0E2841" w:themeColor="text2"/>
        </w:rPr>
        <w:t xml:space="preserve"> fushën ‘Qeverisja demokratike’ është </w:t>
      </w:r>
      <w:r w:rsidR="004D28AC">
        <w:rPr>
          <w:rFonts w:cstheme="majorHAnsi"/>
          <w:color w:val="0E2841" w:themeColor="text2"/>
        </w:rPr>
        <w:t>51.58</w:t>
      </w:r>
      <w:r w:rsidR="00224AFD" w:rsidRPr="00E30471">
        <w:rPr>
          <w:rFonts w:cstheme="majorHAnsi"/>
          <w:color w:val="0E2841" w:themeColor="text2"/>
        </w:rPr>
        <w:t xml:space="preserve">%, </w:t>
      </w:r>
      <w:r w:rsidR="001F1A99" w:rsidRPr="00E30471">
        <w:rPr>
          <w:rFonts w:cstheme="majorHAnsi"/>
          <w:color w:val="0E2841" w:themeColor="text2"/>
        </w:rPr>
        <w:t xml:space="preserve">‘Menaxhimi </w:t>
      </w:r>
      <w:r w:rsidR="004F6F9B" w:rsidRPr="00E30471">
        <w:rPr>
          <w:rFonts w:cstheme="majorHAnsi"/>
          <w:color w:val="0E2841" w:themeColor="text2"/>
        </w:rPr>
        <w:t>k</w:t>
      </w:r>
      <w:r w:rsidR="00224AFD" w:rsidRPr="00E30471">
        <w:rPr>
          <w:rFonts w:cstheme="majorHAnsi"/>
          <w:color w:val="0E2841" w:themeColor="text2"/>
        </w:rPr>
        <w:t>omunal</w:t>
      </w:r>
      <w:r w:rsidR="001F1A99" w:rsidRPr="00E30471">
        <w:rPr>
          <w:rFonts w:cstheme="majorHAnsi"/>
          <w:color w:val="0E2841" w:themeColor="text2"/>
        </w:rPr>
        <w:t>’</w:t>
      </w:r>
      <w:r w:rsidR="00224AFD" w:rsidRPr="00E30471">
        <w:rPr>
          <w:rFonts w:cstheme="majorHAnsi"/>
          <w:color w:val="0E2841" w:themeColor="text2"/>
        </w:rPr>
        <w:t xml:space="preserve"> </w:t>
      </w:r>
      <w:r w:rsidR="004D28AC">
        <w:rPr>
          <w:rFonts w:cstheme="majorHAnsi"/>
          <w:color w:val="0E2841" w:themeColor="text2"/>
        </w:rPr>
        <w:t>33.55</w:t>
      </w:r>
      <w:r w:rsidR="00224AFD" w:rsidRPr="00E30471">
        <w:rPr>
          <w:rFonts w:cstheme="majorHAnsi"/>
          <w:color w:val="0E2841" w:themeColor="text2"/>
        </w:rPr>
        <w:t xml:space="preserve">% dhe </w:t>
      </w:r>
      <w:r w:rsidR="001F1A99" w:rsidRPr="00E30471">
        <w:rPr>
          <w:rFonts w:cstheme="majorHAnsi"/>
          <w:color w:val="0E2841" w:themeColor="text2"/>
        </w:rPr>
        <w:t>‘O</w:t>
      </w:r>
      <w:r w:rsidR="00224AFD" w:rsidRPr="00E30471">
        <w:rPr>
          <w:rFonts w:cstheme="majorHAnsi"/>
          <w:color w:val="0E2841" w:themeColor="text2"/>
        </w:rPr>
        <w:t>frimi i shërbimeve</w:t>
      </w:r>
      <w:r w:rsidR="001F1A99" w:rsidRPr="00E30471">
        <w:rPr>
          <w:rFonts w:cstheme="majorHAnsi"/>
          <w:color w:val="0E2841" w:themeColor="text2"/>
        </w:rPr>
        <w:t>’</w:t>
      </w:r>
      <w:r w:rsidR="00224AFD" w:rsidRPr="00E30471">
        <w:rPr>
          <w:rFonts w:cstheme="majorHAnsi"/>
          <w:color w:val="0E2841" w:themeColor="text2"/>
        </w:rPr>
        <w:t xml:space="preserve"> </w:t>
      </w:r>
      <w:r w:rsidR="004D28AC">
        <w:rPr>
          <w:rFonts w:cstheme="majorHAnsi"/>
          <w:color w:val="0E2841" w:themeColor="text2"/>
        </w:rPr>
        <w:t>36.32</w:t>
      </w:r>
      <w:r w:rsidR="00224AFD" w:rsidRPr="00E30471">
        <w:rPr>
          <w:rFonts w:cstheme="majorHAnsi"/>
          <w:color w:val="0E2841" w:themeColor="text2"/>
        </w:rPr>
        <w:t xml:space="preserve">%. </w:t>
      </w:r>
    </w:p>
    <w:p w:rsidR="00982CD0" w:rsidRPr="00982CD0" w:rsidRDefault="00ED50C4" w:rsidP="00982CD0">
      <w:pPr>
        <w:pStyle w:val="Caption"/>
        <w:jc w:val="both"/>
        <w:rPr>
          <w:rFonts w:ascii="Calibri" w:hAnsi="Calibri" w:cs="Times New Roman"/>
          <w:b/>
          <w:iCs w:val="0"/>
        </w:rPr>
      </w:pPr>
      <w:r>
        <w:t xml:space="preserve">Grafiku </w:t>
      </w:r>
      <w:r w:rsidR="00982CD0">
        <w:t xml:space="preserve"> </w:t>
      </w:r>
      <w:r w:rsidR="00982CD0">
        <w:fldChar w:fldCharType="begin"/>
      </w:r>
      <w:r w:rsidR="00982CD0">
        <w:instrText xml:space="preserve"> SEQ Figure \* ARABIC </w:instrText>
      </w:r>
      <w:r w:rsidR="00982CD0">
        <w:fldChar w:fldCharType="separate"/>
      </w:r>
      <w:r w:rsidR="00092DE1">
        <w:rPr>
          <w:noProof/>
        </w:rPr>
        <w:t>9</w:t>
      </w:r>
      <w:r w:rsidR="00982CD0">
        <w:fldChar w:fldCharType="end"/>
      </w:r>
      <w:r w:rsidR="00982CD0">
        <w:t xml:space="preserve"> </w:t>
      </w:r>
      <w:r w:rsidR="00982CD0" w:rsidRPr="00B07F25">
        <w:t>Performanca mesatare në përqindje sipas fushave</w:t>
      </w:r>
    </w:p>
    <w:p w:rsidR="00616499" w:rsidRPr="00E30471" w:rsidRDefault="004D28AC" w:rsidP="00E30471">
      <w:pPr>
        <w:jc w:val="both"/>
        <w:rPr>
          <w:rFonts w:cstheme="majorHAnsi"/>
          <w:color w:val="0E2841" w:themeColor="text2"/>
        </w:rPr>
      </w:pPr>
      <w:r>
        <w:rPr>
          <w:noProof/>
          <w:lang w:val="en-GB" w:eastAsia="en-GB"/>
          <w14:ligatures w14:val="standardContextual"/>
        </w:rPr>
        <w:drawing>
          <wp:anchor distT="0" distB="0" distL="114300" distR="114300" simplePos="0" relativeHeight="251876352" behindDoc="0" locked="0" layoutInCell="1" allowOverlap="1" wp14:anchorId="043159A7" wp14:editId="74491EBA">
            <wp:simplePos x="0" y="0"/>
            <wp:positionH relativeFrom="margin">
              <wp:align>left</wp:align>
            </wp:positionH>
            <wp:positionV relativeFrom="margin">
              <wp:posOffset>5150485</wp:posOffset>
            </wp:positionV>
            <wp:extent cx="3472815" cy="2483485"/>
            <wp:effectExtent l="0" t="0" r="13335" b="12065"/>
            <wp:wrapSquare wrapText="bothSides"/>
            <wp:docPr id="40" name="Chart 4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75CB1F6E-8DF1-DE1C-6570-ECDD9DBCAF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rFonts w:cstheme="majorHAnsi"/>
          <w:color w:val="0E2841" w:themeColor="text2"/>
        </w:rPr>
        <w:t>Për performancën e vitit 2024</w:t>
      </w:r>
      <w:r w:rsidR="00D21C17" w:rsidRPr="00E30471">
        <w:rPr>
          <w:rFonts w:cstheme="majorHAnsi"/>
          <w:color w:val="0E2841" w:themeColor="text2"/>
        </w:rPr>
        <w:t xml:space="preserve"> komunat</w:t>
      </w:r>
      <w:r w:rsidR="00616499" w:rsidRPr="00E30471">
        <w:rPr>
          <w:rFonts w:cstheme="majorHAnsi"/>
          <w:color w:val="0E2841" w:themeColor="text2"/>
        </w:rPr>
        <w:t xml:space="preserve"> kanë pasur performancë më të lartë në </w:t>
      </w:r>
      <w:r w:rsidR="00D21C17" w:rsidRPr="00E30471">
        <w:rPr>
          <w:rFonts w:cstheme="majorHAnsi"/>
          <w:color w:val="0E2841" w:themeColor="text2"/>
        </w:rPr>
        <w:t xml:space="preserve">fushën e </w:t>
      </w:r>
      <w:r w:rsidR="004745FF">
        <w:rPr>
          <w:rFonts w:cstheme="majorHAnsi"/>
          <w:color w:val="0E2841" w:themeColor="text2"/>
        </w:rPr>
        <w:t>qeverisjes</w:t>
      </w:r>
      <w:r w:rsidR="00616499" w:rsidRPr="00E30471">
        <w:rPr>
          <w:rFonts w:cstheme="majorHAnsi"/>
          <w:color w:val="0E2841" w:themeColor="text2"/>
        </w:rPr>
        <w:t xml:space="preserve"> demokratike</w:t>
      </w:r>
      <w:r w:rsidR="00D21C17" w:rsidRPr="00E30471">
        <w:rPr>
          <w:rFonts w:cstheme="majorHAnsi"/>
          <w:color w:val="0E2841" w:themeColor="text2"/>
        </w:rPr>
        <w:t xml:space="preserve">. </w:t>
      </w:r>
    </w:p>
    <w:p w:rsidR="00D21C17" w:rsidRPr="00E30471" w:rsidRDefault="001E1E59" w:rsidP="00E30471">
      <w:pPr>
        <w:jc w:val="both"/>
        <w:rPr>
          <w:rFonts w:cstheme="majorHAnsi"/>
          <w:color w:val="0E2841" w:themeColor="text2"/>
        </w:rPr>
      </w:pPr>
      <w:r w:rsidRPr="00E30471">
        <w:rPr>
          <w:rFonts w:cstheme="majorHAnsi"/>
          <w:color w:val="0E2841" w:themeColor="text2"/>
        </w:rPr>
        <w:t xml:space="preserve">Poashtu, edhe tek komunat përfituese performancë më të lartë komunat kanë pasur në të njëjtën fushë. </w:t>
      </w:r>
    </w:p>
    <w:p w:rsidR="00616499" w:rsidRDefault="00616499" w:rsidP="00D41A72">
      <w:pPr>
        <w:spacing w:after="200" w:line="240" w:lineRule="auto"/>
        <w:jc w:val="both"/>
        <w:rPr>
          <w:rFonts w:ascii="Calibri" w:hAnsi="Calibri" w:cs="Times New Roman"/>
          <w:b/>
          <w:iCs/>
          <w:sz w:val="18"/>
          <w:szCs w:val="18"/>
          <w:highlight w:val="lightGray"/>
        </w:rPr>
      </w:pPr>
    </w:p>
    <w:p w:rsidR="00392F38" w:rsidRDefault="00392F38" w:rsidP="00D41A72">
      <w:pPr>
        <w:spacing w:after="200" w:line="240" w:lineRule="auto"/>
        <w:jc w:val="both"/>
        <w:rPr>
          <w:rFonts w:ascii="Calibri" w:hAnsi="Calibri" w:cs="Times New Roman"/>
          <w:b/>
          <w:iCs/>
          <w:sz w:val="18"/>
          <w:szCs w:val="18"/>
          <w:highlight w:val="lightGray"/>
        </w:rPr>
      </w:pPr>
    </w:p>
    <w:p w:rsidR="00800C5F" w:rsidRDefault="00800C5F" w:rsidP="00D41A72">
      <w:pPr>
        <w:spacing w:after="200" w:line="240" w:lineRule="auto"/>
        <w:jc w:val="both"/>
        <w:rPr>
          <w:rFonts w:ascii="Calibri" w:hAnsi="Calibri" w:cs="Times New Roman"/>
          <w:b/>
          <w:iCs/>
          <w:sz w:val="18"/>
          <w:szCs w:val="18"/>
          <w:highlight w:val="lightGray"/>
        </w:rPr>
      </w:pPr>
    </w:p>
    <w:p w:rsidR="00E812A5" w:rsidRDefault="00E812A5" w:rsidP="00D41A72">
      <w:pPr>
        <w:spacing w:after="200" w:line="240" w:lineRule="auto"/>
        <w:jc w:val="both"/>
        <w:rPr>
          <w:rFonts w:ascii="Calibri" w:hAnsi="Calibri" w:cs="Times New Roman"/>
          <w:b/>
          <w:iCs/>
          <w:sz w:val="18"/>
          <w:szCs w:val="18"/>
          <w:highlight w:val="lightGray"/>
        </w:rPr>
      </w:pPr>
    </w:p>
    <w:p w:rsidR="004745FF" w:rsidRDefault="004745FF" w:rsidP="00D41A72">
      <w:pPr>
        <w:spacing w:after="200" w:line="240" w:lineRule="auto"/>
        <w:jc w:val="both"/>
        <w:rPr>
          <w:rFonts w:ascii="Calibri" w:hAnsi="Calibri" w:cs="Times New Roman"/>
          <w:b/>
          <w:iCs/>
          <w:sz w:val="18"/>
          <w:szCs w:val="18"/>
          <w:highlight w:val="lightGray"/>
        </w:rPr>
      </w:pPr>
    </w:p>
    <w:p w:rsidR="00392F38" w:rsidRPr="00E812A5" w:rsidRDefault="00E812A5" w:rsidP="00E812A5">
      <w:pPr>
        <w:pStyle w:val="Caption"/>
        <w:jc w:val="both"/>
      </w:pPr>
      <w:r>
        <w:t xml:space="preserve">Grafiku </w:t>
      </w:r>
      <w:r>
        <w:fldChar w:fldCharType="begin"/>
      </w:r>
      <w:r>
        <w:instrText xml:space="preserve"> SEQ Figure \* ARABIC </w:instrText>
      </w:r>
      <w:r>
        <w:fldChar w:fldCharType="separate"/>
      </w:r>
      <w:r w:rsidR="00092DE1">
        <w:rPr>
          <w:noProof/>
        </w:rPr>
        <w:t>10</w:t>
      </w:r>
      <w:r>
        <w:fldChar w:fldCharType="end"/>
      </w:r>
      <w:r>
        <w:t xml:space="preserve"> </w:t>
      </w:r>
      <w:r w:rsidRPr="00405CAD">
        <w:t>Performanca mesatare e komunave në % sipas  fushave në tri vitet e fundit</w:t>
      </w:r>
    </w:p>
    <w:p w:rsidR="00D51F9F" w:rsidRDefault="00D51F9F" w:rsidP="002F1F5D">
      <w:pPr>
        <w:spacing w:after="200" w:line="240" w:lineRule="auto"/>
        <w:jc w:val="both"/>
        <w:rPr>
          <w:rFonts w:cstheme="majorHAnsi"/>
          <w:sz w:val="21"/>
          <w:szCs w:val="21"/>
        </w:rPr>
      </w:pPr>
    </w:p>
    <w:p w:rsidR="00D41A72" w:rsidRPr="00E30471" w:rsidRDefault="00D41A72" w:rsidP="00B862D5">
      <w:pPr>
        <w:spacing w:after="200" w:line="240" w:lineRule="auto"/>
        <w:jc w:val="both"/>
        <w:rPr>
          <w:rFonts w:cstheme="majorHAnsi"/>
          <w:color w:val="0E2841" w:themeColor="text2"/>
        </w:rPr>
      </w:pPr>
      <w:r w:rsidRPr="00E30471">
        <w:rPr>
          <w:rFonts w:cstheme="majorHAnsi"/>
          <w:color w:val="0E2841" w:themeColor="text2"/>
        </w:rPr>
        <w:t>Rezultatet e treguesve të grantit për performancë për të gjitha komunat sipas</w:t>
      </w:r>
      <w:r w:rsidR="00450459" w:rsidRPr="00E30471">
        <w:rPr>
          <w:rFonts w:cstheme="majorHAnsi"/>
          <w:color w:val="0E2841" w:themeColor="text2"/>
        </w:rPr>
        <w:t xml:space="preserve"> fushave, nenfushave, treguesve </w:t>
      </w:r>
      <w:r w:rsidRPr="00E30471">
        <w:rPr>
          <w:rFonts w:cstheme="majorHAnsi"/>
          <w:color w:val="0E2841" w:themeColor="text2"/>
        </w:rPr>
        <w:t xml:space="preserve">janë paraqituar ne shtojcën </w:t>
      </w:r>
      <w:r w:rsidR="00450459" w:rsidRPr="00E30471">
        <w:rPr>
          <w:rFonts w:cstheme="majorHAnsi"/>
          <w:color w:val="0E2841" w:themeColor="text2"/>
        </w:rPr>
        <w:t>2</w:t>
      </w:r>
      <w:r w:rsidRPr="00E30471">
        <w:rPr>
          <w:rFonts w:cstheme="majorHAnsi"/>
          <w:color w:val="0E2841" w:themeColor="text2"/>
        </w:rPr>
        <w:t>.</w:t>
      </w:r>
      <w:r w:rsidR="00450459" w:rsidRPr="00E30471">
        <w:rPr>
          <w:rFonts w:cstheme="majorHAnsi"/>
          <w:color w:val="0E2841" w:themeColor="text2"/>
        </w:rPr>
        <w:t xml:space="preserve"> </w:t>
      </w:r>
    </w:p>
    <w:p w:rsidR="00800C5F" w:rsidRDefault="00084DCB" w:rsidP="00800C5F">
      <w:pPr>
        <w:keepNext/>
        <w:tabs>
          <w:tab w:val="left" w:pos="810"/>
        </w:tabs>
        <w:spacing w:before="240" w:after="0" w:line="240" w:lineRule="auto"/>
        <w:outlineLvl w:val="0"/>
        <w:rPr>
          <w:rFonts w:eastAsiaTheme="majorEastAsia" w:cstheme="majorHAnsi"/>
          <w:b/>
          <w:color w:val="0E2841" w:themeColor="text2"/>
          <w:sz w:val="24"/>
          <w:szCs w:val="24"/>
        </w:rPr>
      </w:pPr>
      <w:bookmarkStart w:id="20" w:name="_Toc178434858"/>
      <w:r w:rsidRPr="00084DCB">
        <w:rPr>
          <w:rFonts w:eastAsiaTheme="majorEastAsia" w:cstheme="majorHAnsi"/>
          <w:b/>
          <w:color w:val="0E2841" w:themeColor="text2"/>
          <w:sz w:val="24"/>
          <w:szCs w:val="24"/>
        </w:rPr>
        <w:lastRenderedPageBreak/>
        <w:t xml:space="preserve">2.2.2.1 </w:t>
      </w:r>
      <w:r w:rsidR="00637548" w:rsidRPr="00084DCB">
        <w:rPr>
          <w:rFonts w:eastAsiaTheme="majorEastAsia" w:cstheme="majorHAnsi"/>
          <w:b/>
          <w:color w:val="0E2841" w:themeColor="text2"/>
          <w:sz w:val="24"/>
          <w:szCs w:val="24"/>
        </w:rPr>
        <w:t xml:space="preserve">Performanca e GPK-së në fushën </w:t>
      </w:r>
      <w:r w:rsidR="00224AFD" w:rsidRPr="00084DCB">
        <w:rPr>
          <w:rFonts w:eastAsiaTheme="majorEastAsia" w:cstheme="majorHAnsi"/>
          <w:b/>
          <w:color w:val="0E2841" w:themeColor="text2"/>
          <w:sz w:val="24"/>
          <w:szCs w:val="24"/>
        </w:rPr>
        <w:t>Qeverisja Demokratike</w:t>
      </w:r>
      <w:bookmarkEnd w:id="20"/>
      <w:r w:rsidR="00224AFD" w:rsidRPr="00084DCB">
        <w:rPr>
          <w:rFonts w:eastAsiaTheme="majorEastAsia" w:cstheme="majorHAnsi"/>
          <w:b/>
          <w:color w:val="0E2841" w:themeColor="text2"/>
          <w:sz w:val="24"/>
          <w:szCs w:val="24"/>
        </w:rPr>
        <w:t xml:space="preserve"> </w:t>
      </w:r>
      <w:bookmarkStart w:id="21" w:name="_Hlk175732653"/>
    </w:p>
    <w:p w:rsidR="00D60ACB" w:rsidRPr="00E30471" w:rsidRDefault="00E85E88" w:rsidP="00D60ACB">
      <w:pPr>
        <w:spacing w:before="60" w:line="264" w:lineRule="auto"/>
        <w:jc w:val="both"/>
        <w:rPr>
          <w:rFonts w:cstheme="majorHAnsi"/>
          <w:color w:val="0E2841" w:themeColor="text2"/>
        </w:rPr>
      </w:pPr>
      <w:bookmarkStart w:id="22" w:name="_Hlk177165022"/>
      <w:r w:rsidRPr="00E30471">
        <w:rPr>
          <w:rFonts w:cstheme="majorHAnsi"/>
          <w:color w:val="0E2841" w:themeColor="text2"/>
        </w:rPr>
        <w:t xml:space="preserve">Performanca mesatare e 38 komunave në </w:t>
      </w:r>
      <w:bookmarkEnd w:id="21"/>
      <w:r w:rsidRPr="00E30471">
        <w:rPr>
          <w:rFonts w:cstheme="majorHAnsi"/>
          <w:color w:val="0E2841" w:themeColor="text2"/>
        </w:rPr>
        <w:t>1</w:t>
      </w:r>
      <w:r w:rsidR="00B12791" w:rsidRPr="00E30471">
        <w:rPr>
          <w:rFonts w:cstheme="majorHAnsi"/>
          <w:color w:val="0E2841" w:themeColor="text2"/>
        </w:rPr>
        <w:t>2</w:t>
      </w:r>
      <w:r w:rsidRPr="00E30471">
        <w:rPr>
          <w:rFonts w:cstheme="majorHAnsi"/>
          <w:color w:val="0E2841" w:themeColor="text2"/>
        </w:rPr>
        <w:t xml:space="preserve"> treguesit e vlerësuar në kuadër të temës </w:t>
      </w:r>
      <w:bookmarkStart w:id="23" w:name="_Hlk175732977"/>
      <w:r w:rsidRPr="00E30471">
        <w:rPr>
          <w:rFonts w:cstheme="majorHAnsi"/>
          <w:color w:val="0E2841" w:themeColor="text2"/>
        </w:rPr>
        <w:t xml:space="preserve">‘Qeverisja demokratike’ </w:t>
      </w:r>
      <w:bookmarkEnd w:id="23"/>
      <w:r w:rsidRPr="00E30471">
        <w:rPr>
          <w:rFonts w:cstheme="majorHAnsi"/>
          <w:color w:val="0E2841" w:themeColor="text2"/>
        </w:rPr>
        <w:t xml:space="preserve">është </w:t>
      </w:r>
      <w:r w:rsidR="004D28AC">
        <w:rPr>
          <w:rFonts w:cstheme="majorHAnsi"/>
          <w:color w:val="0E2841" w:themeColor="text2"/>
        </w:rPr>
        <w:t>20.6</w:t>
      </w:r>
      <w:r w:rsidRPr="00E30471">
        <w:rPr>
          <w:rFonts w:cstheme="majorHAnsi"/>
          <w:color w:val="0E2841" w:themeColor="text2"/>
        </w:rPr>
        <w:t xml:space="preserve"> pikë nga gjithsej </w:t>
      </w:r>
      <w:r w:rsidR="004D28AC">
        <w:rPr>
          <w:rFonts w:cstheme="majorHAnsi"/>
          <w:color w:val="0E2841" w:themeColor="text2"/>
        </w:rPr>
        <w:t>40</w:t>
      </w:r>
      <w:r w:rsidRPr="00E30471">
        <w:rPr>
          <w:rFonts w:cstheme="majorHAnsi"/>
          <w:color w:val="0E2841" w:themeColor="text2"/>
        </w:rPr>
        <w:t xml:space="preserve"> pikë të mundshme në këtë </w:t>
      </w:r>
      <w:r w:rsidR="00AF2E6B" w:rsidRPr="00E30471">
        <w:rPr>
          <w:rFonts w:cstheme="majorHAnsi"/>
          <w:color w:val="0E2841" w:themeColor="text2"/>
        </w:rPr>
        <w:t>fushë</w:t>
      </w:r>
      <w:r w:rsidRPr="00E30471">
        <w:rPr>
          <w:rFonts w:cstheme="majorHAnsi"/>
          <w:color w:val="0E2841" w:themeColor="text2"/>
        </w:rPr>
        <w:t xml:space="preserve"> (</w:t>
      </w:r>
      <w:r w:rsidR="004D28AC">
        <w:rPr>
          <w:rFonts w:cstheme="majorHAnsi"/>
          <w:color w:val="0E2841" w:themeColor="text2"/>
        </w:rPr>
        <w:t>51.</w:t>
      </w:r>
      <w:r w:rsidR="004745FF">
        <w:rPr>
          <w:rFonts w:cstheme="majorHAnsi"/>
          <w:color w:val="0E2841" w:themeColor="text2"/>
        </w:rPr>
        <w:t>6</w:t>
      </w:r>
      <w:r w:rsidRPr="00E30471">
        <w:rPr>
          <w:rFonts w:cstheme="majorHAnsi"/>
          <w:color w:val="0E2841" w:themeColor="text2"/>
        </w:rPr>
        <w:t xml:space="preserve">%). </w:t>
      </w:r>
      <w:bookmarkStart w:id="24" w:name="_Hlk175732993"/>
      <w:r w:rsidRPr="00E30471">
        <w:rPr>
          <w:rFonts w:cstheme="majorHAnsi"/>
          <w:color w:val="0E2841" w:themeColor="text2"/>
        </w:rPr>
        <w:t xml:space="preserve"> </w:t>
      </w:r>
      <w:bookmarkStart w:id="25" w:name="_Hlk176810190"/>
      <w:r w:rsidR="009F2145" w:rsidRPr="00E30471">
        <w:rPr>
          <w:rFonts w:cstheme="majorHAnsi"/>
          <w:color w:val="0E2841" w:themeColor="text2"/>
        </w:rPr>
        <w:t>K</w:t>
      </w:r>
      <w:r w:rsidR="00D60ACB" w:rsidRPr="00E30471">
        <w:rPr>
          <w:rFonts w:cstheme="majorHAnsi"/>
          <w:color w:val="0E2841" w:themeColor="text2"/>
        </w:rPr>
        <w:t>omunat me performancën më të lartë në këtë fushë janë:</w:t>
      </w:r>
      <w:r w:rsidR="00CA10A2">
        <w:rPr>
          <w:rFonts w:cstheme="majorHAnsi"/>
          <w:color w:val="0E2841" w:themeColor="text2"/>
        </w:rPr>
        <w:t xml:space="preserve"> K</w:t>
      </w:r>
      <w:r w:rsidR="004927D7">
        <w:rPr>
          <w:rFonts w:cstheme="majorHAnsi"/>
          <w:color w:val="0E2841" w:themeColor="text2"/>
        </w:rPr>
        <w:t>omuna Obiliq me 39 pikë (97.50). N</w:t>
      </w:r>
      <w:r w:rsidR="008B4DC6" w:rsidRPr="00E30471">
        <w:rPr>
          <w:rFonts w:cstheme="majorHAnsi"/>
          <w:color w:val="0E2841" w:themeColor="text2"/>
        </w:rPr>
        <w:t xml:space="preserve">ga komunat përfituese performancën më të lartë në qeverisje demokratike e ka </w:t>
      </w:r>
      <w:r w:rsidR="00D60ACB" w:rsidRPr="00E30471">
        <w:rPr>
          <w:rFonts w:cstheme="majorHAnsi"/>
          <w:color w:val="0E2841" w:themeColor="text2"/>
        </w:rPr>
        <w:t xml:space="preserve">Komuna e </w:t>
      </w:r>
      <w:r w:rsidR="00FB3619">
        <w:rPr>
          <w:rFonts w:cstheme="majorHAnsi"/>
          <w:color w:val="0E2841" w:themeColor="text2"/>
        </w:rPr>
        <w:t>Rahovecit</w:t>
      </w:r>
      <w:r w:rsidR="004927D7">
        <w:rPr>
          <w:rFonts w:cstheme="majorHAnsi"/>
          <w:color w:val="0E2841" w:themeColor="text2"/>
        </w:rPr>
        <w:t xml:space="preserve"> </w:t>
      </w:r>
      <w:r w:rsidR="004927D7" w:rsidRPr="00E30471">
        <w:rPr>
          <w:rFonts w:cstheme="majorHAnsi"/>
          <w:color w:val="0E2841" w:themeColor="text2"/>
        </w:rPr>
        <w:t>me 3</w:t>
      </w:r>
      <w:r w:rsidR="004927D7">
        <w:rPr>
          <w:rFonts w:cstheme="majorHAnsi"/>
          <w:color w:val="0E2841" w:themeColor="text2"/>
        </w:rPr>
        <w:t>8</w:t>
      </w:r>
      <w:r w:rsidR="004927D7" w:rsidRPr="00E30471">
        <w:rPr>
          <w:rFonts w:cstheme="majorHAnsi"/>
          <w:color w:val="0E2841" w:themeColor="text2"/>
        </w:rPr>
        <w:t xml:space="preserve"> pikë</w:t>
      </w:r>
      <w:r w:rsidR="004927D7">
        <w:rPr>
          <w:rFonts w:cstheme="majorHAnsi"/>
          <w:color w:val="0E2841" w:themeColor="text2"/>
        </w:rPr>
        <w:t xml:space="preserve"> </w:t>
      </w:r>
      <w:r w:rsidR="004927D7" w:rsidRPr="00E30471">
        <w:rPr>
          <w:rFonts w:cstheme="majorHAnsi"/>
          <w:color w:val="0E2841" w:themeColor="text2"/>
        </w:rPr>
        <w:t>(</w:t>
      </w:r>
      <w:r w:rsidR="004927D7">
        <w:rPr>
          <w:rFonts w:cstheme="majorHAnsi"/>
          <w:color w:val="0E2841" w:themeColor="text2"/>
        </w:rPr>
        <w:t>95.00</w:t>
      </w:r>
      <w:r w:rsidR="004927D7" w:rsidRPr="00E30471">
        <w:rPr>
          <w:rFonts w:cstheme="majorHAnsi"/>
          <w:color w:val="0E2841" w:themeColor="text2"/>
        </w:rPr>
        <w:t>%)</w:t>
      </w:r>
      <w:r w:rsidR="004927D7">
        <w:rPr>
          <w:rFonts w:cstheme="majorHAnsi"/>
          <w:color w:val="0E2841" w:themeColor="text2"/>
        </w:rPr>
        <w:t>.</w:t>
      </w:r>
    </w:p>
    <w:p w:rsidR="0068521A" w:rsidRPr="00E30471" w:rsidRDefault="00D60ACB" w:rsidP="00FB3619">
      <w:pPr>
        <w:spacing w:before="60" w:line="264" w:lineRule="auto"/>
        <w:jc w:val="both"/>
        <w:rPr>
          <w:rFonts w:cstheme="majorHAnsi"/>
          <w:color w:val="0E2841" w:themeColor="text2"/>
        </w:rPr>
      </w:pPr>
      <w:r w:rsidRPr="00E30471">
        <w:rPr>
          <w:rFonts w:cstheme="majorHAnsi"/>
          <w:color w:val="0E2841" w:themeColor="text2"/>
        </w:rPr>
        <w:t>Ndërsa, me 0 pikë në këtë fushë, pra performancën më të ulet e ka</w:t>
      </w:r>
      <w:r w:rsidR="00FB3619">
        <w:rPr>
          <w:rFonts w:cstheme="majorHAnsi"/>
          <w:color w:val="0E2841" w:themeColor="text2"/>
        </w:rPr>
        <w:t xml:space="preserve">në  pasur komunat </w:t>
      </w:r>
      <w:r w:rsidR="00FB3619" w:rsidRPr="00FB3619">
        <w:rPr>
          <w:rFonts w:cstheme="majorHAnsi"/>
          <w:color w:val="0E2841" w:themeColor="text2"/>
        </w:rPr>
        <w:t>Novobërd</w:t>
      </w:r>
      <w:r w:rsidR="00FB3619" w:rsidRPr="00FB3619">
        <w:rPr>
          <w:rFonts w:cstheme="majorHAnsi"/>
          <w:color w:val="0E2841" w:themeColor="text2"/>
          <w:lang w:val="en-US" w:eastAsia="ja-JP"/>
        </w:rPr>
        <w:t>ë</w:t>
      </w:r>
      <w:r w:rsidR="00FB3619">
        <w:rPr>
          <w:rFonts w:cstheme="majorHAnsi"/>
          <w:color w:val="0E2841" w:themeColor="text2"/>
        </w:rPr>
        <w:t xml:space="preserve"> </w:t>
      </w:r>
      <w:r w:rsidRPr="00E30471">
        <w:rPr>
          <w:rFonts w:cstheme="majorHAnsi"/>
          <w:color w:val="0E2841" w:themeColor="text2"/>
        </w:rPr>
        <w:t>pasu</w:t>
      </w:r>
      <w:r w:rsidR="00FB3619">
        <w:rPr>
          <w:rFonts w:cstheme="majorHAnsi"/>
          <w:color w:val="0E2841" w:themeColor="text2"/>
        </w:rPr>
        <w:t>a</w:t>
      </w:r>
      <w:r w:rsidRPr="00E30471">
        <w:rPr>
          <w:rFonts w:cstheme="majorHAnsi"/>
          <w:color w:val="0E2841" w:themeColor="text2"/>
        </w:rPr>
        <w:t xml:space="preserve">r nga </w:t>
      </w:r>
      <w:r w:rsidR="00FB3619">
        <w:rPr>
          <w:rFonts w:cstheme="majorHAnsi"/>
          <w:color w:val="0E2841" w:themeColor="text2"/>
        </w:rPr>
        <w:t xml:space="preserve">Mitrovica e Veriut </w:t>
      </w:r>
      <w:r w:rsidRPr="00E30471">
        <w:rPr>
          <w:rFonts w:cstheme="majorHAnsi"/>
          <w:color w:val="0E2841" w:themeColor="text2"/>
        </w:rPr>
        <w:t xml:space="preserve">me </w:t>
      </w:r>
      <w:r w:rsidR="004927D7">
        <w:rPr>
          <w:rFonts w:cstheme="majorHAnsi"/>
          <w:color w:val="0E2841" w:themeColor="text2"/>
        </w:rPr>
        <w:t>4</w:t>
      </w:r>
      <w:r w:rsidRPr="00E30471">
        <w:rPr>
          <w:rFonts w:cstheme="majorHAnsi"/>
          <w:color w:val="0E2841" w:themeColor="text2"/>
        </w:rPr>
        <w:t xml:space="preserve"> pikë apo </w:t>
      </w:r>
      <w:r w:rsidR="00FB3619">
        <w:rPr>
          <w:rFonts w:cstheme="majorHAnsi"/>
          <w:color w:val="0E2841" w:themeColor="text2"/>
        </w:rPr>
        <w:t>10.00</w:t>
      </w:r>
      <w:r w:rsidRPr="00E30471">
        <w:rPr>
          <w:rFonts w:cstheme="majorHAnsi"/>
          <w:color w:val="0E2841" w:themeColor="text2"/>
        </w:rPr>
        <w:t>%</w:t>
      </w:r>
      <w:r w:rsidR="00AF2E6B" w:rsidRPr="00E30471">
        <w:rPr>
          <w:rFonts w:cstheme="majorHAnsi"/>
          <w:color w:val="0E2841" w:themeColor="text2"/>
        </w:rPr>
        <w:t>.</w:t>
      </w:r>
    </w:p>
    <w:bookmarkEnd w:id="22"/>
    <w:p w:rsidR="00E30471" w:rsidRDefault="00E30471" w:rsidP="00E30471">
      <w:pPr>
        <w:pStyle w:val="Caption"/>
        <w:jc w:val="center"/>
      </w:pPr>
      <w:r>
        <w:t>Grafiku</w:t>
      </w:r>
      <w:r>
        <w:fldChar w:fldCharType="begin"/>
      </w:r>
      <w:r>
        <w:instrText xml:space="preserve"> SEQ Figure \* ARABIC </w:instrText>
      </w:r>
      <w:r>
        <w:fldChar w:fldCharType="separate"/>
      </w:r>
      <w:r w:rsidR="00092DE1">
        <w:rPr>
          <w:noProof/>
        </w:rPr>
        <w:t>11</w:t>
      </w:r>
      <w:r>
        <w:fldChar w:fldCharType="end"/>
      </w:r>
      <w:r>
        <w:t xml:space="preserve"> </w:t>
      </w:r>
      <w:r w:rsidRPr="00CE43B3">
        <w:t>Performanca me e lartë, mesatare dhe më e ulët në Qeverisje Demokratike</w:t>
      </w:r>
    </w:p>
    <w:p w:rsidR="00AF2E6B" w:rsidRPr="00BF0D8B" w:rsidRDefault="0068521A" w:rsidP="00C7313B">
      <w:pPr>
        <w:spacing w:before="60" w:line="264" w:lineRule="auto"/>
        <w:jc w:val="center"/>
        <w:rPr>
          <w:rFonts w:ascii="Aptos" w:hAnsi="Aptos"/>
          <w:kern w:val="2"/>
          <w:sz w:val="21"/>
          <w:szCs w:val="21"/>
          <w14:ligatures w14:val="standardContextual"/>
        </w:rPr>
      </w:pPr>
      <w:r>
        <w:rPr>
          <w:noProof/>
          <w:lang w:val="en-GB" w:eastAsia="en-GB"/>
          <w14:ligatures w14:val="standardContextual"/>
        </w:rPr>
        <w:drawing>
          <wp:inline distT="0" distB="0" distL="0" distR="0" wp14:anchorId="6B1A8DE4" wp14:editId="74C2454F">
            <wp:extent cx="4945380" cy="2209800"/>
            <wp:effectExtent l="0" t="0" r="7620" b="0"/>
            <wp:docPr id="1900798"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320BE51-01CE-4C0B-88ED-93D9DA083D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bookmarkEnd w:id="25"/>
    <w:p w:rsidR="00D60ACB" w:rsidRDefault="00FA3744" w:rsidP="00FA3744">
      <w:pPr>
        <w:pStyle w:val="Caption"/>
        <w:jc w:val="both"/>
        <w:rPr>
          <w:noProof/>
          <w14:ligatures w14:val="standardContextual"/>
        </w:rPr>
      </w:pPr>
      <w:r>
        <w:t xml:space="preserve">Grafiku </w:t>
      </w:r>
      <w:r>
        <w:fldChar w:fldCharType="begin"/>
      </w:r>
      <w:r>
        <w:instrText xml:space="preserve"> SEQ Figure \* ARABIC </w:instrText>
      </w:r>
      <w:r>
        <w:fldChar w:fldCharType="separate"/>
      </w:r>
      <w:r w:rsidR="00092DE1">
        <w:rPr>
          <w:noProof/>
        </w:rPr>
        <w:t>12</w:t>
      </w:r>
      <w:r>
        <w:fldChar w:fldCharType="end"/>
      </w:r>
      <w:r>
        <w:t xml:space="preserve"> </w:t>
      </w:r>
      <w:r w:rsidRPr="002632E0">
        <w:t>Performanca  e komunave në nën fushat  e Qeverisjes Demokratike</w:t>
      </w:r>
    </w:p>
    <w:p w:rsidR="00F35F59" w:rsidRPr="006F6FBC" w:rsidRDefault="00FD26D0" w:rsidP="006F6FBC">
      <w:pPr>
        <w:spacing w:before="60" w:line="264" w:lineRule="auto"/>
        <w:jc w:val="both"/>
        <w:rPr>
          <w:rFonts w:cstheme="majorHAnsi"/>
          <w:color w:val="0E2841" w:themeColor="text2"/>
        </w:rPr>
      </w:pPr>
      <w:bookmarkStart w:id="26" w:name="_Hlk177166416"/>
      <w:r>
        <w:rPr>
          <w:noProof/>
          <w:lang w:val="en-GB" w:eastAsia="en-GB"/>
          <w14:ligatures w14:val="standardContextual"/>
        </w:rPr>
        <w:drawing>
          <wp:anchor distT="0" distB="0" distL="114300" distR="114300" simplePos="0" relativeHeight="251763712" behindDoc="0" locked="0" layoutInCell="1" allowOverlap="1" wp14:anchorId="61AC0B6B" wp14:editId="203EE2B0">
            <wp:simplePos x="0" y="0"/>
            <wp:positionH relativeFrom="margin">
              <wp:posOffset>40943</wp:posOffset>
            </wp:positionH>
            <wp:positionV relativeFrom="paragraph">
              <wp:posOffset>68239</wp:posOffset>
            </wp:positionV>
            <wp:extent cx="3352800" cy="2994660"/>
            <wp:effectExtent l="0" t="0" r="0" b="15240"/>
            <wp:wrapSquare wrapText="bothSides"/>
            <wp:docPr id="414598509"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F7AF0E6-AEE1-4AFE-95A4-4A8879E92E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F35F59" w:rsidRPr="006F6FBC">
        <w:rPr>
          <w:rFonts w:cstheme="majorHAnsi"/>
          <w:color w:val="0E2841" w:themeColor="text2"/>
        </w:rPr>
        <w:t>Në nën-</w:t>
      </w:r>
      <w:r w:rsidR="00940821" w:rsidRPr="006F6FBC">
        <w:rPr>
          <w:rFonts w:cstheme="majorHAnsi"/>
          <w:color w:val="0E2841" w:themeColor="text2"/>
        </w:rPr>
        <w:t>fushën</w:t>
      </w:r>
      <w:r w:rsidR="00F35F59" w:rsidRPr="006F6FBC">
        <w:rPr>
          <w:rFonts w:cstheme="majorHAnsi"/>
          <w:color w:val="0E2841" w:themeColor="text2"/>
        </w:rPr>
        <w:t xml:space="preserve"> “Roli i Kuvendit Komunal” si organ mbikëqyrës’ performanca e përgjithshme mesatare për </w:t>
      </w:r>
      <w:r w:rsidR="004927D7">
        <w:rPr>
          <w:rFonts w:cstheme="majorHAnsi"/>
          <w:color w:val="0E2841" w:themeColor="text2"/>
        </w:rPr>
        <w:t>5</w:t>
      </w:r>
      <w:r w:rsidR="00F35F59" w:rsidRPr="006F6FBC">
        <w:rPr>
          <w:rFonts w:cstheme="majorHAnsi"/>
          <w:color w:val="0E2841" w:themeColor="text2"/>
        </w:rPr>
        <w:t xml:space="preserve"> tregues të vlerësuar është </w:t>
      </w:r>
      <w:r w:rsidR="004927D7">
        <w:rPr>
          <w:rFonts w:cstheme="majorHAnsi"/>
          <w:color w:val="0E2841" w:themeColor="text2"/>
        </w:rPr>
        <w:t xml:space="preserve">6.9 </w:t>
      </w:r>
      <w:r w:rsidR="00F35F59" w:rsidRPr="006F6FBC">
        <w:rPr>
          <w:rFonts w:cstheme="majorHAnsi"/>
          <w:color w:val="0E2841" w:themeColor="text2"/>
        </w:rPr>
        <w:t xml:space="preserve"> pikë nga 1</w:t>
      </w:r>
      <w:r w:rsidR="004927D7">
        <w:rPr>
          <w:rFonts w:cstheme="majorHAnsi"/>
          <w:color w:val="0E2841" w:themeColor="text2"/>
        </w:rPr>
        <w:t>2</w:t>
      </w:r>
      <w:r w:rsidR="00F35F59" w:rsidRPr="006F6FBC">
        <w:rPr>
          <w:rFonts w:cstheme="majorHAnsi"/>
          <w:color w:val="0E2841" w:themeColor="text2"/>
        </w:rPr>
        <w:t xml:space="preserve"> pikë të mundshme (</w:t>
      </w:r>
      <w:r w:rsidR="00940821" w:rsidRPr="006F6FBC">
        <w:rPr>
          <w:rFonts w:cstheme="majorHAnsi"/>
          <w:color w:val="0E2841" w:themeColor="text2"/>
        </w:rPr>
        <w:t>57.</w:t>
      </w:r>
      <w:r w:rsidR="00F35F59" w:rsidRPr="006F6FBC">
        <w:rPr>
          <w:rFonts w:cstheme="majorHAnsi"/>
          <w:color w:val="0E2841" w:themeColor="text2"/>
        </w:rPr>
        <w:t xml:space="preserve"> </w:t>
      </w:r>
      <w:r w:rsidR="004927D7">
        <w:rPr>
          <w:rFonts w:cstheme="majorHAnsi"/>
          <w:color w:val="0E2841" w:themeColor="text2"/>
        </w:rPr>
        <w:t>2</w:t>
      </w:r>
      <w:r w:rsidR="00F35F59" w:rsidRPr="006F6FBC">
        <w:rPr>
          <w:rFonts w:cstheme="majorHAnsi"/>
          <w:color w:val="0E2841" w:themeColor="text2"/>
        </w:rPr>
        <w:t xml:space="preserve">%). </w:t>
      </w:r>
    </w:p>
    <w:p w:rsidR="00F35F59" w:rsidRPr="006F6FBC" w:rsidRDefault="00F35F59" w:rsidP="00FA3744">
      <w:pPr>
        <w:spacing w:before="60" w:line="264" w:lineRule="auto"/>
        <w:jc w:val="both"/>
        <w:rPr>
          <w:rFonts w:cstheme="majorHAnsi"/>
          <w:color w:val="0E2841" w:themeColor="text2"/>
        </w:rPr>
      </w:pPr>
      <w:r w:rsidRPr="006F6FBC">
        <w:rPr>
          <w:rFonts w:cstheme="majorHAnsi"/>
          <w:color w:val="0E2841" w:themeColor="text2"/>
        </w:rPr>
        <w:t>Në nën-</w:t>
      </w:r>
      <w:r w:rsidR="000471C8" w:rsidRPr="006F6FBC">
        <w:rPr>
          <w:rFonts w:cstheme="majorHAnsi"/>
          <w:color w:val="0E2841" w:themeColor="text2"/>
        </w:rPr>
        <w:t>fushën</w:t>
      </w:r>
      <w:r w:rsidRPr="006F6FBC">
        <w:rPr>
          <w:rFonts w:cstheme="majorHAnsi"/>
          <w:color w:val="0E2841" w:themeColor="text2"/>
        </w:rPr>
        <w:t xml:space="preserve"> “Pjesëmarrja, konsultimi dhe gjithëpërfshirja e qytetarëve”,</w:t>
      </w:r>
      <w:r w:rsidR="0020782D" w:rsidRPr="006F6FBC">
        <w:rPr>
          <w:rFonts w:cstheme="majorHAnsi"/>
          <w:color w:val="0E2841" w:themeColor="text2"/>
        </w:rPr>
        <w:t xml:space="preserve"> </w:t>
      </w:r>
      <w:r w:rsidRPr="006F6FBC">
        <w:rPr>
          <w:rFonts w:cstheme="majorHAnsi"/>
          <w:color w:val="0E2841" w:themeColor="text2"/>
        </w:rPr>
        <w:t xml:space="preserve">performanca e përgjithshme mesatare për 3 tregues të vlerësuar është </w:t>
      </w:r>
      <w:r w:rsidR="004927D7">
        <w:rPr>
          <w:rFonts w:cstheme="majorHAnsi"/>
          <w:color w:val="0E2841" w:themeColor="text2"/>
        </w:rPr>
        <w:t>4.9</w:t>
      </w:r>
      <w:r w:rsidRPr="006F6FBC">
        <w:rPr>
          <w:rFonts w:cstheme="majorHAnsi"/>
          <w:color w:val="0E2841" w:themeColor="text2"/>
        </w:rPr>
        <w:t xml:space="preserve"> pikë nga 12 pikë të mundshme (</w:t>
      </w:r>
      <w:r w:rsidR="004927D7">
        <w:rPr>
          <w:rFonts w:cstheme="majorHAnsi"/>
          <w:color w:val="0E2841" w:themeColor="text2"/>
        </w:rPr>
        <w:t>40.8</w:t>
      </w:r>
      <w:r w:rsidRPr="006F6FBC">
        <w:rPr>
          <w:rFonts w:cstheme="majorHAnsi"/>
          <w:color w:val="0E2841" w:themeColor="text2"/>
        </w:rPr>
        <w:t xml:space="preserve"> %).</w:t>
      </w:r>
    </w:p>
    <w:p w:rsidR="00940821" w:rsidRPr="006F6FBC" w:rsidRDefault="00F35F59" w:rsidP="00FA3744">
      <w:pPr>
        <w:spacing w:before="60" w:line="264" w:lineRule="auto"/>
        <w:jc w:val="both"/>
        <w:rPr>
          <w:rFonts w:cstheme="majorHAnsi"/>
          <w:color w:val="0E2841" w:themeColor="text2"/>
        </w:rPr>
      </w:pPr>
      <w:r w:rsidRPr="006F6FBC">
        <w:rPr>
          <w:rFonts w:cstheme="majorHAnsi"/>
          <w:color w:val="0E2841" w:themeColor="text2"/>
        </w:rPr>
        <w:t>Në nën-</w:t>
      </w:r>
      <w:r w:rsidR="000471C8" w:rsidRPr="006F6FBC">
        <w:rPr>
          <w:rFonts w:cstheme="majorHAnsi"/>
          <w:color w:val="0E2841" w:themeColor="text2"/>
        </w:rPr>
        <w:t xml:space="preserve">fushën </w:t>
      </w:r>
      <w:r w:rsidRPr="006F6FBC">
        <w:rPr>
          <w:rFonts w:cstheme="majorHAnsi"/>
          <w:color w:val="0E2841" w:themeColor="text2"/>
        </w:rPr>
        <w:t>“Transparenca, qasja në informata dhe integriteti”, performanca e përgjithshme mesatare për 5 tregues të vlerësuar</w:t>
      </w:r>
      <w:r w:rsidRPr="00352A95">
        <w:rPr>
          <w:rFonts w:ascii="Aptos" w:hAnsi="Aptos"/>
          <w:color w:val="153D63" w:themeColor="text2" w:themeTint="E6"/>
          <w:kern w:val="2"/>
          <w14:ligatures w14:val="standardContextual"/>
        </w:rPr>
        <w:t xml:space="preserve"> </w:t>
      </w:r>
      <w:r w:rsidRPr="006F6FBC">
        <w:rPr>
          <w:rFonts w:cstheme="majorHAnsi"/>
          <w:color w:val="0E2841" w:themeColor="text2"/>
        </w:rPr>
        <w:t xml:space="preserve">është </w:t>
      </w:r>
      <w:r w:rsidR="004927D7">
        <w:rPr>
          <w:rFonts w:cstheme="majorHAnsi"/>
          <w:color w:val="0E2841" w:themeColor="text2"/>
        </w:rPr>
        <w:t>8.9</w:t>
      </w:r>
      <w:r w:rsidRPr="006F6FBC">
        <w:rPr>
          <w:rFonts w:cstheme="majorHAnsi"/>
          <w:color w:val="0E2841" w:themeColor="text2"/>
        </w:rPr>
        <w:t xml:space="preserve"> pikë nga 16 pikë të mundshme (</w:t>
      </w:r>
      <w:r w:rsidR="004927D7">
        <w:rPr>
          <w:rFonts w:cstheme="majorHAnsi"/>
          <w:color w:val="0E2841" w:themeColor="text2"/>
        </w:rPr>
        <w:t>55.4</w:t>
      </w:r>
      <w:r w:rsidRPr="006F6FBC">
        <w:rPr>
          <w:rFonts w:cstheme="majorHAnsi"/>
          <w:color w:val="0E2841" w:themeColor="text2"/>
        </w:rPr>
        <w:t>%).</w:t>
      </w:r>
    </w:p>
    <w:bookmarkEnd w:id="26"/>
    <w:p w:rsidR="00637548" w:rsidRPr="006F6FBC" w:rsidRDefault="004D0E53" w:rsidP="006F6FBC">
      <w:pPr>
        <w:spacing w:before="60" w:line="264" w:lineRule="auto"/>
        <w:jc w:val="both"/>
        <w:rPr>
          <w:rFonts w:cstheme="majorHAnsi"/>
          <w:color w:val="0E2841" w:themeColor="text2"/>
        </w:rPr>
      </w:pPr>
      <w:r w:rsidRPr="006F6FBC">
        <w:rPr>
          <w:rFonts w:cstheme="majorHAnsi"/>
          <w:color w:val="0E2841" w:themeColor="text2"/>
        </w:rPr>
        <w:t>Komunat p</w:t>
      </w:r>
      <w:r w:rsidR="00671987" w:rsidRPr="006F6FBC">
        <w:rPr>
          <w:rFonts w:cstheme="majorHAnsi"/>
          <w:color w:val="0E2841" w:themeColor="text2"/>
        </w:rPr>
        <w:t>erformancë</w:t>
      </w:r>
      <w:r w:rsidRPr="006F6FBC">
        <w:rPr>
          <w:rFonts w:cstheme="majorHAnsi"/>
          <w:color w:val="0E2841" w:themeColor="text2"/>
        </w:rPr>
        <w:t xml:space="preserve">n </w:t>
      </w:r>
      <w:r w:rsidR="00671987" w:rsidRPr="006F6FBC">
        <w:rPr>
          <w:rFonts w:cstheme="majorHAnsi"/>
          <w:color w:val="0E2841" w:themeColor="text2"/>
        </w:rPr>
        <w:t>më të lartë</w:t>
      </w:r>
      <w:r w:rsidRPr="006F6FBC">
        <w:rPr>
          <w:rFonts w:cstheme="majorHAnsi"/>
          <w:color w:val="0E2841" w:themeColor="text2"/>
        </w:rPr>
        <w:t xml:space="preserve"> e </w:t>
      </w:r>
      <w:r w:rsidR="00671987" w:rsidRPr="006F6FBC">
        <w:rPr>
          <w:rFonts w:cstheme="majorHAnsi"/>
          <w:color w:val="0E2841" w:themeColor="text2"/>
        </w:rPr>
        <w:t xml:space="preserve"> k</w:t>
      </w:r>
      <w:r w:rsidRPr="006F6FBC">
        <w:rPr>
          <w:rFonts w:cstheme="majorHAnsi"/>
          <w:color w:val="0E2841" w:themeColor="text2"/>
        </w:rPr>
        <w:t>ishin</w:t>
      </w:r>
      <w:r w:rsidR="00671987" w:rsidRPr="006F6FBC">
        <w:rPr>
          <w:rFonts w:cstheme="majorHAnsi"/>
          <w:color w:val="0E2841" w:themeColor="text2"/>
        </w:rPr>
        <w:t xml:space="preserve">  te nën fushën  “Roli i Kuvendit Komunal”</w:t>
      </w:r>
      <w:r w:rsidRPr="006F6FBC">
        <w:rPr>
          <w:rFonts w:cstheme="majorHAnsi"/>
          <w:color w:val="0E2841" w:themeColor="text2"/>
        </w:rPr>
        <w:t>.</w:t>
      </w:r>
    </w:p>
    <w:p w:rsidR="00BA3D82" w:rsidRPr="00084DCB" w:rsidRDefault="00084DCB" w:rsidP="00084DCB">
      <w:pPr>
        <w:keepNext/>
        <w:tabs>
          <w:tab w:val="left" w:pos="810"/>
        </w:tabs>
        <w:spacing w:before="240" w:after="0" w:line="240" w:lineRule="auto"/>
        <w:outlineLvl w:val="0"/>
        <w:rPr>
          <w:rFonts w:eastAsiaTheme="majorEastAsia" w:cstheme="majorHAnsi"/>
          <w:b/>
          <w:color w:val="0E2841" w:themeColor="text2"/>
          <w:sz w:val="24"/>
          <w:szCs w:val="24"/>
        </w:rPr>
      </w:pPr>
      <w:bookmarkStart w:id="27" w:name="_Toc178434859"/>
      <w:bookmarkEnd w:id="24"/>
      <w:r>
        <w:rPr>
          <w:rFonts w:eastAsiaTheme="majorEastAsia" w:cstheme="majorHAnsi"/>
          <w:b/>
          <w:color w:val="0E2841" w:themeColor="text2"/>
          <w:sz w:val="24"/>
          <w:szCs w:val="24"/>
        </w:rPr>
        <w:lastRenderedPageBreak/>
        <w:t xml:space="preserve">2.2.2.2 </w:t>
      </w:r>
      <w:r w:rsidR="00637548" w:rsidRPr="00084DCB">
        <w:rPr>
          <w:rFonts w:eastAsiaTheme="majorEastAsia" w:cstheme="majorHAnsi"/>
          <w:b/>
          <w:color w:val="0E2841" w:themeColor="text2"/>
          <w:sz w:val="24"/>
          <w:szCs w:val="24"/>
        </w:rPr>
        <w:t>Performanca e GPK-së në fushën “Menaxhimi Komunal”</w:t>
      </w:r>
      <w:bookmarkEnd w:id="27"/>
    </w:p>
    <w:p w:rsidR="00692CDB" w:rsidRDefault="00692CDB" w:rsidP="00692CDB">
      <w:pPr>
        <w:spacing w:before="60" w:after="0" w:line="264" w:lineRule="auto"/>
        <w:contextualSpacing/>
        <w:jc w:val="both"/>
        <w:rPr>
          <w:kern w:val="2"/>
          <w:sz w:val="21"/>
          <w:szCs w:val="21"/>
          <w14:ligatures w14:val="standardContextual"/>
        </w:rPr>
      </w:pPr>
    </w:p>
    <w:p w:rsidR="00BB3315" w:rsidRPr="00A10A0C" w:rsidRDefault="00BB3315" w:rsidP="00BB3315">
      <w:pPr>
        <w:spacing w:before="60" w:line="264" w:lineRule="auto"/>
        <w:jc w:val="both"/>
        <w:rPr>
          <w:rFonts w:cstheme="majorHAnsi"/>
          <w:color w:val="0E2841" w:themeColor="text2"/>
        </w:rPr>
      </w:pPr>
      <w:r w:rsidRPr="00A10A0C">
        <w:rPr>
          <w:rFonts w:cstheme="majorHAnsi"/>
          <w:color w:val="0E2841" w:themeColor="text2"/>
        </w:rPr>
        <w:t xml:space="preserve">Performanca mesatare e 38 komunave në </w:t>
      </w:r>
      <w:r w:rsidR="00FD26D0">
        <w:rPr>
          <w:rFonts w:cstheme="majorHAnsi"/>
          <w:color w:val="0E2841" w:themeColor="text2"/>
        </w:rPr>
        <w:t>7</w:t>
      </w:r>
      <w:r w:rsidR="00A10A0C" w:rsidRPr="00A10A0C">
        <w:rPr>
          <w:rFonts w:cstheme="majorHAnsi"/>
          <w:color w:val="0E2841" w:themeColor="text2"/>
        </w:rPr>
        <w:t xml:space="preserve"> </w:t>
      </w:r>
      <w:r w:rsidRPr="00A10A0C">
        <w:rPr>
          <w:rFonts w:cstheme="majorHAnsi"/>
          <w:color w:val="0E2841" w:themeColor="text2"/>
        </w:rPr>
        <w:t xml:space="preserve">treguesit e vlerësuar në kuadër të fushës ‘Menaxhimi Komunal” është </w:t>
      </w:r>
      <w:r w:rsidR="00FD26D0">
        <w:rPr>
          <w:rFonts w:cstheme="majorHAnsi"/>
          <w:color w:val="0E2841" w:themeColor="text2"/>
        </w:rPr>
        <w:t>9.4</w:t>
      </w:r>
      <w:r w:rsidRPr="00A10A0C">
        <w:rPr>
          <w:rFonts w:cstheme="majorHAnsi"/>
          <w:color w:val="0E2841" w:themeColor="text2"/>
        </w:rPr>
        <w:t xml:space="preserve"> pikë nga gjithsej 2</w:t>
      </w:r>
      <w:r w:rsidR="00FD26D0">
        <w:rPr>
          <w:rFonts w:cstheme="majorHAnsi"/>
          <w:color w:val="0E2841" w:themeColor="text2"/>
        </w:rPr>
        <w:t>8</w:t>
      </w:r>
      <w:r w:rsidRPr="00A10A0C">
        <w:rPr>
          <w:rFonts w:cstheme="majorHAnsi"/>
          <w:color w:val="0E2841" w:themeColor="text2"/>
        </w:rPr>
        <w:t xml:space="preserve"> pikë të mundshme në këtë fushë (</w:t>
      </w:r>
      <w:r w:rsidR="00FD26D0">
        <w:rPr>
          <w:rFonts w:cstheme="majorHAnsi"/>
          <w:color w:val="0E2841" w:themeColor="text2"/>
        </w:rPr>
        <w:t>33.5</w:t>
      </w:r>
      <w:r w:rsidRPr="00A10A0C">
        <w:rPr>
          <w:rFonts w:cstheme="majorHAnsi"/>
          <w:color w:val="0E2841" w:themeColor="text2"/>
        </w:rPr>
        <w:t xml:space="preserve">%).  Komunat me performancën më të lartë në këtë fushë janë: Komunat </w:t>
      </w:r>
      <w:r w:rsidR="00FD26D0">
        <w:rPr>
          <w:rFonts w:cstheme="majorHAnsi"/>
          <w:color w:val="0E2841" w:themeColor="text2"/>
        </w:rPr>
        <w:t>Prizrenit 22 pikë ( 78.6</w:t>
      </w:r>
      <w:r w:rsidRPr="00A10A0C">
        <w:rPr>
          <w:rFonts w:cstheme="majorHAnsi"/>
          <w:color w:val="0E2841" w:themeColor="text2"/>
        </w:rPr>
        <w:t xml:space="preserve">%) dhe komuna e </w:t>
      </w:r>
      <w:r w:rsidR="00FD26D0">
        <w:rPr>
          <w:rFonts w:cstheme="majorHAnsi"/>
          <w:color w:val="0E2841" w:themeColor="text2"/>
        </w:rPr>
        <w:t xml:space="preserve">Gllogocit </w:t>
      </w:r>
      <w:r w:rsidRPr="00A10A0C">
        <w:rPr>
          <w:rFonts w:cstheme="majorHAnsi"/>
          <w:color w:val="0E2841" w:themeColor="text2"/>
        </w:rPr>
        <w:t xml:space="preserve"> me 2</w:t>
      </w:r>
      <w:r w:rsidR="00FD26D0">
        <w:rPr>
          <w:rFonts w:cstheme="majorHAnsi"/>
          <w:color w:val="0E2841" w:themeColor="text2"/>
        </w:rPr>
        <w:t>0</w:t>
      </w:r>
      <w:r w:rsidRPr="00A10A0C">
        <w:rPr>
          <w:rFonts w:cstheme="majorHAnsi"/>
          <w:color w:val="0E2841" w:themeColor="text2"/>
        </w:rPr>
        <w:t xml:space="preserve"> pike apo </w:t>
      </w:r>
      <w:r w:rsidR="00FD26D0">
        <w:rPr>
          <w:rFonts w:cstheme="majorHAnsi"/>
          <w:color w:val="0E2841" w:themeColor="text2"/>
        </w:rPr>
        <w:t>71.4</w:t>
      </w:r>
      <w:r w:rsidRPr="00A10A0C">
        <w:rPr>
          <w:rFonts w:cstheme="majorHAnsi"/>
          <w:color w:val="0E2841" w:themeColor="text2"/>
        </w:rPr>
        <w:t xml:space="preserve">%. </w:t>
      </w:r>
    </w:p>
    <w:p w:rsidR="00666E5D" w:rsidRPr="00A10A0C" w:rsidRDefault="00BB3315" w:rsidP="00A10A0C">
      <w:pPr>
        <w:spacing w:before="60" w:line="264" w:lineRule="auto"/>
        <w:jc w:val="both"/>
        <w:rPr>
          <w:rFonts w:cstheme="majorHAnsi"/>
          <w:color w:val="0E2841" w:themeColor="text2"/>
        </w:rPr>
      </w:pPr>
      <w:r w:rsidRPr="00A10A0C">
        <w:rPr>
          <w:rFonts w:cstheme="majorHAnsi"/>
          <w:color w:val="0E2841" w:themeColor="text2"/>
        </w:rPr>
        <w:t xml:space="preserve">Ndërsa, me 0 pikë në këtë fushë, pra performancën më të ulet e ka pasur komuna e </w:t>
      </w:r>
      <w:r w:rsidR="00FD26D0">
        <w:rPr>
          <w:rFonts w:cstheme="majorHAnsi"/>
          <w:color w:val="0E2841" w:themeColor="text2"/>
        </w:rPr>
        <w:t>Novobërdës</w:t>
      </w:r>
      <w:r w:rsidRPr="00A10A0C">
        <w:rPr>
          <w:rFonts w:cstheme="majorHAnsi"/>
          <w:color w:val="0E2841" w:themeColor="text2"/>
        </w:rPr>
        <w:t xml:space="preserve"> pasur nga </w:t>
      </w:r>
      <w:r w:rsidR="00FD26D0">
        <w:rPr>
          <w:rFonts w:cstheme="majorHAnsi"/>
          <w:color w:val="0E2841" w:themeColor="text2"/>
        </w:rPr>
        <w:t xml:space="preserve">Parteshi </w:t>
      </w:r>
      <w:r w:rsidRPr="00A10A0C">
        <w:rPr>
          <w:rFonts w:cstheme="majorHAnsi"/>
          <w:color w:val="0E2841" w:themeColor="text2"/>
        </w:rPr>
        <w:t xml:space="preserve"> me </w:t>
      </w:r>
      <w:r w:rsidR="00FD26D0">
        <w:rPr>
          <w:rFonts w:cstheme="majorHAnsi"/>
          <w:color w:val="0E2841" w:themeColor="text2"/>
        </w:rPr>
        <w:t>2</w:t>
      </w:r>
      <w:r w:rsidR="009C2F12">
        <w:rPr>
          <w:rFonts w:cstheme="majorHAnsi"/>
          <w:color w:val="0E2841" w:themeColor="text2"/>
        </w:rPr>
        <w:t xml:space="preserve"> </w:t>
      </w:r>
      <w:r w:rsidRPr="00A10A0C">
        <w:rPr>
          <w:rFonts w:cstheme="majorHAnsi"/>
          <w:color w:val="0E2841" w:themeColor="text2"/>
        </w:rPr>
        <w:t>pikë apo 3.8%.</w:t>
      </w:r>
      <w:r w:rsidR="000F4288" w:rsidRPr="00A10A0C">
        <w:rPr>
          <w:rFonts w:cstheme="majorHAnsi"/>
          <w:color w:val="0E2841" w:themeColor="text2"/>
        </w:rPr>
        <w:t xml:space="preserve"> Ndërsa, nga komunat përfituese performancën më të ulët e kishte  komu</w:t>
      </w:r>
      <w:r w:rsidR="00FD26D0">
        <w:rPr>
          <w:rFonts w:cstheme="majorHAnsi"/>
          <w:color w:val="0E2841" w:themeColor="text2"/>
        </w:rPr>
        <w:t>na e Parteshit me 2 pikë apo 7.1</w:t>
      </w:r>
      <w:r w:rsidR="000F4288" w:rsidRPr="00A10A0C">
        <w:rPr>
          <w:rFonts w:cstheme="majorHAnsi"/>
          <w:color w:val="0E2841" w:themeColor="text2"/>
        </w:rPr>
        <w:t xml:space="preserve">%. </w:t>
      </w:r>
    </w:p>
    <w:p w:rsidR="00EC3C59" w:rsidRDefault="00EC3C59" w:rsidP="00EC3C59">
      <w:pPr>
        <w:pStyle w:val="Caption"/>
        <w:jc w:val="center"/>
      </w:pPr>
      <w:r>
        <w:t xml:space="preserve">Grafiku </w:t>
      </w:r>
      <w:r>
        <w:fldChar w:fldCharType="begin"/>
      </w:r>
      <w:r>
        <w:instrText xml:space="preserve"> SEQ Figure \* ARABIC </w:instrText>
      </w:r>
      <w:r>
        <w:fldChar w:fldCharType="separate"/>
      </w:r>
      <w:r w:rsidR="00092DE1">
        <w:rPr>
          <w:noProof/>
        </w:rPr>
        <w:t>13</w:t>
      </w:r>
      <w:r>
        <w:fldChar w:fldCharType="end"/>
      </w:r>
      <w:r>
        <w:t xml:space="preserve"> </w:t>
      </w:r>
      <w:r w:rsidRPr="00EA351D">
        <w:t>Performanca me e lartë, mesatare dhe më e ulët në Menaxhimin Komunal</w:t>
      </w:r>
    </w:p>
    <w:p w:rsidR="00BB3315" w:rsidRDefault="004927D7" w:rsidP="00666E5D">
      <w:pPr>
        <w:spacing w:before="60" w:line="264" w:lineRule="auto"/>
        <w:jc w:val="center"/>
        <w:rPr>
          <w:rFonts w:ascii="Segoe UI Symbol" w:hAnsi="Segoe UI Symbol"/>
          <w:kern w:val="2"/>
          <w:sz w:val="21"/>
          <w:szCs w:val="21"/>
          <w:lang w:val="en-US" w:eastAsia="ja-JP"/>
          <w14:ligatures w14:val="standardContextual"/>
        </w:rPr>
      </w:pPr>
      <w:r>
        <w:rPr>
          <w:noProof/>
          <w:lang w:val="en-GB" w:eastAsia="en-GB"/>
          <w14:ligatures w14:val="standardContextual"/>
        </w:rPr>
        <w:drawing>
          <wp:anchor distT="0" distB="0" distL="114300" distR="114300" simplePos="0" relativeHeight="251878400" behindDoc="0" locked="0" layoutInCell="1" allowOverlap="1" wp14:anchorId="2AE16EB0" wp14:editId="25601721">
            <wp:simplePos x="0" y="0"/>
            <wp:positionH relativeFrom="margin">
              <wp:align>center</wp:align>
            </wp:positionH>
            <wp:positionV relativeFrom="margin">
              <wp:posOffset>5914883</wp:posOffset>
            </wp:positionV>
            <wp:extent cx="5181600" cy="2724150"/>
            <wp:effectExtent l="0" t="0" r="0" b="0"/>
            <wp:wrapSquare wrapText="bothSides"/>
            <wp:docPr id="44" name="Chart 4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E19C8193-A6C6-C03F-63F6-033501611A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4F0D05" w:rsidRDefault="00CC6ED7" w:rsidP="00CC6ED7">
      <w:pPr>
        <w:pStyle w:val="Caption"/>
      </w:pPr>
      <w:r w:rsidRPr="00CC6ED7">
        <w:t xml:space="preserve"> </w:t>
      </w:r>
      <w:r>
        <w:t xml:space="preserve">Figure </w:t>
      </w:r>
      <w:r>
        <w:fldChar w:fldCharType="begin"/>
      </w:r>
      <w:r>
        <w:instrText xml:space="preserve"> SEQ Figure \* ARABIC </w:instrText>
      </w:r>
      <w:r>
        <w:fldChar w:fldCharType="separate"/>
      </w:r>
      <w:r w:rsidR="00092DE1">
        <w:rPr>
          <w:noProof/>
        </w:rPr>
        <w:t>14</w:t>
      </w:r>
      <w:r>
        <w:fldChar w:fldCharType="end"/>
      </w:r>
      <w:r>
        <w:t xml:space="preserve"> </w:t>
      </w:r>
      <w:r w:rsidRPr="00A12771">
        <w:t>Performanca  e komunave në nën fushat  e Menaxhimit Komunal</w:t>
      </w:r>
    </w:p>
    <w:p w:rsidR="009B0A50" w:rsidRPr="00B345DC" w:rsidRDefault="00FD26D0" w:rsidP="00B345DC">
      <w:pPr>
        <w:jc w:val="both"/>
      </w:pPr>
      <w:bookmarkStart w:id="28" w:name="_Hlk177168036"/>
      <w:r>
        <w:rPr>
          <w:noProof/>
          <w:lang w:val="en-GB" w:eastAsia="en-GB"/>
          <w14:ligatures w14:val="standardContextual"/>
        </w:rPr>
        <w:drawing>
          <wp:anchor distT="0" distB="0" distL="114300" distR="114300" simplePos="0" relativeHeight="251879424" behindDoc="0" locked="0" layoutInCell="1" allowOverlap="1" wp14:anchorId="40497CEF" wp14:editId="5E4AA7FA">
            <wp:simplePos x="0" y="0"/>
            <wp:positionH relativeFrom="margin">
              <wp:posOffset>20007</wp:posOffset>
            </wp:positionH>
            <wp:positionV relativeFrom="margin">
              <wp:posOffset>320344</wp:posOffset>
            </wp:positionV>
            <wp:extent cx="3186430" cy="2543175"/>
            <wp:effectExtent l="0" t="0" r="13970" b="9525"/>
            <wp:wrapSquare wrapText="bothSides"/>
            <wp:docPr id="47" name="Chart 47">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5A85686C-2182-445D-BE6A-B4921808DB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anchor>
        </w:drawing>
      </w:r>
      <w:r w:rsidR="009B0A50" w:rsidRPr="007C4454">
        <w:rPr>
          <w:rFonts w:cstheme="majorHAnsi"/>
          <w:color w:val="0E2841" w:themeColor="text2"/>
        </w:rPr>
        <w:t xml:space="preserve">Në nën-fushën “Menaxhimi financiar” performanca e përgjithshme mesatare për </w:t>
      </w:r>
      <w:r>
        <w:rPr>
          <w:rFonts w:cstheme="majorHAnsi"/>
          <w:color w:val="0E2841" w:themeColor="text2"/>
        </w:rPr>
        <w:t>2.5</w:t>
      </w:r>
      <w:r w:rsidR="009B0A50" w:rsidRPr="007C4454">
        <w:rPr>
          <w:rFonts w:cstheme="majorHAnsi"/>
          <w:color w:val="0E2841" w:themeColor="text2"/>
        </w:rPr>
        <w:t xml:space="preserve"> tregues të vlerësuar është </w:t>
      </w:r>
      <w:r>
        <w:rPr>
          <w:rFonts w:cstheme="majorHAnsi"/>
          <w:color w:val="0E2841" w:themeColor="text2"/>
        </w:rPr>
        <w:t>4.1</w:t>
      </w:r>
      <w:r w:rsidR="009B0A50" w:rsidRPr="007C4454">
        <w:rPr>
          <w:rFonts w:cstheme="majorHAnsi"/>
          <w:color w:val="0E2841" w:themeColor="text2"/>
        </w:rPr>
        <w:t xml:space="preserve"> pikë nga 11 pikë të mundshme (</w:t>
      </w:r>
      <w:r>
        <w:rPr>
          <w:rFonts w:cstheme="majorHAnsi"/>
          <w:color w:val="0E2841" w:themeColor="text2"/>
        </w:rPr>
        <w:t>14.6</w:t>
      </w:r>
      <w:r w:rsidR="009B0A50" w:rsidRPr="007C4454">
        <w:rPr>
          <w:rFonts w:cstheme="majorHAnsi"/>
          <w:color w:val="0E2841" w:themeColor="text2"/>
        </w:rPr>
        <w:t xml:space="preserve">%). </w:t>
      </w:r>
    </w:p>
    <w:p w:rsidR="009B0A50" w:rsidRPr="007C4454" w:rsidRDefault="009B0A50" w:rsidP="00B345DC">
      <w:pPr>
        <w:spacing w:before="60" w:line="264" w:lineRule="auto"/>
        <w:jc w:val="both"/>
        <w:rPr>
          <w:rFonts w:cstheme="majorHAnsi"/>
          <w:color w:val="0E2841" w:themeColor="text2"/>
        </w:rPr>
      </w:pPr>
      <w:r w:rsidRPr="007C4454">
        <w:rPr>
          <w:rFonts w:cstheme="majorHAnsi"/>
          <w:color w:val="0E2841" w:themeColor="text2"/>
        </w:rPr>
        <w:t>Në nën-fushën “</w:t>
      </w:r>
      <w:r w:rsidR="00F13304" w:rsidRPr="007C4454">
        <w:rPr>
          <w:rFonts w:cstheme="majorHAnsi"/>
          <w:color w:val="0E2841" w:themeColor="text2"/>
        </w:rPr>
        <w:t>Menaxhimi i kontratës</w:t>
      </w:r>
      <w:r w:rsidRPr="007C4454">
        <w:rPr>
          <w:rFonts w:cstheme="majorHAnsi"/>
          <w:color w:val="0E2841" w:themeColor="text2"/>
        </w:rPr>
        <w:t xml:space="preserve">” performanca e përgjithshme mesatare për </w:t>
      </w:r>
      <w:r w:rsidR="00222AB6" w:rsidRPr="007C4454">
        <w:rPr>
          <w:rFonts w:cstheme="majorHAnsi"/>
          <w:color w:val="0E2841" w:themeColor="text2"/>
        </w:rPr>
        <w:t>2</w:t>
      </w:r>
      <w:r w:rsidRPr="007C4454">
        <w:rPr>
          <w:rFonts w:cstheme="majorHAnsi"/>
          <w:color w:val="0E2841" w:themeColor="text2"/>
        </w:rPr>
        <w:t xml:space="preserve"> tregues të vlerësuar është </w:t>
      </w:r>
      <w:r w:rsidR="00FD26D0">
        <w:rPr>
          <w:rFonts w:cstheme="majorHAnsi"/>
          <w:color w:val="0E2841" w:themeColor="text2"/>
        </w:rPr>
        <w:t>4.2</w:t>
      </w:r>
      <w:r w:rsidR="00222AB6" w:rsidRPr="007C4454">
        <w:rPr>
          <w:rFonts w:cstheme="majorHAnsi"/>
          <w:color w:val="0E2841" w:themeColor="text2"/>
        </w:rPr>
        <w:t xml:space="preserve"> </w:t>
      </w:r>
      <w:r w:rsidRPr="007C4454">
        <w:rPr>
          <w:rFonts w:cstheme="majorHAnsi"/>
          <w:color w:val="0E2841" w:themeColor="text2"/>
        </w:rPr>
        <w:t xml:space="preserve">pikë nga </w:t>
      </w:r>
      <w:r w:rsidR="00222AB6" w:rsidRPr="007C4454">
        <w:rPr>
          <w:rFonts w:cstheme="majorHAnsi"/>
          <w:color w:val="0E2841" w:themeColor="text2"/>
        </w:rPr>
        <w:t>7</w:t>
      </w:r>
      <w:r w:rsidRPr="007C4454">
        <w:rPr>
          <w:rFonts w:cstheme="majorHAnsi"/>
          <w:color w:val="0E2841" w:themeColor="text2"/>
        </w:rPr>
        <w:t xml:space="preserve"> pikë të mundshme (</w:t>
      </w:r>
      <w:r w:rsidR="00555B84">
        <w:rPr>
          <w:rFonts w:cstheme="majorHAnsi"/>
          <w:color w:val="0E2841" w:themeColor="text2"/>
        </w:rPr>
        <w:t>59.4</w:t>
      </w:r>
      <w:r w:rsidRPr="007C4454">
        <w:rPr>
          <w:rFonts w:cstheme="majorHAnsi"/>
          <w:color w:val="0E2841" w:themeColor="text2"/>
        </w:rPr>
        <w:t xml:space="preserve"> %).</w:t>
      </w:r>
    </w:p>
    <w:p w:rsidR="00C7313B" w:rsidRDefault="009B0A50" w:rsidP="00B345DC">
      <w:pPr>
        <w:spacing w:before="60" w:line="264" w:lineRule="auto"/>
        <w:jc w:val="both"/>
        <w:rPr>
          <w:rFonts w:cstheme="majorHAnsi"/>
          <w:color w:val="0E2841" w:themeColor="text2"/>
        </w:rPr>
      </w:pPr>
      <w:r w:rsidRPr="007C4454">
        <w:rPr>
          <w:rFonts w:cstheme="majorHAnsi"/>
          <w:color w:val="0E2841" w:themeColor="text2"/>
        </w:rPr>
        <w:t>Në nën-fushën “</w:t>
      </w:r>
      <w:r w:rsidR="00222AB6" w:rsidRPr="007C4454">
        <w:rPr>
          <w:rFonts w:cstheme="majorHAnsi"/>
          <w:color w:val="0E2841" w:themeColor="text2"/>
        </w:rPr>
        <w:t>Menaxhimi i burimeve njerëzore</w:t>
      </w:r>
      <w:r w:rsidRPr="007C4454">
        <w:rPr>
          <w:rFonts w:cstheme="majorHAnsi"/>
          <w:color w:val="0E2841" w:themeColor="text2"/>
        </w:rPr>
        <w:t xml:space="preserve">”, performanca e përgjithshme mesatare për </w:t>
      </w:r>
      <w:r w:rsidR="003A2289" w:rsidRPr="007C4454">
        <w:rPr>
          <w:rFonts w:cstheme="majorHAnsi"/>
          <w:color w:val="0E2841" w:themeColor="text2"/>
        </w:rPr>
        <w:t>2 t</w:t>
      </w:r>
      <w:r w:rsidRPr="007C4454">
        <w:rPr>
          <w:rFonts w:cstheme="majorHAnsi"/>
          <w:color w:val="0E2841" w:themeColor="text2"/>
        </w:rPr>
        <w:t xml:space="preserve">regues të vlerësuar është </w:t>
      </w:r>
      <w:r w:rsidR="00555B84">
        <w:rPr>
          <w:rFonts w:cstheme="majorHAnsi"/>
          <w:color w:val="0E2841" w:themeColor="text2"/>
        </w:rPr>
        <w:t>3.6</w:t>
      </w:r>
      <w:r w:rsidRPr="007C4454">
        <w:rPr>
          <w:rFonts w:cstheme="majorHAnsi"/>
          <w:color w:val="0E2841" w:themeColor="text2"/>
        </w:rPr>
        <w:t xml:space="preserve"> pikë nga </w:t>
      </w:r>
      <w:r w:rsidR="00555B84">
        <w:rPr>
          <w:rFonts w:cstheme="majorHAnsi"/>
          <w:color w:val="0E2841" w:themeColor="text2"/>
        </w:rPr>
        <w:t>10</w:t>
      </w:r>
      <w:r w:rsidRPr="007C4454">
        <w:rPr>
          <w:rFonts w:cstheme="majorHAnsi"/>
          <w:color w:val="0E2841" w:themeColor="text2"/>
        </w:rPr>
        <w:t xml:space="preserve"> pikë të mundshme (</w:t>
      </w:r>
      <w:r w:rsidR="00555B84">
        <w:rPr>
          <w:rFonts w:cstheme="majorHAnsi"/>
          <w:color w:val="0E2841" w:themeColor="text2"/>
        </w:rPr>
        <w:t>36.3</w:t>
      </w:r>
      <w:r w:rsidRPr="007C4454">
        <w:rPr>
          <w:rFonts w:cstheme="majorHAnsi"/>
          <w:color w:val="0E2841" w:themeColor="text2"/>
        </w:rPr>
        <w:t>%).</w:t>
      </w:r>
      <w:bookmarkEnd w:id="28"/>
    </w:p>
    <w:p w:rsidR="00555B84" w:rsidRPr="00034826" w:rsidRDefault="00555B84" w:rsidP="00B345DC">
      <w:pPr>
        <w:spacing w:before="60" w:line="264" w:lineRule="auto"/>
        <w:jc w:val="both"/>
        <w:rPr>
          <w:rFonts w:cstheme="majorHAnsi"/>
          <w:color w:val="0E2841" w:themeColor="text2"/>
        </w:rPr>
      </w:pPr>
    </w:p>
    <w:p w:rsidR="00C7313B" w:rsidRPr="00034826" w:rsidRDefault="00766277" w:rsidP="00692CDB">
      <w:pPr>
        <w:spacing w:before="60" w:after="0" w:line="264" w:lineRule="auto"/>
        <w:contextualSpacing/>
        <w:jc w:val="both"/>
        <w:rPr>
          <w:rFonts w:cstheme="majorHAnsi"/>
          <w:color w:val="0E2841" w:themeColor="text2"/>
        </w:rPr>
      </w:pPr>
      <w:r w:rsidRPr="007C4454">
        <w:rPr>
          <w:rFonts w:cstheme="majorHAnsi"/>
          <w:color w:val="0E2841" w:themeColor="text2"/>
        </w:rPr>
        <w:t>Komunat performancën më të lartë e  kishin  te nën fushën  “Menaxhimi i Kontratës”.</w:t>
      </w:r>
    </w:p>
    <w:p w:rsidR="00D3589F" w:rsidRPr="00571610" w:rsidRDefault="00D3589F" w:rsidP="00571610">
      <w:pPr>
        <w:keepNext/>
        <w:tabs>
          <w:tab w:val="left" w:pos="810"/>
        </w:tabs>
        <w:spacing w:before="240" w:after="0" w:line="240" w:lineRule="auto"/>
        <w:outlineLvl w:val="0"/>
        <w:rPr>
          <w:rFonts w:eastAsiaTheme="majorEastAsia" w:cstheme="majorHAnsi"/>
          <w:b/>
          <w:color w:val="0E2841" w:themeColor="text2"/>
          <w:sz w:val="24"/>
          <w:szCs w:val="24"/>
        </w:rPr>
      </w:pPr>
      <w:bookmarkStart w:id="29" w:name="_Toc178434860"/>
      <w:r>
        <w:rPr>
          <w:rFonts w:eastAsiaTheme="majorEastAsia" w:cstheme="majorHAnsi"/>
          <w:b/>
          <w:color w:val="0E2841" w:themeColor="text2"/>
          <w:sz w:val="24"/>
          <w:szCs w:val="24"/>
        </w:rPr>
        <w:lastRenderedPageBreak/>
        <w:t>2.2.2.</w:t>
      </w:r>
      <w:r w:rsidR="004F17A3">
        <w:rPr>
          <w:rFonts w:eastAsiaTheme="majorEastAsia" w:cstheme="majorHAnsi"/>
          <w:b/>
          <w:color w:val="0E2841" w:themeColor="text2"/>
          <w:sz w:val="24"/>
          <w:szCs w:val="24"/>
        </w:rPr>
        <w:t>3</w:t>
      </w:r>
      <w:r>
        <w:rPr>
          <w:rFonts w:eastAsiaTheme="majorEastAsia" w:cstheme="majorHAnsi"/>
          <w:b/>
          <w:color w:val="0E2841" w:themeColor="text2"/>
          <w:sz w:val="24"/>
          <w:szCs w:val="24"/>
        </w:rPr>
        <w:t xml:space="preserve"> </w:t>
      </w:r>
      <w:r w:rsidRPr="00084DCB">
        <w:rPr>
          <w:rFonts w:eastAsiaTheme="majorEastAsia" w:cstheme="majorHAnsi"/>
          <w:b/>
          <w:color w:val="0E2841" w:themeColor="text2"/>
          <w:sz w:val="24"/>
          <w:szCs w:val="24"/>
        </w:rPr>
        <w:t>Performanca e GPK-së në fushën “</w:t>
      </w:r>
      <w:r w:rsidR="0079094D">
        <w:rPr>
          <w:rFonts w:eastAsiaTheme="majorEastAsia" w:cstheme="majorHAnsi"/>
          <w:b/>
          <w:color w:val="0E2841" w:themeColor="text2"/>
          <w:sz w:val="24"/>
          <w:szCs w:val="24"/>
        </w:rPr>
        <w:t>Ofrimi i shërbimeve</w:t>
      </w:r>
      <w:r w:rsidRPr="00084DCB">
        <w:rPr>
          <w:rFonts w:eastAsiaTheme="majorEastAsia" w:cstheme="majorHAnsi"/>
          <w:b/>
          <w:color w:val="0E2841" w:themeColor="text2"/>
          <w:sz w:val="24"/>
          <w:szCs w:val="24"/>
        </w:rPr>
        <w:t>”</w:t>
      </w:r>
      <w:bookmarkEnd w:id="29"/>
    </w:p>
    <w:p w:rsidR="00C7313B" w:rsidRDefault="00C7313B" w:rsidP="00692CDB">
      <w:pPr>
        <w:spacing w:before="60" w:after="0" w:line="264" w:lineRule="auto"/>
        <w:contextualSpacing/>
        <w:jc w:val="both"/>
        <w:rPr>
          <w:kern w:val="2"/>
          <w:sz w:val="21"/>
          <w:szCs w:val="21"/>
          <w14:ligatures w14:val="standardContextual"/>
        </w:rPr>
      </w:pPr>
    </w:p>
    <w:p w:rsidR="004F17A3" w:rsidRPr="00571610" w:rsidRDefault="004F17A3" w:rsidP="004F17A3">
      <w:pPr>
        <w:spacing w:before="60" w:line="264" w:lineRule="auto"/>
        <w:jc w:val="both"/>
        <w:rPr>
          <w:rFonts w:cstheme="majorHAnsi"/>
          <w:color w:val="0E2841" w:themeColor="text2"/>
        </w:rPr>
      </w:pPr>
      <w:r w:rsidRPr="00571610">
        <w:rPr>
          <w:rFonts w:cstheme="majorHAnsi"/>
          <w:color w:val="0E2841" w:themeColor="text2"/>
        </w:rPr>
        <w:t xml:space="preserve">Performanca mesatare e 38 komunave në </w:t>
      </w:r>
      <w:r w:rsidR="002C539E" w:rsidRPr="00571610">
        <w:rPr>
          <w:rFonts w:cstheme="majorHAnsi"/>
          <w:color w:val="0E2841" w:themeColor="text2"/>
        </w:rPr>
        <w:t>8</w:t>
      </w:r>
      <w:r w:rsidRPr="00571610">
        <w:rPr>
          <w:rFonts w:cstheme="majorHAnsi"/>
          <w:color w:val="0E2841" w:themeColor="text2"/>
        </w:rPr>
        <w:t xml:space="preserve"> treguesit e vlerësuar në kuadër të fushës ‘</w:t>
      </w:r>
      <w:r w:rsidR="00E112B0" w:rsidRPr="00571610">
        <w:rPr>
          <w:rFonts w:cstheme="majorHAnsi"/>
          <w:color w:val="0E2841" w:themeColor="text2"/>
        </w:rPr>
        <w:t>Ofrimi i shërbimeve”</w:t>
      </w:r>
      <w:r w:rsidRPr="00571610">
        <w:rPr>
          <w:rFonts w:cstheme="majorHAnsi"/>
          <w:color w:val="0E2841" w:themeColor="text2"/>
        </w:rPr>
        <w:t xml:space="preserve"> është </w:t>
      </w:r>
      <w:r w:rsidR="004D2FD9">
        <w:rPr>
          <w:rFonts w:cstheme="majorHAnsi"/>
          <w:color w:val="0E2841" w:themeColor="text2"/>
        </w:rPr>
        <w:t>10.9</w:t>
      </w:r>
      <w:r w:rsidRPr="00571610">
        <w:rPr>
          <w:rFonts w:cstheme="majorHAnsi"/>
          <w:color w:val="0E2841" w:themeColor="text2"/>
        </w:rPr>
        <w:t xml:space="preserve"> pikë nga gjithsej </w:t>
      </w:r>
      <w:r w:rsidR="004D2FD9">
        <w:rPr>
          <w:rFonts w:cstheme="majorHAnsi"/>
          <w:color w:val="0E2841" w:themeColor="text2"/>
        </w:rPr>
        <w:t>30</w:t>
      </w:r>
      <w:r w:rsidRPr="00571610">
        <w:rPr>
          <w:rFonts w:cstheme="majorHAnsi"/>
          <w:color w:val="0E2841" w:themeColor="text2"/>
        </w:rPr>
        <w:t xml:space="preserve"> pikë të mundshme në këtë fushë (</w:t>
      </w:r>
      <w:r w:rsidR="004D2FD9">
        <w:rPr>
          <w:rFonts w:cstheme="majorHAnsi"/>
          <w:color w:val="0E2841" w:themeColor="text2"/>
        </w:rPr>
        <w:t>36.3</w:t>
      </w:r>
      <w:r w:rsidRPr="00571610">
        <w:rPr>
          <w:rFonts w:cstheme="majorHAnsi"/>
          <w:color w:val="0E2841" w:themeColor="text2"/>
        </w:rPr>
        <w:t xml:space="preserve">%).  Komunat me performancën më të lartë në këtë fushë janë: Komunat </w:t>
      </w:r>
      <w:r w:rsidR="00E112B0" w:rsidRPr="00571610">
        <w:rPr>
          <w:rFonts w:cstheme="majorHAnsi"/>
          <w:color w:val="0E2841" w:themeColor="text2"/>
        </w:rPr>
        <w:t>Lipjanit</w:t>
      </w:r>
      <w:r w:rsidRPr="00571610">
        <w:rPr>
          <w:rFonts w:cstheme="majorHAnsi"/>
          <w:color w:val="0E2841" w:themeColor="text2"/>
        </w:rPr>
        <w:t xml:space="preserve"> 2</w:t>
      </w:r>
      <w:r w:rsidR="004D2FD9">
        <w:rPr>
          <w:rFonts w:cstheme="majorHAnsi"/>
          <w:color w:val="0E2841" w:themeColor="text2"/>
        </w:rPr>
        <w:t>4</w:t>
      </w:r>
      <w:r w:rsidRPr="00571610">
        <w:rPr>
          <w:rFonts w:cstheme="majorHAnsi"/>
          <w:color w:val="0E2841" w:themeColor="text2"/>
        </w:rPr>
        <w:t xml:space="preserve"> pikë ( </w:t>
      </w:r>
      <w:r w:rsidR="004D2FD9">
        <w:rPr>
          <w:rFonts w:cstheme="majorHAnsi"/>
          <w:color w:val="0E2841" w:themeColor="text2"/>
        </w:rPr>
        <w:t>80.0</w:t>
      </w:r>
      <w:r w:rsidRPr="00571610">
        <w:rPr>
          <w:rFonts w:cstheme="majorHAnsi"/>
          <w:color w:val="0E2841" w:themeColor="text2"/>
        </w:rPr>
        <w:t xml:space="preserve">%) dhe komuna e </w:t>
      </w:r>
      <w:r w:rsidR="004D2FD9" w:rsidRPr="004D2FD9">
        <w:rPr>
          <w:rFonts w:cstheme="majorHAnsi"/>
          <w:color w:val="0E2841" w:themeColor="text2"/>
        </w:rPr>
        <w:t>Fush</w:t>
      </w:r>
      <w:r w:rsidR="004D2FD9" w:rsidRPr="004D2FD9">
        <w:rPr>
          <w:rFonts w:cstheme="majorHAnsi"/>
          <w:color w:val="0E2841" w:themeColor="text2"/>
          <w:lang w:val="en-US" w:eastAsia="ja-JP"/>
        </w:rPr>
        <w:t>ë Kosovës</w:t>
      </w:r>
      <w:r w:rsidR="004D2FD9">
        <w:rPr>
          <w:rFonts w:ascii="Segoe UI Symbol" w:hAnsi="Segoe UI Symbol" w:cstheme="majorHAnsi"/>
          <w:color w:val="0E2841" w:themeColor="text2"/>
          <w:lang w:val="en-US" w:eastAsia="ja-JP"/>
        </w:rPr>
        <w:t xml:space="preserve"> me </w:t>
      </w:r>
      <w:r w:rsidR="004D2FD9">
        <w:rPr>
          <w:rFonts w:cstheme="majorHAnsi"/>
          <w:color w:val="0E2841" w:themeColor="text2"/>
        </w:rPr>
        <w:t>23</w:t>
      </w:r>
      <w:r w:rsidRPr="00571610">
        <w:rPr>
          <w:rFonts w:cstheme="majorHAnsi"/>
          <w:color w:val="0E2841" w:themeColor="text2"/>
        </w:rPr>
        <w:t xml:space="preserve"> pike</w:t>
      </w:r>
      <w:r w:rsidR="004D2FD9">
        <w:rPr>
          <w:rFonts w:cstheme="majorHAnsi"/>
          <w:color w:val="0E2841" w:themeColor="text2"/>
        </w:rPr>
        <w:t xml:space="preserve"> apo 76.7</w:t>
      </w:r>
      <w:r w:rsidRPr="00571610">
        <w:rPr>
          <w:rFonts w:cstheme="majorHAnsi"/>
          <w:color w:val="0E2841" w:themeColor="text2"/>
        </w:rPr>
        <w:t xml:space="preserve">%. </w:t>
      </w:r>
    </w:p>
    <w:p w:rsidR="00E112B0" w:rsidRPr="00571610" w:rsidRDefault="004F17A3" w:rsidP="00571610">
      <w:pPr>
        <w:spacing w:before="60" w:line="264" w:lineRule="auto"/>
        <w:jc w:val="both"/>
        <w:rPr>
          <w:rFonts w:cstheme="majorHAnsi"/>
          <w:color w:val="0E2841" w:themeColor="text2"/>
        </w:rPr>
      </w:pPr>
      <w:r w:rsidRPr="00571610">
        <w:rPr>
          <w:rFonts w:cstheme="majorHAnsi"/>
          <w:color w:val="0E2841" w:themeColor="text2"/>
        </w:rPr>
        <w:t>Ndërsa, me 0 pikë në këtë fushë, pra performancën më të ulet e ka pasur komuna e Mitrovicës së Veriut</w:t>
      </w:r>
      <w:r w:rsidR="00E112B0" w:rsidRPr="00571610">
        <w:rPr>
          <w:rFonts w:cstheme="majorHAnsi"/>
          <w:color w:val="0E2841" w:themeColor="text2"/>
        </w:rPr>
        <w:t xml:space="preserve"> si dhe komunat Ranillug , </w:t>
      </w:r>
      <w:r w:rsidR="004D2FD9" w:rsidRPr="004D2FD9">
        <w:rPr>
          <w:rFonts w:cstheme="majorHAnsi"/>
          <w:color w:val="0E2841" w:themeColor="text2"/>
        </w:rPr>
        <w:t>Novobërd</w:t>
      </w:r>
      <w:r w:rsidR="004D2FD9" w:rsidRPr="004D2FD9">
        <w:rPr>
          <w:rFonts w:cs="Arial"/>
          <w:color w:val="0E2841" w:themeColor="text2"/>
        </w:rPr>
        <w:t>ë</w:t>
      </w:r>
      <w:r w:rsidR="00E112B0" w:rsidRPr="00571610">
        <w:rPr>
          <w:rFonts w:cstheme="majorHAnsi"/>
          <w:color w:val="0E2841" w:themeColor="text2"/>
        </w:rPr>
        <w:t xml:space="preserve"> si dhe Partesh (komunë perfituese).</w:t>
      </w:r>
    </w:p>
    <w:p w:rsidR="00A9225B" w:rsidRPr="009D0799" w:rsidRDefault="004D2FD9" w:rsidP="009D0799">
      <w:pPr>
        <w:pStyle w:val="Caption"/>
        <w:rPr>
          <w:rFonts w:cs="Times New Roman"/>
          <w:b/>
          <w:iCs w:val="0"/>
          <w:highlight w:val="lightGray"/>
          <w:lang w:eastAsia="ja-JP"/>
        </w:rPr>
      </w:pPr>
      <w:r>
        <w:rPr>
          <w:noProof/>
          <w:lang w:val="en-GB" w:eastAsia="en-GB"/>
          <w14:ligatures w14:val="standardContextual"/>
        </w:rPr>
        <w:drawing>
          <wp:anchor distT="0" distB="0" distL="114300" distR="114300" simplePos="0" relativeHeight="251880448" behindDoc="0" locked="0" layoutInCell="1" allowOverlap="1" wp14:anchorId="28C11152" wp14:editId="11C25161">
            <wp:simplePos x="0" y="0"/>
            <wp:positionH relativeFrom="margin">
              <wp:align>center</wp:align>
            </wp:positionH>
            <wp:positionV relativeFrom="margin">
              <wp:align>bottom</wp:align>
            </wp:positionV>
            <wp:extent cx="5181600" cy="2724150"/>
            <wp:effectExtent l="0" t="0" r="0" b="0"/>
            <wp:wrapSquare wrapText="bothSides"/>
            <wp:docPr id="48" name="Chart 4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ACE0949-EF3D-2FA8-206D-6D7FCAFC7E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C229B6">
        <w:t xml:space="preserve">                               </w:t>
      </w:r>
      <w:r w:rsidR="009D0799">
        <w:t xml:space="preserve">Grafiku </w:t>
      </w:r>
      <w:r w:rsidR="009D0799">
        <w:fldChar w:fldCharType="begin"/>
      </w:r>
      <w:r w:rsidR="009D0799">
        <w:instrText xml:space="preserve"> SEQ Figure \* ARABIC </w:instrText>
      </w:r>
      <w:r w:rsidR="009D0799">
        <w:fldChar w:fldCharType="separate"/>
      </w:r>
      <w:r w:rsidR="00092DE1">
        <w:rPr>
          <w:noProof/>
        </w:rPr>
        <w:t>15</w:t>
      </w:r>
      <w:r w:rsidR="009D0799">
        <w:fldChar w:fldCharType="end"/>
      </w:r>
      <w:r w:rsidR="009D0799">
        <w:t xml:space="preserve"> </w:t>
      </w:r>
      <w:r w:rsidR="009D0799" w:rsidRPr="00486D98">
        <w:t>Performanca me e lartë, mesatare dhe më e ulët në Ofrimin e shërbimeve</w:t>
      </w:r>
    </w:p>
    <w:p w:rsidR="00E112B0" w:rsidRDefault="00A06E59" w:rsidP="004F17A3">
      <w:pPr>
        <w:jc w:val="both"/>
        <w:rPr>
          <w:rFonts w:ascii="Aptos" w:hAnsi="Aptos"/>
          <w:kern w:val="2"/>
          <w:sz w:val="21"/>
          <w:szCs w:val="21"/>
          <w14:ligatures w14:val="standardContextual"/>
        </w:rPr>
      </w:pPr>
      <w:r>
        <w:rPr>
          <w:rFonts w:ascii="Aptos" w:hAnsi="Aptos"/>
          <w:kern w:val="2"/>
          <w:sz w:val="21"/>
          <w:szCs w:val="21"/>
          <w14:ligatures w14:val="standardContextual"/>
        </w:rPr>
        <w:br w:type="textWrapping" w:clear="all"/>
      </w:r>
    </w:p>
    <w:p w:rsidR="00092DE1" w:rsidRDefault="00092DE1" w:rsidP="00092DE1">
      <w:pPr>
        <w:pStyle w:val="Caption"/>
      </w:pPr>
      <w:r>
        <w:t xml:space="preserve">Figure </w:t>
      </w:r>
      <w:r>
        <w:fldChar w:fldCharType="begin"/>
      </w:r>
      <w:r>
        <w:instrText xml:space="preserve"> SEQ Figure \* ARABIC </w:instrText>
      </w:r>
      <w:r>
        <w:fldChar w:fldCharType="separate"/>
      </w:r>
      <w:r>
        <w:rPr>
          <w:noProof/>
        </w:rPr>
        <w:t>16</w:t>
      </w:r>
      <w:r>
        <w:fldChar w:fldCharType="end"/>
      </w:r>
      <w:r>
        <w:t xml:space="preserve"> </w:t>
      </w:r>
      <w:r w:rsidRPr="009C0A36">
        <w:t>Performanca  e komunave në nën fushat  e Ofrimit të sherbimeve</w:t>
      </w:r>
    </w:p>
    <w:p w:rsidR="00C7313B" w:rsidRPr="003C0782" w:rsidRDefault="004D2FD9" w:rsidP="00B94F78">
      <w:pPr>
        <w:spacing w:before="60" w:after="0" w:line="264" w:lineRule="auto"/>
        <w:contextualSpacing/>
        <w:jc w:val="both"/>
        <w:rPr>
          <w:color w:val="0A2F41" w:themeColor="accent1" w:themeShade="80"/>
          <w:kern w:val="2"/>
          <w14:ligatures w14:val="standardContextual"/>
        </w:rPr>
      </w:pPr>
      <w:r>
        <w:rPr>
          <w:noProof/>
          <w:lang w:val="en-GB" w:eastAsia="en-GB"/>
          <w14:ligatures w14:val="standardContextual"/>
        </w:rPr>
        <w:drawing>
          <wp:anchor distT="0" distB="0" distL="114300" distR="114300" simplePos="0" relativeHeight="251881472" behindDoc="0" locked="0" layoutInCell="1" allowOverlap="1" wp14:anchorId="2E013381" wp14:editId="7F21A9EF">
            <wp:simplePos x="0" y="0"/>
            <wp:positionH relativeFrom="margin">
              <wp:align>left</wp:align>
            </wp:positionH>
            <wp:positionV relativeFrom="margin">
              <wp:posOffset>721995</wp:posOffset>
            </wp:positionV>
            <wp:extent cx="3902710" cy="2900045"/>
            <wp:effectExtent l="0" t="0" r="2540" b="14605"/>
            <wp:wrapSquare wrapText="bothSides"/>
            <wp:docPr id="50" name="Chart 5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626A530D-9810-1A0E-CEE7-5678713DA1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B94F78" w:rsidRPr="00F06977">
        <w:rPr>
          <w:color w:val="153D63" w:themeColor="text2" w:themeTint="E6"/>
          <w:kern w:val="2"/>
          <w14:ligatures w14:val="standardContextual"/>
        </w:rPr>
        <w:t>Në</w:t>
      </w:r>
      <w:r w:rsidR="00B94F78" w:rsidRPr="003C0782">
        <w:rPr>
          <w:color w:val="0A2F41" w:themeColor="accent1" w:themeShade="80"/>
          <w:kern w:val="2"/>
          <w14:ligatures w14:val="standardContextual"/>
        </w:rPr>
        <w:t xml:space="preserve"> nën-fushën “Shërbime Adminsitrative”, performanca e përgjithshme mesatare për </w:t>
      </w:r>
      <w:r>
        <w:rPr>
          <w:color w:val="0A2F41" w:themeColor="accent1" w:themeShade="80"/>
          <w:kern w:val="2"/>
          <w14:ligatures w14:val="standardContextual"/>
        </w:rPr>
        <w:t>2</w:t>
      </w:r>
      <w:r w:rsidR="00B94F78" w:rsidRPr="003C0782">
        <w:rPr>
          <w:color w:val="0A2F41" w:themeColor="accent1" w:themeShade="80"/>
          <w:kern w:val="2"/>
          <w14:ligatures w14:val="standardContextual"/>
        </w:rPr>
        <w:t xml:space="preserve"> tregues të vlerësuar është </w:t>
      </w:r>
      <w:r>
        <w:rPr>
          <w:color w:val="0A2F41" w:themeColor="accent1" w:themeShade="80"/>
          <w:kern w:val="2"/>
          <w14:ligatures w14:val="standardContextual"/>
        </w:rPr>
        <w:t>4.1</w:t>
      </w:r>
      <w:r w:rsidR="00B94F78" w:rsidRPr="003C0782">
        <w:rPr>
          <w:color w:val="0A2F41" w:themeColor="accent1" w:themeShade="80"/>
          <w:kern w:val="2"/>
          <w14:ligatures w14:val="standardContextual"/>
        </w:rPr>
        <w:t xml:space="preserve"> pikë nga </w:t>
      </w:r>
      <w:r>
        <w:rPr>
          <w:color w:val="0A2F41" w:themeColor="accent1" w:themeShade="80"/>
          <w:kern w:val="2"/>
          <w14:ligatures w14:val="standardContextual"/>
        </w:rPr>
        <w:t>6</w:t>
      </w:r>
      <w:r w:rsidR="00B94F78" w:rsidRPr="003C0782">
        <w:rPr>
          <w:color w:val="0A2F41" w:themeColor="accent1" w:themeShade="80"/>
          <w:kern w:val="2"/>
          <w14:ligatures w14:val="standardContextual"/>
        </w:rPr>
        <w:t xml:space="preserve"> pikë të mundshme (</w:t>
      </w:r>
      <w:r>
        <w:rPr>
          <w:color w:val="0A2F41" w:themeColor="accent1" w:themeShade="80"/>
          <w:kern w:val="2"/>
          <w14:ligatures w14:val="standardContextual"/>
        </w:rPr>
        <w:t>68.4</w:t>
      </w:r>
      <w:r w:rsidR="00B94F78" w:rsidRPr="003C0782">
        <w:rPr>
          <w:color w:val="0A2F41" w:themeColor="accent1" w:themeShade="80"/>
          <w:kern w:val="2"/>
          <w14:ligatures w14:val="standardContextual"/>
        </w:rPr>
        <w:t>%).</w:t>
      </w:r>
    </w:p>
    <w:p w:rsidR="00C7313B" w:rsidRPr="003C0782" w:rsidRDefault="00B94F78" w:rsidP="00692CDB">
      <w:pPr>
        <w:spacing w:before="60" w:after="0" w:line="264" w:lineRule="auto"/>
        <w:contextualSpacing/>
        <w:jc w:val="both"/>
        <w:rPr>
          <w:color w:val="0A2F41" w:themeColor="accent1" w:themeShade="80"/>
          <w:kern w:val="2"/>
          <w14:ligatures w14:val="standardContextual"/>
        </w:rPr>
      </w:pPr>
      <w:r w:rsidRPr="003C0782">
        <w:rPr>
          <w:color w:val="0A2F41" w:themeColor="accent1" w:themeShade="80"/>
          <w:kern w:val="2"/>
          <w14:ligatures w14:val="standardContextual"/>
        </w:rPr>
        <w:t xml:space="preserve">Në nën-fushën “Planifikimi hapësinor, transporti publik dhe mjedisi”, performanca e përgjithshme mesatare për 3 tregues të vlerësuar është </w:t>
      </w:r>
      <w:r w:rsidR="004D2FD9">
        <w:rPr>
          <w:color w:val="0A2F41" w:themeColor="accent1" w:themeShade="80"/>
          <w:kern w:val="2"/>
          <w14:ligatures w14:val="standardContextual"/>
        </w:rPr>
        <w:t>2.2</w:t>
      </w:r>
      <w:r w:rsidRPr="003C0782">
        <w:rPr>
          <w:color w:val="0A2F41" w:themeColor="accent1" w:themeShade="80"/>
          <w:kern w:val="2"/>
          <w14:ligatures w14:val="standardContextual"/>
        </w:rPr>
        <w:t xml:space="preserve"> pikë nga 8 pikë të mundshme (</w:t>
      </w:r>
      <w:r w:rsidR="004D2FD9">
        <w:rPr>
          <w:color w:val="0A2F41" w:themeColor="accent1" w:themeShade="80"/>
          <w:kern w:val="2"/>
          <w14:ligatures w14:val="standardContextual"/>
        </w:rPr>
        <w:t>27.6</w:t>
      </w:r>
      <w:r w:rsidRPr="003C0782">
        <w:rPr>
          <w:color w:val="0A2F41" w:themeColor="accent1" w:themeShade="80"/>
          <w:kern w:val="2"/>
          <w14:ligatures w14:val="standardContextual"/>
        </w:rPr>
        <w:t>%).</w:t>
      </w:r>
    </w:p>
    <w:p w:rsidR="00CF4E0C" w:rsidRPr="003C0782" w:rsidRDefault="00CF4E0C" w:rsidP="00CF4E0C">
      <w:pPr>
        <w:spacing w:before="60" w:after="0" w:line="264" w:lineRule="auto"/>
        <w:contextualSpacing/>
        <w:jc w:val="both"/>
        <w:rPr>
          <w:color w:val="0A2F41" w:themeColor="accent1" w:themeShade="80"/>
          <w:kern w:val="2"/>
          <w14:ligatures w14:val="standardContextual"/>
        </w:rPr>
      </w:pPr>
      <w:r w:rsidRPr="003C0782">
        <w:rPr>
          <w:color w:val="0A2F41" w:themeColor="accent1" w:themeShade="80"/>
          <w:kern w:val="2"/>
          <w14:ligatures w14:val="standardContextual"/>
        </w:rPr>
        <w:t xml:space="preserve">Në nën-fushën “Arsimi para-universitar”, performanca e përgjithshme mesatare për 2 tregues të vlerësuar është </w:t>
      </w:r>
      <w:r w:rsidR="004D2FD9">
        <w:rPr>
          <w:color w:val="0A2F41" w:themeColor="accent1" w:themeShade="80"/>
          <w:kern w:val="2"/>
          <w14:ligatures w14:val="standardContextual"/>
        </w:rPr>
        <w:t>1.3</w:t>
      </w:r>
      <w:r w:rsidRPr="003C0782">
        <w:rPr>
          <w:color w:val="0A2F41" w:themeColor="accent1" w:themeShade="80"/>
          <w:kern w:val="2"/>
          <w14:ligatures w14:val="standardContextual"/>
        </w:rPr>
        <w:t xml:space="preserve"> pikë nga 8 pikë të mundshme (</w:t>
      </w:r>
      <w:r w:rsidR="004D2FD9">
        <w:rPr>
          <w:color w:val="0A2F41" w:themeColor="accent1" w:themeShade="80"/>
          <w:kern w:val="2"/>
          <w14:ligatures w14:val="standardContextual"/>
        </w:rPr>
        <w:t>16.4</w:t>
      </w:r>
      <w:r w:rsidRPr="003C0782">
        <w:rPr>
          <w:color w:val="0A2F41" w:themeColor="accent1" w:themeShade="80"/>
          <w:kern w:val="2"/>
          <w14:ligatures w14:val="standardContextual"/>
        </w:rPr>
        <w:t>%).</w:t>
      </w:r>
    </w:p>
    <w:p w:rsidR="00CF4E0C" w:rsidRPr="003C0782" w:rsidRDefault="00CF4E0C" w:rsidP="00CF4E0C">
      <w:pPr>
        <w:spacing w:before="60" w:after="0" w:line="264" w:lineRule="auto"/>
        <w:contextualSpacing/>
        <w:jc w:val="both"/>
        <w:rPr>
          <w:color w:val="0A2F41" w:themeColor="accent1" w:themeShade="80"/>
          <w:kern w:val="2"/>
          <w14:ligatures w14:val="standardContextual"/>
        </w:rPr>
      </w:pPr>
      <w:r w:rsidRPr="003C0782">
        <w:rPr>
          <w:color w:val="0A2F41" w:themeColor="accent1" w:themeShade="80"/>
          <w:kern w:val="2"/>
          <w14:ligatures w14:val="standardContextual"/>
        </w:rPr>
        <w:lastRenderedPageBreak/>
        <w:t xml:space="preserve">Në nën-fushën “Kujdesi shëndetësor primar”, performanca e përgjithshme mesatare për 2 tregues të vlerësuar është </w:t>
      </w:r>
      <w:r w:rsidR="004D2FD9">
        <w:rPr>
          <w:color w:val="0A2F41" w:themeColor="accent1" w:themeShade="80"/>
          <w:kern w:val="2"/>
          <w14:ligatures w14:val="standardContextual"/>
        </w:rPr>
        <w:t>3.3</w:t>
      </w:r>
      <w:r w:rsidRPr="003C0782">
        <w:rPr>
          <w:color w:val="0A2F41" w:themeColor="accent1" w:themeShade="80"/>
          <w:kern w:val="2"/>
          <w14:ligatures w14:val="standardContextual"/>
        </w:rPr>
        <w:t xml:space="preserve"> pikë nga 8 pikë të mundshme (</w:t>
      </w:r>
      <w:r w:rsidR="004D2FD9">
        <w:rPr>
          <w:color w:val="0A2F41" w:themeColor="accent1" w:themeShade="80"/>
          <w:kern w:val="2"/>
          <w14:ligatures w14:val="standardContextual"/>
        </w:rPr>
        <w:t>40.8</w:t>
      </w:r>
      <w:r w:rsidRPr="003C0782">
        <w:rPr>
          <w:color w:val="0A2F41" w:themeColor="accent1" w:themeShade="80"/>
          <w:kern w:val="2"/>
          <w14:ligatures w14:val="standardContextual"/>
        </w:rPr>
        <w:t>%).</w:t>
      </w:r>
    </w:p>
    <w:p w:rsidR="00234CA0" w:rsidRPr="003C0782" w:rsidRDefault="00234CA0" w:rsidP="00CF4E0C">
      <w:pPr>
        <w:spacing w:before="60" w:after="0" w:line="264" w:lineRule="auto"/>
        <w:contextualSpacing/>
        <w:jc w:val="both"/>
        <w:rPr>
          <w:color w:val="0A2F41" w:themeColor="accent1" w:themeShade="80"/>
          <w:kern w:val="2"/>
          <w14:ligatures w14:val="standardContextual"/>
        </w:rPr>
      </w:pPr>
    </w:p>
    <w:p w:rsidR="00CF4E0C" w:rsidRPr="003C0782" w:rsidRDefault="00234CA0" w:rsidP="00CF4E0C">
      <w:pPr>
        <w:spacing w:before="60" w:after="0" w:line="264" w:lineRule="auto"/>
        <w:contextualSpacing/>
        <w:jc w:val="both"/>
        <w:rPr>
          <w:color w:val="0A2F41" w:themeColor="accent1" w:themeShade="80"/>
          <w:kern w:val="2"/>
          <w14:ligatures w14:val="standardContextual"/>
        </w:rPr>
      </w:pPr>
      <w:r w:rsidRPr="003C0782">
        <w:rPr>
          <w:color w:val="0A2F41" w:themeColor="accent1" w:themeShade="80"/>
          <w:kern w:val="2"/>
          <w14:ligatures w14:val="standardContextual"/>
        </w:rPr>
        <w:t>Komunat performancën më të lartë e  kishin  te</w:t>
      </w:r>
      <w:r w:rsidR="0001291F" w:rsidRPr="003C0782">
        <w:rPr>
          <w:color w:val="0A2F41" w:themeColor="accent1" w:themeShade="80"/>
          <w:kern w:val="2"/>
          <w14:ligatures w14:val="standardContextual"/>
        </w:rPr>
        <w:t>k</w:t>
      </w:r>
      <w:r w:rsidRPr="003C0782">
        <w:rPr>
          <w:color w:val="0A2F41" w:themeColor="accent1" w:themeShade="80"/>
          <w:kern w:val="2"/>
          <w14:ligatures w14:val="standardContextual"/>
        </w:rPr>
        <w:t xml:space="preserve"> nën fushën  “Shërbime Adminsitrative”,</w:t>
      </w:r>
    </w:p>
    <w:p w:rsidR="00592ACC" w:rsidRDefault="00592ACC" w:rsidP="00692CDB">
      <w:pPr>
        <w:spacing w:before="60" w:after="0" w:line="264" w:lineRule="auto"/>
        <w:contextualSpacing/>
        <w:jc w:val="both"/>
        <w:rPr>
          <w:kern w:val="2"/>
          <w:sz w:val="21"/>
          <w:szCs w:val="21"/>
          <w14:ligatures w14:val="standardContextual"/>
        </w:rPr>
      </w:pPr>
    </w:p>
    <w:p w:rsidR="00592ACC" w:rsidRDefault="00592ACC" w:rsidP="00692CDB">
      <w:pPr>
        <w:spacing w:before="60" w:after="0" w:line="264" w:lineRule="auto"/>
        <w:contextualSpacing/>
        <w:jc w:val="both"/>
        <w:rPr>
          <w:kern w:val="2"/>
          <w:sz w:val="21"/>
          <w:szCs w:val="21"/>
          <w14:ligatures w14:val="standardContextual"/>
        </w:rPr>
      </w:pPr>
    </w:p>
    <w:p w:rsidR="00140694" w:rsidRDefault="00140694" w:rsidP="00140694">
      <w:pPr>
        <w:keepNext/>
        <w:tabs>
          <w:tab w:val="left" w:pos="810"/>
        </w:tabs>
        <w:spacing w:before="240" w:after="0" w:line="240" w:lineRule="auto"/>
        <w:outlineLvl w:val="0"/>
        <w:rPr>
          <w:rFonts w:eastAsiaTheme="majorEastAsia" w:cstheme="majorHAnsi"/>
          <w:b/>
          <w:color w:val="0E2841" w:themeColor="text2"/>
          <w:sz w:val="24"/>
          <w:szCs w:val="24"/>
        </w:rPr>
      </w:pPr>
      <w:bookmarkStart w:id="30" w:name="_Toc178434861"/>
      <w:r>
        <w:rPr>
          <w:rFonts w:eastAsiaTheme="majorEastAsia" w:cstheme="majorHAnsi"/>
          <w:b/>
          <w:color w:val="0E2841" w:themeColor="text2"/>
          <w:sz w:val="24"/>
          <w:szCs w:val="24"/>
        </w:rPr>
        <w:t xml:space="preserve">2.2.3 </w:t>
      </w:r>
      <w:r w:rsidRPr="00F95FA1">
        <w:rPr>
          <w:rFonts w:eastAsiaTheme="majorEastAsia" w:cstheme="majorHAnsi"/>
          <w:b/>
          <w:color w:val="0E2841" w:themeColor="text2"/>
          <w:sz w:val="24"/>
          <w:szCs w:val="24"/>
        </w:rPr>
        <w:t xml:space="preserve"> Rezultatet </w:t>
      </w:r>
      <w:r w:rsidR="00E97F76">
        <w:rPr>
          <w:rFonts w:eastAsiaTheme="majorEastAsia" w:cstheme="majorHAnsi"/>
          <w:b/>
          <w:color w:val="0E2841" w:themeColor="text2"/>
          <w:sz w:val="24"/>
          <w:szCs w:val="24"/>
        </w:rPr>
        <w:t>në</w:t>
      </w:r>
      <w:r w:rsidRPr="00F95FA1">
        <w:rPr>
          <w:rFonts w:eastAsiaTheme="majorEastAsia" w:cstheme="majorHAnsi"/>
          <w:b/>
          <w:color w:val="0E2841" w:themeColor="text2"/>
          <w:sz w:val="24"/>
          <w:szCs w:val="24"/>
        </w:rPr>
        <w:t xml:space="preserve"> treguesit</w:t>
      </w:r>
      <w:r w:rsidR="00E97F76">
        <w:rPr>
          <w:rFonts w:eastAsiaTheme="majorEastAsia" w:cstheme="majorHAnsi"/>
          <w:b/>
          <w:color w:val="0E2841" w:themeColor="text2"/>
          <w:sz w:val="24"/>
          <w:szCs w:val="24"/>
        </w:rPr>
        <w:t xml:space="preserve"> e GPK-së</w:t>
      </w:r>
      <w:bookmarkEnd w:id="30"/>
      <w:r w:rsidRPr="00F95FA1">
        <w:rPr>
          <w:rFonts w:eastAsiaTheme="majorEastAsia" w:cstheme="majorHAnsi"/>
          <w:b/>
          <w:color w:val="0E2841" w:themeColor="text2"/>
          <w:sz w:val="24"/>
          <w:szCs w:val="24"/>
        </w:rPr>
        <w:t xml:space="preserve"> </w:t>
      </w:r>
    </w:p>
    <w:p w:rsidR="00C7313B" w:rsidRDefault="00C7313B" w:rsidP="00692CDB">
      <w:pPr>
        <w:spacing w:before="60" w:after="0" w:line="264" w:lineRule="auto"/>
        <w:contextualSpacing/>
        <w:jc w:val="both"/>
        <w:rPr>
          <w:kern w:val="2"/>
          <w:sz w:val="21"/>
          <w:szCs w:val="21"/>
          <w14:ligatures w14:val="standardContextual"/>
        </w:rPr>
      </w:pPr>
    </w:p>
    <w:p w:rsidR="005314DD" w:rsidRDefault="00E97F76" w:rsidP="00692CDB">
      <w:pPr>
        <w:spacing w:before="60" w:after="0" w:line="264" w:lineRule="auto"/>
        <w:contextualSpacing/>
        <w:jc w:val="both"/>
        <w:rPr>
          <w:color w:val="0A2F41" w:themeColor="accent1" w:themeShade="80"/>
          <w:kern w:val="2"/>
          <w14:ligatures w14:val="standardContextual"/>
        </w:rPr>
      </w:pPr>
      <w:r w:rsidRPr="00627ECB">
        <w:rPr>
          <w:color w:val="0A2F41" w:themeColor="accent1" w:themeShade="80"/>
          <w:kern w:val="2"/>
          <w14:ligatures w14:val="standardContextual"/>
        </w:rPr>
        <w:t>Në nivel të tregueseve, komunat performancën më të lartë e kanë pasur në treguesin “</w:t>
      </w:r>
      <w:r w:rsidR="00143124" w:rsidRPr="008900DD">
        <w:rPr>
          <w:rFonts w:ascii="Aptos Display" w:hAnsi="Aptos Display" w:cs="Aptos Display"/>
          <w:color w:val="000000"/>
          <w:sz w:val="20"/>
          <w:szCs w:val="20"/>
          <w14:ligatures w14:val="standardContextual"/>
        </w:rPr>
        <w:t>Përmbushja e kritereve të faqes zyrtare elektronike të komunës</w:t>
      </w:r>
      <w:r w:rsidRPr="00627ECB">
        <w:rPr>
          <w:color w:val="0A2F41" w:themeColor="accent1" w:themeShade="80"/>
          <w:kern w:val="2"/>
          <w14:ligatures w14:val="standardContextual"/>
        </w:rPr>
        <w:t>” me 82.</w:t>
      </w:r>
      <w:r w:rsidR="00143124">
        <w:rPr>
          <w:color w:val="0A2F41" w:themeColor="accent1" w:themeShade="80"/>
          <w:kern w:val="2"/>
          <w14:ligatures w14:val="standardContextual"/>
        </w:rPr>
        <w:t>5</w:t>
      </w:r>
      <w:r w:rsidRPr="00627ECB">
        <w:rPr>
          <w:color w:val="0A2F41" w:themeColor="accent1" w:themeShade="80"/>
          <w:kern w:val="2"/>
          <w14:ligatures w14:val="standardContextual"/>
        </w:rPr>
        <w:t>%</w:t>
      </w:r>
      <w:r w:rsidR="00F85551" w:rsidRPr="00627ECB">
        <w:rPr>
          <w:color w:val="0A2F41" w:themeColor="accent1" w:themeShade="80"/>
          <w:kern w:val="2"/>
          <w14:ligatures w14:val="standardContextual"/>
        </w:rPr>
        <w:t xml:space="preserve"> si dhe treguesit “</w:t>
      </w:r>
      <w:r w:rsidR="00143124" w:rsidRPr="008900DD">
        <w:rPr>
          <w:rFonts w:ascii="Aptos Display" w:hAnsi="Aptos Display" w:cs="Aptos Display"/>
          <w:color w:val="000000"/>
          <w:sz w:val="20"/>
          <w:szCs w:val="20"/>
          <w14:ligatures w14:val="standardContextual"/>
        </w:rPr>
        <w:t>Përgatitja e planit për zhvillimin e personelit</w:t>
      </w:r>
      <w:r w:rsidR="00F85551" w:rsidRPr="00627ECB">
        <w:rPr>
          <w:color w:val="0A2F41" w:themeColor="accent1" w:themeShade="80"/>
          <w:kern w:val="2"/>
          <w14:ligatures w14:val="standardContextual"/>
        </w:rPr>
        <w:t xml:space="preserve">” dhe dëgjime publike për KAB dhe buxhet komunal me </w:t>
      </w:r>
      <w:r w:rsidR="00143124">
        <w:rPr>
          <w:color w:val="0A2F41" w:themeColor="accent1" w:themeShade="80"/>
          <w:kern w:val="2"/>
          <w14:ligatures w14:val="standardContextual"/>
        </w:rPr>
        <w:t>81.6</w:t>
      </w:r>
      <w:r w:rsidR="00F85551" w:rsidRPr="00627ECB">
        <w:rPr>
          <w:color w:val="0A2F41" w:themeColor="accent1" w:themeShade="80"/>
          <w:kern w:val="2"/>
          <w14:ligatures w14:val="standardContextual"/>
        </w:rPr>
        <w:t>%.</w:t>
      </w:r>
      <w:r w:rsidR="00C023C2" w:rsidRPr="00627ECB">
        <w:rPr>
          <w:color w:val="0A2F41" w:themeColor="accent1" w:themeShade="80"/>
          <w:kern w:val="2"/>
          <w14:ligatures w14:val="standardContextual"/>
        </w:rPr>
        <w:t xml:space="preserve"> Ndërsa, treguesit me performance me të ulët ishin  “</w:t>
      </w:r>
      <w:r w:rsidR="00143124" w:rsidRPr="008900DD">
        <w:rPr>
          <w:rFonts w:ascii="Aptos Display" w:hAnsi="Aptos Display" w:cs="Aptos Display"/>
          <w:color w:val="000000"/>
          <w:sz w:val="20"/>
          <w:szCs w:val="20"/>
          <w14:ligatures w14:val="standardContextual"/>
        </w:rPr>
        <w:t>Niveli i mbledhjes së faturës së tatimit në pronë  (pa borxhe, interesa, ndëshkime)</w:t>
      </w:r>
      <w:r w:rsidR="00143124">
        <w:rPr>
          <w:color w:val="0A2F41" w:themeColor="accent1" w:themeShade="80"/>
          <w:kern w:val="2"/>
          <w14:ligatures w14:val="standardContextual"/>
        </w:rPr>
        <w:t>”.</w:t>
      </w:r>
    </w:p>
    <w:p w:rsidR="005314DD" w:rsidRDefault="005314DD" w:rsidP="00692CDB">
      <w:pPr>
        <w:spacing w:before="60" w:after="0" w:line="264" w:lineRule="auto"/>
        <w:contextualSpacing/>
        <w:jc w:val="both"/>
        <w:rPr>
          <w:color w:val="0A2F41" w:themeColor="accent1" w:themeShade="80"/>
          <w:kern w:val="2"/>
          <w14:ligatures w14:val="standardContextual"/>
        </w:rPr>
      </w:pPr>
    </w:p>
    <w:p w:rsidR="00C606C3" w:rsidRDefault="00C606C3" w:rsidP="00692CDB">
      <w:pPr>
        <w:spacing w:before="60" w:after="0" w:line="264" w:lineRule="auto"/>
        <w:contextualSpacing/>
        <w:jc w:val="both"/>
        <w:rPr>
          <w:kern w:val="2"/>
          <w:sz w:val="21"/>
          <w:szCs w:val="21"/>
          <w14:ligatures w14:val="standardContextual"/>
        </w:rPr>
      </w:pPr>
    </w:p>
    <w:p w:rsidR="000D4CE3" w:rsidRPr="00E71753" w:rsidRDefault="00E71753" w:rsidP="00E71753">
      <w:pPr>
        <w:pStyle w:val="Caption"/>
        <w:keepNext/>
        <w:jc w:val="both"/>
      </w:pPr>
      <w:r>
        <w:t xml:space="preserve">Tabela </w:t>
      </w:r>
      <w:r>
        <w:fldChar w:fldCharType="begin"/>
      </w:r>
      <w:r>
        <w:instrText xml:space="preserve"> SEQ Table \* ARABIC </w:instrText>
      </w:r>
      <w:r>
        <w:fldChar w:fldCharType="separate"/>
      </w:r>
      <w:r w:rsidR="009A0925">
        <w:rPr>
          <w:noProof/>
        </w:rPr>
        <w:t>4</w:t>
      </w:r>
      <w:r>
        <w:fldChar w:fldCharType="end"/>
      </w:r>
      <w:r>
        <w:t xml:space="preserve"> </w:t>
      </w:r>
      <w:r w:rsidRPr="005D41F4">
        <w:t>Rezultatet e komunave në nivel të treguesve</w:t>
      </w:r>
    </w:p>
    <w:tbl>
      <w:tblPr>
        <w:tblW w:w="9480" w:type="dxa"/>
        <w:tblInd w:w="-45" w:type="dxa"/>
        <w:tblLayout w:type="fixed"/>
        <w:tblLook w:val="0000" w:firstRow="0" w:lastRow="0" w:firstColumn="0" w:lastColumn="0" w:noHBand="0" w:noVBand="0"/>
      </w:tblPr>
      <w:tblGrid>
        <w:gridCol w:w="570"/>
        <w:gridCol w:w="7380"/>
        <w:gridCol w:w="1530"/>
      </w:tblGrid>
      <w:tr w:rsidR="00D01191" w:rsidRPr="008900DD" w:rsidTr="00C606C3">
        <w:trPr>
          <w:trHeight w:val="339"/>
        </w:trPr>
        <w:tc>
          <w:tcPr>
            <w:tcW w:w="7950" w:type="dxa"/>
            <w:gridSpan w:val="2"/>
            <w:tcBorders>
              <w:top w:val="single" w:sz="12" w:space="0" w:color="auto"/>
              <w:left w:val="single" w:sz="12" w:space="0" w:color="auto"/>
              <w:bottom w:val="single" w:sz="6" w:space="0" w:color="auto"/>
              <w:right w:val="single" w:sz="6" w:space="0" w:color="auto"/>
            </w:tcBorders>
            <w:shd w:val="solid" w:color="333399" w:fill="auto"/>
          </w:tcPr>
          <w:p w:rsidR="00D01191" w:rsidRPr="008900DD" w:rsidRDefault="00D01191">
            <w:pPr>
              <w:autoSpaceDE w:val="0"/>
              <w:autoSpaceDN w:val="0"/>
              <w:adjustRightInd w:val="0"/>
              <w:spacing w:after="0" w:line="240" w:lineRule="auto"/>
              <w:jc w:val="center"/>
              <w:rPr>
                <w:rFonts w:ascii="Aptos Display" w:hAnsi="Aptos Display" w:cs="Aptos Display"/>
                <w:b/>
                <w:bCs/>
                <w:color w:val="FFFFFF"/>
                <w:sz w:val="20"/>
                <w:szCs w:val="20"/>
                <w14:ligatures w14:val="standardContextual"/>
              </w:rPr>
            </w:pPr>
            <w:r w:rsidRPr="008900DD">
              <w:rPr>
                <w:rFonts w:ascii="Aptos Display" w:hAnsi="Aptos Display" w:cs="Aptos Display"/>
                <w:b/>
                <w:bCs/>
                <w:color w:val="FFFFFF"/>
                <w:sz w:val="20"/>
                <w:szCs w:val="20"/>
                <w14:ligatures w14:val="standardContextual"/>
              </w:rPr>
              <w:t>Fushat, nën</w:t>
            </w:r>
            <w:r w:rsidR="008900DD">
              <w:rPr>
                <w:rFonts w:ascii="Aptos Display" w:hAnsi="Aptos Display" w:cs="Aptos Display"/>
                <w:b/>
                <w:bCs/>
                <w:color w:val="FFFFFF"/>
                <w:sz w:val="20"/>
                <w:szCs w:val="20"/>
                <w14:ligatures w14:val="standardContextual"/>
              </w:rPr>
              <w:t>-</w:t>
            </w:r>
            <w:r w:rsidRPr="008900DD">
              <w:rPr>
                <w:rFonts w:ascii="Aptos Display" w:hAnsi="Aptos Display" w:cs="Aptos Display"/>
                <w:b/>
                <w:bCs/>
                <w:color w:val="FFFFFF"/>
                <w:sz w:val="20"/>
                <w:szCs w:val="20"/>
                <w14:ligatures w14:val="standardContextual"/>
              </w:rPr>
              <w:t>fushat dhe treguesit</w:t>
            </w:r>
          </w:p>
        </w:tc>
        <w:tc>
          <w:tcPr>
            <w:tcW w:w="1530" w:type="dxa"/>
            <w:tcBorders>
              <w:top w:val="single" w:sz="12" w:space="0" w:color="auto"/>
              <w:left w:val="single" w:sz="6" w:space="0" w:color="auto"/>
              <w:bottom w:val="single" w:sz="6" w:space="0" w:color="auto"/>
              <w:right w:val="single" w:sz="12" w:space="0" w:color="auto"/>
            </w:tcBorders>
            <w:shd w:val="solid" w:color="333399" w:fill="auto"/>
          </w:tcPr>
          <w:p w:rsidR="00D01191" w:rsidRPr="008900DD" w:rsidRDefault="00D01191">
            <w:pPr>
              <w:autoSpaceDE w:val="0"/>
              <w:autoSpaceDN w:val="0"/>
              <w:adjustRightInd w:val="0"/>
              <w:spacing w:after="0" w:line="240" w:lineRule="auto"/>
              <w:jc w:val="center"/>
              <w:rPr>
                <w:rFonts w:ascii="Aptos Display" w:hAnsi="Aptos Display" w:cs="Aptos Display"/>
                <w:color w:val="FFFFFF"/>
                <w:sz w:val="20"/>
                <w:szCs w:val="20"/>
                <w14:ligatures w14:val="standardContextual"/>
              </w:rPr>
            </w:pPr>
            <w:r w:rsidRPr="008900DD">
              <w:rPr>
                <w:rFonts w:ascii="Aptos Display" w:hAnsi="Aptos Display" w:cs="Aptos Display"/>
                <w:color w:val="FFFFFF"/>
                <w:sz w:val="20"/>
                <w:szCs w:val="20"/>
                <w14:ligatures w14:val="standardContextual"/>
              </w:rPr>
              <w:t>Mesatarja për tregues</w:t>
            </w:r>
          </w:p>
        </w:tc>
      </w:tr>
      <w:tr w:rsidR="00D01191" w:rsidRPr="008900DD" w:rsidTr="005A7061">
        <w:trPr>
          <w:trHeight w:val="471"/>
        </w:trPr>
        <w:tc>
          <w:tcPr>
            <w:tcW w:w="7950" w:type="dxa"/>
            <w:gridSpan w:val="2"/>
            <w:tcBorders>
              <w:top w:val="single" w:sz="6" w:space="0" w:color="auto"/>
              <w:left w:val="single" w:sz="12" w:space="0" w:color="auto"/>
              <w:bottom w:val="single" w:sz="6" w:space="0" w:color="auto"/>
              <w:right w:val="single" w:sz="6" w:space="0" w:color="auto"/>
            </w:tcBorders>
            <w:shd w:val="solid" w:color="333399" w:fill="auto"/>
          </w:tcPr>
          <w:p w:rsidR="00D01191" w:rsidRPr="008900DD" w:rsidRDefault="00D01191">
            <w:pPr>
              <w:autoSpaceDE w:val="0"/>
              <w:autoSpaceDN w:val="0"/>
              <w:adjustRightInd w:val="0"/>
              <w:spacing w:after="0" w:line="240" w:lineRule="auto"/>
              <w:rPr>
                <w:rFonts w:ascii="Aptos Display" w:hAnsi="Aptos Display" w:cs="Aptos Display"/>
                <w:color w:val="FFFFFF"/>
                <w:sz w:val="20"/>
                <w:szCs w:val="20"/>
                <w14:ligatures w14:val="standardContextual"/>
              </w:rPr>
            </w:pPr>
            <w:r w:rsidRPr="008900DD">
              <w:rPr>
                <w:rFonts w:ascii="Aptos Display" w:hAnsi="Aptos Display" w:cs="Aptos Display"/>
                <w:color w:val="FFFFFF"/>
                <w:sz w:val="20"/>
                <w:szCs w:val="20"/>
                <w14:ligatures w14:val="standardContextual"/>
              </w:rPr>
              <w:t>QEVERISJA KOMUNALE - Roli i Kuvendit Komunal, Pjesëmarrja dhe  Përfshirja e qytetarëve, Transparenca dhe Llogaridhënia</w:t>
            </w:r>
          </w:p>
        </w:tc>
        <w:tc>
          <w:tcPr>
            <w:tcW w:w="1530" w:type="dxa"/>
            <w:tcBorders>
              <w:top w:val="single" w:sz="6" w:space="0" w:color="auto"/>
              <w:left w:val="single" w:sz="6" w:space="0" w:color="auto"/>
              <w:bottom w:val="single" w:sz="6" w:space="0" w:color="auto"/>
              <w:right w:val="single" w:sz="12" w:space="0" w:color="auto"/>
            </w:tcBorders>
            <w:shd w:val="solid" w:color="333399" w:fill="auto"/>
          </w:tcPr>
          <w:p w:rsidR="00D01191" w:rsidRPr="008900DD" w:rsidRDefault="007674C0">
            <w:pPr>
              <w:autoSpaceDE w:val="0"/>
              <w:autoSpaceDN w:val="0"/>
              <w:adjustRightInd w:val="0"/>
              <w:spacing w:after="0" w:line="240" w:lineRule="auto"/>
              <w:jc w:val="center"/>
              <w:rPr>
                <w:rFonts w:ascii="Aptos Display" w:hAnsi="Aptos Display" w:cs="Aptos Display"/>
                <w:color w:val="FFFFFF"/>
                <w:sz w:val="20"/>
                <w:szCs w:val="20"/>
                <w14:ligatures w14:val="standardContextual"/>
              </w:rPr>
            </w:pPr>
            <w:r w:rsidRPr="007674C0">
              <w:rPr>
                <w:rFonts w:ascii="Aptos Display" w:hAnsi="Aptos Display" w:cs="Aptos Display"/>
                <w:color w:val="FFFFFF"/>
                <w:sz w:val="20"/>
                <w:szCs w:val="20"/>
                <w14:ligatures w14:val="standardContextual"/>
              </w:rPr>
              <w:t>51.6%</w:t>
            </w:r>
          </w:p>
        </w:tc>
      </w:tr>
      <w:tr w:rsidR="00D01191" w:rsidRPr="008900DD" w:rsidTr="0074163E">
        <w:trPr>
          <w:trHeight w:val="264"/>
        </w:trPr>
        <w:tc>
          <w:tcPr>
            <w:tcW w:w="570" w:type="dxa"/>
            <w:tcBorders>
              <w:top w:val="single" w:sz="6" w:space="0" w:color="auto"/>
              <w:left w:val="single" w:sz="12" w:space="0" w:color="auto"/>
              <w:bottom w:val="single" w:sz="6" w:space="0" w:color="auto"/>
              <w:right w:val="single" w:sz="6" w:space="0" w:color="auto"/>
            </w:tcBorders>
            <w:shd w:val="clear" w:color="auto" w:fill="4C94D8" w:themeFill="text2" w:themeFillTint="80"/>
          </w:tcPr>
          <w:p w:rsidR="00D01191" w:rsidRPr="008900DD" w:rsidRDefault="00D01191">
            <w:pPr>
              <w:autoSpaceDE w:val="0"/>
              <w:autoSpaceDN w:val="0"/>
              <w:adjustRightInd w:val="0"/>
              <w:spacing w:after="0" w:line="240" w:lineRule="auto"/>
              <w:rPr>
                <w:rFonts w:ascii="Aptos Display" w:hAnsi="Aptos Display" w:cs="Aptos Display"/>
                <w:color w:val="FFFFFF"/>
                <w:sz w:val="20"/>
                <w:szCs w:val="20"/>
                <w14:ligatures w14:val="standardContextual"/>
              </w:rPr>
            </w:pPr>
            <w:r w:rsidRPr="008900DD">
              <w:rPr>
                <w:rFonts w:ascii="Aptos Display" w:hAnsi="Aptos Display" w:cs="Aptos Display"/>
                <w:color w:val="FFFFFF"/>
                <w:sz w:val="20"/>
                <w:szCs w:val="20"/>
                <w14:ligatures w14:val="standardContextual"/>
              </w:rPr>
              <w:t>I</w:t>
            </w:r>
          </w:p>
        </w:tc>
        <w:tc>
          <w:tcPr>
            <w:tcW w:w="7380" w:type="dxa"/>
            <w:tcBorders>
              <w:top w:val="single" w:sz="6" w:space="0" w:color="auto"/>
              <w:left w:val="single" w:sz="6" w:space="0" w:color="auto"/>
              <w:bottom w:val="single" w:sz="6" w:space="0" w:color="auto"/>
              <w:right w:val="single" w:sz="6" w:space="0" w:color="auto"/>
            </w:tcBorders>
            <w:shd w:val="clear" w:color="auto" w:fill="4C94D8" w:themeFill="text2" w:themeFillTint="80"/>
          </w:tcPr>
          <w:p w:rsidR="00D01191" w:rsidRPr="008900DD" w:rsidRDefault="00D01191">
            <w:pPr>
              <w:autoSpaceDE w:val="0"/>
              <w:autoSpaceDN w:val="0"/>
              <w:adjustRightInd w:val="0"/>
              <w:spacing w:after="0" w:line="240" w:lineRule="auto"/>
              <w:rPr>
                <w:rFonts w:ascii="Aptos Display" w:hAnsi="Aptos Display" w:cs="Aptos Display"/>
                <w:color w:val="FFFFFF"/>
                <w:sz w:val="20"/>
                <w:szCs w:val="20"/>
                <w14:ligatures w14:val="standardContextual"/>
              </w:rPr>
            </w:pPr>
            <w:r w:rsidRPr="008900DD">
              <w:rPr>
                <w:rFonts w:ascii="Aptos Display" w:hAnsi="Aptos Display" w:cs="Aptos Display"/>
                <w:color w:val="FFFFFF"/>
                <w:sz w:val="20"/>
                <w:szCs w:val="20"/>
                <w14:ligatures w14:val="standardContextual"/>
              </w:rPr>
              <w:t>Roli i kuvendit komunal si organ mbikëqyrës</w:t>
            </w:r>
          </w:p>
        </w:tc>
        <w:tc>
          <w:tcPr>
            <w:tcW w:w="1530" w:type="dxa"/>
            <w:tcBorders>
              <w:top w:val="single" w:sz="6" w:space="0" w:color="auto"/>
              <w:left w:val="single" w:sz="6" w:space="0" w:color="auto"/>
              <w:bottom w:val="single" w:sz="6" w:space="0" w:color="auto"/>
              <w:right w:val="single" w:sz="12" w:space="0" w:color="auto"/>
            </w:tcBorders>
            <w:shd w:val="clear" w:color="auto" w:fill="4C94D8" w:themeFill="text2" w:themeFillTint="80"/>
          </w:tcPr>
          <w:p w:rsidR="00D01191" w:rsidRPr="008900DD" w:rsidRDefault="007674C0">
            <w:pPr>
              <w:autoSpaceDE w:val="0"/>
              <w:autoSpaceDN w:val="0"/>
              <w:adjustRightInd w:val="0"/>
              <w:spacing w:after="0" w:line="240" w:lineRule="auto"/>
              <w:jc w:val="center"/>
              <w:rPr>
                <w:rFonts w:ascii="Aptos Display" w:hAnsi="Aptos Display" w:cs="Aptos Display"/>
                <w:color w:val="FFFFFF"/>
                <w:sz w:val="20"/>
                <w:szCs w:val="20"/>
                <w14:ligatures w14:val="standardContextual"/>
              </w:rPr>
            </w:pPr>
            <w:r w:rsidRPr="007674C0">
              <w:rPr>
                <w:rFonts w:ascii="Aptos Display" w:hAnsi="Aptos Display" w:cs="Aptos Display"/>
                <w:color w:val="FFFFFF"/>
                <w:sz w:val="20"/>
                <w:szCs w:val="20"/>
                <w14:ligatures w14:val="standardContextual"/>
              </w:rPr>
              <w:t>57.2%</w:t>
            </w:r>
          </w:p>
        </w:tc>
      </w:tr>
      <w:tr w:rsidR="00D01191" w:rsidRPr="008900DD" w:rsidTr="005A7061">
        <w:trPr>
          <w:trHeight w:val="318"/>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1</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Miratimi me kohë i propozim buxhetit vjetor komunal</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955D94">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63.2</w:t>
            </w:r>
            <w:r w:rsidR="00D01191" w:rsidRPr="008900DD">
              <w:rPr>
                <w:rFonts w:ascii="Aptos Display" w:hAnsi="Aptos Display" w:cs="Aptos Display"/>
                <w:color w:val="000000"/>
                <w:sz w:val="20"/>
                <w:szCs w:val="20"/>
                <w14:ligatures w14:val="standardContextual"/>
              </w:rPr>
              <w:t>%</w:t>
            </w:r>
          </w:p>
        </w:tc>
      </w:tr>
      <w:tr w:rsidR="00D01191" w:rsidRPr="008900DD" w:rsidTr="00C606C3">
        <w:trPr>
          <w:trHeight w:val="264"/>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2</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Diskutimi për raportet tremujore buxhetore nga Kuvendi Komunal</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955D94">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68.4</w:t>
            </w:r>
            <w:r w:rsidR="00D01191" w:rsidRPr="008900DD">
              <w:rPr>
                <w:rFonts w:ascii="Aptos Display" w:hAnsi="Aptos Display" w:cs="Aptos Display"/>
                <w:color w:val="000000"/>
                <w:sz w:val="20"/>
                <w:szCs w:val="20"/>
                <w14:ligatures w14:val="standardContextual"/>
              </w:rPr>
              <w:t>%</w:t>
            </w:r>
          </w:p>
        </w:tc>
      </w:tr>
      <w:tr w:rsidR="00D01191" w:rsidRPr="008900DD" w:rsidTr="00C346B0">
        <w:trPr>
          <w:trHeight w:val="309"/>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3</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Diskutimi për raportin e performancës komunale nga  Kuvendi Komunal për vitin e kaluar</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955D94">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44.7</w:t>
            </w:r>
            <w:r w:rsidR="00D01191" w:rsidRPr="008900DD">
              <w:rPr>
                <w:rFonts w:ascii="Aptos Display" w:hAnsi="Aptos Display" w:cs="Aptos Display"/>
                <w:color w:val="000000"/>
                <w:sz w:val="20"/>
                <w:szCs w:val="20"/>
                <w14:ligatures w14:val="standardContextual"/>
              </w:rPr>
              <w:t>%</w:t>
            </w:r>
          </w:p>
        </w:tc>
      </w:tr>
      <w:tr w:rsidR="00D01191" w:rsidRPr="008900DD" w:rsidTr="00C606C3">
        <w:trPr>
          <w:trHeight w:val="489"/>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4</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 xml:space="preserve">Diskutimi i raportit të auditorit të jashtëm dhe planit të veprimit për adresimin e rekomandimeve  në Kuvendin Komunal </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955D94">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57.9</w:t>
            </w:r>
            <w:r w:rsidR="00D01191" w:rsidRPr="008900DD">
              <w:rPr>
                <w:rFonts w:ascii="Aptos Display" w:hAnsi="Aptos Display" w:cs="Aptos Display"/>
                <w:color w:val="000000"/>
                <w:sz w:val="20"/>
                <w:szCs w:val="20"/>
                <w14:ligatures w14:val="standardContextual"/>
              </w:rPr>
              <w:t>%</w:t>
            </w:r>
          </w:p>
        </w:tc>
      </w:tr>
      <w:tr w:rsidR="00D01191" w:rsidRPr="008900DD" w:rsidTr="00C606C3">
        <w:trPr>
          <w:trHeight w:val="327"/>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5</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Mbledhje të Kuvendit Komunal me pjesëmarrje të kryetarit të komunës</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955D94">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40.8</w:t>
            </w:r>
            <w:r w:rsidR="00D01191" w:rsidRPr="008900DD">
              <w:rPr>
                <w:rFonts w:ascii="Aptos Display" w:hAnsi="Aptos Display" w:cs="Aptos Display"/>
                <w:color w:val="000000"/>
                <w:sz w:val="20"/>
                <w:szCs w:val="20"/>
                <w14:ligatures w14:val="standardContextual"/>
              </w:rPr>
              <w:t>%</w:t>
            </w:r>
          </w:p>
        </w:tc>
      </w:tr>
      <w:tr w:rsidR="00D01191" w:rsidRPr="008900DD" w:rsidTr="00C606C3">
        <w:trPr>
          <w:trHeight w:val="210"/>
        </w:trPr>
        <w:tc>
          <w:tcPr>
            <w:tcW w:w="570" w:type="dxa"/>
            <w:tcBorders>
              <w:top w:val="single" w:sz="6" w:space="0" w:color="auto"/>
              <w:left w:val="single" w:sz="12" w:space="0" w:color="auto"/>
              <w:bottom w:val="single" w:sz="6" w:space="0" w:color="auto"/>
              <w:right w:val="single" w:sz="6" w:space="0" w:color="auto"/>
            </w:tcBorders>
            <w:shd w:val="clear" w:color="auto" w:fill="4C94D8" w:themeFill="text2" w:themeFillTint="80"/>
          </w:tcPr>
          <w:p w:rsidR="00D01191" w:rsidRPr="008900DD" w:rsidRDefault="00D01191">
            <w:pPr>
              <w:autoSpaceDE w:val="0"/>
              <w:autoSpaceDN w:val="0"/>
              <w:adjustRightInd w:val="0"/>
              <w:spacing w:after="0" w:line="240" w:lineRule="auto"/>
              <w:rPr>
                <w:rFonts w:ascii="Aptos Display" w:hAnsi="Aptos Display" w:cs="Aptos Display"/>
                <w:color w:val="FFFFFF"/>
                <w:sz w:val="20"/>
                <w:szCs w:val="20"/>
                <w14:ligatures w14:val="standardContextual"/>
              </w:rPr>
            </w:pPr>
            <w:r w:rsidRPr="008900DD">
              <w:rPr>
                <w:rFonts w:ascii="Aptos Display" w:hAnsi="Aptos Display" w:cs="Aptos Display"/>
                <w:color w:val="FFFFFF"/>
                <w:sz w:val="20"/>
                <w:szCs w:val="20"/>
                <w14:ligatures w14:val="standardContextual"/>
              </w:rPr>
              <w:t>II</w:t>
            </w:r>
          </w:p>
        </w:tc>
        <w:tc>
          <w:tcPr>
            <w:tcW w:w="7380" w:type="dxa"/>
            <w:tcBorders>
              <w:top w:val="single" w:sz="6" w:space="0" w:color="auto"/>
              <w:left w:val="single" w:sz="6" w:space="0" w:color="auto"/>
              <w:bottom w:val="single" w:sz="6" w:space="0" w:color="auto"/>
              <w:right w:val="single" w:sz="6" w:space="0" w:color="auto"/>
            </w:tcBorders>
            <w:shd w:val="clear" w:color="auto" w:fill="4C94D8" w:themeFill="text2" w:themeFillTint="80"/>
          </w:tcPr>
          <w:p w:rsidR="00D01191" w:rsidRPr="008900DD" w:rsidRDefault="00D01191">
            <w:pPr>
              <w:autoSpaceDE w:val="0"/>
              <w:autoSpaceDN w:val="0"/>
              <w:adjustRightInd w:val="0"/>
              <w:spacing w:after="0" w:line="240" w:lineRule="auto"/>
              <w:rPr>
                <w:rFonts w:ascii="Aptos Display" w:hAnsi="Aptos Display" w:cs="Aptos Display"/>
                <w:color w:val="FFFFFF"/>
                <w:sz w:val="20"/>
                <w:szCs w:val="20"/>
                <w14:ligatures w14:val="standardContextual"/>
              </w:rPr>
            </w:pPr>
            <w:r w:rsidRPr="008900DD">
              <w:rPr>
                <w:rFonts w:ascii="Aptos Display" w:hAnsi="Aptos Display" w:cs="Aptos Display"/>
                <w:color w:val="FFFFFF"/>
                <w:sz w:val="20"/>
                <w:szCs w:val="20"/>
                <w14:ligatures w14:val="standardContextual"/>
              </w:rPr>
              <w:t>Pjesëmarrja, konsultimi dhe gjithëpërfshirja e qytetarëve</w:t>
            </w:r>
          </w:p>
        </w:tc>
        <w:tc>
          <w:tcPr>
            <w:tcW w:w="1530" w:type="dxa"/>
            <w:tcBorders>
              <w:top w:val="single" w:sz="6" w:space="0" w:color="auto"/>
              <w:left w:val="single" w:sz="6" w:space="0" w:color="auto"/>
              <w:bottom w:val="single" w:sz="6" w:space="0" w:color="auto"/>
              <w:right w:val="single" w:sz="12" w:space="0" w:color="auto"/>
            </w:tcBorders>
            <w:shd w:val="clear" w:color="auto" w:fill="4C94D8" w:themeFill="text2" w:themeFillTint="80"/>
          </w:tcPr>
          <w:p w:rsidR="00D01191" w:rsidRPr="008900DD" w:rsidRDefault="00955D94">
            <w:pPr>
              <w:autoSpaceDE w:val="0"/>
              <w:autoSpaceDN w:val="0"/>
              <w:adjustRightInd w:val="0"/>
              <w:spacing w:after="0" w:line="240" w:lineRule="auto"/>
              <w:jc w:val="center"/>
              <w:rPr>
                <w:rFonts w:ascii="Aptos Display" w:hAnsi="Aptos Display" w:cs="Aptos Display"/>
                <w:color w:val="FFFFFF"/>
                <w:sz w:val="20"/>
                <w:szCs w:val="20"/>
                <w14:ligatures w14:val="standardContextual"/>
              </w:rPr>
            </w:pPr>
            <w:r>
              <w:rPr>
                <w:rFonts w:ascii="Aptos Display" w:hAnsi="Aptos Display" w:cs="Aptos Display"/>
                <w:color w:val="FFFFFF"/>
                <w:sz w:val="20"/>
                <w:szCs w:val="20"/>
                <w14:ligatures w14:val="standardContextual"/>
              </w:rPr>
              <w:t>40.8</w:t>
            </w:r>
            <w:r w:rsidR="00D01191" w:rsidRPr="008900DD">
              <w:rPr>
                <w:rFonts w:ascii="Aptos Display" w:hAnsi="Aptos Display" w:cs="Aptos Display"/>
                <w:color w:val="FFFFFF"/>
                <w:sz w:val="20"/>
                <w:szCs w:val="20"/>
                <w14:ligatures w14:val="standardContextual"/>
              </w:rPr>
              <w:t>%</w:t>
            </w:r>
          </w:p>
        </w:tc>
      </w:tr>
      <w:tr w:rsidR="00D01191" w:rsidRPr="008900DD" w:rsidTr="00C606C3">
        <w:trPr>
          <w:trHeight w:val="327"/>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6</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 xml:space="preserve">Pjesëmarrja e qytetarëve në konsultime publike,  i disagreguar sipas gjinisë </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955D94">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19.1</w:t>
            </w:r>
            <w:r w:rsidR="00D01191" w:rsidRPr="008900DD">
              <w:rPr>
                <w:rFonts w:ascii="Aptos Display" w:hAnsi="Aptos Display" w:cs="Aptos Display"/>
                <w:color w:val="000000"/>
                <w:sz w:val="20"/>
                <w:szCs w:val="20"/>
                <w14:ligatures w14:val="standardContextual"/>
              </w:rPr>
              <w:t>%</w:t>
            </w:r>
          </w:p>
        </w:tc>
      </w:tr>
      <w:tr w:rsidR="00D01191" w:rsidRPr="008900DD" w:rsidTr="00C606C3">
        <w:trPr>
          <w:trHeight w:val="336"/>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7</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Aktet komunale dhe dokumentet e politikave lokale të  konsultuara me publikun</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955D94">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40.8</w:t>
            </w:r>
            <w:r w:rsidR="00D01191" w:rsidRPr="008900DD">
              <w:rPr>
                <w:rFonts w:ascii="Aptos Display" w:hAnsi="Aptos Display" w:cs="Aptos Display"/>
                <w:color w:val="000000"/>
                <w:sz w:val="20"/>
                <w:szCs w:val="20"/>
                <w14:ligatures w14:val="standardContextual"/>
              </w:rPr>
              <w:t>%</w:t>
            </w:r>
          </w:p>
        </w:tc>
      </w:tr>
      <w:tr w:rsidR="00D01191" w:rsidRPr="008900DD" w:rsidTr="00C606C3">
        <w:trPr>
          <w:trHeight w:val="264"/>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8</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Dëgjime publike për KAB dhe buxhet komunal (proporcionalisht ndaj # banorëve)</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955D94">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62.5</w:t>
            </w:r>
            <w:r w:rsidR="00D01191" w:rsidRPr="008900DD">
              <w:rPr>
                <w:rFonts w:ascii="Aptos Display" w:hAnsi="Aptos Display" w:cs="Aptos Display"/>
                <w:color w:val="000000"/>
                <w:sz w:val="20"/>
                <w:szCs w:val="20"/>
                <w14:ligatures w14:val="standardContextual"/>
              </w:rPr>
              <w:t>%</w:t>
            </w:r>
          </w:p>
        </w:tc>
      </w:tr>
      <w:tr w:rsidR="00D01191" w:rsidRPr="008900DD" w:rsidTr="00C606C3">
        <w:trPr>
          <w:trHeight w:val="246"/>
        </w:trPr>
        <w:tc>
          <w:tcPr>
            <w:tcW w:w="570" w:type="dxa"/>
            <w:tcBorders>
              <w:top w:val="single" w:sz="6" w:space="0" w:color="auto"/>
              <w:left w:val="single" w:sz="12" w:space="0" w:color="auto"/>
              <w:bottom w:val="single" w:sz="6" w:space="0" w:color="auto"/>
              <w:right w:val="single" w:sz="6" w:space="0" w:color="auto"/>
            </w:tcBorders>
            <w:shd w:val="clear" w:color="auto" w:fill="4C94D8" w:themeFill="text2" w:themeFillTint="80"/>
          </w:tcPr>
          <w:p w:rsidR="00D01191" w:rsidRPr="008900DD" w:rsidRDefault="00D01191">
            <w:pPr>
              <w:autoSpaceDE w:val="0"/>
              <w:autoSpaceDN w:val="0"/>
              <w:adjustRightInd w:val="0"/>
              <w:spacing w:after="0" w:line="240" w:lineRule="auto"/>
              <w:rPr>
                <w:rFonts w:ascii="Aptos Display" w:hAnsi="Aptos Display" w:cs="Aptos Display"/>
                <w:color w:val="FFFFFF"/>
                <w:sz w:val="20"/>
                <w:szCs w:val="20"/>
                <w14:ligatures w14:val="standardContextual"/>
              </w:rPr>
            </w:pPr>
            <w:r w:rsidRPr="008900DD">
              <w:rPr>
                <w:rFonts w:ascii="Aptos Display" w:hAnsi="Aptos Display" w:cs="Aptos Display"/>
                <w:color w:val="FFFFFF"/>
                <w:sz w:val="20"/>
                <w:szCs w:val="20"/>
                <w14:ligatures w14:val="standardContextual"/>
              </w:rPr>
              <w:t>III</w:t>
            </w:r>
          </w:p>
        </w:tc>
        <w:tc>
          <w:tcPr>
            <w:tcW w:w="7380" w:type="dxa"/>
            <w:tcBorders>
              <w:top w:val="single" w:sz="6" w:space="0" w:color="auto"/>
              <w:left w:val="single" w:sz="6" w:space="0" w:color="auto"/>
              <w:bottom w:val="single" w:sz="6" w:space="0" w:color="auto"/>
              <w:right w:val="single" w:sz="6" w:space="0" w:color="auto"/>
            </w:tcBorders>
            <w:shd w:val="clear" w:color="auto" w:fill="4C94D8" w:themeFill="text2" w:themeFillTint="80"/>
          </w:tcPr>
          <w:p w:rsidR="00D01191" w:rsidRPr="008900DD" w:rsidRDefault="00D01191">
            <w:pPr>
              <w:autoSpaceDE w:val="0"/>
              <w:autoSpaceDN w:val="0"/>
              <w:adjustRightInd w:val="0"/>
              <w:spacing w:after="0" w:line="240" w:lineRule="auto"/>
              <w:rPr>
                <w:rFonts w:ascii="Aptos Display" w:hAnsi="Aptos Display" w:cs="Aptos Display"/>
                <w:color w:val="FFFFFF"/>
                <w:sz w:val="20"/>
                <w:szCs w:val="20"/>
                <w14:ligatures w14:val="standardContextual"/>
              </w:rPr>
            </w:pPr>
            <w:r w:rsidRPr="008900DD">
              <w:rPr>
                <w:rFonts w:ascii="Aptos Display" w:hAnsi="Aptos Display" w:cs="Aptos Display"/>
                <w:color w:val="FFFFFF"/>
                <w:sz w:val="20"/>
                <w:szCs w:val="20"/>
                <w14:ligatures w14:val="standardContextual"/>
              </w:rPr>
              <w:t>Transparenca, qasja në informata dhe integriteti</w:t>
            </w:r>
          </w:p>
        </w:tc>
        <w:tc>
          <w:tcPr>
            <w:tcW w:w="1530" w:type="dxa"/>
            <w:tcBorders>
              <w:top w:val="single" w:sz="6" w:space="0" w:color="auto"/>
              <w:left w:val="single" w:sz="6" w:space="0" w:color="auto"/>
              <w:bottom w:val="single" w:sz="6" w:space="0" w:color="auto"/>
              <w:right w:val="single" w:sz="12" w:space="0" w:color="auto"/>
            </w:tcBorders>
            <w:shd w:val="clear" w:color="auto" w:fill="4C94D8" w:themeFill="text2" w:themeFillTint="80"/>
          </w:tcPr>
          <w:p w:rsidR="00D01191" w:rsidRPr="008900DD" w:rsidRDefault="00955D94">
            <w:pPr>
              <w:autoSpaceDE w:val="0"/>
              <w:autoSpaceDN w:val="0"/>
              <w:adjustRightInd w:val="0"/>
              <w:spacing w:after="0" w:line="240" w:lineRule="auto"/>
              <w:jc w:val="center"/>
              <w:rPr>
                <w:rFonts w:ascii="Aptos Display" w:hAnsi="Aptos Display" w:cs="Aptos Display"/>
                <w:color w:val="FFFFFF"/>
                <w:sz w:val="20"/>
                <w:szCs w:val="20"/>
                <w14:ligatures w14:val="standardContextual"/>
              </w:rPr>
            </w:pPr>
            <w:r>
              <w:rPr>
                <w:rFonts w:ascii="Aptos Display" w:hAnsi="Aptos Display" w:cs="Aptos Display"/>
                <w:color w:val="FFFFFF"/>
                <w:sz w:val="20"/>
                <w:szCs w:val="20"/>
                <w14:ligatures w14:val="standardContextual"/>
              </w:rPr>
              <w:t>55.4</w:t>
            </w:r>
            <w:r w:rsidR="00D01191" w:rsidRPr="008900DD">
              <w:rPr>
                <w:rFonts w:ascii="Aptos Display" w:hAnsi="Aptos Display" w:cs="Aptos Display"/>
                <w:color w:val="FFFFFF"/>
                <w:sz w:val="20"/>
                <w:szCs w:val="20"/>
                <w14:ligatures w14:val="standardContextual"/>
              </w:rPr>
              <w:t>%</w:t>
            </w:r>
          </w:p>
        </w:tc>
      </w:tr>
      <w:tr w:rsidR="00D01191" w:rsidRPr="008900DD" w:rsidTr="00C606C3">
        <w:trPr>
          <w:trHeight w:val="264"/>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9</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Mbledhjet e kuvendit të bëra publike dhe transmetuara drejtpërdrejtë online</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955D94">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53.9</w:t>
            </w:r>
            <w:r w:rsidR="00D01191" w:rsidRPr="008900DD">
              <w:rPr>
                <w:rFonts w:ascii="Aptos Display" w:hAnsi="Aptos Display" w:cs="Aptos Display"/>
                <w:color w:val="000000"/>
                <w:sz w:val="20"/>
                <w:szCs w:val="20"/>
                <w14:ligatures w14:val="standardContextual"/>
              </w:rPr>
              <w:t>%</w:t>
            </w:r>
          </w:p>
        </w:tc>
      </w:tr>
      <w:tr w:rsidR="00D01191" w:rsidRPr="008900DD" w:rsidTr="00C606C3">
        <w:trPr>
          <w:trHeight w:val="246"/>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10</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Përmbushja e kritereve të faqes zyrtare elektronike të komunës</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955D94">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82.5</w:t>
            </w:r>
            <w:r w:rsidR="00D01191" w:rsidRPr="008900DD">
              <w:rPr>
                <w:rFonts w:ascii="Aptos Display" w:hAnsi="Aptos Display" w:cs="Aptos Display"/>
                <w:color w:val="000000"/>
                <w:sz w:val="20"/>
                <w:szCs w:val="20"/>
                <w14:ligatures w14:val="standardContextual"/>
              </w:rPr>
              <w:t>%</w:t>
            </w:r>
          </w:p>
        </w:tc>
      </w:tr>
      <w:tr w:rsidR="00D01191" w:rsidRPr="008900DD" w:rsidTr="00C606C3">
        <w:trPr>
          <w:trHeight w:val="264"/>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11</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Publikimi i dokumenteve të prokurimit publik të komunës</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955D94">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65.8</w:t>
            </w:r>
            <w:r w:rsidR="00D01191" w:rsidRPr="008900DD">
              <w:rPr>
                <w:rFonts w:ascii="Aptos Display" w:hAnsi="Aptos Display" w:cs="Aptos Display"/>
                <w:color w:val="000000"/>
                <w:sz w:val="20"/>
                <w:szCs w:val="20"/>
                <w14:ligatures w14:val="standardContextual"/>
              </w:rPr>
              <w:t>%</w:t>
            </w:r>
          </w:p>
        </w:tc>
      </w:tr>
      <w:tr w:rsidR="00D01191" w:rsidRPr="008900DD" w:rsidTr="00C606C3">
        <w:trPr>
          <w:trHeight w:val="246"/>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12</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Publikimi i raporteve për procese të konsultimeve publike</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955D94" w:rsidP="00955D94">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38.2</w:t>
            </w:r>
            <w:r w:rsidR="00D01191" w:rsidRPr="008900DD">
              <w:rPr>
                <w:rFonts w:ascii="Aptos Display" w:hAnsi="Aptos Display" w:cs="Aptos Display"/>
                <w:color w:val="000000"/>
                <w:sz w:val="20"/>
                <w:szCs w:val="20"/>
                <w14:ligatures w14:val="standardContextual"/>
              </w:rPr>
              <w:t>%</w:t>
            </w:r>
          </w:p>
        </w:tc>
      </w:tr>
      <w:tr w:rsidR="00D01191" w:rsidRPr="008900DD" w:rsidTr="00C606C3">
        <w:trPr>
          <w:trHeight w:val="174"/>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13</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 xml:space="preserve">Raportimi i planit vjetor të planit të integritetit para </w:t>
            </w:r>
            <w:r w:rsidR="00E666C1" w:rsidRPr="008900DD">
              <w:rPr>
                <w:rFonts w:ascii="Aptos Display" w:hAnsi="Aptos Display" w:cs="Aptos Display"/>
                <w:color w:val="000000"/>
                <w:sz w:val="20"/>
                <w:szCs w:val="20"/>
                <w14:ligatures w14:val="standardContextual"/>
              </w:rPr>
              <w:t xml:space="preserve"> </w:t>
            </w:r>
            <w:r w:rsidRPr="008900DD">
              <w:rPr>
                <w:rFonts w:ascii="Aptos Display" w:hAnsi="Aptos Display" w:cs="Aptos Display"/>
                <w:color w:val="000000"/>
                <w:sz w:val="20"/>
                <w:szCs w:val="20"/>
                <w14:ligatures w14:val="standardContextual"/>
              </w:rPr>
              <w:t>Kuvendit Komunal</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955D94">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36.8</w:t>
            </w:r>
            <w:r w:rsidR="00D01191" w:rsidRPr="008900DD">
              <w:rPr>
                <w:rFonts w:ascii="Aptos Display" w:hAnsi="Aptos Display" w:cs="Aptos Display"/>
                <w:color w:val="000000"/>
                <w:sz w:val="20"/>
                <w:szCs w:val="20"/>
                <w14:ligatures w14:val="standardContextual"/>
              </w:rPr>
              <w:t>%</w:t>
            </w:r>
          </w:p>
        </w:tc>
      </w:tr>
      <w:tr w:rsidR="00D01191" w:rsidRPr="008900DD" w:rsidTr="00521386">
        <w:trPr>
          <w:trHeight w:val="282"/>
        </w:trPr>
        <w:tc>
          <w:tcPr>
            <w:tcW w:w="7950" w:type="dxa"/>
            <w:gridSpan w:val="2"/>
            <w:tcBorders>
              <w:top w:val="single" w:sz="6" w:space="0" w:color="auto"/>
              <w:left w:val="single" w:sz="12" w:space="0" w:color="auto"/>
              <w:bottom w:val="single" w:sz="6" w:space="0" w:color="auto"/>
              <w:right w:val="single" w:sz="6" w:space="0" w:color="auto"/>
            </w:tcBorders>
            <w:shd w:val="solid" w:color="333399" w:fill="auto"/>
          </w:tcPr>
          <w:p w:rsidR="00D01191" w:rsidRPr="008900DD" w:rsidRDefault="00D01191">
            <w:pPr>
              <w:autoSpaceDE w:val="0"/>
              <w:autoSpaceDN w:val="0"/>
              <w:adjustRightInd w:val="0"/>
              <w:spacing w:after="0" w:line="240" w:lineRule="auto"/>
              <w:rPr>
                <w:rFonts w:ascii="Aptos Display" w:hAnsi="Aptos Display" w:cs="Aptos Display"/>
                <w:color w:val="FFFFFF"/>
                <w:sz w:val="20"/>
                <w:szCs w:val="20"/>
                <w14:ligatures w14:val="standardContextual"/>
              </w:rPr>
            </w:pPr>
            <w:r w:rsidRPr="008900DD">
              <w:rPr>
                <w:rFonts w:ascii="Aptos Display" w:hAnsi="Aptos Display" w:cs="Aptos Display"/>
                <w:color w:val="FFFFFF"/>
                <w:sz w:val="20"/>
                <w:szCs w:val="20"/>
                <w14:ligatures w14:val="standardContextual"/>
              </w:rPr>
              <w:t>II. MENAXHIMI KOMUNAL - Menaxhimi financiar, Menaxhimi i kontratës dhe Menaxhimi i BNj</w:t>
            </w:r>
          </w:p>
        </w:tc>
        <w:tc>
          <w:tcPr>
            <w:tcW w:w="1530" w:type="dxa"/>
            <w:tcBorders>
              <w:top w:val="single" w:sz="6" w:space="0" w:color="auto"/>
              <w:left w:val="single" w:sz="6" w:space="0" w:color="auto"/>
              <w:bottom w:val="single" w:sz="6" w:space="0" w:color="auto"/>
              <w:right w:val="single" w:sz="12" w:space="0" w:color="auto"/>
            </w:tcBorders>
            <w:shd w:val="solid" w:color="333399" w:fill="auto"/>
          </w:tcPr>
          <w:p w:rsidR="00D01191" w:rsidRPr="008900DD" w:rsidRDefault="00955D94">
            <w:pPr>
              <w:autoSpaceDE w:val="0"/>
              <w:autoSpaceDN w:val="0"/>
              <w:adjustRightInd w:val="0"/>
              <w:spacing w:after="0" w:line="240" w:lineRule="auto"/>
              <w:jc w:val="center"/>
              <w:rPr>
                <w:rFonts w:ascii="Aptos Display" w:hAnsi="Aptos Display" w:cs="Aptos Display"/>
                <w:color w:val="FFFFFF"/>
                <w:sz w:val="20"/>
                <w:szCs w:val="20"/>
                <w14:ligatures w14:val="standardContextual"/>
              </w:rPr>
            </w:pPr>
            <w:r>
              <w:rPr>
                <w:rFonts w:ascii="Aptos Display" w:hAnsi="Aptos Display" w:cs="Aptos Display"/>
                <w:color w:val="FFFFFF"/>
                <w:sz w:val="20"/>
                <w:szCs w:val="20"/>
                <w14:ligatures w14:val="standardContextual"/>
              </w:rPr>
              <w:t>33.6</w:t>
            </w:r>
            <w:r w:rsidR="00D01191" w:rsidRPr="008900DD">
              <w:rPr>
                <w:rFonts w:ascii="Aptos Display" w:hAnsi="Aptos Display" w:cs="Aptos Display"/>
                <w:color w:val="FFFFFF"/>
                <w:sz w:val="20"/>
                <w:szCs w:val="20"/>
                <w14:ligatures w14:val="standardContextual"/>
              </w:rPr>
              <w:t>%</w:t>
            </w:r>
          </w:p>
        </w:tc>
      </w:tr>
      <w:tr w:rsidR="00D01191" w:rsidRPr="008900DD" w:rsidTr="00C606C3">
        <w:trPr>
          <w:trHeight w:val="354"/>
        </w:trPr>
        <w:tc>
          <w:tcPr>
            <w:tcW w:w="570" w:type="dxa"/>
            <w:tcBorders>
              <w:top w:val="single" w:sz="6" w:space="0" w:color="auto"/>
              <w:left w:val="single" w:sz="12" w:space="0" w:color="auto"/>
              <w:bottom w:val="single" w:sz="6" w:space="0" w:color="auto"/>
              <w:right w:val="single" w:sz="6" w:space="0" w:color="auto"/>
            </w:tcBorders>
            <w:shd w:val="clear" w:color="auto" w:fill="4C94D8" w:themeFill="text2" w:themeFillTint="80"/>
          </w:tcPr>
          <w:p w:rsidR="00D01191" w:rsidRPr="008900DD" w:rsidRDefault="00D01191">
            <w:pPr>
              <w:autoSpaceDE w:val="0"/>
              <w:autoSpaceDN w:val="0"/>
              <w:adjustRightInd w:val="0"/>
              <w:spacing w:after="0" w:line="240" w:lineRule="auto"/>
              <w:rPr>
                <w:rFonts w:ascii="Aptos Display" w:hAnsi="Aptos Display" w:cs="Aptos Display"/>
                <w:color w:val="FFFFFF"/>
                <w:sz w:val="20"/>
                <w:szCs w:val="20"/>
                <w14:ligatures w14:val="standardContextual"/>
              </w:rPr>
            </w:pPr>
            <w:r w:rsidRPr="008900DD">
              <w:rPr>
                <w:rFonts w:ascii="Aptos Display" w:hAnsi="Aptos Display" w:cs="Aptos Display"/>
                <w:color w:val="FFFFFF"/>
                <w:sz w:val="20"/>
                <w:szCs w:val="20"/>
                <w14:ligatures w14:val="standardContextual"/>
              </w:rPr>
              <w:t>IV</w:t>
            </w:r>
          </w:p>
        </w:tc>
        <w:tc>
          <w:tcPr>
            <w:tcW w:w="7380" w:type="dxa"/>
            <w:tcBorders>
              <w:top w:val="single" w:sz="6" w:space="0" w:color="auto"/>
              <w:left w:val="single" w:sz="6" w:space="0" w:color="auto"/>
              <w:bottom w:val="single" w:sz="6" w:space="0" w:color="auto"/>
              <w:right w:val="single" w:sz="6" w:space="0" w:color="auto"/>
            </w:tcBorders>
            <w:shd w:val="clear" w:color="auto" w:fill="4C94D8" w:themeFill="text2" w:themeFillTint="80"/>
          </w:tcPr>
          <w:p w:rsidR="00D01191" w:rsidRPr="008900DD" w:rsidRDefault="00D01191">
            <w:pPr>
              <w:autoSpaceDE w:val="0"/>
              <w:autoSpaceDN w:val="0"/>
              <w:adjustRightInd w:val="0"/>
              <w:spacing w:after="0" w:line="240" w:lineRule="auto"/>
              <w:rPr>
                <w:rFonts w:ascii="Aptos Display" w:hAnsi="Aptos Display" w:cs="Aptos Display"/>
                <w:color w:val="FFFFFF"/>
                <w:sz w:val="20"/>
                <w:szCs w:val="20"/>
                <w14:ligatures w14:val="standardContextual"/>
              </w:rPr>
            </w:pPr>
            <w:r w:rsidRPr="008900DD">
              <w:rPr>
                <w:rFonts w:ascii="Aptos Display" w:hAnsi="Aptos Display" w:cs="Aptos Display"/>
                <w:color w:val="FFFFFF"/>
                <w:sz w:val="20"/>
                <w:szCs w:val="20"/>
                <w14:ligatures w14:val="standardContextual"/>
              </w:rPr>
              <w:t>Menaxhimi financiar</w:t>
            </w:r>
          </w:p>
        </w:tc>
        <w:tc>
          <w:tcPr>
            <w:tcW w:w="1530" w:type="dxa"/>
            <w:tcBorders>
              <w:top w:val="single" w:sz="6" w:space="0" w:color="auto"/>
              <w:left w:val="single" w:sz="6" w:space="0" w:color="auto"/>
              <w:bottom w:val="single" w:sz="6" w:space="0" w:color="auto"/>
              <w:right w:val="single" w:sz="12" w:space="0" w:color="auto"/>
            </w:tcBorders>
            <w:shd w:val="clear" w:color="auto" w:fill="4C94D8" w:themeFill="text2" w:themeFillTint="80"/>
          </w:tcPr>
          <w:p w:rsidR="00D01191" w:rsidRPr="008900DD" w:rsidRDefault="00955D94">
            <w:pPr>
              <w:autoSpaceDE w:val="0"/>
              <w:autoSpaceDN w:val="0"/>
              <w:adjustRightInd w:val="0"/>
              <w:spacing w:after="0" w:line="240" w:lineRule="auto"/>
              <w:jc w:val="center"/>
              <w:rPr>
                <w:rFonts w:ascii="Aptos Display" w:hAnsi="Aptos Display" w:cs="Aptos Display"/>
                <w:color w:val="FFFFFF"/>
                <w:sz w:val="20"/>
                <w:szCs w:val="20"/>
                <w14:ligatures w14:val="standardContextual"/>
              </w:rPr>
            </w:pPr>
            <w:r>
              <w:rPr>
                <w:rFonts w:ascii="Aptos Display" w:hAnsi="Aptos Display" w:cs="Aptos Display"/>
                <w:color w:val="FFFFFF"/>
                <w:sz w:val="20"/>
                <w:szCs w:val="20"/>
                <w14:ligatures w14:val="standardContextual"/>
              </w:rPr>
              <w:t>14.6</w:t>
            </w:r>
            <w:r w:rsidR="00D01191" w:rsidRPr="008900DD">
              <w:rPr>
                <w:rFonts w:ascii="Aptos Display" w:hAnsi="Aptos Display" w:cs="Aptos Display"/>
                <w:color w:val="FFFFFF"/>
                <w:sz w:val="20"/>
                <w:szCs w:val="20"/>
                <w14:ligatures w14:val="standardContextual"/>
              </w:rPr>
              <w:t>%</w:t>
            </w:r>
          </w:p>
        </w:tc>
      </w:tr>
      <w:tr w:rsidR="00D01191" w:rsidRPr="008900DD" w:rsidTr="00C606C3">
        <w:trPr>
          <w:trHeight w:val="291"/>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14</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Niveli i azhurnimit të regjistrit të tatimit në pronë</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955D94">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20.2</w:t>
            </w:r>
            <w:r w:rsidR="00D01191" w:rsidRPr="008900DD">
              <w:rPr>
                <w:rFonts w:ascii="Aptos Display" w:hAnsi="Aptos Display" w:cs="Aptos Display"/>
                <w:color w:val="000000"/>
                <w:sz w:val="20"/>
                <w:szCs w:val="20"/>
                <w14:ligatures w14:val="standardContextual"/>
              </w:rPr>
              <w:t>%</w:t>
            </w:r>
          </w:p>
        </w:tc>
      </w:tr>
      <w:tr w:rsidR="00D01191" w:rsidRPr="008900DD" w:rsidTr="00C606C3">
        <w:trPr>
          <w:trHeight w:val="336"/>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15</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 xml:space="preserve">Niveli i mbledhjes së faturës së tatimit në pronë </w:t>
            </w:r>
            <w:r w:rsidR="00E666C1" w:rsidRPr="008900DD">
              <w:rPr>
                <w:rFonts w:ascii="Aptos Display" w:hAnsi="Aptos Display" w:cs="Aptos Display"/>
                <w:color w:val="000000"/>
                <w:sz w:val="20"/>
                <w:szCs w:val="20"/>
                <w14:ligatures w14:val="standardContextual"/>
              </w:rPr>
              <w:t xml:space="preserve"> </w:t>
            </w:r>
            <w:r w:rsidRPr="008900DD">
              <w:rPr>
                <w:rFonts w:ascii="Aptos Display" w:hAnsi="Aptos Display" w:cs="Aptos Display"/>
                <w:color w:val="000000"/>
                <w:sz w:val="20"/>
                <w:szCs w:val="20"/>
                <w14:ligatures w14:val="standardContextual"/>
              </w:rPr>
              <w:t>(pa borxhe, interesa, ndëshkime)</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955D94">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3.2</w:t>
            </w:r>
            <w:r w:rsidR="00D01191" w:rsidRPr="008900DD">
              <w:rPr>
                <w:rFonts w:ascii="Aptos Display" w:hAnsi="Aptos Display" w:cs="Aptos Display"/>
                <w:color w:val="000000"/>
                <w:sz w:val="20"/>
                <w:szCs w:val="20"/>
                <w14:ligatures w14:val="standardContextual"/>
              </w:rPr>
              <w:t>%</w:t>
            </w:r>
          </w:p>
        </w:tc>
      </w:tr>
      <w:tr w:rsidR="00D01191" w:rsidRPr="008900DD" w:rsidTr="00C606C3">
        <w:trPr>
          <w:trHeight w:val="354"/>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lastRenderedPageBreak/>
              <w:t>16 a</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 xml:space="preserve">Niveli i adresimit të rekomandimeve të </w:t>
            </w:r>
            <w:r w:rsidR="00E666C1" w:rsidRPr="008900DD">
              <w:rPr>
                <w:rFonts w:ascii="Aptos Display" w:hAnsi="Aptos Display" w:cs="Aptos Display"/>
                <w:color w:val="000000"/>
                <w:sz w:val="20"/>
                <w:szCs w:val="20"/>
                <w14:ligatures w14:val="standardContextual"/>
              </w:rPr>
              <w:t xml:space="preserve"> </w:t>
            </w:r>
            <w:r w:rsidRPr="008900DD">
              <w:rPr>
                <w:rFonts w:ascii="Aptos Display" w:hAnsi="Aptos Display" w:cs="Aptos Display"/>
                <w:color w:val="000000"/>
                <w:sz w:val="20"/>
                <w:szCs w:val="20"/>
                <w14:ligatures w14:val="standardContextual"/>
              </w:rPr>
              <w:t>Zyrës Kombëtare të Auditorit</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955D94">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28.1</w:t>
            </w:r>
            <w:r w:rsidR="00D01191" w:rsidRPr="008900DD">
              <w:rPr>
                <w:rFonts w:ascii="Aptos Display" w:hAnsi="Aptos Display" w:cs="Aptos Display"/>
                <w:color w:val="000000"/>
                <w:sz w:val="20"/>
                <w:szCs w:val="20"/>
                <w14:ligatures w14:val="standardContextual"/>
              </w:rPr>
              <w:t>%</w:t>
            </w:r>
          </w:p>
        </w:tc>
      </w:tr>
      <w:tr w:rsidR="00D01191" w:rsidRPr="008900DD" w:rsidTr="00C606C3">
        <w:trPr>
          <w:trHeight w:val="246"/>
        </w:trPr>
        <w:tc>
          <w:tcPr>
            <w:tcW w:w="570" w:type="dxa"/>
            <w:tcBorders>
              <w:top w:val="single" w:sz="6" w:space="0" w:color="auto"/>
              <w:left w:val="single" w:sz="12" w:space="0" w:color="auto"/>
              <w:bottom w:val="single" w:sz="6" w:space="0" w:color="auto"/>
              <w:right w:val="single" w:sz="6" w:space="0" w:color="auto"/>
            </w:tcBorders>
            <w:shd w:val="clear" w:color="auto" w:fill="FAE2D5" w:themeFill="accent2" w:themeFillTint="33"/>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16 b</w:t>
            </w:r>
          </w:p>
        </w:tc>
        <w:tc>
          <w:tcPr>
            <w:tcW w:w="7380" w:type="dxa"/>
            <w:tcBorders>
              <w:top w:val="single" w:sz="6" w:space="0" w:color="auto"/>
              <w:left w:val="single" w:sz="6" w:space="0" w:color="auto"/>
              <w:bottom w:val="single" w:sz="6" w:space="0" w:color="auto"/>
              <w:right w:val="single" w:sz="6" w:space="0" w:color="auto"/>
            </w:tcBorders>
            <w:shd w:val="clear" w:color="auto" w:fill="FAE2D5" w:themeFill="accent2" w:themeFillTint="33"/>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Niveli i adresimit të rekomandimeve të</w:t>
            </w:r>
            <w:r w:rsidR="00E666C1" w:rsidRPr="008900DD">
              <w:rPr>
                <w:rFonts w:ascii="Aptos Display" w:hAnsi="Aptos Display" w:cs="Aptos Display"/>
                <w:color w:val="000000"/>
                <w:sz w:val="20"/>
                <w:szCs w:val="20"/>
                <w14:ligatures w14:val="standardContextual"/>
              </w:rPr>
              <w:t xml:space="preserve"> </w:t>
            </w:r>
            <w:r w:rsidRPr="008900DD">
              <w:rPr>
                <w:rFonts w:ascii="Aptos Display" w:hAnsi="Aptos Display" w:cs="Aptos Display"/>
                <w:color w:val="000000"/>
                <w:sz w:val="20"/>
                <w:szCs w:val="20"/>
                <w14:ligatures w14:val="standardContextual"/>
              </w:rPr>
              <w:t>auditorit të brendshëm</w:t>
            </w:r>
          </w:p>
        </w:tc>
        <w:tc>
          <w:tcPr>
            <w:tcW w:w="1530" w:type="dxa"/>
            <w:tcBorders>
              <w:top w:val="single" w:sz="6" w:space="0" w:color="auto"/>
              <w:left w:val="single" w:sz="6" w:space="0" w:color="auto"/>
              <w:bottom w:val="single" w:sz="6" w:space="0" w:color="auto"/>
              <w:right w:val="single" w:sz="12" w:space="0" w:color="auto"/>
            </w:tcBorders>
            <w:shd w:val="clear" w:color="auto" w:fill="FAE2D5" w:themeFill="accent2" w:themeFillTint="33"/>
          </w:tcPr>
          <w:p w:rsidR="00D01191" w:rsidRPr="008900DD" w:rsidRDefault="00D01191">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0%</w:t>
            </w:r>
          </w:p>
        </w:tc>
      </w:tr>
      <w:tr w:rsidR="00D01191" w:rsidRPr="008900DD" w:rsidTr="00C606C3">
        <w:trPr>
          <w:trHeight w:val="264"/>
        </w:trPr>
        <w:tc>
          <w:tcPr>
            <w:tcW w:w="570" w:type="dxa"/>
            <w:tcBorders>
              <w:top w:val="single" w:sz="6" w:space="0" w:color="auto"/>
              <w:left w:val="single" w:sz="12" w:space="0" w:color="auto"/>
              <w:bottom w:val="single" w:sz="6" w:space="0" w:color="auto"/>
              <w:right w:val="single" w:sz="6" w:space="0" w:color="auto"/>
            </w:tcBorders>
            <w:shd w:val="clear" w:color="auto" w:fill="4C94D8" w:themeFill="text2" w:themeFillTint="80"/>
          </w:tcPr>
          <w:p w:rsidR="00D01191" w:rsidRPr="008900DD" w:rsidRDefault="00D01191">
            <w:pPr>
              <w:autoSpaceDE w:val="0"/>
              <w:autoSpaceDN w:val="0"/>
              <w:adjustRightInd w:val="0"/>
              <w:spacing w:after="0" w:line="240" w:lineRule="auto"/>
              <w:rPr>
                <w:rFonts w:ascii="Aptos Display" w:hAnsi="Aptos Display" w:cs="Aptos Display"/>
                <w:color w:val="FFFFFF"/>
                <w:sz w:val="20"/>
                <w:szCs w:val="20"/>
                <w14:ligatures w14:val="standardContextual"/>
              </w:rPr>
            </w:pPr>
            <w:r w:rsidRPr="008900DD">
              <w:rPr>
                <w:rFonts w:ascii="Aptos Display" w:hAnsi="Aptos Display" w:cs="Aptos Display"/>
                <w:color w:val="FFFFFF"/>
                <w:sz w:val="20"/>
                <w:szCs w:val="20"/>
                <w14:ligatures w14:val="standardContextual"/>
              </w:rPr>
              <w:t>V</w:t>
            </w:r>
          </w:p>
        </w:tc>
        <w:tc>
          <w:tcPr>
            <w:tcW w:w="7380" w:type="dxa"/>
            <w:tcBorders>
              <w:top w:val="single" w:sz="6" w:space="0" w:color="auto"/>
              <w:left w:val="single" w:sz="6" w:space="0" w:color="auto"/>
              <w:bottom w:val="single" w:sz="6" w:space="0" w:color="auto"/>
              <w:right w:val="single" w:sz="6" w:space="0" w:color="auto"/>
            </w:tcBorders>
            <w:shd w:val="clear" w:color="auto" w:fill="4C94D8" w:themeFill="text2" w:themeFillTint="80"/>
          </w:tcPr>
          <w:p w:rsidR="00D01191" w:rsidRPr="008900DD" w:rsidRDefault="00D01191">
            <w:pPr>
              <w:autoSpaceDE w:val="0"/>
              <w:autoSpaceDN w:val="0"/>
              <w:adjustRightInd w:val="0"/>
              <w:spacing w:after="0" w:line="240" w:lineRule="auto"/>
              <w:rPr>
                <w:rFonts w:ascii="Aptos Display" w:hAnsi="Aptos Display" w:cs="Aptos Display"/>
                <w:color w:val="FFFFFF"/>
                <w:sz w:val="20"/>
                <w:szCs w:val="20"/>
                <w14:ligatures w14:val="standardContextual"/>
              </w:rPr>
            </w:pPr>
            <w:r w:rsidRPr="008900DD">
              <w:rPr>
                <w:rFonts w:ascii="Aptos Display" w:hAnsi="Aptos Display" w:cs="Aptos Display"/>
                <w:color w:val="FFFFFF"/>
                <w:sz w:val="20"/>
                <w:szCs w:val="20"/>
                <w14:ligatures w14:val="standardContextual"/>
              </w:rPr>
              <w:t>Menaxhimi i kontratave</w:t>
            </w:r>
          </w:p>
        </w:tc>
        <w:tc>
          <w:tcPr>
            <w:tcW w:w="1530" w:type="dxa"/>
            <w:tcBorders>
              <w:top w:val="single" w:sz="6" w:space="0" w:color="auto"/>
              <w:left w:val="single" w:sz="6" w:space="0" w:color="auto"/>
              <w:bottom w:val="single" w:sz="6" w:space="0" w:color="auto"/>
              <w:right w:val="single" w:sz="12" w:space="0" w:color="auto"/>
            </w:tcBorders>
            <w:shd w:val="clear" w:color="auto" w:fill="4C94D8" w:themeFill="text2" w:themeFillTint="80"/>
          </w:tcPr>
          <w:p w:rsidR="00D01191" w:rsidRPr="008900DD" w:rsidRDefault="00955D94">
            <w:pPr>
              <w:autoSpaceDE w:val="0"/>
              <w:autoSpaceDN w:val="0"/>
              <w:adjustRightInd w:val="0"/>
              <w:spacing w:after="0" w:line="240" w:lineRule="auto"/>
              <w:jc w:val="center"/>
              <w:rPr>
                <w:rFonts w:ascii="Aptos Display" w:hAnsi="Aptos Display" w:cs="Aptos Display"/>
                <w:color w:val="FFFFFF"/>
                <w:sz w:val="20"/>
                <w:szCs w:val="20"/>
                <w14:ligatures w14:val="standardContextual"/>
              </w:rPr>
            </w:pPr>
            <w:r>
              <w:rPr>
                <w:rFonts w:ascii="Aptos Display" w:hAnsi="Aptos Display" w:cs="Aptos Display"/>
                <w:color w:val="FFFFFF"/>
                <w:sz w:val="20"/>
                <w:szCs w:val="20"/>
                <w14:ligatures w14:val="standardContextual"/>
              </w:rPr>
              <w:t>59.4</w:t>
            </w:r>
            <w:r w:rsidR="00D01191" w:rsidRPr="008900DD">
              <w:rPr>
                <w:rFonts w:ascii="Aptos Display" w:hAnsi="Aptos Display" w:cs="Aptos Display"/>
                <w:color w:val="FFFFFF"/>
                <w:sz w:val="20"/>
                <w:szCs w:val="20"/>
                <w14:ligatures w14:val="standardContextual"/>
              </w:rPr>
              <w:t>%</w:t>
            </w:r>
          </w:p>
        </w:tc>
      </w:tr>
      <w:tr w:rsidR="00D01191" w:rsidRPr="008900DD" w:rsidTr="00C606C3">
        <w:trPr>
          <w:trHeight w:val="282"/>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17</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Niveli i zbatimi të planit të prokurimit</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955D94">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64.5</w:t>
            </w:r>
            <w:r w:rsidR="00D01191" w:rsidRPr="008900DD">
              <w:rPr>
                <w:rFonts w:ascii="Aptos Display" w:hAnsi="Aptos Display" w:cs="Aptos Display"/>
                <w:color w:val="000000"/>
                <w:sz w:val="20"/>
                <w:szCs w:val="20"/>
                <w14:ligatures w14:val="standardContextual"/>
              </w:rPr>
              <w:t>%</w:t>
            </w:r>
          </w:p>
        </w:tc>
      </w:tr>
      <w:tr w:rsidR="00D01191" w:rsidRPr="008900DD" w:rsidTr="0049606F">
        <w:trPr>
          <w:trHeight w:val="399"/>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18</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Përgatitja dhe publikimi i listës së pronave komunale të planifikuar për dhënie në shfrytëzim</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955D94">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59.4</w:t>
            </w:r>
            <w:r w:rsidR="00D01191" w:rsidRPr="008900DD">
              <w:rPr>
                <w:rFonts w:ascii="Aptos Display" w:hAnsi="Aptos Display" w:cs="Aptos Display"/>
                <w:color w:val="000000"/>
                <w:sz w:val="20"/>
                <w:szCs w:val="20"/>
                <w14:ligatures w14:val="standardContextual"/>
              </w:rPr>
              <w:t>%</w:t>
            </w:r>
          </w:p>
        </w:tc>
      </w:tr>
      <w:tr w:rsidR="00D01191" w:rsidRPr="008900DD" w:rsidTr="0049606F">
        <w:trPr>
          <w:trHeight w:val="255"/>
        </w:trPr>
        <w:tc>
          <w:tcPr>
            <w:tcW w:w="570" w:type="dxa"/>
            <w:tcBorders>
              <w:top w:val="single" w:sz="6" w:space="0" w:color="auto"/>
              <w:left w:val="single" w:sz="12" w:space="0" w:color="auto"/>
              <w:bottom w:val="single" w:sz="6" w:space="0" w:color="auto"/>
              <w:right w:val="single" w:sz="6" w:space="0" w:color="auto"/>
            </w:tcBorders>
            <w:shd w:val="clear" w:color="auto" w:fill="4C94D8" w:themeFill="text2" w:themeFillTint="80"/>
          </w:tcPr>
          <w:p w:rsidR="00D01191" w:rsidRPr="008900DD" w:rsidRDefault="00D01191">
            <w:pPr>
              <w:autoSpaceDE w:val="0"/>
              <w:autoSpaceDN w:val="0"/>
              <w:adjustRightInd w:val="0"/>
              <w:spacing w:after="0" w:line="240" w:lineRule="auto"/>
              <w:rPr>
                <w:rFonts w:ascii="Aptos Display" w:hAnsi="Aptos Display" w:cs="Aptos Display"/>
                <w:color w:val="FFFFFF"/>
                <w:sz w:val="20"/>
                <w:szCs w:val="20"/>
                <w14:ligatures w14:val="standardContextual"/>
              </w:rPr>
            </w:pPr>
            <w:r w:rsidRPr="008900DD">
              <w:rPr>
                <w:rFonts w:ascii="Aptos Display" w:hAnsi="Aptos Display" w:cs="Aptos Display"/>
                <w:color w:val="FFFFFF"/>
                <w:sz w:val="20"/>
                <w:szCs w:val="20"/>
                <w14:ligatures w14:val="standardContextual"/>
              </w:rPr>
              <w:t>VI</w:t>
            </w:r>
          </w:p>
        </w:tc>
        <w:tc>
          <w:tcPr>
            <w:tcW w:w="7380" w:type="dxa"/>
            <w:tcBorders>
              <w:top w:val="single" w:sz="6" w:space="0" w:color="auto"/>
              <w:left w:val="single" w:sz="6" w:space="0" w:color="auto"/>
              <w:bottom w:val="single" w:sz="6" w:space="0" w:color="auto"/>
              <w:right w:val="single" w:sz="6" w:space="0" w:color="auto"/>
            </w:tcBorders>
            <w:shd w:val="clear" w:color="auto" w:fill="4C94D8" w:themeFill="text2" w:themeFillTint="80"/>
          </w:tcPr>
          <w:p w:rsidR="00D01191" w:rsidRPr="008900DD" w:rsidRDefault="00D01191">
            <w:pPr>
              <w:autoSpaceDE w:val="0"/>
              <w:autoSpaceDN w:val="0"/>
              <w:adjustRightInd w:val="0"/>
              <w:spacing w:after="0" w:line="240" w:lineRule="auto"/>
              <w:rPr>
                <w:rFonts w:ascii="Aptos Display" w:hAnsi="Aptos Display" w:cs="Aptos Display"/>
                <w:color w:val="FFFFFF"/>
                <w:sz w:val="20"/>
                <w:szCs w:val="20"/>
                <w14:ligatures w14:val="standardContextual"/>
              </w:rPr>
            </w:pPr>
            <w:r w:rsidRPr="008900DD">
              <w:rPr>
                <w:rFonts w:ascii="Aptos Display" w:hAnsi="Aptos Display" w:cs="Aptos Display"/>
                <w:color w:val="FFFFFF"/>
                <w:sz w:val="20"/>
                <w:szCs w:val="20"/>
                <w14:ligatures w14:val="standardContextual"/>
              </w:rPr>
              <w:t>Menaxhimi i burimeve njerëzore</w:t>
            </w:r>
          </w:p>
        </w:tc>
        <w:tc>
          <w:tcPr>
            <w:tcW w:w="1530" w:type="dxa"/>
            <w:tcBorders>
              <w:top w:val="single" w:sz="6" w:space="0" w:color="auto"/>
              <w:left w:val="single" w:sz="6" w:space="0" w:color="auto"/>
              <w:bottom w:val="single" w:sz="6" w:space="0" w:color="auto"/>
              <w:right w:val="single" w:sz="12" w:space="0" w:color="auto"/>
            </w:tcBorders>
            <w:shd w:val="clear" w:color="auto" w:fill="4C94D8" w:themeFill="text2" w:themeFillTint="80"/>
          </w:tcPr>
          <w:p w:rsidR="00D01191" w:rsidRPr="008900DD" w:rsidRDefault="00955D94">
            <w:pPr>
              <w:autoSpaceDE w:val="0"/>
              <w:autoSpaceDN w:val="0"/>
              <w:adjustRightInd w:val="0"/>
              <w:spacing w:after="0" w:line="240" w:lineRule="auto"/>
              <w:jc w:val="center"/>
              <w:rPr>
                <w:rFonts w:ascii="Aptos Display" w:hAnsi="Aptos Display" w:cs="Aptos Display"/>
                <w:color w:val="FFFFFF"/>
                <w:sz w:val="20"/>
                <w:szCs w:val="20"/>
                <w14:ligatures w14:val="standardContextual"/>
              </w:rPr>
            </w:pPr>
            <w:r>
              <w:rPr>
                <w:rFonts w:ascii="Aptos Display" w:hAnsi="Aptos Display" w:cs="Aptos Display"/>
                <w:color w:val="FFFFFF"/>
                <w:sz w:val="20"/>
                <w:szCs w:val="20"/>
                <w14:ligatures w14:val="standardContextual"/>
              </w:rPr>
              <w:t>36.3</w:t>
            </w:r>
            <w:r w:rsidR="00D01191" w:rsidRPr="008900DD">
              <w:rPr>
                <w:rFonts w:ascii="Aptos Display" w:hAnsi="Aptos Display" w:cs="Aptos Display"/>
                <w:color w:val="FFFFFF"/>
                <w:sz w:val="20"/>
                <w:szCs w:val="20"/>
                <w14:ligatures w14:val="standardContextual"/>
              </w:rPr>
              <w:t>%</w:t>
            </w:r>
          </w:p>
        </w:tc>
      </w:tr>
      <w:tr w:rsidR="00D01191" w:rsidRPr="008900DD" w:rsidTr="00955D94">
        <w:trPr>
          <w:trHeight w:val="264"/>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19</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Përgatitja e planit për zhvillimin e personelit</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955D94">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81.6</w:t>
            </w:r>
            <w:r w:rsidR="00D01191" w:rsidRPr="008900DD">
              <w:rPr>
                <w:rFonts w:ascii="Aptos Display" w:hAnsi="Aptos Display" w:cs="Aptos Display"/>
                <w:color w:val="000000"/>
                <w:sz w:val="20"/>
                <w:szCs w:val="20"/>
                <w14:ligatures w14:val="standardContextual"/>
              </w:rPr>
              <w:t>%</w:t>
            </w:r>
          </w:p>
        </w:tc>
      </w:tr>
      <w:tr w:rsidR="00D01191" w:rsidRPr="008900DD" w:rsidTr="00C606C3">
        <w:trPr>
          <w:trHeight w:val="318"/>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20</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Gratë në pozita udhëheqëse në institucionet e arsimit, shëndetësisë dhe kulturës</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955D94">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24.7</w:t>
            </w:r>
            <w:r w:rsidR="00D01191" w:rsidRPr="008900DD">
              <w:rPr>
                <w:rFonts w:ascii="Aptos Display" w:hAnsi="Aptos Display" w:cs="Aptos Display"/>
                <w:color w:val="000000"/>
                <w:sz w:val="20"/>
                <w:szCs w:val="20"/>
                <w14:ligatures w14:val="standardContextual"/>
              </w:rPr>
              <w:t>%</w:t>
            </w:r>
          </w:p>
        </w:tc>
      </w:tr>
      <w:tr w:rsidR="00D01191" w:rsidRPr="008900DD" w:rsidTr="00C606C3">
        <w:trPr>
          <w:trHeight w:val="336"/>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21</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rsidP="00D07AA5">
            <w:pPr>
              <w:tabs>
                <w:tab w:val="left" w:pos="5220"/>
              </w:tabs>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Gra të emëruara në postet politike në komunë</w:t>
            </w:r>
            <w:r w:rsidR="00D07AA5">
              <w:rPr>
                <w:rFonts w:ascii="Aptos Display" w:hAnsi="Aptos Display" w:cs="Aptos Display"/>
                <w:color w:val="000000"/>
                <w:sz w:val="20"/>
                <w:szCs w:val="20"/>
                <w14:ligatures w14:val="standardContextual"/>
              </w:rPr>
              <w:tab/>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955D94">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25.4</w:t>
            </w:r>
            <w:r w:rsidR="00D01191" w:rsidRPr="008900DD">
              <w:rPr>
                <w:rFonts w:ascii="Aptos Display" w:hAnsi="Aptos Display" w:cs="Aptos Display"/>
                <w:color w:val="000000"/>
                <w:sz w:val="20"/>
                <w:szCs w:val="20"/>
                <w14:ligatures w14:val="standardContextual"/>
              </w:rPr>
              <w:t>%</w:t>
            </w:r>
          </w:p>
        </w:tc>
      </w:tr>
      <w:tr w:rsidR="00D01191" w:rsidRPr="008900DD" w:rsidTr="0049606F">
        <w:trPr>
          <w:trHeight w:val="291"/>
        </w:trPr>
        <w:tc>
          <w:tcPr>
            <w:tcW w:w="7950" w:type="dxa"/>
            <w:gridSpan w:val="2"/>
            <w:tcBorders>
              <w:top w:val="single" w:sz="6" w:space="0" w:color="auto"/>
              <w:left w:val="single" w:sz="12" w:space="0" w:color="auto"/>
              <w:bottom w:val="single" w:sz="6" w:space="0" w:color="auto"/>
              <w:right w:val="single" w:sz="6" w:space="0" w:color="auto"/>
            </w:tcBorders>
            <w:shd w:val="solid" w:color="333399" w:fill="auto"/>
          </w:tcPr>
          <w:p w:rsidR="00D01191" w:rsidRPr="008900DD" w:rsidRDefault="00D01191">
            <w:pPr>
              <w:autoSpaceDE w:val="0"/>
              <w:autoSpaceDN w:val="0"/>
              <w:adjustRightInd w:val="0"/>
              <w:spacing w:after="0" w:line="240" w:lineRule="auto"/>
              <w:rPr>
                <w:rFonts w:ascii="Aptos Display" w:hAnsi="Aptos Display" w:cs="Aptos Display"/>
                <w:color w:val="FFFFFF"/>
                <w:sz w:val="20"/>
                <w:szCs w:val="20"/>
                <w14:ligatures w14:val="standardContextual"/>
              </w:rPr>
            </w:pPr>
            <w:r w:rsidRPr="008900DD">
              <w:rPr>
                <w:rFonts w:ascii="Aptos Display" w:hAnsi="Aptos Display" w:cs="Aptos Display"/>
                <w:color w:val="FFFFFF"/>
                <w:sz w:val="20"/>
                <w:szCs w:val="20"/>
                <w14:ligatures w14:val="standardContextual"/>
              </w:rPr>
              <w:t>III. OFRIMI I SHËRBIMEVE - Qasja dhe cilësia e ofrimit të shërbimeve</w:t>
            </w:r>
            <w:r w:rsidR="00792A0F" w:rsidRPr="008900DD">
              <w:rPr>
                <w:rFonts w:ascii="Aptos Display" w:hAnsi="Aptos Display" w:cs="Aptos Display"/>
                <w:color w:val="FFFFFF"/>
                <w:sz w:val="20"/>
                <w:szCs w:val="20"/>
                <w14:ligatures w14:val="standardContextual"/>
              </w:rPr>
              <w:t xml:space="preserve">- </w:t>
            </w:r>
            <w:r w:rsidRPr="008900DD">
              <w:rPr>
                <w:rFonts w:ascii="Aptos Display" w:hAnsi="Aptos Display" w:cs="Aptos Display"/>
                <w:color w:val="FFFFFF"/>
                <w:sz w:val="20"/>
                <w:szCs w:val="20"/>
                <w14:ligatures w14:val="standardContextual"/>
              </w:rPr>
              <w:t xml:space="preserve"> Sipas sektorit</w:t>
            </w:r>
          </w:p>
        </w:tc>
        <w:tc>
          <w:tcPr>
            <w:tcW w:w="1530" w:type="dxa"/>
            <w:tcBorders>
              <w:top w:val="single" w:sz="6" w:space="0" w:color="auto"/>
              <w:left w:val="single" w:sz="6" w:space="0" w:color="auto"/>
              <w:bottom w:val="single" w:sz="6" w:space="0" w:color="auto"/>
              <w:right w:val="single" w:sz="12" w:space="0" w:color="auto"/>
            </w:tcBorders>
            <w:shd w:val="solid" w:color="333399" w:fill="auto"/>
          </w:tcPr>
          <w:p w:rsidR="00D01191" w:rsidRPr="008900DD" w:rsidRDefault="00955D94">
            <w:pPr>
              <w:autoSpaceDE w:val="0"/>
              <w:autoSpaceDN w:val="0"/>
              <w:adjustRightInd w:val="0"/>
              <w:spacing w:after="0" w:line="240" w:lineRule="auto"/>
              <w:jc w:val="center"/>
              <w:rPr>
                <w:rFonts w:ascii="Aptos Display" w:hAnsi="Aptos Display" w:cs="Aptos Display"/>
                <w:color w:val="FFFFFF"/>
                <w:sz w:val="20"/>
                <w:szCs w:val="20"/>
                <w14:ligatures w14:val="standardContextual"/>
              </w:rPr>
            </w:pPr>
            <w:r>
              <w:rPr>
                <w:rFonts w:ascii="Aptos Display" w:hAnsi="Aptos Display" w:cs="Aptos Display"/>
                <w:color w:val="FFFFFF"/>
                <w:sz w:val="20"/>
                <w:szCs w:val="20"/>
                <w14:ligatures w14:val="standardContextual"/>
              </w:rPr>
              <w:t>36.3</w:t>
            </w:r>
            <w:r w:rsidR="00D01191" w:rsidRPr="008900DD">
              <w:rPr>
                <w:rFonts w:ascii="Aptos Display" w:hAnsi="Aptos Display" w:cs="Aptos Display"/>
                <w:color w:val="FFFFFF"/>
                <w:sz w:val="20"/>
                <w:szCs w:val="20"/>
                <w14:ligatures w14:val="standardContextual"/>
              </w:rPr>
              <w:t>%</w:t>
            </w:r>
          </w:p>
        </w:tc>
      </w:tr>
      <w:tr w:rsidR="00D01191" w:rsidRPr="008900DD" w:rsidTr="00C606C3">
        <w:trPr>
          <w:trHeight w:val="246"/>
        </w:trPr>
        <w:tc>
          <w:tcPr>
            <w:tcW w:w="570" w:type="dxa"/>
            <w:tcBorders>
              <w:top w:val="single" w:sz="6" w:space="0" w:color="auto"/>
              <w:left w:val="single" w:sz="12" w:space="0" w:color="auto"/>
              <w:bottom w:val="single" w:sz="6" w:space="0" w:color="auto"/>
              <w:right w:val="single" w:sz="6" w:space="0" w:color="auto"/>
            </w:tcBorders>
            <w:shd w:val="clear" w:color="auto" w:fill="4C94D8" w:themeFill="text2" w:themeFillTint="80"/>
          </w:tcPr>
          <w:p w:rsidR="00D01191" w:rsidRPr="008900DD" w:rsidRDefault="00D01191">
            <w:pPr>
              <w:autoSpaceDE w:val="0"/>
              <w:autoSpaceDN w:val="0"/>
              <w:adjustRightInd w:val="0"/>
              <w:spacing w:after="0" w:line="240" w:lineRule="auto"/>
              <w:rPr>
                <w:rFonts w:ascii="Aptos Display" w:hAnsi="Aptos Display" w:cs="Aptos Display"/>
                <w:color w:val="FFFFFF"/>
                <w:sz w:val="20"/>
                <w:szCs w:val="20"/>
                <w14:ligatures w14:val="standardContextual"/>
              </w:rPr>
            </w:pPr>
            <w:r w:rsidRPr="008900DD">
              <w:rPr>
                <w:rFonts w:ascii="Aptos Display" w:hAnsi="Aptos Display" w:cs="Aptos Display"/>
                <w:color w:val="FFFFFF"/>
                <w:sz w:val="20"/>
                <w:szCs w:val="20"/>
                <w14:ligatures w14:val="standardContextual"/>
              </w:rPr>
              <w:t>VII</w:t>
            </w:r>
          </w:p>
        </w:tc>
        <w:tc>
          <w:tcPr>
            <w:tcW w:w="7380" w:type="dxa"/>
            <w:tcBorders>
              <w:top w:val="single" w:sz="6" w:space="0" w:color="auto"/>
              <w:left w:val="single" w:sz="6" w:space="0" w:color="auto"/>
              <w:bottom w:val="single" w:sz="6" w:space="0" w:color="auto"/>
              <w:right w:val="single" w:sz="6" w:space="0" w:color="auto"/>
            </w:tcBorders>
            <w:shd w:val="clear" w:color="auto" w:fill="4C94D8" w:themeFill="text2" w:themeFillTint="80"/>
          </w:tcPr>
          <w:p w:rsidR="00D01191" w:rsidRPr="008900DD" w:rsidRDefault="00D01191">
            <w:pPr>
              <w:autoSpaceDE w:val="0"/>
              <w:autoSpaceDN w:val="0"/>
              <w:adjustRightInd w:val="0"/>
              <w:spacing w:after="0" w:line="240" w:lineRule="auto"/>
              <w:rPr>
                <w:rFonts w:ascii="Aptos Display" w:hAnsi="Aptos Display" w:cs="Aptos Display"/>
                <w:color w:val="FFFFFF"/>
                <w:sz w:val="20"/>
                <w:szCs w:val="20"/>
                <w14:ligatures w14:val="standardContextual"/>
              </w:rPr>
            </w:pPr>
            <w:r w:rsidRPr="008900DD">
              <w:rPr>
                <w:rFonts w:ascii="Aptos Display" w:hAnsi="Aptos Display" w:cs="Aptos Display"/>
                <w:color w:val="FFFFFF"/>
                <w:sz w:val="20"/>
                <w:szCs w:val="20"/>
                <w14:ligatures w14:val="standardContextual"/>
              </w:rPr>
              <w:t>Shërbimet administrative</w:t>
            </w:r>
          </w:p>
        </w:tc>
        <w:tc>
          <w:tcPr>
            <w:tcW w:w="1530" w:type="dxa"/>
            <w:tcBorders>
              <w:top w:val="single" w:sz="6" w:space="0" w:color="auto"/>
              <w:left w:val="single" w:sz="6" w:space="0" w:color="auto"/>
              <w:bottom w:val="single" w:sz="6" w:space="0" w:color="auto"/>
              <w:right w:val="single" w:sz="12" w:space="0" w:color="auto"/>
            </w:tcBorders>
            <w:shd w:val="clear" w:color="auto" w:fill="4C94D8" w:themeFill="text2" w:themeFillTint="80"/>
          </w:tcPr>
          <w:p w:rsidR="00D01191" w:rsidRPr="008900DD" w:rsidRDefault="00955D94">
            <w:pPr>
              <w:autoSpaceDE w:val="0"/>
              <w:autoSpaceDN w:val="0"/>
              <w:adjustRightInd w:val="0"/>
              <w:spacing w:after="0" w:line="240" w:lineRule="auto"/>
              <w:jc w:val="center"/>
              <w:rPr>
                <w:rFonts w:ascii="Aptos Display" w:hAnsi="Aptos Display" w:cs="Aptos Display"/>
                <w:color w:val="FFFFFF"/>
                <w:sz w:val="20"/>
                <w:szCs w:val="20"/>
                <w14:ligatures w14:val="standardContextual"/>
              </w:rPr>
            </w:pPr>
            <w:r>
              <w:rPr>
                <w:rFonts w:ascii="Aptos Display" w:hAnsi="Aptos Display" w:cs="Aptos Display"/>
                <w:color w:val="FFFFFF"/>
                <w:sz w:val="20"/>
                <w:szCs w:val="20"/>
                <w14:ligatures w14:val="standardContextual"/>
              </w:rPr>
              <w:t>68.4%</w:t>
            </w:r>
          </w:p>
        </w:tc>
      </w:tr>
      <w:tr w:rsidR="00D01191" w:rsidRPr="008900DD" w:rsidTr="00C346B0">
        <w:trPr>
          <w:trHeight w:val="435"/>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22</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Shërbimet administrative të thjeshtuara për zvogëlimin e barrës administrative në nivel komunal</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F0108A">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67.1</w:t>
            </w:r>
            <w:r w:rsidR="00D01191" w:rsidRPr="008900DD">
              <w:rPr>
                <w:rFonts w:ascii="Aptos Display" w:hAnsi="Aptos Display" w:cs="Aptos Display"/>
                <w:color w:val="000000"/>
                <w:sz w:val="20"/>
                <w:szCs w:val="20"/>
                <w14:ligatures w14:val="standardContextual"/>
              </w:rPr>
              <w:t>%</w:t>
            </w:r>
          </w:p>
        </w:tc>
      </w:tr>
      <w:tr w:rsidR="00D01191" w:rsidRPr="008900DD" w:rsidTr="00C346B0">
        <w:trPr>
          <w:trHeight w:val="264"/>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23</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Kërkesa të shqyrtuara për leje të ndërtimit</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F0108A">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71.1</w:t>
            </w:r>
            <w:r w:rsidR="00D01191" w:rsidRPr="008900DD">
              <w:rPr>
                <w:rFonts w:ascii="Aptos Display" w:hAnsi="Aptos Display" w:cs="Aptos Display"/>
                <w:color w:val="000000"/>
                <w:sz w:val="20"/>
                <w:szCs w:val="20"/>
                <w14:ligatures w14:val="standardContextual"/>
              </w:rPr>
              <w:t>%</w:t>
            </w:r>
          </w:p>
        </w:tc>
      </w:tr>
      <w:tr w:rsidR="00D01191" w:rsidRPr="008900DD" w:rsidTr="0049606F">
        <w:trPr>
          <w:trHeight w:val="192"/>
        </w:trPr>
        <w:tc>
          <w:tcPr>
            <w:tcW w:w="570" w:type="dxa"/>
            <w:tcBorders>
              <w:top w:val="single" w:sz="6" w:space="0" w:color="auto"/>
              <w:left w:val="single" w:sz="12" w:space="0" w:color="auto"/>
              <w:bottom w:val="single" w:sz="6" w:space="0" w:color="auto"/>
              <w:right w:val="single" w:sz="6" w:space="0" w:color="auto"/>
            </w:tcBorders>
            <w:shd w:val="clear" w:color="auto" w:fill="4C94D8" w:themeFill="text2" w:themeFillTint="80"/>
          </w:tcPr>
          <w:p w:rsidR="00D01191" w:rsidRPr="008900DD" w:rsidRDefault="00D01191">
            <w:pPr>
              <w:autoSpaceDE w:val="0"/>
              <w:autoSpaceDN w:val="0"/>
              <w:adjustRightInd w:val="0"/>
              <w:spacing w:after="0" w:line="240" w:lineRule="auto"/>
              <w:rPr>
                <w:rFonts w:ascii="Aptos Display" w:hAnsi="Aptos Display" w:cs="Aptos Display"/>
                <w:color w:val="FFFFFF"/>
                <w:sz w:val="20"/>
                <w:szCs w:val="20"/>
                <w14:ligatures w14:val="standardContextual"/>
              </w:rPr>
            </w:pPr>
            <w:r w:rsidRPr="008900DD">
              <w:rPr>
                <w:rFonts w:ascii="Aptos Display" w:hAnsi="Aptos Display" w:cs="Aptos Display"/>
                <w:color w:val="FFFFFF"/>
                <w:sz w:val="20"/>
                <w:szCs w:val="20"/>
                <w14:ligatures w14:val="standardContextual"/>
              </w:rPr>
              <w:t>VIII</w:t>
            </w:r>
          </w:p>
        </w:tc>
        <w:tc>
          <w:tcPr>
            <w:tcW w:w="7380" w:type="dxa"/>
            <w:tcBorders>
              <w:top w:val="single" w:sz="6" w:space="0" w:color="auto"/>
              <w:left w:val="single" w:sz="6" w:space="0" w:color="auto"/>
              <w:bottom w:val="single" w:sz="6" w:space="0" w:color="auto"/>
              <w:right w:val="single" w:sz="6" w:space="0" w:color="auto"/>
            </w:tcBorders>
            <w:shd w:val="clear" w:color="auto" w:fill="4C94D8" w:themeFill="text2" w:themeFillTint="80"/>
          </w:tcPr>
          <w:p w:rsidR="00D01191" w:rsidRPr="008900DD" w:rsidRDefault="00D01191">
            <w:pPr>
              <w:autoSpaceDE w:val="0"/>
              <w:autoSpaceDN w:val="0"/>
              <w:adjustRightInd w:val="0"/>
              <w:spacing w:after="0" w:line="240" w:lineRule="auto"/>
              <w:rPr>
                <w:rFonts w:ascii="Aptos Display" w:hAnsi="Aptos Display" w:cs="Aptos Display"/>
                <w:color w:val="FFFFFF"/>
                <w:sz w:val="20"/>
                <w:szCs w:val="20"/>
                <w14:ligatures w14:val="standardContextual"/>
              </w:rPr>
            </w:pPr>
            <w:r w:rsidRPr="008900DD">
              <w:rPr>
                <w:rFonts w:ascii="Aptos Display" w:hAnsi="Aptos Display" w:cs="Aptos Display"/>
                <w:color w:val="FFFFFF"/>
                <w:sz w:val="20"/>
                <w:szCs w:val="20"/>
                <w14:ligatures w14:val="standardContextual"/>
              </w:rPr>
              <w:t>Planifikimi hapësinor, transporti publik dhe mjedisi</w:t>
            </w:r>
          </w:p>
        </w:tc>
        <w:tc>
          <w:tcPr>
            <w:tcW w:w="1530" w:type="dxa"/>
            <w:tcBorders>
              <w:top w:val="single" w:sz="6" w:space="0" w:color="auto"/>
              <w:left w:val="single" w:sz="6" w:space="0" w:color="auto"/>
              <w:bottom w:val="single" w:sz="6" w:space="0" w:color="auto"/>
              <w:right w:val="single" w:sz="12" w:space="0" w:color="auto"/>
            </w:tcBorders>
            <w:shd w:val="clear" w:color="auto" w:fill="4C94D8" w:themeFill="text2" w:themeFillTint="80"/>
          </w:tcPr>
          <w:p w:rsidR="00D01191" w:rsidRPr="008900DD" w:rsidRDefault="00F0108A">
            <w:pPr>
              <w:autoSpaceDE w:val="0"/>
              <w:autoSpaceDN w:val="0"/>
              <w:adjustRightInd w:val="0"/>
              <w:spacing w:after="0" w:line="240" w:lineRule="auto"/>
              <w:jc w:val="center"/>
              <w:rPr>
                <w:rFonts w:ascii="Aptos Display" w:hAnsi="Aptos Display" w:cs="Aptos Display"/>
                <w:color w:val="FFFFFF"/>
                <w:sz w:val="20"/>
                <w:szCs w:val="20"/>
                <w14:ligatures w14:val="standardContextual"/>
              </w:rPr>
            </w:pPr>
            <w:r>
              <w:rPr>
                <w:rFonts w:ascii="Aptos Display" w:hAnsi="Aptos Display" w:cs="Aptos Display"/>
                <w:color w:val="FFFFFF"/>
                <w:sz w:val="20"/>
                <w:szCs w:val="20"/>
                <w14:ligatures w14:val="standardContextual"/>
              </w:rPr>
              <w:t>27.6</w:t>
            </w:r>
            <w:r w:rsidR="00D01191" w:rsidRPr="008900DD">
              <w:rPr>
                <w:rFonts w:ascii="Aptos Display" w:hAnsi="Aptos Display" w:cs="Aptos Display"/>
                <w:color w:val="FFFFFF"/>
                <w:sz w:val="20"/>
                <w:szCs w:val="20"/>
                <w14:ligatures w14:val="standardContextual"/>
              </w:rPr>
              <w:t>%</w:t>
            </w:r>
          </w:p>
        </w:tc>
      </w:tr>
      <w:tr w:rsidR="00D01191" w:rsidRPr="008900DD" w:rsidTr="00C346B0">
        <w:trPr>
          <w:trHeight w:val="282"/>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24</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Sipërfaqja e territorit të komunave të mbuluar sipas planeve zhvillimore të komunës</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F0108A">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41.2</w:t>
            </w:r>
            <w:r w:rsidR="00D01191" w:rsidRPr="008900DD">
              <w:rPr>
                <w:rFonts w:ascii="Aptos Display" w:hAnsi="Aptos Display" w:cs="Aptos Display"/>
                <w:color w:val="000000"/>
                <w:sz w:val="20"/>
                <w:szCs w:val="20"/>
                <w14:ligatures w14:val="standardContextual"/>
              </w:rPr>
              <w:t>%</w:t>
            </w:r>
          </w:p>
        </w:tc>
      </w:tr>
      <w:tr w:rsidR="00D01191" w:rsidRPr="008900DD" w:rsidTr="00C346B0">
        <w:trPr>
          <w:trHeight w:val="336"/>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25</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 xml:space="preserve">Vendbanimet e përfshira në transportin lokal publik </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F0108A">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25.4</w:t>
            </w:r>
            <w:r w:rsidR="00D01191" w:rsidRPr="008900DD">
              <w:rPr>
                <w:rFonts w:ascii="Aptos Display" w:hAnsi="Aptos Display" w:cs="Aptos Display"/>
                <w:color w:val="000000"/>
                <w:sz w:val="20"/>
                <w:szCs w:val="20"/>
                <w14:ligatures w14:val="standardContextual"/>
              </w:rPr>
              <w:t>%</w:t>
            </w:r>
          </w:p>
        </w:tc>
      </w:tr>
      <w:tr w:rsidR="00D01191" w:rsidRPr="008900DD" w:rsidTr="00C346B0">
        <w:trPr>
          <w:trHeight w:val="264"/>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26</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Realizimi i Planit Lokal të Veprimit në mjedis</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F0108A">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10.5</w:t>
            </w:r>
            <w:r w:rsidR="00D01191" w:rsidRPr="008900DD">
              <w:rPr>
                <w:rFonts w:ascii="Aptos Display" w:hAnsi="Aptos Display" w:cs="Aptos Display"/>
                <w:color w:val="000000"/>
                <w:sz w:val="20"/>
                <w:szCs w:val="20"/>
                <w14:ligatures w14:val="standardContextual"/>
              </w:rPr>
              <w:t>%</w:t>
            </w:r>
          </w:p>
        </w:tc>
      </w:tr>
      <w:tr w:rsidR="00D01191" w:rsidRPr="008900DD" w:rsidTr="0049606F">
        <w:trPr>
          <w:trHeight w:val="264"/>
        </w:trPr>
        <w:tc>
          <w:tcPr>
            <w:tcW w:w="570" w:type="dxa"/>
            <w:tcBorders>
              <w:top w:val="single" w:sz="6" w:space="0" w:color="auto"/>
              <w:left w:val="single" w:sz="12" w:space="0" w:color="auto"/>
              <w:bottom w:val="single" w:sz="6" w:space="0" w:color="auto"/>
              <w:right w:val="single" w:sz="6" w:space="0" w:color="auto"/>
            </w:tcBorders>
            <w:shd w:val="clear" w:color="auto" w:fill="4C94D8" w:themeFill="text2" w:themeFillTint="80"/>
          </w:tcPr>
          <w:p w:rsidR="00D01191" w:rsidRPr="008900DD" w:rsidRDefault="00D01191">
            <w:pPr>
              <w:autoSpaceDE w:val="0"/>
              <w:autoSpaceDN w:val="0"/>
              <w:adjustRightInd w:val="0"/>
              <w:spacing w:after="0" w:line="240" w:lineRule="auto"/>
              <w:rPr>
                <w:rFonts w:ascii="Aptos Display" w:hAnsi="Aptos Display" w:cs="Aptos Display"/>
                <w:color w:val="FFFFFF"/>
                <w:sz w:val="20"/>
                <w:szCs w:val="20"/>
                <w14:ligatures w14:val="standardContextual"/>
              </w:rPr>
            </w:pPr>
            <w:r w:rsidRPr="008900DD">
              <w:rPr>
                <w:rFonts w:ascii="Aptos Display" w:hAnsi="Aptos Display" w:cs="Aptos Display"/>
                <w:color w:val="FFFFFF"/>
                <w:sz w:val="20"/>
                <w:szCs w:val="20"/>
                <w14:ligatures w14:val="standardContextual"/>
              </w:rPr>
              <w:t>IX</w:t>
            </w:r>
          </w:p>
        </w:tc>
        <w:tc>
          <w:tcPr>
            <w:tcW w:w="7380" w:type="dxa"/>
            <w:tcBorders>
              <w:top w:val="single" w:sz="6" w:space="0" w:color="auto"/>
              <w:left w:val="single" w:sz="6" w:space="0" w:color="auto"/>
              <w:bottom w:val="single" w:sz="6" w:space="0" w:color="auto"/>
              <w:right w:val="single" w:sz="6" w:space="0" w:color="auto"/>
            </w:tcBorders>
            <w:shd w:val="clear" w:color="auto" w:fill="4C94D8" w:themeFill="text2" w:themeFillTint="80"/>
          </w:tcPr>
          <w:p w:rsidR="00D01191" w:rsidRPr="008900DD" w:rsidRDefault="00D01191">
            <w:pPr>
              <w:autoSpaceDE w:val="0"/>
              <w:autoSpaceDN w:val="0"/>
              <w:adjustRightInd w:val="0"/>
              <w:spacing w:after="0" w:line="240" w:lineRule="auto"/>
              <w:rPr>
                <w:rFonts w:ascii="Aptos Display" w:hAnsi="Aptos Display" w:cs="Aptos Display"/>
                <w:color w:val="FFFFFF"/>
                <w:sz w:val="20"/>
                <w:szCs w:val="20"/>
                <w14:ligatures w14:val="standardContextual"/>
              </w:rPr>
            </w:pPr>
            <w:r w:rsidRPr="008900DD">
              <w:rPr>
                <w:rFonts w:ascii="Aptos Display" w:hAnsi="Aptos Display" w:cs="Aptos Display"/>
                <w:color w:val="FFFFFF"/>
                <w:sz w:val="20"/>
                <w:szCs w:val="20"/>
                <w14:ligatures w14:val="standardContextual"/>
              </w:rPr>
              <w:t>Arsimi para-universitar</w:t>
            </w:r>
          </w:p>
        </w:tc>
        <w:tc>
          <w:tcPr>
            <w:tcW w:w="1530" w:type="dxa"/>
            <w:tcBorders>
              <w:top w:val="single" w:sz="6" w:space="0" w:color="auto"/>
              <w:left w:val="single" w:sz="6" w:space="0" w:color="auto"/>
              <w:bottom w:val="single" w:sz="6" w:space="0" w:color="auto"/>
              <w:right w:val="single" w:sz="12" w:space="0" w:color="auto"/>
            </w:tcBorders>
            <w:shd w:val="clear" w:color="auto" w:fill="4C94D8" w:themeFill="text2" w:themeFillTint="80"/>
          </w:tcPr>
          <w:p w:rsidR="00D01191" w:rsidRPr="008900DD" w:rsidRDefault="00F0108A">
            <w:pPr>
              <w:autoSpaceDE w:val="0"/>
              <w:autoSpaceDN w:val="0"/>
              <w:adjustRightInd w:val="0"/>
              <w:spacing w:after="0" w:line="240" w:lineRule="auto"/>
              <w:jc w:val="center"/>
              <w:rPr>
                <w:rFonts w:ascii="Aptos Display" w:hAnsi="Aptos Display" w:cs="Aptos Display"/>
                <w:color w:val="FFFFFF"/>
                <w:sz w:val="20"/>
                <w:szCs w:val="20"/>
                <w14:ligatures w14:val="standardContextual"/>
              </w:rPr>
            </w:pPr>
            <w:r>
              <w:rPr>
                <w:rFonts w:ascii="Aptos Display" w:hAnsi="Aptos Display" w:cs="Aptos Display"/>
                <w:color w:val="FFFFFF"/>
                <w:sz w:val="20"/>
                <w:szCs w:val="20"/>
                <w14:ligatures w14:val="standardContextual"/>
              </w:rPr>
              <w:t>16.4</w:t>
            </w:r>
            <w:r w:rsidR="00D01191" w:rsidRPr="008900DD">
              <w:rPr>
                <w:rFonts w:ascii="Aptos Display" w:hAnsi="Aptos Display" w:cs="Aptos Display"/>
                <w:color w:val="FFFFFF"/>
                <w:sz w:val="20"/>
                <w:szCs w:val="20"/>
                <w14:ligatures w14:val="standardContextual"/>
              </w:rPr>
              <w:t>%</w:t>
            </w:r>
          </w:p>
        </w:tc>
      </w:tr>
      <w:tr w:rsidR="00D01191" w:rsidRPr="008900DD" w:rsidTr="00C346B0">
        <w:trPr>
          <w:trHeight w:val="534"/>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27</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 xml:space="preserve">Plotësimi i kushteve të kërkuara me infrastrukturë, pajisje dhe mjete në institucionet e arsimit parauniversitar  </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F0108A">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13.2</w:t>
            </w:r>
            <w:r w:rsidR="00D01191" w:rsidRPr="008900DD">
              <w:rPr>
                <w:rFonts w:ascii="Aptos Display" w:hAnsi="Aptos Display" w:cs="Aptos Display"/>
                <w:color w:val="000000"/>
                <w:sz w:val="20"/>
                <w:szCs w:val="20"/>
                <w14:ligatures w14:val="standardContextual"/>
              </w:rPr>
              <w:t>%</w:t>
            </w:r>
          </w:p>
        </w:tc>
      </w:tr>
      <w:tr w:rsidR="00D01191" w:rsidRPr="008900DD" w:rsidTr="00C346B0">
        <w:trPr>
          <w:trHeight w:val="305"/>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28</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Niveli i pajtueshmërisë me raportin e synuar nxënës për mësimdhënës</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F0108A">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19.7</w:t>
            </w:r>
            <w:r w:rsidR="00D01191" w:rsidRPr="008900DD">
              <w:rPr>
                <w:rFonts w:ascii="Aptos Display" w:hAnsi="Aptos Display" w:cs="Aptos Display"/>
                <w:color w:val="000000"/>
                <w:sz w:val="20"/>
                <w:szCs w:val="20"/>
                <w14:ligatures w14:val="standardContextual"/>
              </w:rPr>
              <w:t>%</w:t>
            </w:r>
          </w:p>
        </w:tc>
      </w:tr>
      <w:tr w:rsidR="00D01191" w:rsidRPr="008900DD" w:rsidTr="0049606F">
        <w:trPr>
          <w:trHeight w:val="210"/>
        </w:trPr>
        <w:tc>
          <w:tcPr>
            <w:tcW w:w="570" w:type="dxa"/>
            <w:tcBorders>
              <w:top w:val="single" w:sz="6" w:space="0" w:color="auto"/>
              <w:left w:val="single" w:sz="12" w:space="0" w:color="auto"/>
              <w:bottom w:val="single" w:sz="6" w:space="0" w:color="auto"/>
              <w:right w:val="single" w:sz="6" w:space="0" w:color="auto"/>
            </w:tcBorders>
            <w:shd w:val="clear" w:color="auto" w:fill="4C94D8" w:themeFill="text2" w:themeFillTint="80"/>
          </w:tcPr>
          <w:p w:rsidR="00D01191" w:rsidRPr="008900DD" w:rsidRDefault="00D01191">
            <w:pPr>
              <w:autoSpaceDE w:val="0"/>
              <w:autoSpaceDN w:val="0"/>
              <w:adjustRightInd w:val="0"/>
              <w:spacing w:after="0" w:line="240" w:lineRule="auto"/>
              <w:rPr>
                <w:rFonts w:ascii="Aptos Display" w:hAnsi="Aptos Display" w:cs="Aptos Display"/>
                <w:color w:val="FFFFFF"/>
                <w:sz w:val="20"/>
                <w:szCs w:val="20"/>
                <w14:ligatures w14:val="standardContextual"/>
              </w:rPr>
            </w:pPr>
            <w:r w:rsidRPr="008900DD">
              <w:rPr>
                <w:rFonts w:ascii="Aptos Display" w:hAnsi="Aptos Display" w:cs="Aptos Display"/>
                <w:color w:val="FFFFFF"/>
                <w:sz w:val="20"/>
                <w:szCs w:val="20"/>
                <w14:ligatures w14:val="standardContextual"/>
              </w:rPr>
              <w:t>X</w:t>
            </w:r>
          </w:p>
        </w:tc>
        <w:tc>
          <w:tcPr>
            <w:tcW w:w="7380" w:type="dxa"/>
            <w:tcBorders>
              <w:top w:val="single" w:sz="6" w:space="0" w:color="auto"/>
              <w:left w:val="single" w:sz="6" w:space="0" w:color="auto"/>
              <w:bottom w:val="single" w:sz="6" w:space="0" w:color="auto"/>
              <w:right w:val="single" w:sz="6" w:space="0" w:color="auto"/>
            </w:tcBorders>
            <w:shd w:val="clear" w:color="auto" w:fill="4C94D8" w:themeFill="text2" w:themeFillTint="80"/>
          </w:tcPr>
          <w:p w:rsidR="00D01191" w:rsidRPr="008900DD" w:rsidRDefault="00D01191">
            <w:pPr>
              <w:autoSpaceDE w:val="0"/>
              <w:autoSpaceDN w:val="0"/>
              <w:adjustRightInd w:val="0"/>
              <w:spacing w:after="0" w:line="240" w:lineRule="auto"/>
              <w:rPr>
                <w:rFonts w:ascii="Aptos Display" w:hAnsi="Aptos Display" w:cs="Aptos Display"/>
                <w:color w:val="FFFFFF"/>
                <w:sz w:val="20"/>
                <w:szCs w:val="20"/>
                <w14:ligatures w14:val="standardContextual"/>
              </w:rPr>
            </w:pPr>
            <w:r w:rsidRPr="008900DD">
              <w:rPr>
                <w:rFonts w:ascii="Aptos Display" w:hAnsi="Aptos Display" w:cs="Aptos Display"/>
                <w:color w:val="FFFFFF"/>
                <w:sz w:val="20"/>
                <w:szCs w:val="20"/>
                <w14:ligatures w14:val="standardContextual"/>
              </w:rPr>
              <w:t>Kujdesi shëndetësor primar</w:t>
            </w:r>
          </w:p>
        </w:tc>
        <w:tc>
          <w:tcPr>
            <w:tcW w:w="1530" w:type="dxa"/>
            <w:tcBorders>
              <w:top w:val="single" w:sz="6" w:space="0" w:color="auto"/>
              <w:left w:val="single" w:sz="6" w:space="0" w:color="auto"/>
              <w:bottom w:val="single" w:sz="6" w:space="0" w:color="auto"/>
              <w:right w:val="single" w:sz="12" w:space="0" w:color="auto"/>
            </w:tcBorders>
            <w:shd w:val="clear" w:color="auto" w:fill="4C94D8" w:themeFill="text2" w:themeFillTint="80"/>
          </w:tcPr>
          <w:p w:rsidR="00D01191" w:rsidRPr="008900DD" w:rsidRDefault="00F0108A">
            <w:pPr>
              <w:autoSpaceDE w:val="0"/>
              <w:autoSpaceDN w:val="0"/>
              <w:adjustRightInd w:val="0"/>
              <w:spacing w:after="0" w:line="240" w:lineRule="auto"/>
              <w:jc w:val="center"/>
              <w:rPr>
                <w:rFonts w:ascii="Aptos Display" w:hAnsi="Aptos Display" w:cs="Aptos Display"/>
                <w:color w:val="FFFFFF"/>
                <w:sz w:val="20"/>
                <w:szCs w:val="20"/>
                <w14:ligatures w14:val="standardContextual"/>
              </w:rPr>
            </w:pPr>
            <w:r>
              <w:rPr>
                <w:rFonts w:ascii="Aptos Display" w:hAnsi="Aptos Display" w:cs="Aptos Display"/>
                <w:color w:val="FFFFFF"/>
                <w:sz w:val="20"/>
                <w:szCs w:val="20"/>
                <w14:ligatures w14:val="standardContextual"/>
              </w:rPr>
              <w:t>40.8</w:t>
            </w:r>
            <w:r w:rsidR="00D01191" w:rsidRPr="008900DD">
              <w:rPr>
                <w:rFonts w:ascii="Aptos Display" w:hAnsi="Aptos Display" w:cs="Aptos Display"/>
                <w:color w:val="FFFFFF"/>
                <w:sz w:val="20"/>
                <w:szCs w:val="20"/>
                <w14:ligatures w14:val="standardContextual"/>
              </w:rPr>
              <w:t>%</w:t>
            </w:r>
          </w:p>
        </w:tc>
      </w:tr>
      <w:tr w:rsidR="00D01191" w:rsidRPr="008900DD" w:rsidTr="00C346B0">
        <w:trPr>
          <w:trHeight w:val="390"/>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29</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Njësitë e shëndetësisë primare me pajisje dhe shërbime laboratorike sipas</w:t>
            </w:r>
            <w:r w:rsidR="00E666C1" w:rsidRPr="008900DD">
              <w:rPr>
                <w:rFonts w:ascii="Aptos Display" w:hAnsi="Aptos Display" w:cs="Aptos Display"/>
                <w:color w:val="000000"/>
                <w:sz w:val="20"/>
                <w:szCs w:val="20"/>
                <w14:ligatures w14:val="standardContextual"/>
              </w:rPr>
              <w:t xml:space="preserve"> </w:t>
            </w:r>
            <w:r w:rsidRPr="008900DD">
              <w:rPr>
                <w:rFonts w:ascii="Aptos Display" w:hAnsi="Aptos Display" w:cs="Aptos Display"/>
                <w:color w:val="000000"/>
                <w:sz w:val="20"/>
                <w:szCs w:val="20"/>
                <w14:ligatures w14:val="standardContextual"/>
              </w:rPr>
              <w:t>udhëzimit administrativ</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F0108A">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56.6</w:t>
            </w:r>
            <w:r w:rsidR="00D01191" w:rsidRPr="008900DD">
              <w:rPr>
                <w:rFonts w:ascii="Aptos Display" w:hAnsi="Aptos Display" w:cs="Aptos Display"/>
                <w:color w:val="000000"/>
                <w:sz w:val="20"/>
                <w:szCs w:val="20"/>
                <w14:ligatures w14:val="standardContextual"/>
              </w:rPr>
              <w:t>%</w:t>
            </w:r>
          </w:p>
        </w:tc>
      </w:tr>
      <w:tr w:rsidR="00D01191" w:rsidRPr="008900DD" w:rsidTr="00C346B0">
        <w:trPr>
          <w:trHeight w:val="246"/>
        </w:trPr>
        <w:tc>
          <w:tcPr>
            <w:tcW w:w="570" w:type="dxa"/>
            <w:tcBorders>
              <w:top w:val="single" w:sz="6" w:space="0" w:color="auto"/>
              <w:left w:val="single" w:sz="12"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30</w:t>
            </w:r>
          </w:p>
        </w:tc>
        <w:tc>
          <w:tcPr>
            <w:tcW w:w="7380" w:type="dxa"/>
            <w:tcBorders>
              <w:top w:val="single" w:sz="6" w:space="0" w:color="auto"/>
              <w:left w:val="single" w:sz="6" w:space="0" w:color="auto"/>
              <w:bottom w:val="single" w:sz="6" w:space="0" w:color="auto"/>
              <w:right w:val="single" w:sz="6" w:space="0" w:color="auto"/>
            </w:tcBorders>
            <w:shd w:val="clear" w:color="auto" w:fill="DAE9F7" w:themeFill="text2" w:themeFillTint="1A"/>
          </w:tcPr>
          <w:p w:rsidR="00D01191" w:rsidRPr="008900DD" w:rsidRDefault="00D01191">
            <w:pPr>
              <w:autoSpaceDE w:val="0"/>
              <w:autoSpaceDN w:val="0"/>
              <w:adjustRightInd w:val="0"/>
              <w:spacing w:after="0" w:line="240" w:lineRule="auto"/>
              <w:rPr>
                <w:rFonts w:ascii="Aptos Display" w:hAnsi="Aptos Display" w:cs="Aptos Display"/>
                <w:color w:val="000000"/>
                <w:sz w:val="20"/>
                <w:szCs w:val="20"/>
                <w14:ligatures w14:val="standardContextual"/>
              </w:rPr>
            </w:pPr>
            <w:r w:rsidRPr="008900DD">
              <w:rPr>
                <w:rFonts w:ascii="Aptos Display" w:hAnsi="Aptos Display" w:cs="Aptos Display"/>
                <w:color w:val="000000"/>
                <w:sz w:val="20"/>
                <w:szCs w:val="20"/>
                <w14:ligatures w14:val="standardContextual"/>
              </w:rPr>
              <w:t xml:space="preserve">Niveli i pajtueshmërisë me ekipet e mjekësisë familjare dhe shëndetit oral </w:t>
            </w:r>
          </w:p>
        </w:tc>
        <w:tc>
          <w:tcPr>
            <w:tcW w:w="1530" w:type="dxa"/>
            <w:tcBorders>
              <w:top w:val="single" w:sz="6" w:space="0" w:color="auto"/>
              <w:left w:val="single" w:sz="6" w:space="0" w:color="auto"/>
              <w:bottom w:val="single" w:sz="6" w:space="0" w:color="auto"/>
              <w:right w:val="single" w:sz="12" w:space="0" w:color="auto"/>
            </w:tcBorders>
            <w:shd w:val="clear" w:color="auto" w:fill="DAE9F7" w:themeFill="text2" w:themeFillTint="1A"/>
          </w:tcPr>
          <w:p w:rsidR="00D01191" w:rsidRPr="008900DD" w:rsidRDefault="00F0108A">
            <w:pPr>
              <w:autoSpaceDE w:val="0"/>
              <w:autoSpaceDN w:val="0"/>
              <w:adjustRightInd w:val="0"/>
              <w:spacing w:after="0" w:line="240" w:lineRule="auto"/>
              <w:jc w:val="center"/>
              <w:rPr>
                <w:rFonts w:ascii="Aptos Display" w:hAnsi="Aptos Display" w:cs="Aptos Display"/>
                <w:color w:val="000000"/>
                <w:sz w:val="20"/>
                <w:szCs w:val="20"/>
                <w14:ligatures w14:val="standardContextual"/>
              </w:rPr>
            </w:pPr>
            <w:r>
              <w:rPr>
                <w:rFonts w:ascii="Aptos Display" w:hAnsi="Aptos Display" w:cs="Aptos Display"/>
                <w:color w:val="000000"/>
                <w:sz w:val="20"/>
                <w:szCs w:val="20"/>
                <w14:ligatures w14:val="standardContextual"/>
              </w:rPr>
              <w:t>25.0</w:t>
            </w:r>
            <w:r w:rsidR="00D01191" w:rsidRPr="008900DD">
              <w:rPr>
                <w:rFonts w:ascii="Aptos Display" w:hAnsi="Aptos Display" w:cs="Aptos Display"/>
                <w:color w:val="000000"/>
                <w:sz w:val="20"/>
                <w:szCs w:val="20"/>
                <w14:ligatures w14:val="standardContextual"/>
              </w:rPr>
              <w:t>%</w:t>
            </w:r>
          </w:p>
        </w:tc>
      </w:tr>
      <w:tr w:rsidR="00D01191" w:rsidRPr="008900DD" w:rsidTr="0049606F">
        <w:trPr>
          <w:trHeight w:val="255"/>
        </w:trPr>
        <w:tc>
          <w:tcPr>
            <w:tcW w:w="7950" w:type="dxa"/>
            <w:gridSpan w:val="2"/>
            <w:tcBorders>
              <w:top w:val="single" w:sz="6" w:space="0" w:color="auto"/>
              <w:left w:val="single" w:sz="12" w:space="0" w:color="auto"/>
              <w:bottom w:val="single" w:sz="12" w:space="0" w:color="auto"/>
              <w:right w:val="single" w:sz="6" w:space="0" w:color="auto"/>
            </w:tcBorders>
            <w:shd w:val="solid" w:color="333399" w:fill="auto"/>
          </w:tcPr>
          <w:p w:rsidR="00D01191" w:rsidRPr="008900DD" w:rsidRDefault="00D01191">
            <w:pPr>
              <w:autoSpaceDE w:val="0"/>
              <w:autoSpaceDN w:val="0"/>
              <w:adjustRightInd w:val="0"/>
              <w:spacing w:after="0" w:line="240" w:lineRule="auto"/>
              <w:rPr>
                <w:rFonts w:ascii="Aptos Display" w:hAnsi="Aptos Display" w:cs="Aptos Display"/>
                <w:b/>
                <w:bCs/>
                <w:color w:val="FFFFFF"/>
                <w:sz w:val="20"/>
                <w:szCs w:val="20"/>
                <w14:ligatures w14:val="standardContextual"/>
              </w:rPr>
            </w:pPr>
            <w:r w:rsidRPr="008900DD">
              <w:rPr>
                <w:rFonts w:ascii="Aptos Display" w:hAnsi="Aptos Display" w:cs="Aptos Display"/>
                <w:b/>
                <w:bCs/>
                <w:color w:val="FFFFFF"/>
                <w:sz w:val="20"/>
                <w:szCs w:val="20"/>
                <w14:ligatures w14:val="standardContextual"/>
              </w:rPr>
              <w:t>Performanca e përgjithshme mesatare</w:t>
            </w:r>
          </w:p>
        </w:tc>
        <w:tc>
          <w:tcPr>
            <w:tcW w:w="1530" w:type="dxa"/>
            <w:tcBorders>
              <w:top w:val="single" w:sz="6" w:space="0" w:color="auto"/>
              <w:left w:val="single" w:sz="6" w:space="0" w:color="auto"/>
              <w:bottom w:val="single" w:sz="12" w:space="0" w:color="auto"/>
              <w:right w:val="single" w:sz="12" w:space="0" w:color="auto"/>
            </w:tcBorders>
            <w:shd w:val="solid" w:color="333399" w:fill="auto"/>
          </w:tcPr>
          <w:p w:rsidR="00D01191" w:rsidRPr="008900DD" w:rsidRDefault="00F0108A">
            <w:pPr>
              <w:autoSpaceDE w:val="0"/>
              <w:autoSpaceDN w:val="0"/>
              <w:adjustRightInd w:val="0"/>
              <w:spacing w:after="0" w:line="240" w:lineRule="auto"/>
              <w:jc w:val="center"/>
              <w:rPr>
                <w:rFonts w:ascii="Aptos Display" w:hAnsi="Aptos Display" w:cs="Aptos Display"/>
                <w:b/>
                <w:bCs/>
                <w:color w:val="FFFFFF"/>
                <w:sz w:val="20"/>
                <w:szCs w:val="20"/>
                <w14:ligatures w14:val="standardContextual"/>
              </w:rPr>
            </w:pPr>
            <w:r>
              <w:rPr>
                <w:rFonts w:ascii="Aptos Display" w:hAnsi="Aptos Display" w:cs="Aptos Display"/>
                <w:b/>
                <w:bCs/>
                <w:color w:val="FFFFFF"/>
                <w:sz w:val="20"/>
                <w:szCs w:val="20"/>
                <w14:ligatures w14:val="standardContextual"/>
              </w:rPr>
              <w:t>41.8</w:t>
            </w:r>
            <w:r w:rsidR="00D01191" w:rsidRPr="008900DD">
              <w:rPr>
                <w:rFonts w:ascii="Aptos Display" w:hAnsi="Aptos Display" w:cs="Aptos Display"/>
                <w:b/>
                <w:bCs/>
                <w:color w:val="FFFFFF"/>
                <w:sz w:val="20"/>
                <w:szCs w:val="20"/>
                <w14:ligatures w14:val="standardContextual"/>
              </w:rPr>
              <w:t>%</w:t>
            </w:r>
          </w:p>
        </w:tc>
      </w:tr>
    </w:tbl>
    <w:p w:rsidR="0098286F" w:rsidRPr="00692CDB" w:rsidRDefault="0098286F" w:rsidP="008B0AA6">
      <w:pPr>
        <w:spacing w:before="60" w:after="0" w:line="264" w:lineRule="auto"/>
        <w:contextualSpacing/>
        <w:jc w:val="both"/>
        <w:rPr>
          <w:kern w:val="2"/>
          <w:sz w:val="21"/>
          <w:szCs w:val="21"/>
          <w14:ligatures w14:val="standardContextual"/>
        </w:rPr>
      </w:pPr>
    </w:p>
    <w:p w:rsidR="00C549A3" w:rsidRDefault="007D68F1" w:rsidP="00475287">
      <w:pPr>
        <w:keepNext/>
        <w:tabs>
          <w:tab w:val="left" w:pos="540"/>
          <w:tab w:val="left" w:pos="5412"/>
        </w:tabs>
        <w:spacing w:after="0" w:line="240" w:lineRule="auto"/>
        <w:outlineLvl w:val="0"/>
        <w:rPr>
          <w:rFonts w:asciiTheme="majorHAnsi" w:eastAsiaTheme="majorEastAsia" w:hAnsiTheme="majorHAnsi" w:cstheme="majorHAnsi"/>
          <w:b/>
          <w:color w:val="CC9900"/>
          <w:sz w:val="28"/>
          <w:szCs w:val="28"/>
        </w:rPr>
      </w:pPr>
      <w:bookmarkStart w:id="31" w:name="_Toc115186047"/>
      <w:bookmarkStart w:id="32" w:name="_Toc178434862"/>
      <w:r>
        <w:rPr>
          <w:rFonts w:asciiTheme="majorHAnsi" w:eastAsiaTheme="majorEastAsia" w:hAnsiTheme="majorHAnsi" w:cstheme="majorHAnsi"/>
          <w:b/>
          <w:color w:val="CC9900"/>
          <w:sz w:val="28"/>
          <w:szCs w:val="28"/>
        </w:rPr>
        <w:t xml:space="preserve">2.2.3 </w:t>
      </w:r>
      <w:r w:rsidR="00ED1B03" w:rsidRPr="007D68F1">
        <w:rPr>
          <w:rFonts w:asciiTheme="majorHAnsi" w:eastAsiaTheme="majorEastAsia" w:hAnsiTheme="majorHAnsi" w:cstheme="majorHAnsi"/>
          <w:b/>
          <w:color w:val="CC9900"/>
          <w:sz w:val="28"/>
          <w:szCs w:val="28"/>
        </w:rPr>
        <w:t>Granti i performancës komunale për vitin 202</w:t>
      </w:r>
      <w:r w:rsidR="00272DBB">
        <w:rPr>
          <w:rFonts w:asciiTheme="majorHAnsi" w:eastAsiaTheme="majorEastAsia" w:hAnsiTheme="majorHAnsi" w:cstheme="majorHAnsi"/>
          <w:b/>
          <w:color w:val="CC9900"/>
          <w:sz w:val="28"/>
          <w:szCs w:val="28"/>
        </w:rPr>
        <w:t>6</w:t>
      </w:r>
      <w:r w:rsidR="00ED1B03" w:rsidRPr="007D68F1">
        <w:rPr>
          <w:rFonts w:asciiTheme="majorHAnsi" w:eastAsiaTheme="majorEastAsia" w:hAnsiTheme="majorHAnsi" w:cstheme="majorHAnsi"/>
          <w:b/>
          <w:color w:val="CC9900"/>
          <w:sz w:val="28"/>
          <w:szCs w:val="28"/>
        </w:rPr>
        <w:t xml:space="preserve"> – shumat e grantit</w:t>
      </w:r>
      <w:bookmarkEnd w:id="31"/>
      <w:bookmarkEnd w:id="32"/>
    </w:p>
    <w:p w:rsidR="00475287" w:rsidRPr="00475287" w:rsidRDefault="00475287" w:rsidP="00475287">
      <w:pPr>
        <w:keepNext/>
        <w:tabs>
          <w:tab w:val="left" w:pos="540"/>
          <w:tab w:val="left" w:pos="5412"/>
        </w:tabs>
        <w:spacing w:after="0" w:line="240" w:lineRule="auto"/>
        <w:outlineLvl w:val="0"/>
        <w:rPr>
          <w:rFonts w:asciiTheme="majorHAnsi" w:eastAsiaTheme="majorEastAsia" w:hAnsiTheme="majorHAnsi" w:cstheme="majorHAnsi"/>
          <w:b/>
          <w:color w:val="CC9900"/>
          <w:sz w:val="28"/>
          <w:szCs w:val="28"/>
        </w:rPr>
      </w:pPr>
    </w:p>
    <w:p w:rsidR="00475287" w:rsidRDefault="00475287" w:rsidP="00A17BF1">
      <w:pPr>
        <w:spacing w:before="60" w:after="0" w:line="264" w:lineRule="auto"/>
        <w:contextualSpacing/>
        <w:jc w:val="both"/>
        <w:rPr>
          <w:kern w:val="2"/>
          <w14:ligatures w14:val="standardContextual"/>
        </w:rPr>
      </w:pPr>
      <w:r w:rsidRPr="002A0692">
        <w:rPr>
          <w:kern w:val="2"/>
          <w14:ligatures w14:val="standardContextual"/>
        </w:rPr>
        <w:t>Në bazë të rezultateve të kushteve minimale dhe të treguesve të performancës, është plotësuar tabela e alokimit të grantit. Shuma e alokimit të grantit të performancës komunale përcaktohet nga (i) performanca relative e secilës komunë për vitin 202</w:t>
      </w:r>
      <w:r w:rsidR="00272DBB">
        <w:rPr>
          <w:kern w:val="2"/>
          <w14:ligatures w14:val="standardContextual"/>
        </w:rPr>
        <w:t>4</w:t>
      </w:r>
      <w:r w:rsidRPr="002A0692">
        <w:rPr>
          <w:kern w:val="2"/>
          <w14:ligatures w14:val="standardContextual"/>
        </w:rPr>
        <w:t xml:space="preserve"> e matur sipas treguesve të përcaktuar të performancës dhe (ii) pesha e grantit të performancës komunale në grantin e përgjithshëm të alokuar për vitin 202</w:t>
      </w:r>
      <w:r w:rsidR="00272DBB">
        <w:rPr>
          <w:kern w:val="2"/>
          <w14:ligatures w14:val="standardContextual"/>
        </w:rPr>
        <w:t>6</w:t>
      </w:r>
      <w:r w:rsidR="00AD0CCB" w:rsidRPr="002A0692">
        <w:rPr>
          <w:kern w:val="2"/>
          <w14:ligatures w14:val="standardContextual"/>
        </w:rPr>
        <w:t>.</w:t>
      </w:r>
    </w:p>
    <w:p w:rsidR="006672F8" w:rsidRDefault="006672F8" w:rsidP="00A17BF1">
      <w:pPr>
        <w:spacing w:before="60" w:after="0" w:line="264" w:lineRule="auto"/>
        <w:contextualSpacing/>
        <w:jc w:val="both"/>
        <w:rPr>
          <w:kern w:val="2"/>
          <w14:ligatures w14:val="standardContextual"/>
        </w:rPr>
      </w:pPr>
    </w:p>
    <w:p w:rsidR="006672F8" w:rsidRDefault="006672F8" w:rsidP="00A17BF1">
      <w:pPr>
        <w:spacing w:before="60" w:after="0" w:line="264" w:lineRule="auto"/>
        <w:contextualSpacing/>
        <w:jc w:val="both"/>
        <w:rPr>
          <w:kern w:val="2"/>
          <w14:ligatures w14:val="standardContextual"/>
        </w:rPr>
      </w:pPr>
    </w:p>
    <w:p w:rsidR="006672F8" w:rsidRDefault="006672F8" w:rsidP="00A17BF1">
      <w:pPr>
        <w:spacing w:before="60" w:after="0" w:line="264" w:lineRule="auto"/>
        <w:contextualSpacing/>
        <w:jc w:val="both"/>
        <w:rPr>
          <w:kern w:val="2"/>
          <w14:ligatures w14:val="standardContextual"/>
        </w:rPr>
      </w:pPr>
    </w:p>
    <w:p w:rsidR="006672F8" w:rsidRDefault="006672F8" w:rsidP="00A17BF1">
      <w:pPr>
        <w:spacing w:before="60" w:after="0" w:line="264" w:lineRule="auto"/>
        <w:contextualSpacing/>
        <w:jc w:val="both"/>
        <w:rPr>
          <w:kern w:val="2"/>
          <w14:ligatures w14:val="standardContextual"/>
        </w:rPr>
      </w:pPr>
    </w:p>
    <w:p w:rsidR="006672F8" w:rsidRDefault="006672F8" w:rsidP="00A17BF1">
      <w:pPr>
        <w:spacing w:before="60" w:after="0" w:line="264" w:lineRule="auto"/>
        <w:contextualSpacing/>
        <w:jc w:val="both"/>
        <w:rPr>
          <w:kern w:val="2"/>
          <w14:ligatures w14:val="standardContextual"/>
        </w:rPr>
      </w:pPr>
    </w:p>
    <w:p w:rsidR="006672F8" w:rsidRDefault="006672F8" w:rsidP="00A17BF1">
      <w:pPr>
        <w:spacing w:before="60" w:after="0" w:line="264" w:lineRule="auto"/>
        <w:contextualSpacing/>
        <w:jc w:val="both"/>
        <w:rPr>
          <w:kern w:val="2"/>
          <w14:ligatures w14:val="standardContextual"/>
        </w:rPr>
      </w:pPr>
    </w:p>
    <w:p w:rsidR="006672F8" w:rsidRDefault="006672F8" w:rsidP="00A17BF1">
      <w:pPr>
        <w:spacing w:before="60" w:after="0" w:line="264" w:lineRule="auto"/>
        <w:contextualSpacing/>
        <w:jc w:val="both"/>
        <w:rPr>
          <w:kern w:val="2"/>
          <w14:ligatures w14:val="standardContextual"/>
        </w:rPr>
      </w:pPr>
    </w:p>
    <w:p w:rsidR="006672F8" w:rsidRDefault="006672F8" w:rsidP="00A17BF1">
      <w:pPr>
        <w:spacing w:before="60" w:after="0" w:line="264" w:lineRule="auto"/>
        <w:contextualSpacing/>
        <w:jc w:val="both"/>
        <w:rPr>
          <w:kern w:val="2"/>
          <w14:ligatures w14:val="standardContextual"/>
        </w:rPr>
      </w:pPr>
    </w:p>
    <w:p w:rsidR="006672F8" w:rsidRDefault="006672F8" w:rsidP="00A17BF1">
      <w:pPr>
        <w:spacing w:before="60" w:after="0" w:line="264" w:lineRule="auto"/>
        <w:contextualSpacing/>
        <w:jc w:val="both"/>
        <w:rPr>
          <w:kern w:val="2"/>
          <w14:ligatures w14:val="standardContextual"/>
        </w:rPr>
      </w:pPr>
    </w:p>
    <w:p w:rsidR="006672F8" w:rsidRDefault="006672F8" w:rsidP="00A17BF1">
      <w:pPr>
        <w:spacing w:before="60" w:after="0" w:line="264" w:lineRule="auto"/>
        <w:contextualSpacing/>
        <w:jc w:val="both"/>
        <w:rPr>
          <w:kern w:val="2"/>
          <w14:ligatures w14:val="standardContextual"/>
        </w:rPr>
      </w:pPr>
    </w:p>
    <w:p w:rsidR="006672F8" w:rsidRPr="002A0692" w:rsidRDefault="006672F8" w:rsidP="00A17BF1">
      <w:pPr>
        <w:spacing w:before="60" w:after="0" w:line="264" w:lineRule="auto"/>
        <w:contextualSpacing/>
        <w:jc w:val="both"/>
        <w:rPr>
          <w:kern w:val="2"/>
          <w14:ligatures w14:val="standardContextual"/>
        </w:rPr>
      </w:pPr>
    </w:p>
    <w:p w:rsidR="00475287" w:rsidRPr="00497B0C" w:rsidRDefault="00475287" w:rsidP="00A17BF1">
      <w:pPr>
        <w:spacing w:before="60" w:after="0" w:line="264" w:lineRule="auto"/>
        <w:contextualSpacing/>
        <w:jc w:val="both"/>
        <w:rPr>
          <w:rFonts w:asciiTheme="majorHAnsi" w:hAnsiTheme="majorHAnsi" w:cs="Times New Roman"/>
          <w:b/>
          <w:iCs/>
          <w:sz w:val="18"/>
          <w:szCs w:val="18"/>
          <w:highlight w:val="lightGray"/>
        </w:rPr>
      </w:pPr>
    </w:p>
    <w:p w:rsidR="00785816" w:rsidRPr="00497B0C" w:rsidRDefault="00497B0C" w:rsidP="00785816">
      <w:pPr>
        <w:spacing w:after="0" w:line="240" w:lineRule="auto"/>
        <w:rPr>
          <w:rFonts w:asciiTheme="majorHAnsi" w:hAnsiTheme="majorHAnsi" w:cs="Times New Roman"/>
          <w:b/>
          <w:iCs/>
          <w:sz w:val="18"/>
          <w:szCs w:val="18"/>
          <w:highlight w:val="lightGray"/>
        </w:rPr>
      </w:pPr>
      <w:r w:rsidRPr="00497B0C">
        <w:rPr>
          <w:rFonts w:asciiTheme="majorHAnsi" w:hAnsiTheme="majorHAnsi" w:cs="Times New Roman"/>
          <w:b/>
          <w:iCs/>
          <w:sz w:val="18"/>
          <w:szCs w:val="18"/>
          <w:highlight w:val="lightGray"/>
        </w:rPr>
        <w:t>Tabela</w:t>
      </w:r>
      <w:r w:rsidR="00453701">
        <w:rPr>
          <w:rFonts w:asciiTheme="majorHAnsi" w:hAnsiTheme="majorHAnsi" w:cs="Times New Roman"/>
          <w:b/>
          <w:iCs/>
          <w:sz w:val="18"/>
          <w:szCs w:val="18"/>
          <w:highlight w:val="lightGray"/>
        </w:rPr>
        <w:t xml:space="preserve"> </w:t>
      </w:r>
      <w:r w:rsidR="00F02869">
        <w:rPr>
          <w:rFonts w:asciiTheme="majorHAnsi" w:hAnsiTheme="majorHAnsi" w:cs="Times New Roman"/>
          <w:b/>
          <w:iCs/>
          <w:sz w:val="18"/>
          <w:szCs w:val="18"/>
          <w:highlight w:val="lightGray"/>
        </w:rPr>
        <w:t>11</w:t>
      </w:r>
      <w:r w:rsidR="00BF6C3F">
        <w:rPr>
          <w:rFonts w:asciiTheme="majorHAnsi" w:hAnsiTheme="majorHAnsi" w:cs="Times New Roman"/>
          <w:b/>
          <w:iCs/>
          <w:sz w:val="18"/>
          <w:szCs w:val="18"/>
          <w:highlight w:val="lightGray"/>
        </w:rPr>
        <w:t>-A</w:t>
      </w:r>
      <w:r w:rsidR="00785816" w:rsidRPr="00785816">
        <w:rPr>
          <w:rFonts w:asciiTheme="majorHAnsi" w:hAnsiTheme="majorHAnsi" w:cs="Times New Roman"/>
          <w:b/>
          <w:iCs/>
          <w:sz w:val="18"/>
          <w:szCs w:val="18"/>
          <w:highlight w:val="lightGray"/>
        </w:rPr>
        <w:t>lokimi i GPK 202</w:t>
      </w:r>
      <w:r w:rsidR="00272DBB">
        <w:rPr>
          <w:rFonts w:asciiTheme="majorHAnsi" w:hAnsiTheme="majorHAnsi" w:cs="Times New Roman"/>
          <w:b/>
          <w:iCs/>
          <w:sz w:val="18"/>
          <w:szCs w:val="18"/>
          <w:highlight w:val="lightGray"/>
        </w:rPr>
        <w:t xml:space="preserve">6 </w:t>
      </w:r>
      <w:r w:rsidR="00785816" w:rsidRPr="00785816">
        <w:rPr>
          <w:rFonts w:asciiTheme="majorHAnsi" w:hAnsiTheme="majorHAnsi" w:cs="Times New Roman"/>
          <w:b/>
          <w:iCs/>
          <w:sz w:val="18"/>
          <w:szCs w:val="18"/>
          <w:highlight w:val="lightGray"/>
        </w:rPr>
        <w:t>për komunat përfituese</w:t>
      </w:r>
    </w:p>
    <w:p w:rsidR="006E745E" w:rsidRDefault="006E745E" w:rsidP="00785816">
      <w:pPr>
        <w:spacing w:after="0" w:line="240" w:lineRule="auto"/>
        <w:rPr>
          <w:rFonts w:ascii="Univers Light" w:eastAsia="Aptos" w:hAnsi="Univers Light" w:cs="Aptos"/>
          <w:sz w:val="20"/>
          <w:szCs w:val="20"/>
          <w:lang w:eastAsia="sq-AL"/>
        </w:rPr>
      </w:pPr>
    </w:p>
    <w:p w:rsidR="006E745E" w:rsidRDefault="001508CE" w:rsidP="00785816">
      <w:pPr>
        <w:spacing w:after="0" w:line="240" w:lineRule="auto"/>
        <w:rPr>
          <w:rFonts w:ascii="Univers Light" w:eastAsia="Aptos" w:hAnsi="Univers Light" w:cs="Aptos"/>
          <w:sz w:val="20"/>
          <w:szCs w:val="20"/>
          <w:lang w:eastAsia="sq-AL"/>
        </w:rPr>
      </w:pPr>
      <w:r w:rsidRPr="001508CE">
        <w:rPr>
          <w:noProof/>
          <w:lang w:val="en-GB" w:eastAsia="en-GB"/>
        </w:rPr>
        <w:drawing>
          <wp:inline distT="0" distB="0" distL="0" distR="0">
            <wp:extent cx="5943600" cy="2437497"/>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437497"/>
                    </a:xfrm>
                    <a:prstGeom prst="rect">
                      <a:avLst/>
                    </a:prstGeom>
                    <a:noFill/>
                    <a:ln>
                      <a:noFill/>
                    </a:ln>
                  </pic:spPr>
                </pic:pic>
              </a:graphicData>
            </a:graphic>
          </wp:inline>
        </w:drawing>
      </w:r>
    </w:p>
    <w:p w:rsidR="006E745E" w:rsidRDefault="006E745E" w:rsidP="00785816">
      <w:pPr>
        <w:spacing w:after="0" w:line="240" w:lineRule="auto"/>
        <w:rPr>
          <w:rFonts w:ascii="Univers Light" w:eastAsia="Aptos" w:hAnsi="Univers Light" w:cs="Aptos"/>
          <w:sz w:val="20"/>
          <w:szCs w:val="20"/>
          <w:lang w:eastAsia="sq-AL"/>
        </w:rPr>
      </w:pPr>
    </w:p>
    <w:p w:rsidR="006E745E" w:rsidRPr="00446200" w:rsidRDefault="009A1805" w:rsidP="00785816">
      <w:pPr>
        <w:spacing w:after="0" w:line="240" w:lineRule="auto"/>
        <w:rPr>
          <w:rFonts w:eastAsia="Aptos" w:cs="Aptos"/>
          <w:lang w:eastAsia="sq-AL"/>
        </w:rPr>
      </w:pPr>
      <w:r w:rsidRPr="00446200">
        <w:rPr>
          <w:rFonts w:eastAsia="Aptos" w:cs="Aptos"/>
          <w:lang w:eastAsia="sq-AL"/>
        </w:rPr>
        <w:t xml:space="preserve">Detajet për mënyrën se si është llogaritur ndarja e grantit të performancës komunale për vitin 2025 janë dhënë në shtojcën </w:t>
      </w:r>
      <w:r w:rsidR="00446200" w:rsidRPr="00446200">
        <w:rPr>
          <w:rFonts w:eastAsia="Aptos" w:cs="Aptos"/>
          <w:lang w:eastAsia="sq-AL"/>
        </w:rPr>
        <w:t>5</w:t>
      </w:r>
      <w:r w:rsidR="00446200">
        <w:rPr>
          <w:rFonts w:eastAsia="Aptos" w:cs="Aptos"/>
          <w:lang w:eastAsia="sq-AL"/>
        </w:rPr>
        <w:t>.</w:t>
      </w:r>
    </w:p>
    <w:p w:rsidR="006E745E" w:rsidRDefault="006E745E" w:rsidP="00785816">
      <w:pPr>
        <w:spacing w:after="0" w:line="240" w:lineRule="auto"/>
        <w:rPr>
          <w:rFonts w:ascii="Univers Light" w:eastAsia="Aptos" w:hAnsi="Univers Light" w:cs="Aptos"/>
          <w:sz w:val="20"/>
          <w:szCs w:val="20"/>
          <w:lang w:eastAsia="sq-AL"/>
        </w:rPr>
      </w:pPr>
    </w:p>
    <w:p w:rsidR="006E745E" w:rsidRPr="00785816" w:rsidRDefault="006E745E" w:rsidP="00785816">
      <w:pPr>
        <w:spacing w:after="0" w:line="240" w:lineRule="auto"/>
        <w:rPr>
          <w:rFonts w:ascii="Univers Light" w:eastAsia="Aptos" w:hAnsi="Univers Light" w:cs="Aptos"/>
          <w:sz w:val="20"/>
          <w:szCs w:val="20"/>
          <w:lang w:eastAsia="sq-AL"/>
        </w:rPr>
      </w:pPr>
    </w:p>
    <w:p w:rsidR="00785816" w:rsidRPr="00785816" w:rsidRDefault="00785816" w:rsidP="00785816">
      <w:pPr>
        <w:spacing w:after="0" w:line="240" w:lineRule="auto"/>
        <w:rPr>
          <w:rFonts w:ascii="Univers Light" w:eastAsia="Aptos" w:hAnsi="Univers Light" w:cs="Aptos"/>
          <w:sz w:val="20"/>
          <w:szCs w:val="20"/>
          <w:lang w:eastAsia="sq-AL"/>
        </w:rPr>
      </w:pPr>
    </w:p>
    <w:p w:rsidR="00475287" w:rsidRDefault="00475287" w:rsidP="00F21F4B">
      <w:pPr>
        <w:spacing w:line="276" w:lineRule="auto"/>
        <w:jc w:val="both"/>
        <w:rPr>
          <w:rFonts w:asciiTheme="majorHAnsi" w:hAnsiTheme="majorHAnsi" w:cstheme="majorHAnsi"/>
        </w:rPr>
      </w:pPr>
    </w:p>
    <w:p w:rsidR="00A7759B" w:rsidRDefault="00A7759B" w:rsidP="004A3A39">
      <w:pPr>
        <w:keepNext/>
        <w:shd w:val="clear" w:color="auto" w:fill="215E99" w:themeFill="text2" w:themeFillTint="BF"/>
        <w:tabs>
          <w:tab w:val="left" w:pos="540"/>
        </w:tabs>
        <w:spacing w:after="0" w:line="240" w:lineRule="auto"/>
        <w:outlineLvl w:val="0"/>
      </w:pPr>
      <w:bookmarkStart w:id="33" w:name="_Toc178434863"/>
    </w:p>
    <w:p w:rsidR="004A3A39" w:rsidRPr="00D03752" w:rsidRDefault="003F4D07" w:rsidP="004A3A39">
      <w:pPr>
        <w:keepNext/>
        <w:shd w:val="clear" w:color="auto" w:fill="215E99" w:themeFill="text2" w:themeFillTint="BF"/>
        <w:tabs>
          <w:tab w:val="left" w:pos="540"/>
        </w:tabs>
        <w:spacing w:after="0" w:line="240" w:lineRule="auto"/>
        <w:outlineLvl w:val="0"/>
        <w:rPr>
          <w:rFonts w:asciiTheme="majorHAnsi" w:eastAsiaTheme="majorEastAsia" w:hAnsiTheme="majorHAnsi" w:cstheme="majorHAnsi"/>
          <w:b/>
          <w:color w:val="2C7FCE" w:themeColor="text2" w:themeTint="99"/>
          <w:sz w:val="24"/>
          <w:szCs w:val="24"/>
        </w:rPr>
      </w:pPr>
      <w:r w:rsidRPr="001F24C8">
        <w:rPr>
          <w:noProof/>
          <w:lang w:val="en-GB" w:eastAsia="en-GB"/>
        </w:rPr>
        <w:drawing>
          <wp:anchor distT="0" distB="0" distL="114300" distR="114300" simplePos="0" relativeHeight="251882496" behindDoc="0" locked="0" layoutInCell="1" allowOverlap="1" wp14:anchorId="12B9288C" wp14:editId="645533DC">
            <wp:simplePos x="0" y="0"/>
            <wp:positionH relativeFrom="margin">
              <wp:align>right</wp:align>
            </wp:positionH>
            <wp:positionV relativeFrom="margin">
              <wp:posOffset>463001</wp:posOffset>
            </wp:positionV>
            <wp:extent cx="5942965" cy="6421120"/>
            <wp:effectExtent l="0" t="0" r="63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2965" cy="642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3A39" w:rsidRPr="00D03752">
        <w:rPr>
          <w:rFonts w:asciiTheme="majorHAnsi" w:eastAsiaTheme="majorEastAsia" w:hAnsiTheme="majorHAnsi" w:cstheme="majorHAnsi"/>
          <w:b/>
          <w:color w:val="FFFFFF" w:themeColor="background1"/>
          <w:sz w:val="24"/>
          <w:szCs w:val="24"/>
        </w:rPr>
        <w:t>Shtojca</w:t>
      </w:r>
      <w:r w:rsidR="001F1B5C" w:rsidRPr="00D03752">
        <w:rPr>
          <w:rFonts w:asciiTheme="majorHAnsi" w:eastAsiaTheme="majorEastAsia" w:hAnsiTheme="majorHAnsi" w:cstheme="majorHAnsi"/>
          <w:b/>
          <w:color w:val="FFFFFF" w:themeColor="background1"/>
          <w:sz w:val="24"/>
          <w:szCs w:val="24"/>
        </w:rPr>
        <w:t xml:space="preserve"> </w:t>
      </w:r>
      <w:r w:rsidR="004A3A39" w:rsidRPr="00D03752">
        <w:rPr>
          <w:rFonts w:asciiTheme="majorHAnsi" w:eastAsiaTheme="majorEastAsia" w:hAnsiTheme="majorHAnsi" w:cstheme="majorHAnsi"/>
          <w:b/>
          <w:color w:val="FFFFFF" w:themeColor="background1"/>
          <w:sz w:val="24"/>
          <w:szCs w:val="24"/>
        </w:rPr>
        <w:t xml:space="preserve">1 </w:t>
      </w:r>
      <w:r w:rsidR="0041040E" w:rsidRPr="00D03752">
        <w:rPr>
          <w:rFonts w:asciiTheme="majorHAnsi" w:eastAsiaTheme="majorEastAsia" w:hAnsiTheme="majorHAnsi" w:cstheme="majorHAnsi"/>
          <w:b/>
          <w:color w:val="FFFFFF" w:themeColor="background1"/>
          <w:sz w:val="24"/>
          <w:szCs w:val="24"/>
        </w:rPr>
        <w:t>Vlerësimi</w:t>
      </w:r>
      <w:r w:rsidR="001F1B5C" w:rsidRPr="00D03752">
        <w:rPr>
          <w:rFonts w:asciiTheme="majorHAnsi" w:eastAsiaTheme="majorEastAsia" w:hAnsiTheme="majorHAnsi" w:cstheme="majorHAnsi"/>
          <w:b/>
          <w:color w:val="FFFFFF" w:themeColor="background1"/>
          <w:sz w:val="24"/>
          <w:szCs w:val="24"/>
        </w:rPr>
        <w:t xml:space="preserve"> i kushteve minimale</w:t>
      </w:r>
      <w:bookmarkEnd w:id="33"/>
    </w:p>
    <w:p w:rsidR="009D1AC0" w:rsidRDefault="001F24C8" w:rsidP="00A001CB">
      <w:pPr>
        <w:rPr>
          <w:rFonts w:asciiTheme="majorHAnsi" w:hAnsiTheme="majorHAnsi" w:cstheme="majorHAnsi"/>
        </w:rPr>
      </w:pPr>
      <w:r w:rsidRPr="001F24C8">
        <w:t xml:space="preserve"> </w:t>
      </w:r>
      <w:r w:rsidR="00992354">
        <w:rPr>
          <w:rFonts w:asciiTheme="majorHAnsi" w:hAnsiTheme="majorHAnsi" w:cstheme="majorHAnsi"/>
        </w:rPr>
        <w:br w:type="page"/>
      </w:r>
    </w:p>
    <w:tbl>
      <w:tblPr>
        <w:tblStyle w:val="TableGrid"/>
        <w:tblpPr w:leftFromText="180" w:rightFromText="180" w:vertAnchor="text" w:horzAnchor="margin" w:tblpXSpec="center" w:tblpY="11"/>
        <w:tblW w:w="7740" w:type="dxa"/>
        <w:tblLook w:val="04A0" w:firstRow="1" w:lastRow="0" w:firstColumn="1" w:lastColumn="0" w:noHBand="0" w:noVBand="1"/>
      </w:tblPr>
      <w:tblGrid>
        <w:gridCol w:w="960"/>
        <w:gridCol w:w="1820"/>
        <w:gridCol w:w="1300"/>
        <w:gridCol w:w="1300"/>
        <w:gridCol w:w="1240"/>
        <w:gridCol w:w="1120"/>
      </w:tblGrid>
      <w:tr w:rsidR="009D1AC0" w:rsidRPr="009D1AC0" w:rsidTr="009D1AC0">
        <w:trPr>
          <w:trHeight w:val="600"/>
        </w:trPr>
        <w:tc>
          <w:tcPr>
            <w:tcW w:w="960" w:type="dxa"/>
            <w:shd w:val="clear" w:color="auto" w:fill="156082" w:themeFill="accent1"/>
            <w:noWrap/>
            <w:hideMark/>
          </w:tcPr>
          <w:p w:rsidR="009D1AC0" w:rsidRPr="009D1AC0" w:rsidRDefault="009D1AC0" w:rsidP="009D1AC0">
            <w:pPr>
              <w:rPr>
                <w:rFonts w:asciiTheme="majorHAnsi" w:hAnsiTheme="majorHAnsi" w:cstheme="majorHAnsi"/>
                <w:b/>
                <w:bCs/>
                <w:color w:val="FFFFFF" w:themeColor="background1"/>
                <w:sz w:val="18"/>
                <w:szCs w:val="18"/>
              </w:rPr>
            </w:pPr>
            <w:r w:rsidRPr="009D1AC0">
              <w:rPr>
                <w:rFonts w:asciiTheme="majorHAnsi" w:hAnsiTheme="majorHAnsi" w:cstheme="majorHAnsi"/>
                <w:b/>
                <w:bCs/>
                <w:color w:val="FFFFFF" w:themeColor="background1"/>
                <w:sz w:val="18"/>
                <w:szCs w:val="18"/>
              </w:rPr>
              <w:lastRenderedPageBreak/>
              <w:t>#</w:t>
            </w:r>
          </w:p>
        </w:tc>
        <w:tc>
          <w:tcPr>
            <w:tcW w:w="1820" w:type="dxa"/>
            <w:shd w:val="clear" w:color="auto" w:fill="156082" w:themeFill="accent1"/>
            <w:noWrap/>
            <w:hideMark/>
          </w:tcPr>
          <w:p w:rsidR="009D1AC0" w:rsidRPr="009D1AC0" w:rsidRDefault="009D1AC0" w:rsidP="009D1AC0">
            <w:pPr>
              <w:rPr>
                <w:rFonts w:asciiTheme="majorHAnsi" w:hAnsiTheme="majorHAnsi" w:cstheme="majorHAnsi"/>
                <w:b/>
                <w:bCs/>
                <w:color w:val="FFFFFF" w:themeColor="background1"/>
                <w:sz w:val="18"/>
                <w:szCs w:val="18"/>
              </w:rPr>
            </w:pPr>
            <w:r w:rsidRPr="009D1AC0">
              <w:rPr>
                <w:rFonts w:asciiTheme="majorHAnsi" w:hAnsiTheme="majorHAnsi" w:cstheme="majorHAnsi"/>
                <w:b/>
                <w:bCs/>
                <w:color w:val="FFFFFF" w:themeColor="background1"/>
                <w:sz w:val="18"/>
                <w:szCs w:val="18"/>
              </w:rPr>
              <w:t xml:space="preserve">Komunat </w:t>
            </w:r>
          </w:p>
        </w:tc>
        <w:tc>
          <w:tcPr>
            <w:tcW w:w="1300" w:type="dxa"/>
            <w:shd w:val="clear" w:color="auto" w:fill="156082" w:themeFill="accent1"/>
            <w:hideMark/>
          </w:tcPr>
          <w:p w:rsidR="009D1AC0" w:rsidRPr="009D1AC0" w:rsidRDefault="009D1AC0" w:rsidP="009D1AC0">
            <w:pPr>
              <w:rPr>
                <w:rFonts w:asciiTheme="majorHAnsi" w:hAnsiTheme="majorHAnsi" w:cstheme="majorHAnsi"/>
                <w:b/>
                <w:bCs/>
                <w:color w:val="FFFFFF" w:themeColor="background1"/>
                <w:sz w:val="18"/>
                <w:szCs w:val="18"/>
              </w:rPr>
            </w:pPr>
            <w:r w:rsidRPr="009D1AC0">
              <w:rPr>
                <w:rFonts w:asciiTheme="majorHAnsi" w:hAnsiTheme="majorHAnsi" w:cstheme="majorHAnsi"/>
                <w:b/>
                <w:bCs/>
                <w:color w:val="FFFFFF" w:themeColor="background1"/>
                <w:sz w:val="18"/>
                <w:szCs w:val="18"/>
              </w:rPr>
              <w:t xml:space="preserve">Qeverisja </w:t>
            </w:r>
            <w:r w:rsidRPr="009D1AC0">
              <w:rPr>
                <w:rFonts w:asciiTheme="majorHAnsi" w:hAnsiTheme="majorHAnsi" w:cstheme="majorHAnsi"/>
                <w:b/>
                <w:bCs/>
                <w:color w:val="FFFFFF" w:themeColor="background1"/>
                <w:sz w:val="18"/>
                <w:szCs w:val="18"/>
              </w:rPr>
              <w:br/>
              <w:t>demokratike</w:t>
            </w:r>
          </w:p>
        </w:tc>
        <w:tc>
          <w:tcPr>
            <w:tcW w:w="1300" w:type="dxa"/>
            <w:shd w:val="clear" w:color="auto" w:fill="156082" w:themeFill="accent1"/>
            <w:hideMark/>
          </w:tcPr>
          <w:p w:rsidR="009D1AC0" w:rsidRPr="009D1AC0" w:rsidRDefault="009D1AC0" w:rsidP="009D1AC0">
            <w:pPr>
              <w:rPr>
                <w:rFonts w:asciiTheme="majorHAnsi" w:hAnsiTheme="majorHAnsi" w:cstheme="majorHAnsi"/>
                <w:b/>
                <w:bCs/>
                <w:color w:val="FFFFFF" w:themeColor="background1"/>
                <w:sz w:val="18"/>
                <w:szCs w:val="18"/>
              </w:rPr>
            </w:pPr>
            <w:r w:rsidRPr="009D1AC0">
              <w:rPr>
                <w:rFonts w:asciiTheme="majorHAnsi" w:hAnsiTheme="majorHAnsi" w:cstheme="majorHAnsi"/>
                <w:b/>
                <w:bCs/>
                <w:color w:val="FFFFFF" w:themeColor="background1"/>
                <w:sz w:val="18"/>
                <w:szCs w:val="18"/>
              </w:rPr>
              <w:t xml:space="preserve">Menaxhimi </w:t>
            </w:r>
            <w:r w:rsidRPr="009D1AC0">
              <w:rPr>
                <w:rFonts w:asciiTheme="majorHAnsi" w:hAnsiTheme="majorHAnsi" w:cstheme="majorHAnsi"/>
                <w:b/>
                <w:bCs/>
                <w:color w:val="FFFFFF" w:themeColor="background1"/>
                <w:sz w:val="18"/>
                <w:szCs w:val="18"/>
              </w:rPr>
              <w:br/>
              <w:t>komunal</w:t>
            </w:r>
          </w:p>
        </w:tc>
        <w:tc>
          <w:tcPr>
            <w:tcW w:w="1240" w:type="dxa"/>
            <w:shd w:val="clear" w:color="auto" w:fill="156082" w:themeFill="accent1"/>
            <w:hideMark/>
          </w:tcPr>
          <w:p w:rsidR="009D1AC0" w:rsidRPr="009D1AC0" w:rsidRDefault="009D1AC0" w:rsidP="009D1AC0">
            <w:pPr>
              <w:rPr>
                <w:rFonts w:asciiTheme="majorHAnsi" w:hAnsiTheme="majorHAnsi" w:cstheme="majorHAnsi"/>
                <w:b/>
                <w:bCs/>
                <w:color w:val="FFFFFF" w:themeColor="background1"/>
                <w:sz w:val="18"/>
                <w:szCs w:val="18"/>
              </w:rPr>
            </w:pPr>
            <w:r w:rsidRPr="009D1AC0">
              <w:rPr>
                <w:rFonts w:asciiTheme="majorHAnsi" w:hAnsiTheme="majorHAnsi" w:cstheme="majorHAnsi"/>
                <w:b/>
                <w:bCs/>
                <w:color w:val="FFFFFF" w:themeColor="background1"/>
                <w:sz w:val="18"/>
                <w:szCs w:val="18"/>
              </w:rPr>
              <w:t xml:space="preserve">Ofrimi i </w:t>
            </w:r>
            <w:r w:rsidRPr="009D1AC0">
              <w:rPr>
                <w:rFonts w:asciiTheme="majorHAnsi" w:hAnsiTheme="majorHAnsi" w:cstheme="majorHAnsi"/>
                <w:b/>
                <w:bCs/>
                <w:color w:val="FFFFFF" w:themeColor="background1"/>
                <w:sz w:val="18"/>
                <w:szCs w:val="18"/>
              </w:rPr>
              <w:br/>
              <w:t>shërbimeve</w:t>
            </w:r>
          </w:p>
        </w:tc>
        <w:tc>
          <w:tcPr>
            <w:tcW w:w="1120" w:type="dxa"/>
            <w:shd w:val="clear" w:color="auto" w:fill="156082" w:themeFill="accent1"/>
            <w:hideMark/>
          </w:tcPr>
          <w:p w:rsidR="009D1AC0" w:rsidRPr="009D1AC0" w:rsidRDefault="009D1AC0" w:rsidP="009D1AC0">
            <w:pPr>
              <w:rPr>
                <w:rFonts w:asciiTheme="majorHAnsi" w:hAnsiTheme="majorHAnsi" w:cstheme="majorHAnsi"/>
                <w:b/>
                <w:bCs/>
                <w:color w:val="FFFFFF" w:themeColor="background1"/>
                <w:sz w:val="18"/>
                <w:szCs w:val="18"/>
              </w:rPr>
            </w:pPr>
            <w:r w:rsidRPr="009D1AC0">
              <w:rPr>
                <w:rFonts w:asciiTheme="majorHAnsi" w:hAnsiTheme="majorHAnsi" w:cstheme="majorHAnsi"/>
                <w:b/>
                <w:bCs/>
                <w:color w:val="FFFFFF" w:themeColor="background1"/>
                <w:sz w:val="18"/>
                <w:szCs w:val="18"/>
              </w:rPr>
              <w:t>Total</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Deçan</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34</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11</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18</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63</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Gjakovë</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20</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14</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18</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52</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Gllogoc</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37</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20</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18</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75</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4</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Gjilan</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23</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9</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12</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44</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5</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Dragash</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37</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9</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14</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60</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6</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Istog</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35</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15</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18</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68</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7</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Kaçanik</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24</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8</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7</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39</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8</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Klinë</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34</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11</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13</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58</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9</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Fushë Kosovë</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11</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7</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23</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41</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10</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Kamenicë</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14</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9</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9</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32</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11</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Mitrovicë e Jugut</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29</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5</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13</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47</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12</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Lipjan</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34</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14</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24</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72</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13</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Novobërdë</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0</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0</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14</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Obiliq</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39</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18</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15</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72</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15</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Rahovec</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38</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17</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17</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72</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16</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Pejë</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18</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11</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16</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45</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17</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Podujevë</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26</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13</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12</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51</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18</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Prishtinë</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5</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16</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8</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29</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19</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Prizren</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31</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22</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18</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71</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20</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Skenderaj</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37</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15</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20</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72</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21</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Shtime</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25</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14</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9</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48</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22</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Suharekë</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33</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13</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12</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58</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23</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Ferizaj</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28</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16</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15</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59</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24</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Viti</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19</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6</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6</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31</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25</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Vushtrri</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34</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10</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19</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63</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26</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Malishevë</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13</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5</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8</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26</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27</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Hani i Elezit</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33</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13</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15</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61</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28</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Mamushë</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6</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10</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10</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26</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29</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Junik</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28</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10</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14</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52</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30</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Graçanicë</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19</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4</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26</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31</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Kllokot</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0</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0</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0</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0</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32</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Ranillug</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9</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5</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16</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33</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Partesh</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7</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2</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11</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34</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Mitrovicë e Veriut</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4</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5</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4</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13</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35</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Zveçan</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0</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0</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0</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0</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36</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Zubin Potok</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0</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0</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0</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0</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37</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Leposaviq</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0</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0</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0</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0</w:t>
            </w:r>
          </w:p>
        </w:tc>
      </w:tr>
      <w:tr w:rsidR="009D1AC0" w:rsidRPr="009D1AC0" w:rsidTr="009D1AC0">
        <w:trPr>
          <w:trHeight w:val="300"/>
        </w:trPr>
        <w:tc>
          <w:tcPr>
            <w:tcW w:w="96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38</w:t>
            </w:r>
          </w:p>
        </w:tc>
        <w:tc>
          <w:tcPr>
            <w:tcW w:w="18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Shtërpcë</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0</w:t>
            </w:r>
          </w:p>
        </w:tc>
        <w:tc>
          <w:tcPr>
            <w:tcW w:w="130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0</w:t>
            </w:r>
          </w:p>
        </w:tc>
        <w:tc>
          <w:tcPr>
            <w:tcW w:w="124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0</w:t>
            </w:r>
          </w:p>
        </w:tc>
        <w:tc>
          <w:tcPr>
            <w:tcW w:w="1120" w:type="dxa"/>
            <w:noWrap/>
            <w:hideMark/>
          </w:tcPr>
          <w:p w:rsidR="009D1AC0" w:rsidRPr="009D1AC0" w:rsidRDefault="009D1AC0" w:rsidP="009D1AC0">
            <w:pPr>
              <w:rPr>
                <w:rFonts w:asciiTheme="majorHAnsi" w:hAnsiTheme="majorHAnsi" w:cstheme="majorHAnsi"/>
                <w:sz w:val="18"/>
                <w:szCs w:val="18"/>
              </w:rPr>
            </w:pPr>
            <w:r w:rsidRPr="009D1AC0">
              <w:rPr>
                <w:rFonts w:asciiTheme="majorHAnsi" w:hAnsiTheme="majorHAnsi" w:cstheme="majorHAnsi"/>
                <w:sz w:val="18"/>
                <w:szCs w:val="18"/>
              </w:rPr>
              <w:t>0</w:t>
            </w:r>
          </w:p>
        </w:tc>
      </w:tr>
      <w:tr w:rsidR="009D1AC0" w:rsidRPr="009D1AC0" w:rsidTr="009D1AC0">
        <w:trPr>
          <w:trHeight w:val="300"/>
        </w:trPr>
        <w:tc>
          <w:tcPr>
            <w:tcW w:w="2780" w:type="dxa"/>
            <w:gridSpan w:val="2"/>
            <w:shd w:val="clear" w:color="auto" w:fill="156082" w:themeFill="accent1"/>
            <w:noWrap/>
            <w:hideMark/>
          </w:tcPr>
          <w:p w:rsidR="009D1AC0" w:rsidRPr="009D1AC0" w:rsidRDefault="009D1AC0" w:rsidP="009D1AC0">
            <w:pPr>
              <w:rPr>
                <w:rFonts w:asciiTheme="majorHAnsi" w:hAnsiTheme="majorHAnsi" w:cstheme="majorHAnsi"/>
                <w:b/>
                <w:bCs/>
                <w:color w:val="FFFFFF" w:themeColor="background1"/>
                <w:sz w:val="18"/>
                <w:szCs w:val="18"/>
              </w:rPr>
            </w:pPr>
            <w:r w:rsidRPr="009D1AC0">
              <w:rPr>
                <w:rFonts w:asciiTheme="majorHAnsi" w:hAnsiTheme="majorHAnsi" w:cstheme="majorHAnsi"/>
                <w:b/>
                <w:bCs/>
                <w:color w:val="FFFFFF" w:themeColor="background1"/>
                <w:sz w:val="18"/>
                <w:szCs w:val="18"/>
              </w:rPr>
              <w:t xml:space="preserve">Mesatarja e pikëve </w:t>
            </w:r>
          </w:p>
        </w:tc>
        <w:tc>
          <w:tcPr>
            <w:tcW w:w="1300" w:type="dxa"/>
            <w:shd w:val="clear" w:color="auto" w:fill="156082" w:themeFill="accent1"/>
            <w:noWrap/>
            <w:hideMark/>
          </w:tcPr>
          <w:p w:rsidR="009D1AC0" w:rsidRPr="009D1AC0" w:rsidRDefault="009D1AC0" w:rsidP="009D1AC0">
            <w:pPr>
              <w:rPr>
                <w:rFonts w:asciiTheme="majorHAnsi" w:hAnsiTheme="majorHAnsi" w:cstheme="majorHAnsi"/>
                <w:b/>
                <w:bCs/>
                <w:color w:val="FFFFFF" w:themeColor="background1"/>
                <w:sz w:val="18"/>
                <w:szCs w:val="18"/>
              </w:rPr>
            </w:pPr>
            <w:r w:rsidRPr="009D1AC0">
              <w:rPr>
                <w:rFonts w:asciiTheme="majorHAnsi" w:hAnsiTheme="majorHAnsi" w:cstheme="majorHAnsi"/>
                <w:b/>
                <w:bCs/>
                <w:color w:val="FFFFFF" w:themeColor="background1"/>
                <w:sz w:val="18"/>
                <w:szCs w:val="18"/>
              </w:rPr>
              <w:t>20.63</w:t>
            </w:r>
          </w:p>
        </w:tc>
        <w:tc>
          <w:tcPr>
            <w:tcW w:w="1300" w:type="dxa"/>
            <w:shd w:val="clear" w:color="auto" w:fill="156082" w:themeFill="accent1"/>
            <w:noWrap/>
            <w:hideMark/>
          </w:tcPr>
          <w:p w:rsidR="009D1AC0" w:rsidRPr="009D1AC0" w:rsidRDefault="009D1AC0" w:rsidP="009D1AC0">
            <w:pPr>
              <w:rPr>
                <w:rFonts w:asciiTheme="majorHAnsi" w:hAnsiTheme="majorHAnsi" w:cstheme="majorHAnsi"/>
                <w:b/>
                <w:bCs/>
                <w:color w:val="FFFFFF" w:themeColor="background1"/>
                <w:sz w:val="18"/>
                <w:szCs w:val="18"/>
              </w:rPr>
            </w:pPr>
            <w:r w:rsidRPr="009D1AC0">
              <w:rPr>
                <w:rFonts w:asciiTheme="majorHAnsi" w:hAnsiTheme="majorHAnsi" w:cstheme="majorHAnsi"/>
                <w:b/>
                <w:bCs/>
                <w:color w:val="FFFFFF" w:themeColor="background1"/>
                <w:sz w:val="18"/>
                <w:szCs w:val="18"/>
              </w:rPr>
              <w:t>9.39</w:t>
            </w:r>
          </w:p>
        </w:tc>
        <w:tc>
          <w:tcPr>
            <w:tcW w:w="1240" w:type="dxa"/>
            <w:shd w:val="clear" w:color="auto" w:fill="156082" w:themeFill="accent1"/>
            <w:noWrap/>
            <w:hideMark/>
          </w:tcPr>
          <w:p w:rsidR="009D1AC0" w:rsidRPr="009D1AC0" w:rsidRDefault="009D1AC0" w:rsidP="009D1AC0">
            <w:pPr>
              <w:rPr>
                <w:rFonts w:asciiTheme="majorHAnsi" w:hAnsiTheme="majorHAnsi" w:cstheme="majorHAnsi"/>
                <w:b/>
                <w:bCs/>
                <w:color w:val="FFFFFF" w:themeColor="background1"/>
                <w:sz w:val="18"/>
                <w:szCs w:val="18"/>
              </w:rPr>
            </w:pPr>
            <w:r w:rsidRPr="009D1AC0">
              <w:rPr>
                <w:rFonts w:asciiTheme="majorHAnsi" w:hAnsiTheme="majorHAnsi" w:cstheme="majorHAnsi"/>
                <w:b/>
                <w:bCs/>
                <w:color w:val="FFFFFF" w:themeColor="background1"/>
                <w:sz w:val="18"/>
                <w:szCs w:val="18"/>
              </w:rPr>
              <w:t>10.89</w:t>
            </w:r>
          </w:p>
        </w:tc>
        <w:tc>
          <w:tcPr>
            <w:tcW w:w="1120" w:type="dxa"/>
            <w:shd w:val="clear" w:color="auto" w:fill="156082" w:themeFill="accent1"/>
            <w:noWrap/>
            <w:hideMark/>
          </w:tcPr>
          <w:p w:rsidR="009D1AC0" w:rsidRPr="009D1AC0" w:rsidRDefault="009D1AC0" w:rsidP="009D1AC0">
            <w:pPr>
              <w:rPr>
                <w:rFonts w:asciiTheme="majorHAnsi" w:hAnsiTheme="majorHAnsi" w:cstheme="majorHAnsi"/>
                <w:b/>
                <w:bCs/>
                <w:color w:val="FFFFFF" w:themeColor="background1"/>
                <w:sz w:val="18"/>
                <w:szCs w:val="18"/>
              </w:rPr>
            </w:pPr>
            <w:r w:rsidRPr="009D1AC0">
              <w:rPr>
                <w:rFonts w:asciiTheme="majorHAnsi" w:hAnsiTheme="majorHAnsi" w:cstheme="majorHAnsi"/>
                <w:b/>
                <w:bCs/>
                <w:color w:val="FFFFFF" w:themeColor="background1"/>
                <w:sz w:val="18"/>
                <w:szCs w:val="18"/>
              </w:rPr>
              <w:t>40.92</w:t>
            </w:r>
          </w:p>
        </w:tc>
      </w:tr>
    </w:tbl>
    <w:p w:rsidR="00807291" w:rsidRDefault="009D1AC0" w:rsidP="00A001CB">
      <w:pPr>
        <w:rPr>
          <w:kern w:val="2"/>
          <w:lang w:val="en-US"/>
          <w14:ligatures w14:val="standardContextual"/>
        </w:rPr>
      </w:pPr>
      <w:r>
        <w:rPr>
          <w:rFonts w:asciiTheme="majorHAnsi" w:hAnsiTheme="majorHAnsi" w:cstheme="majorHAnsi"/>
        </w:rPr>
        <w:t xml:space="preserve"> </w:t>
      </w:r>
      <w:r>
        <w:rPr>
          <w:rFonts w:asciiTheme="majorHAnsi" w:hAnsiTheme="majorHAnsi" w:cstheme="majorHAnsi"/>
        </w:rPr>
        <w:fldChar w:fldCharType="begin"/>
      </w:r>
      <w:r>
        <w:rPr>
          <w:rFonts w:asciiTheme="majorHAnsi" w:hAnsiTheme="majorHAnsi" w:cstheme="majorHAnsi"/>
        </w:rPr>
        <w:instrText xml:space="preserve"> LINK </w:instrText>
      </w:r>
      <w:r w:rsidR="00235368">
        <w:rPr>
          <w:rFonts w:asciiTheme="majorHAnsi" w:hAnsiTheme="majorHAnsi" w:cstheme="majorHAnsi"/>
        </w:rPr>
        <w:instrText xml:space="preserve">Excel.Sheet.12 "C:\\Users\\blerta.sejdiu\\Desktop\\Copy of Statistika per Grant 2026 (2).xlsx" "Vlerësimi i treguesve të GPK-së!R2C2:R41C7" </w:instrText>
      </w:r>
      <w:r>
        <w:rPr>
          <w:rFonts w:asciiTheme="majorHAnsi" w:hAnsiTheme="majorHAnsi" w:cstheme="majorHAnsi"/>
        </w:rPr>
        <w:instrText xml:space="preserve">\a \f 5 \h  \* MERGEFORMAT </w:instrText>
      </w:r>
      <w:r>
        <w:rPr>
          <w:rFonts w:asciiTheme="majorHAnsi" w:hAnsiTheme="majorHAnsi" w:cstheme="majorHAnsi"/>
        </w:rPr>
        <w:fldChar w:fldCharType="separate"/>
      </w:r>
    </w:p>
    <w:tbl>
      <w:tblPr>
        <w:tblStyle w:val="TableGrid"/>
        <w:tblW w:w="7740" w:type="dxa"/>
        <w:tblLook w:val="04A0" w:firstRow="1" w:lastRow="0" w:firstColumn="1" w:lastColumn="0" w:noHBand="0" w:noVBand="1"/>
      </w:tblPr>
      <w:tblGrid>
        <w:gridCol w:w="960"/>
        <w:gridCol w:w="1820"/>
        <w:gridCol w:w="1334"/>
        <w:gridCol w:w="1300"/>
        <w:gridCol w:w="1261"/>
        <w:gridCol w:w="1120"/>
      </w:tblGrid>
      <w:tr w:rsidR="00807291" w:rsidRPr="00807291" w:rsidTr="00807291">
        <w:trPr>
          <w:trHeight w:val="600"/>
        </w:trPr>
        <w:tc>
          <w:tcPr>
            <w:tcW w:w="960" w:type="dxa"/>
            <w:noWrap/>
            <w:hideMark/>
          </w:tcPr>
          <w:p w:rsidR="00807291" w:rsidRPr="00807291" w:rsidRDefault="00807291">
            <w:pPr>
              <w:rPr>
                <w:kern w:val="2"/>
                <w14:ligatures w14:val="standardContextual"/>
              </w:rPr>
            </w:pPr>
          </w:p>
        </w:tc>
        <w:tc>
          <w:tcPr>
            <w:tcW w:w="1820" w:type="dxa"/>
            <w:noWrap/>
            <w:hideMark/>
          </w:tcPr>
          <w:p w:rsidR="00807291" w:rsidRPr="00807291" w:rsidRDefault="00807291">
            <w:pPr>
              <w:rPr>
                <w:kern w:val="2"/>
                <w14:ligatures w14:val="standardContextual"/>
              </w:rPr>
            </w:pPr>
            <w:r w:rsidRPr="00807291">
              <w:rPr>
                <w:kern w:val="2"/>
                <w14:ligatures w14:val="standardContextual"/>
              </w:rPr>
              <w:t xml:space="preserve">Komunat </w:t>
            </w:r>
          </w:p>
        </w:tc>
        <w:tc>
          <w:tcPr>
            <w:tcW w:w="1300" w:type="dxa"/>
            <w:hideMark/>
          </w:tcPr>
          <w:p w:rsidR="00807291" w:rsidRPr="00807291" w:rsidRDefault="00807291">
            <w:pPr>
              <w:rPr>
                <w:kern w:val="2"/>
                <w14:ligatures w14:val="standardContextual"/>
              </w:rPr>
            </w:pPr>
            <w:r w:rsidRPr="00807291">
              <w:rPr>
                <w:kern w:val="2"/>
                <w14:ligatures w14:val="standardContextual"/>
              </w:rPr>
              <w:t xml:space="preserve">Qeverisja </w:t>
            </w:r>
            <w:r w:rsidRPr="00807291">
              <w:rPr>
                <w:kern w:val="2"/>
                <w14:ligatures w14:val="standardContextual"/>
              </w:rPr>
              <w:br/>
              <w:t>demokratike</w:t>
            </w:r>
          </w:p>
        </w:tc>
        <w:tc>
          <w:tcPr>
            <w:tcW w:w="1300" w:type="dxa"/>
            <w:hideMark/>
          </w:tcPr>
          <w:p w:rsidR="00807291" w:rsidRPr="00807291" w:rsidRDefault="00807291">
            <w:pPr>
              <w:rPr>
                <w:kern w:val="2"/>
                <w14:ligatures w14:val="standardContextual"/>
              </w:rPr>
            </w:pPr>
            <w:r w:rsidRPr="00807291">
              <w:rPr>
                <w:kern w:val="2"/>
                <w14:ligatures w14:val="standardContextual"/>
              </w:rPr>
              <w:t xml:space="preserve">Menaxhimi </w:t>
            </w:r>
            <w:r w:rsidRPr="00807291">
              <w:rPr>
                <w:kern w:val="2"/>
                <w14:ligatures w14:val="standardContextual"/>
              </w:rPr>
              <w:br/>
              <w:t>komunal</w:t>
            </w:r>
          </w:p>
        </w:tc>
        <w:tc>
          <w:tcPr>
            <w:tcW w:w="1240" w:type="dxa"/>
            <w:hideMark/>
          </w:tcPr>
          <w:p w:rsidR="00807291" w:rsidRPr="00807291" w:rsidRDefault="00807291">
            <w:pPr>
              <w:rPr>
                <w:kern w:val="2"/>
                <w14:ligatures w14:val="standardContextual"/>
              </w:rPr>
            </w:pPr>
            <w:r w:rsidRPr="00807291">
              <w:rPr>
                <w:kern w:val="2"/>
                <w14:ligatures w14:val="standardContextual"/>
              </w:rPr>
              <w:t xml:space="preserve">Ofrimi i </w:t>
            </w:r>
            <w:r w:rsidRPr="00807291">
              <w:rPr>
                <w:kern w:val="2"/>
                <w14:ligatures w14:val="standardContextual"/>
              </w:rPr>
              <w:br/>
              <w:t>shërbimeve</w:t>
            </w:r>
          </w:p>
        </w:tc>
        <w:tc>
          <w:tcPr>
            <w:tcW w:w="1120" w:type="dxa"/>
            <w:hideMark/>
          </w:tcPr>
          <w:p w:rsidR="00807291" w:rsidRPr="00807291" w:rsidRDefault="00807291">
            <w:pPr>
              <w:rPr>
                <w:kern w:val="2"/>
                <w14:ligatures w14:val="standardContextual"/>
              </w:rPr>
            </w:pPr>
            <w:r w:rsidRPr="00807291">
              <w:rPr>
                <w:kern w:val="2"/>
                <w14:ligatures w14:val="standardContextual"/>
              </w:rPr>
              <w:t>Total</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1</w:t>
            </w:r>
          </w:p>
        </w:tc>
        <w:tc>
          <w:tcPr>
            <w:tcW w:w="1820" w:type="dxa"/>
            <w:noWrap/>
            <w:hideMark/>
          </w:tcPr>
          <w:p w:rsidR="00807291" w:rsidRPr="00807291" w:rsidRDefault="00807291">
            <w:pPr>
              <w:rPr>
                <w:kern w:val="2"/>
                <w14:ligatures w14:val="standardContextual"/>
              </w:rPr>
            </w:pPr>
            <w:r w:rsidRPr="00807291">
              <w:rPr>
                <w:kern w:val="2"/>
                <w14:ligatures w14:val="standardContextual"/>
              </w:rPr>
              <w:t>Deçan</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34</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11</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18</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63</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2</w:t>
            </w:r>
          </w:p>
        </w:tc>
        <w:tc>
          <w:tcPr>
            <w:tcW w:w="1820" w:type="dxa"/>
            <w:noWrap/>
            <w:hideMark/>
          </w:tcPr>
          <w:p w:rsidR="00807291" w:rsidRPr="00807291" w:rsidRDefault="00807291">
            <w:pPr>
              <w:rPr>
                <w:kern w:val="2"/>
                <w14:ligatures w14:val="standardContextual"/>
              </w:rPr>
            </w:pPr>
            <w:r w:rsidRPr="00807291">
              <w:rPr>
                <w:kern w:val="2"/>
                <w14:ligatures w14:val="standardContextual"/>
              </w:rPr>
              <w:t>Gjakovë</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20</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14</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18</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52</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3</w:t>
            </w:r>
          </w:p>
        </w:tc>
        <w:tc>
          <w:tcPr>
            <w:tcW w:w="1820" w:type="dxa"/>
            <w:noWrap/>
            <w:hideMark/>
          </w:tcPr>
          <w:p w:rsidR="00807291" w:rsidRPr="00807291" w:rsidRDefault="00807291">
            <w:pPr>
              <w:rPr>
                <w:kern w:val="2"/>
                <w14:ligatures w14:val="standardContextual"/>
              </w:rPr>
            </w:pPr>
            <w:r w:rsidRPr="00807291">
              <w:rPr>
                <w:kern w:val="2"/>
                <w14:ligatures w14:val="standardContextual"/>
              </w:rPr>
              <w:t>Gllogoc</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37</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20</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18</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75</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4</w:t>
            </w:r>
          </w:p>
        </w:tc>
        <w:tc>
          <w:tcPr>
            <w:tcW w:w="1820" w:type="dxa"/>
            <w:noWrap/>
            <w:hideMark/>
          </w:tcPr>
          <w:p w:rsidR="00807291" w:rsidRPr="00807291" w:rsidRDefault="00807291">
            <w:pPr>
              <w:rPr>
                <w:kern w:val="2"/>
                <w14:ligatures w14:val="standardContextual"/>
              </w:rPr>
            </w:pPr>
            <w:r w:rsidRPr="00807291">
              <w:rPr>
                <w:kern w:val="2"/>
                <w14:ligatures w14:val="standardContextual"/>
              </w:rPr>
              <w:t>Gjilan</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23</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9</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12</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44</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5</w:t>
            </w:r>
          </w:p>
        </w:tc>
        <w:tc>
          <w:tcPr>
            <w:tcW w:w="1820" w:type="dxa"/>
            <w:noWrap/>
            <w:hideMark/>
          </w:tcPr>
          <w:p w:rsidR="00807291" w:rsidRPr="00807291" w:rsidRDefault="00807291">
            <w:pPr>
              <w:rPr>
                <w:kern w:val="2"/>
                <w14:ligatures w14:val="standardContextual"/>
              </w:rPr>
            </w:pPr>
            <w:r w:rsidRPr="00807291">
              <w:rPr>
                <w:kern w:val="2"/>
                <w14:ligatures w14:val="standardContextual"/>
              </w:rPr>
              <w:t>Dragash</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37</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9</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14</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60</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6</w:t>
            </w:r>
          </w:p>
        </w:tc>
        <w:tc>
          <w:tcPr>
            <w:tcW w:w="1820" w:type="dxa"/>
            <w:noWrap/>
            <w:hideMark/>
          </w:tcPr>
          <w:p w:rsidR="00807291" w:rsidRPr="00807291" w:rsidRDefault="00807291">
            <w:pPr>
              <w:rPr>
                <w:kern w:val="2"/>
                <w14:ligatures w14:val="standardContextual"/>
              </w:rPr>
            </w:pPr>
            <w:r w:rsidRPr="00807291">
              <w:rPr>
                <w:kern w:val="2"/>
                <w14:ligatures w14:val="standardContextual"/>
              </w:rPr>
              <w:t>Istog</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35</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15</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18</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68</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7</w:t>
            </w:r>
          </w:p>
        </w:tc>
        <w:tc>
          <w:tcPr>
            <w:tcW w:w="1820" w:type="dxa"/>
            <w:noWrap/>
            <w:hideMark/>
          </w:tcPr>
          <w:p w:rsidR="00807291" w:rsidRPr="00807291" w:rsidRDefault="00807291">
            <w:pPr>
              <w:rPr>
                <w:kern w:val="2"/>
                <w14:ligatures w14:val="standardContextual"/>
              </w:rPr>
            </w:pPr>
            <w:r w:rsidRPr="00807291">
              <w:rPr>
                <w:kern w:val="2"/>
                <w14:ligatures w14:val="standardContextual"/>
              </w:rPr>
              <w:t>Kaçanik</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24</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8</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7</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39</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8</w:t>
            </w:r>
          </w:p>
        </w:tc>
        <w:tc>
          <w:tcPr>
            <w:tcW w:w="1820" w:type="dxa"/>
            <w:noWrap/>
            <w:hideMark/>
          </w:tcPr>
          <w:p w:rsidR="00807291" w:rsidRPr="00807291" w:rsidRDefault="00807291">
            <w:pPr>
              <w:rPr>
                <w:kern w:val="2"/>
                <w14:ligatures w14:val="standardContextual"/>
              </w:rPr>
            </w:pPr>
            <w:r w:rsidRPr="00807291">
              <w:rPr>
                <w:kern w:val="2"/>
                <w14:ligatures w14:val="standardContextual"/>
              </w:rPr>
              <w:t>Klinë</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34</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11</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13</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58</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9</w:t>
            </w:r>
          </w:p>
        </w:tc>
        <w:tc>
          <w:tcPr>
            <w:tcW w:w="1820" w:type="dxa"/>
            <w:noWrap/>
            <w:hideMark/>
          </w:tcPr>
          <w:p w:rsidR="00807291" w:rsidRPr="00807291" w:rsidRDefault="00807291">
            <w:pPr>
              <w:rPr>
                <w:kern w:val="2"/>
                <w14:ligatures w14:val="standardContextual"/>
              </w:rPr>
            </w:pPr>
            <w:r w:rsidRPr="00807291">
              <w:rPr>
                <w:kern w:val="2"/>
                <w14:ligatures w14:val="standardContextual"/>
              </w:rPr>
              <w:t>Fushë Kosovë</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11</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7</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23</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41</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10</w:t>
            </w:r>
          </w:p>
        </w:tc>
        <w:tc>
          <w:tcPr>
            <w:tcW w:w="1820" w:type="dxa"/>
            <w:noWrap/>
            <w:hideMark/>
          </w:tcPr>
          <w:p w:rsidR="00807291" w:rsidRPr="00807291" w:rsidRDefault="00807291">
            <w:pPr>
              <w:rPr>
                <w:kern w:val="2"/>
                <w14:ligatures w14:val="standardContextual"/>
              </w:rPr>
            </w:pPr>
            <w:r w:rsidRPr="00807291">
              <w:rPr>
                <w:kern w:val="2"/>
                <w14:ligatures w14:val="standardContextual"/>
              </w:rPr>
              <w:t>Kamenicë</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14</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9</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9</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32</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11</w:t>
            </w:r>
          </w:p>
        </w:tc>
        <w:tc>
          <w:tcPr>
            <w:tcW w:w="1820" w:type="dxa"/>
            <w:noWrap/>
            <w:hideMark/>
          </w:tcPr>
          <w:p w:rsidR="00807291" w:rsidRPr="00807291" w:rsidRDefault="00807291">
            <w:pPr>
              <w:rPr>
                <w:kern w:val="2"/>
                <w14:ligatures w14:val="standardContextual"/>
              </w:rPr>
            </w:pPr>
            <w:r w:rsidRPr="00807291">
              <w:rPr>
                <w:kern w:val="2"/>
                <w14:ligatures w14:val="standardContextual"/>
              </w:rPr>
              <w:t>Mitrovicë e Jugut</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29</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5</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13</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47</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12</w:t>
            </w:r>
          </w:p>
        </w:tc>
        <w:tc>
          <w:tcPr>
            <w:tcW w:w="1820" w:type="dxa"/>
            <w:noWrap/>
            <w:hideMark/>
          </w:tcPr>
          <w:p w:rsidR="00807291" w:rsidRPr="00807291" w:rsidRDefault="00807291">
            <w:pPr>
              <w:rPr>
                <w:kern w:val="2"/>
                <w14:ligatures w14:val="standardContextual"/>
              </w:rPr>
            </w:pPr>
            <w:r w:rsidRPr="00807291">
              <w:rPr>
                <w:kern w:val="2"/>
                <w14:ligatures w14:val="standardContextual"/>
              </w:rPr>
              <w:t>Lipjan</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34</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14</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24</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72</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13</w:t>
            </w:r>
          </w:p>
        </w:tc>
        <w:tc>
          <w:tcPr>
            <w:tcW w:w="1820" w:type="dxa"/>
            <w:noWrap/>
            <w:hideMark/>
          </w:tcPr>
          <w:p w:rsidR="00807291" w:rsidRPr="00807291" w:rsidRDefault="00807291">
            <w:pPr>
              <w:rPr>
                <w:kern w:val="2"/>
                <w14:ligatures w14:val="standardContextual"/>
              </w:rPr>
            </w:pPr>
            <w:r w:rsidRPr="00807291">
              <w:rPr>
                <w:kern w:val="2"/>
                <w14:ligatures w14:val="standardContextual"/>
              </w:rPr>
              <w:t>Novobërdë</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0</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0</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2</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2</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14</w:t>
            </w:r>
          </w:p>
        </w:tc>
        <w:tc>
          <w:tcPr>
            <w:tcW w:w="1820" w:type="dxa"/>
            <w:noWrap/>
            <w:hideMark/>
          </w:tcPr>
          <w:p w:rsidR="00807291" w:rsidRPr="00807291" w:rsidRDefault="00807291">
            <w:pPr>
              <w:rPr>
                <w:kern w:val="2"/>
                <w14:ligatures w14:val="standardContextual"/>
              </w:rPr>
            </w:pPr>
            <w:r w:rsidRPr="00807291">
              <w:rPr>
                <w:kern w:val="2"/>
                <w14:ligatures w14:val="standardContextual"/>
              </w:rPr>
              <w:t>Obiliq</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39</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18</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15</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72</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15</w:t>
            </w:r>
          </w:p>
        </w:tc>
        <w:tc>
          <w:tcPr>
            <w:tcW w:w="1820" w:type="dxa"/>
            <w:noWrap/>
            <w:hideMark/>
          </w:tcPr>
          <w:p w:rsidR="00807291" w:rsidRPr="00807291" w:rsidRDefault="00807291">
            <w:pPr>
              <w:rPr>
                <w:kern w:val="2"/>
                <w14:ligatures w14:val="standardContextual"/>
              </w:rPr>
            </w:pPr>
            <w:r w:rsidRPr="00807291">
              <w:rPr>
                <w:kern w:val="2"/>
                <w14:ligatures w14:val="standardContextual"/>
              </w:rPr>
              <w:t>Rahovec</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38</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17</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17</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72</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16</w:t>
            </w:r>
          </w:p>
        </w:tc>
        <w:tc>
          <w:tcPr>
            <w:tcW w:w="1820" w:type="dxa"/>
            <w:noWrap/>
            <w:hideMark/>
          </w:tcPr>
          <w:p w:rsidR="00807291" w:rsidRPr="00807291" w:rsidRDefault="00807291">
            <w:pPr>
              <w:rPr>
                <w:kern w:val="2"/>
                <w14:ligatures w14:val="standardContextual"/>
              </w:rPr>
            </w:pPr>
            <w:r w:rsidRPr="00807291">
              <w:rPr>
                <w:kern w:val="2"/>
                <w14:ligatures w14:val="standardContextual"/>
              </w:rPr>
              <w:t>Pejë</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18</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11</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16</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45</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17</w:t>
            </w:r>
          </w:p>
        </w:tc>
        <w:tc>
          <w:tcPr>
            <w:tcW w:w="1820" w:type="dxa"/>
            <w:noWrap/>
            <w:hideMark/>
          </w:tcPr>
          <w:p w:rsidR="00807291" w:rsidRPr="00807291" w:rsidRDefault="00807291">
            <w:pPr>
              <w:rPr>
                <w:kern w:val="2"/>
                <w14:ligatures w14:val="standardContextual"/>
              </w:rPr>
            </w:pPr>
            <w:r w:rsidRPr="00807291">
              <w:rPr>
                <w:kern w:val="2"/>
                <w14:ligatures w14:val="standardContextual"/>
              </w:rPr>
              <w:t>Podujevë</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26</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13</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12</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51</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18</w:t>
            </w:r>
          </w:p>
        </w:tc>
        <w:tc>
          <w:tcPr>
            <w:tcW w:w="1820" w:type="dxa"/>
            <w:noWrap/>
            <w:hideMark/>
          </w:tcPr>
          <w:p w:rsidR="00807291" w:rsidRPr="00807291" w:rsidRDefault="00807291">
            <w:pPr>
              <w:rPr>
                <w:kern w:val="2"/>
                <w14:ligatures w14:val="standardContextual"/>
              </w:rPr>
            </w:pPr>
            <w:r w:rsidRPr="00807291">
              <w:rPr>
                <w:kern w:val="2"/>
                <w14:ligatures w14:val="standardContextual"/>
              </w:rPr>
              <w:t>Prishtinë</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5</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16</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8</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29</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19</w:t>
            </w:r>
          </w:p>
        </w:tc>
        <w:tc>
          <w:tcPr>
            <w:tcW w:w="1820" w:type="dxa"/>
            <w:noWrap/>
            <w:hideMark/>
          </w:tcPr>
          <w:p w:rsidR="00807291" w:rsidRPr="00807291" w:rsidRDefault="00807291">
            <w:pPr>
              <w:rPr>
                <w:kern w:val="2"/>
                <w14:ligatures w14:val="standardContextual"/>
              </w:rPr>
            </w:pPr>
            <w:r w:rsidRPr="00807291">
              <w:rPr>
                <w:kern w:val="2"/>
                <w14:ligatures w14:val="standardContextual"/>
              </w:rPr>
              <w:t>Prizren</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31</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22</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18</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71</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20</w:t>
            </w:r>
          </w:p>
        </w:tc>
        <w:tc>
          <w:tcPr>
            <w:tcW w:w="1820" w:type="dxa"/>
            <w:noWrap/>
            <w:hideMark/>
          </w:tcPr>
          <w:p w:rsidR="00807291" w:rsidRPr="00807291" w:rsidRDefault="00807291">
            <w:pPr>
              <w:rPr>
                <w:kern w:val="2"/>
                <w14:ligatures w14:val="standardContextual"/>
              </w:rPr>
            </w:pPr>
            <w:r w:rsidRPr="00807291">
              <w:rPr>
                <w:kern w:val="2"/>
                <w14:ligatures w14:val="standardContextual"/>
              </w:rPr>
              <w:t>Skenderaj</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37</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15</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20</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72</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21</w:t>
            </w:r>
          </w:p>
        </w:tc>
        <w:tc>
          <w:tcPr>
            <w:tcW w:w="1820" w:type="dxa"/>
            <w:noWrap/>
            <w:hideMark/>
          </w:tcPr>
          <w:p w:rsidR="00807291" w:rsidRPr="00807291" w:rsidRDefault="00807291">
            <w:pPr>
              <w:rPr>
                <w:kern w:val="2"/>
                <w14:ligatures w14:val="standardContextual"/>
              </w:rPr>
            </w:pPr>
            <w:r w:rsidRPr="00807291">
              <w:rPr>
                <w:kern w:val="2"/>
                <w14:ligatures w14:val="standardContextual"/>
              </w:rPr>
              <w:t>Shtime</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25</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14</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9</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48</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22</w:t>
            </w:r>
          </w:p>
        </w:tc>
        <w:tc>
          <w:tcPr>
            <w:tcW w:w="1820" w:type="dxa"/>
            <w:noWrap/>
            <w:hideMark/>
          </w:tcPr>
          <w:p w:rsidR="00807291" w:rsidRPr="00807291" w:rsidRDefault="00807291">
            <w:pPr>
              <w:rPr>
                <w:kern w:val="2"/>
                <w14:ligatures w14:val="standardContextual"/>
              </w:rPr>
            </w:pPr>
            <w:r w:rsidRPr="00807291">
              <w:rPr>
                <w:kern w:val="2"/>
                <w14:ligatures w14:val="standardContextual"/>
              </w:rPr>
              <w:t>Suharekë</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33</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13</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12</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58</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23</w:t>
            </w:r>
          </w:p>
        </w:tc>
        <w:tc>
          <w:tcPr>
            <w:tcW w:w="1820" w:type="dxa"/>
            <w:noWrap/>
            <w:hideMark/>
          </w:tcPr>
          <w:p w:rsidR="00807291" w:rsidRPr="00807291" w:rsidRDefault="00807291">
            <w:pPr>
              <w:rPr>
                <w:kern w:val="2"/>
                <w14:ligatures w14:val="standardContextual"/>
              </w:rPr>
            </w:pPr>
            <w:r w:rsidRPr="00807291">
              <w:rPr>
                <w:kern w:val="2"/>
                <w14:ligatures w14:val="standardContextual"/>
              </w:rPr>
              <w:t>Ferizaj</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28</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16</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15</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59</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24</w:t>
            </w:r>
          </w:p>
        </w:tc>
        <w:tc>
          <w:tcPr>
            <w:tcW w:w="1820" w:type="dxa"/>
            <w:noWrap/>
            <w:hideMark/>
          </w:tcPr>
          <w:p w:rsidR="00807291" w:rsidRPr="00807291" w:rsidRDefault="00807291">
            <w:pPr>
              <w:rPr>
                <w:kern w:val="2"/>
                <w14:ligatures w14:val="standardContextual"/>
              </w:rPr>
            </w:pPr>
            <w:r w:rsidRPr="00807291">
              <w:rPr>
                <w:kern w:val="2"/>
                <w14:ligatures w14:val="standardContextual"/>
              </w:rPr>
              <w:t>Viti</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19</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6</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6</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31</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25</w:t>
            </w:r>
          </w:p>
        </w:tc>
        <w:tc>
          <w:tcPr>
            <w:tcW w:w="1820" w:type="dxa"/>
            <w:noWrap/>
            <w:hideMark/>
          </w:tcPr>
          <w:p w:rsidR="00807291" w:rsidRPr="00807291" w:rsidRDefault="00807291">
            <w:pPr>
              <w:rPr>
                <w:kern w:val="2"/>
                <w14:ligatures w14:val="standardContextual"/>
              </w:rPr>
            </w:pPr>
            <w:r w:rsidRPr="00807291">
              <w:rPr>
                <w:kern w:val="2"/>
                <w14:ligatures w14:val="standardContextual"/>
              </w:rPr>
              <w:t>Vushtrri</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34</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10</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19</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63</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26</w:t>
            </w:r>
          </w:p>
        </w:tc>
        <w:tc>
          <w:tcPr>
            <w:tcW w:w="1820" w:type="dxa"/>
            <w:noWrap/>
            <w:hideMark/>
          </w:tcPr>
          <w:p w:rsidR="00807291" w:rsidRPr="00807291" w:rsidRDefault="00807291">
            <w:pPr>
              <w:rPr>
                <w:kern w:val="2"/>
                <w14:ligatures w14:val="standardContextual"/>
              </w:rPr>
            </w:pPr>
            <w:r w:rsidRPr="00807291">
              <w:rPr>
                <w:kern w:val="2"/>
                <w14:ligatures w14:val="standardContextual"/>
              </w:rPr>
              <w:t>Malishevë</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13</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5</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8</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26</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27</w:t>
            </w:r>
          </w:p>
        </w:tc>
        <w:tc>
          <w:tcPr>
            <w:tcW w:w="1820" w:type="dxa"/>
            <w:noWrap/>
            <w:hideMark/>
          </w:tcPr>
          <w:p w:rsidR="00807291" w:rsidRPr="00807291" w:rsidRDefault="00807291">
            <w:pPr>
              <w:rPr>
                <w:kern w:val="2"/>
                <w14:ligatures w14:val="standardContextual"/>
              </w:rPr>
            </w:pPr>
            <w:r w:rsidRPr="00807291">
              <w:rPr>
                <w:kern w:val="2"/>
                <w14:ligatures w14:val="standardContextual"/>
              </w:rPr>
              <w:t>Hani i Elezit</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33</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13</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15</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61</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28</w:t>
            </w:r>
          </w:p>
        </w:tc>
        <w:tc>
          <w:tcPr>
            <w:tcW w:w="1820" w:type="dxa"/>
            <w:noWrap/>
            <w:hideMark/>
          </w:tcPr>
          <w:p w:rsidR="00807291" w:rsidRPr="00807291" w:rsidRDefault="00807291">
            <w:pPr>
              <w:rPr>
                <w:kern w:val="2"/>
                <w14:ligatures w14:val="standardContextual"/>
              </w:rPr>
            </w:pPr>
            <w:r w:rsidRPr="00807291">
              <w:rPr>
                <w:kern w:val="2"/>
                <w14:ligatures w14:val="standardContextual"/>
              </w:rPr>
              <w:t>Mamushë</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6</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10</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10</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26</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29</w:t>
            </w:r>
          </w:p>
        </w:tc>
        <w:tc>
          <w:tcPr>
            <w:tcW w:w="1820" w:type="dxa"/>
            <w:noWrap/>
            <w:hideMark/>
          </w:tcPr>
          <w:p w:rsidR="00807291" w:rsidRPr="00807291" w:rsidRDefault="00807291">
            <w:pPr>
              <w:rPr>
                <w:kern w:val="2"/>
                <w14:ligatures w14:val="standardContextual"/>
              </w:rPr>
            </w:pPr>
            <w:r w:rsidRPr="00807291">
              <w:rPr>
                <w:kern w:val="2"/>
                <w14:ligatures w14:val="standardContextual"/>
              </w:rPr>
              <w:t>Junik</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28</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10</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14</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52</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30</w:t>
            </w:r>
          </w:p>
        </w:tc>
        <w:tc>
          <w:tcPr>
            <w:tcW w:w="1820" w:type="dxa"/>
            <w:noWrap/>
            <w:hideMark/>
          </w:tcPr>
          <w:p w:rsidR="00807291" w:rsidRPr="00807291" w:rsidRDefault="00807291">
            <w:pPr>
              <w:rPr>
                <w:kern w:val="2"/>
                <w14:ligatures w14:val="standardContextual"/>
              </w:rPr>
            </w:pPr>
            <w:r w:rsidRPr="00807291">
              <w:rPr>
                <w:kern w:val="2"/>
                <w14:ligatures w14:val="standardContextual"/>
              </w:rPr>
              <w:t>Graçanicë</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19</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4</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3</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26</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31</w:t>
            </w:r>
          </w:p>
        </w:tc>
        <w:tc>
          <w:tcPr>
            <w:tcW w:w="1820" w:type="dxa"/>
            <w:noWrap/>
            <w:hideMark/>
          </w:tcPr>
          <w:p w:rsidR="00807291" w:rsidRPr="00807291" w:rsidRDefault="00807291">
            <w:pPr>
              <w:rPr>
                <w:kern w:val="2"/>
                <w14:ligatures w14:val="standardContextual"/>
              </w:rPr>
            </w:pPr>
            <w:r w:rsidRPr="00807291">
              <w:rPr>
                <w:kern w:val="2"/>
                <w14:ligatures w14:val="standardContextual"/>
              </w:rPr>
              <w:t>Kllokot</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0</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0</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0</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0</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32</w:t>
            </w:r>
          </w:p>
        </w:tc>
        <w:tc>
          <w:tcPr>
            <w:tcW w:w="1820" w:type="dxa"/>
            <w:noWrap/>
            <w:hideMark/>
          </w:tcPr>
          <w:p w:rsidR="00807291" w:rsidRPr="00807291" w:rsidRDefault="00807291">
            <w:pPr>
              <w:rPr>
                <w:kern w:val="2"/>
                <w14:ligatures w14:val="standardContextual"/>
              </w:rPr>
            </w:pPr>
            <w:r w:rsidRPr="00807291">
              <w:rPr>
                <w:kern w:val="2"/>
                <w14:ligatures w14:val="standardContextual"/>
              </w:rPr>
              <w:t>Ranillug</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9</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5</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2</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16</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33</w:t>
            </w:r>
          </w:p>
        </w:tc>
        <w:tc>
          <w:tcPr>
            <w:tcW w:w="1820" w:type="dxa"/>
            <w:noWrap/>
            <w:hideMark/>
          </w:tcPr>
          <w:p w:rsidR="00807291" w:rsidRPr="00807291" w:rsidRDefault="00807291">
            <w:pPr>
              <w:rPr>
                <w:kern w:val="2"/>
                <w14:ligatures w14:val="standardContextual"/>
              </w:rPr>
            </w:pPr>
            <w:r w:rsidRPr="00807291">
              <w:rPr>
                <w:kern w:val="2"/>
                <w14:ligatures w14:val="standardContextual"/>
              </w:rPr>
              <w:t>Partesh</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7</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2</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2</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11</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34</w:t>
            </w:r>
          </w:p>
        </w:tc>
        <w:tc>
          <w:tcPr>
            <w:tcW w:w="1820" w:type="dxa"/>
            <w:noWrap/>
            <w:hideMark/>
          </w:tcPr>
          <w:p w:rsidR="00807291" w:rsidRPr="00807291" w:rsidRDefault="00807291">
            <w:pPr>
              <w:rPr>
                <w:kern w:val="2"/>
                <w14:ligatures w14:val="standardContextual"/>
              </w:rPr>
            </w:pPr>
            <w:r w:rsidRPr="00807291">
              <w:rPr>
                <w:kern w:val="2"/>
                <w14:ligatures w14:val="standardContextual"/>
              </w:rPr>
              <w:t>Mitrovicë e Veriut</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4</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5</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4</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13</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35</w:t>
            </w:r>
          </w:p>
        </w:tc>
        <w:tc>
          <w:tcPr>
            <w:tcW w:w="1820" w:type="dxa"/>
            <w:noWrap/>
            <w:hideMark/>
          </w:tcPr>
          <w:p w:rsidR="00807291" w:rsidRPr="00807291" w:rsidRDefault="00807291">
            <w:pPr>
              <w:rPr>
                <w:kern w:val="2"/>
                <w14:ligatures w14:val="standardContextual"/>
              </w:rPr>
            </w:pPr>
            <w:r w:rsidRPr="00807291">
              <w:rPr>
                <w:kern w:val="2"/>
                <w14:ligatures w14:val="standardContextual"/>
              </w:rPr>
              <w:t>Zveçan</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0</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0</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0</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0</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36</w:t>
            </w:r>
          </w:p>
        </w:tc>
        <w:tc>
          <w:tcPr>
            <w:tcW w:w="1820" w:type="dxa"/>
            <w:noWrap/>
            <w:hideMark/>
          </w:tcPr>
          <w:p w:rsidR="00807291" w:rsidRPr="00807291" w:rsidRDefault="00807291">
            <w:pPr>
              <w:rPr>
                <w:kern w:val="2"/>
                <w14:ligatures w14:val="standardContextual"/>
              </w:rPr>
            </w:pPr>
            <w:r w:rsidRPr="00807291">
              <w:rPr>
                <w:kern w:val="2"/>
                <w14:ligatures w14:val="standardContextual"/>
              </w:rPr>
              <w:t>Zubin Potok</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0</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0</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0</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0</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37</w:t>
            </w:r>
          </w:p>
        </w:tc>
        <w:tc>
          <w:tcPr>
            <w:tcW w:w="1820" w:type="dxa"/>
            <w:noWrap/>
            <w:hideMark/>
          </w:tcPr>
          <w:p w:rsidR="00807291" w:rsidRPr="00807291" w:rsidRDefault="00807291">
            <w:pPr>
              <w:rPr>
                <w:kern w:val="2"/>
                <w14:ligatures w14:val="standardContextual"/>
              </w:rPr>
            </w:pPr>
            <w:r w:rsidRPr="00807291">
              <w:rPr>
                <w:kern w:val="2"/>
                <w14:ligatures w14:val="standardContextual"/>
              </w:rPr>
              <w:t>Leposaviq</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0</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0</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0</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0</w:t>
            </w:r>
          </w:p>
        </w:tc>
      </w:tr>
      <w:tr w:rsidR="00807291" w:rsidRPr="00807291" w:rsidTr="00807291">
        <w:trPr>
          <w:trHeight w:val="300"/>
        </w:trPr>
        <w:tc>
          <w:tcPr>
            <w:tcW w:w="960" w:type="dxa"/>
            <w:noWrap/>
            <w:hideMark/>
          </w:tcPr>
          <w:p w:rsidR="00807291" w:rsidRPr="00807291" w:rsidRDefault="00807291" w:rsidP="00807291">
            <w:pPr>
              <w:rPr>
                <w:kern w:val="2"/>
                <w14:ligatures w14:val="standardContextual"/>
              </w:rPr>
            </w:pPr>
            <w:r w:rsidRPr="00807291">
              <w:rPr>
                <w:kern w:val="2"/>
                <w14:ligatures w14:val="standardContextual"/>
              </w:rPr>
              <w:t>38</w:t>
            </w:r>
          </w:p>
        </w:tc>
        <w:tc>
          <w:tcPr>
            <w:tcW w:w="1820" w:type="dxa"/>
            <w:noWrap/>
            <w:hideMark/>
          </w:tcPr>
          <w:p w:rsidR="00807291" w:rsidRPr="00807291" w:rsidRDefault="00807291">
            <w:pPr>
              <w:rPr>
                <w:kern w:val="2"/>
                <w14:ligatures w14:val="standardContextual"/>
              </w:rPr>
            </w:pPr>
            <w:r w:rsidRPr="00807291">
              <w:rPr>
                <w:kern w:val="2"/>
                <w14:ligatures w14:val="standardContextual"/>
              </w:rPr>
              <w:t>Shtërpcë</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0</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0</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0</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0</w:t>
            </w:r>
          </w:p>
        </w:tc>
      </w:tr>
      <w:tr w:rsidR="00807291" w:rsidRPr="00807291" w:rsidTr="00807291">
        <w:trPr>
          <w:trHeight w:val="300"/>
        </w:trPr>
        <w:tc>
          <w:tcPr>
            <w:tcW w:w="2780" w:type="dxa"/>
            <w:gridSpan w:val="2"/>
            <w:noWrap/>
            <w:hideMark/>
          </w:tcPr>
          <w:p w:rsidR="00807291" w:rsidRPr="00807291" w:rsidRDefault="00807291" w:rsidP="00807291">
            <w:pPr>
              <w:rPr>
                <w:kern w:val="2"/>
                <w14:ligatures w14:val="standardContextual"/>
              </w:rPr>
            </w:pPr>
            <w:r w:rsidRPr="00807291">
              <w:rPr>
                <w:kern w:val="2"/>
                <w14:ligatures w14:val="standardContextual"/>
              </w:rPr>
              <w:t xml:space="preserve">Mesatarja e pikëve </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20.63</w:t>
            </w:r>
          </w:p>
        </w:tc>
        <w:tc>
          <w:tcPr>
            <w:tcW w:w="1300" w:type="dxa"/>
            <w:noWrap/>
            <w:hideMark/>
          </w:tcPr>
          <w:p w:rsidR="00807291" w:rsidRPr="00807291" w:rsidRDefault="00807291" w:rsidP="00807291">
            <w:pPr>
              <w:rPr>
                <w:kern w:val="2"/>
                <w14:ligatures w14:val="standardContextual"/>
              </w:rPr>
            </w:pPr>
            <w:r w:rsidRPr="00807291">
              <w:rPr>
                <w:kern w:val="2"/>
                <w14:ligatures w14:val="standardContextual"/>
              </w:rPr>
              <w:t>9.39</w:t>
            </w:r>
          </w:p>
        </w:tc>
        <w:tc>
          <w:tcPr>
            <w:tcW w:w="1240" w:type="dxa"/>
            <w:noWrap/>
            <w:hideMark/>
          </w:tcPr>
          <w:p w:rsidR="00807291" w:rsidRPr="00807291" w:rsidRDefault="00807291" w:rsidP="00807291">
            <w:pPr>
              <w:rPr>
                <w:kern w:val="2"/>
                <w14:ligatures w14:val="standardContextual"/>
              </w:rPr>
            </w:pPr>
            <w:r w:rsidRPr="00807291">
              <w:rPr>
                <w:kern w:val="2"/>
                <w14:ligatures w14:val="standardContextual"/>
              </w:rPr>
              <w:t>10.89</w:t>
            </w:r>
          </w:p>
        </w:tc>
        <w:tc>
          <w:tcPr>
            <w:tcW w:w="1120" w:type="dxa"/>
            <w:noWrap/>
            <w:hideMark/>
          </w:tcPr>
          <w:p w:rsidR="00807291" w:rsidRPr="00807291" w:rsidRDefault="00807291" w:rsidP="00807291">
            <w:pPr>
              <w:rPr>
                <w:kern w:val="2"/>
                <w14:ligatures w14:val="standardContextual"/>
              </w:rPr>
            </w:pPr>
            <w:r w:rsidRPr="00807291">
              <w:rPr>
                <w:kern w:val="2"/>
                <w14:ligatures w14:val="standardContextual"/>
              </w:rPr>
              <w:t>40.92</w:t>
            </w:r>
          </w:p>
        </w:tc>
      </w:tr>
    </w:tbl>
    <w:p w:rsidR="009D1AC0" w:rsidRPr="00A001CB" w:rsidRDefault="009D1AC0" w:rsidP="00A001CB">
      <w:pPr>
        <w:rPr>
          <w:rFonts w:asciiTheme="majorHAnsi" w:hAnsiTheme="majorHAnsi" w:cstheme="majorHAnsi"/>
        </w:rPr>
      </w:pPr>
      <w:r>
        <w:rPr>
          <w:rFonts w:asciiTheme="majorHAnsi" w:hAnsiTheme="majorHAnsi" w:cstheme="majorHAnsi"/>
        </w:rPr>
        <w:lastRenderedPageBreak/>
        <w:fldChar w:fldCharType="end"/>
      </w:r>
    </w:p>
    <w:p w:rsidR="00272DBB" w:rsidRDefault="006C12ED" w:rsidP="00F21F4B">
      <w:pPr>
        <w:spacing w:line="276" w:lineRule="auto"/>
        <w:jc w:val="both"/>
        <w:rPr>
          <w:noProof/>
          <w:lang w:val="en-US"/>
        </w:rPr>
      </w:pPr>
      <w:r w:rsidRPr="006C12ED">
        <w:rPr>
          <w:noProof/>
          <w:lang w:val="en-GB" w:eastAsia="en-GB"/>
        </w:rPr>
        <w:drawing>
          <wp:inline distT="0" distB="0" distL="0" distR="0">
            <wp:extent cx="6393976" cy="5711111"/>
            <wp:effectExtent l="0" t="0" r="6985" b="4445"/>
            <wp:docPr id="1708941625" name="Picture 170894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18339" cy="5732872"/>
                    </a:xfrm>
                    <a:prstGeom prst="rect">
                      <a:avLst/>
                    </a:prstGeom>
                    <a:noFill/>
                    <a:ln>
                      <a:noFill/>
                    </a:ln>
                  </pic:spPr>
                </pic:pic>
              </a:graphicData>
            </a:graphic>
          </wp:inline>
        </w:drawing>
      </w:r>
    </w:p>
    <w:p w:rsidR="00F171B0" w:rsidRDefault="00F171B0" w:rsidP="00F21F4B">
      <w:pPr>
        <w:spacing w:line="276" w:lineRule="auto"/>
        <w:jc w:val="both"/>
        <w:rPr>
          <w:rFonts w:asciiTheme="majorHAnsi" w:hAnsiTheme="majorHAnsi" w:cstheme="majorHAnsi"/>
        </w:rPr>
      </w:pPr>
    </w:p>
    <w:p w:rsidR="00F171B0" w:rsidRDefault="006C12ED">
      <w:pPr>
        <w:rPr>
          <w:rFonts w:asciiTheme="majorHAnsi" w:hAnsiTheme="majorHAnsi" w:cstheme="majorHAnsi"/>
        </w:rPr>
      </w:pPr>
      <w:r w:rsidRPr="006C12ED">
        <w:rPr>
          <w:noProof/>
          <w:lang w:val="en-GB" w:eastAsia="en-GB"/>
        </w:rPr>
        <w:lastRenderedPageBreak/>
        <w:drawing>
          <wp:inline distT="0" distB="0" distL="0" distR="0">
            <wp:extent cx="6182360" cy="5329451"/>
            <wp:effectExtent l="0" t="0" r="8890" b="5080"/>
            <wp:docPr id="1708941626" name="Picture 170894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7670" cy="5334028"/>
                    </a:xfrm>
                    <a:prstGeom prst="rect">
                      <a:avLst/>
                    </a:prstGeom>
                    <a:noFill/>
                    <a:ln>
                      <a:noFill/>
                    </a:ln>
                  </pic:spPr>
                </pic:pic>
              </a:graphicData>
            </a:graphic>
          </wp:inline>
        </w:drawing>
      </w:r>
      <w:r w:rsidR="00F171B0">
        <w:rPr>
          <w:rFonts w:asciiTheme="majorHAnsi" w:hAnsiTheme="majorHAnsi" w:cstheme="majorHAnsi"/>
        </w:rPr>
        <w:br w:type="page"/>
      </w:r>
    </w:p>
    <w:p w:rsidR="008A5952" w:rsidRDefault="006C12ED" w:rsidP="008A5952">
      <w:pPr>
        <w:rPr>
          <w:rFonts w:asciiTheme="majorHAnsi" w:hAnsiTheme="majorHAnsi" w:cstheme="majorHAnsi"/>
        </w:rPr>
        <w:sectPr w:rsidR="008A5952" w:rsidSect="00F43A28">
          <w:footerReference w:type="default" r:id="rId34"/>
          <w:pgSz w:w="12240" w:h="15840"/>
          <w:pgMar w:top="1440" w:right="1440" w:bottom="1440" w:left="1440" w:header="720" w:footer="720" w:gutter="0"/>
          <w:cols w:space="720"/>
          <w:docGrid w:linePitch="360"/>
        </w:sectPr>
      </w:pPr>
      <w:r w:rsidRPr="006C12ED">
        <w:rPr>
          <w:noProof/>
          <w:lang w:val="en-GB" w:eastAsia="en-GB"/>
        </w:rPr>
        <w:lastRenderedPageBreak/>
        <w:drawing>
          <wp:inline distT="0" distB="0" distL="0" distR="0">
            <wp:extent cx="6182436" cy="4980459"/>
            <wp:effectExtent l="0" t="0" r="8890" b="0"/>
            <wp:docPr id="1708941627" name="Picture 170894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7750" cy="4992795"/>
                    </a:xfrm>
                    <a:prstGeom prst="rect">
                      <a:avLst/>
                    </a:prstGeom>
                    <a:noFill/>
                    <a:ln>
                      <a:noFill/>
                    </a:ln>
                  </pic:spPr>
                </pic:pic>
              </a:graphicData>
            </a:graphic>
          </wp:inline>
        </w:drawing>
      </w:r>
      <w:r w:rsidR="00F171B0">
        <w:rPr>
          <w:rFonts w:asciiTheme="majorHAnsi" w:hAnsiTheme="majorHAnsi" w:cstheme="majorHAnsi"/>
        </w:rPr>
        <w:br w:type="page"/>
      </w:r>
    </w:p>
    <w:p w:rsidR="008A5952" w:rsidRPr="00216577" w:rsidRDefault="008A5952" w:rsidP="00C15C36">
      <w:pPr>
        <w:keepNext/>
        <w:shd w:val="clear" w:color="auto" w:fill="215E99" w:themeFill="text2" w:themeFillTint="BF"/>
        <w:tabs>
          <w:tab w:val="left" w:pos="540"/>
        </w:tabs>
        <w:spacing w:line="240" w:lineRule="auto"/>
        <w:outlineLvl w:val="0"/>
        <w:rPr>
          <w:rFonts w:ascii="Segoe UI Symbol" w:eastAsiaTheme="majorEastAsia" w:hAnsi="Segoe UI Symbol" w:cstheme="majorHAnsi"/>
          <w:b/>
          <w:color w:val="2C7FCE" w:themeColor="text2" w:themeTint="99"/>
          <w:sz w:val="30"/>
          <w:szCs w:val="30"/>
          <w:lang w:val="en-US" w:eastAsia="ja-JP"/>
        </w:rPr>
      </w:pPr>
      <w:bookmarkStart w:id="34" w:name="_Toc178434865"/>
      <w:r>
        <w:rPr>
          <w:rFonts w:asciiTheme="majorHAnsi" w:eastAsiaTheme="majorEastAsia" w:hAnsiTheme="majorHAnsi" w:cstheme="majorHAnsi"/>
          <w:b/>
          <w:color w:val="FFFFFF" w:themeColor="background1"/>
          <w:sz w:val="30"/>
          <w:szCs w:val="30"/>
        </w:rPr>
        <w:lastRenderedPageBreak/>
        <w:t>Shtojca 3  Alokimi i Grantit</w:t>
      </w:r>
      <w:bookmarkEnd w:id="34"/>
    </w:p>
    <w:p w:rsidR="00C15C36" w:rsidRDefault="008A5952" w:rsidP="00C15C36">
      <w:pPr>
        <w:spacing w:line="276" w:lineRule="auto"/>
        <w:jc w:val="both"/>
        <w:rPr>
          <w:rFonts w:asciiTheme="majorHAnsi" w:hAnsiTheme="majorHAnsi" w:cstheme="majorHAnsi"/>
        </w:rPr>
      </w:pPr>
      <w:r w:rsidRPr="00216577">
        <w:rPr>
          <w:rFonts w:asciiTheme="majorHAnsi" w:hAnsiTheme="majorHAnsi" w:cstheme="majorHAnsi"/>
        </w:rPr>
        <w:t>Në bazë të rezultateve të kushteve minimale dhe të treguesve të performancës, është plotësuar tabela e alokimit të grantit.</w:t>
      </w:r>
      <w:r w:rsidR="00196E89">
        <w:rPr>
          <w:rFonts w:asciiTheme="majorHAnsi" w:hAnsiTheme="majorHAnsi" w:cstheme="majorHAnsi"/>
        </w:rPr>
        <w:t xml:space="preserve"> Menyra e llogaritjes së Grantit është përshkruar</w:t>
      </w:r>
      <w:r w:rsidR="005E725F">
        <w:rPr>
          <w:rFonts w:asciiTheme="majorHAnsi" w:hAnsiTheme="majorHAnsi" w:cstheme="majorHAnsi"/>
        </w:rPr>
        <w:t xml:space="preserve"> më poshtë si dhe më</w:t>
      </w:r>
      <w:r w:rsidR="00196E89">
        <w:rPr>
          <w:rFonts w:asciiTheme="majorHAnsi" w:hAnsiTheme="majorHAnsi" w:cstheme="majorHAnsi"/>
        </w:rPr>
        <w:t xml:space="preserve"> detajisht </w:t>
      </w:r>
      <w:r w:rsidR="005E725F">
        <w:rPr>
          <w:rFonts w:asciiTheme="majorHAnsi" w:hAnsiTheme="majorHAnsi" w:cstheme="majorHAnsi"/>
        </w:rPr>
        <w:t xml:space="preserve">jepen udhëzimet </w:t>
      </w:r>
      <w:r w:rsidR="00196E89">
        <w:rPr>
          <w:rFonts w:asciiTheme="majorHAnsi" w:hAnsiTheme="majorHAnsi" w:cstheme="majorHAnsi"/>
        </w:rPr>
        <w:t>në rregullat e Grantit të Performancës për vitin fiskal 202</w:t>
      </w:r>
      <w:r w:rsidR="00184C23">
        <w:rPr>
          <w:rFonts w:asciiTheme="majorHAnsi" w:hAnsiTheme="majorHAnsi" w:cstheme="majorHAnsi"/>
        </w:rPr>
        <w:t>6</w:t>
      </w:r>
      <w:r w:rsidR="00196E89">
        <w:rPr>
          <w:rFonts w:asciiTheme="majorHAnsi" w:hAnsiTheme="majorHAnsi" w:cstheme="majorHAnsi"/>
        </w:rPr>
        <w:t>, bazuar në performancën e vitit 202</w:t>
      </w:r>
      <w:r w:rsidR="00184C23">
        <w:rPr>
          <w:rFonts w:asciiTheme="majorHAnsi" w:hAnsiTheme="majorHAnsi" w:cstheme="majorHAnsi"/>
        </w:rPr>
        <w:t>4</w:t>
      </w:r>
      <w:r w:rsidR="00FD3541">
        <w:rPr>
          <w:rFonts w:asciiTheme="majorHAnsi" w:hAnsiTheme="majorHAnsi" w:cstheme="majorHAnsi"/>
        </w:rPr>
        <w:t>, shtojca 4.</w:t>
      </w:r>
    </w:p>
    <w:p w:rsidR="00C15C36" w:rsidRDefault="00C15C36" w:rsidP="00C15C36">
      <w:pPr>
        <w:spacing w:line="276" w:lineRule="auto"/>
        <w:jc w:val="both"/>
        <w:rPr>
          <w:rFonts w:asciiTheme="majorHAnsi" w:hAnsiTheme="majorHAnsi" w:cstheme="majorHAnsi"/>
        </w:rPr>
        <w:sectPr w:rsidR="00C15C36" w:rsidSect="00F43A28">
          <w:pgSz w:w="15840" w:h="12240" w:orient="landscape"/>
          <w:pgMar w:top="1440" w:right="1440" w:bottom="1440" w:left="1440" w:header="720" w:footer="720" w:gutter="0"/>
          <w:cols w:space="720"/>
          <w:docGrid w:linePitch="360"/>
        </w:sectPr>
      </w:pPr>
      <w:r w:rsidRPr="00C15C36">
        <w:rPr>
          <w:noProof/>
          <w:lang w:val="en-GB" w:eastAsia="en-GB"/>
        </w:rPr>
        <w:drawing>
          <wp:inline distT="0" distB="0" distL="0" distR="0" wp14:anchorId="68A54364" wp14:editId="27174944">
            <wp:extent cx="8465820" cy="4913906"/>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31019" cy="4951750"/>
                    </a:xfrm>
                    <a:prstGeom prst="rect">
                      <a:avLst/>
                    </a:prstGeom>
                    <a:noFill/>
                    <a:ln>
                      <a:noFill/>
                    </a:ln>
                  </pic:spPr>
                </pic:pic>
              </a:graphicData>
            </a:graphic>
          </wp:inline>
        </w:drawing>
      </w:r>
    </w:p>
    <w:p w:rsidR="005E725F" w:rsidRPr="005E725F" w:rsidRDefault="005E725F" w:rsidP="005E725F">
      <w:pPr>
        <w:spacing w:line="276" w:lineRule="auto"/>
        <w:jc w:val="both"/>
        <w:rPr>
          <w:rFonts w:asciiTheme="majorHAnsi" w:hAnsiTheme="majorHAnsi" w:cstheme="majorHAnsi"/>
        </w:rPr>
      </w:pPr>
      <w:r>
        <w:rPr>
          <w:rFonts w:asciiTheme="majorHAnsi" w:hAnsiTheme="majorHAnsi" w:cstheme="majorHAnsi"/>
        </w:rPr>
        <w:lastRenderedPageBreak/>
        <w:t>Pra, tabela e alokimit të Grantit, plotësohet n</w:t>
      </w:r>
      <w:r w:rsidRPr="005E725F">
        <w:rPr>
          <w:rFonts w:asciiTheme="majorHAnsi" w:hAnsiTheme="majorHAnsi" w:cstheme="majorHAnsi"/>
        </w:rPr>
        <w:t>ë bazë të rezultateve të kushteve minimale dhe të treguesve të performancës, është plotësuar tabela e alokimit të grantit.</w:t>
      </w:r>
    </w:p>
    <w:p w:rsidR="005E725F" w:rsidRPr="005E725F" w:rsidRDefault="005E725F" w:rsidP="005E725F">
      <w:pPr>
        <w:spacing w:after="0" w:line="276" w:lineRule="auto"/>
        <w:jc w:val="both"/>
        <w:rPr>
          <w:rFonts w:asciiTheme="majorHAnsi" w:hAnsiTheme="majorHAnsi" w:cstheme="majorHAnsi"/>
        </w:rPr>
      </w:pPr>
      <w:r w:rsidRPr="005E725F">
        <w:rPr>
          <w:rFonts w:asciiTheme="majorHAnsi" w:hAnsiTheme="majorHAnsi" w:cstheme="majorHAnsi"/>
        </w:rPr>
        <w:t>•</w:t>
      </w:r>
      <w:r w:rsidRPr="005E725F">
        <w:rPr>
          <w:rFonts w:asciiTheme="majorHAnsi" w:hAnsiTheme="majorHAnsi" w:cstheme="majorHAnsi"/>
        </w:rPr>
        <w:tab/>
        <w:t>Kolona 2- paraqet emrin e komunës, ndërsa, kolona 3- shumën e përgjithshme të Grantit të përgjithshëm sipas qarkores buxhetore 2025/01</w:t>
      </w:r>
    </w:p>
    <w:p w:rsidR="005E725F" w:rsidRPr="005E725F" w:rsidRDefault="005E725F" w:rsidP="005E725F">
      <w:pPr>
        <w:spacing w:after="0" w:line="276" w:lineRule="auto"/>
        <w:jc w:val="both"/>
        <w:rPr>
          <w:rFonts w:asciiTheme="majorHAnsi" w:hAnsiTheme="majorHAnsi" w:cstheme="majorHAnsi"/>
        </w:rPr>
      </w:pPr>
      <w:r w:rsidRPr="005E725F">
        <w:rPr>
          <w:rFonts w:asciiTheme="majorHAnsi" w:hAnsiTheme="majorHAnsi" w:cstheme="majorHAnsi"/>
        </w:rPr>
        <w:t>•</w:t>
      </w:r>
      <w:r w:rsidRPr="005E725F">
        <w:rPr>
          <w:rFonts w:asciiTheme="majorHAnsi" w:hAnsiTheme="majorHAnsi" w:cstheme="majorHAnsi"/>
        </w:rPr>
        <w:tab/>
        <w:t>Kolona 4- ‘Pjesa relative e grantit të përgjithshëm’ - përcaktohet duke e pjesëtuar ‘grantin e përgjithshëm në kolonen (3) me ‘gjithsej shumën e grantit të përgjithshëm për alokim’ - totali i kolonës 3.</w:t>
      </w:r>
    </w:p>
    <w:p w:rsidR="005E725F" w:rsidRPr="005E725F" w:rsidRDefault="005E725F" w:rsidP="005E725F">
      <w:pPr>
        <w:spacing w:after="0" w:line="276" w:lineRule="auto"/>
        <w:jc w:val="both"/>
        <w:rPr>
          <w:rFonts w:asciiTheme="majorHAnsi" w:hAnsiTheme="majorHAnsi" w:cstheme="majorHAnsi"/>
        </w:rPr>
      </w:pPr>
      <w:r w:rsidRPr="005E725F">
        <w:rPr>
          <w:rFonts w:asciiTheme="majorHAnsi" w:hAnsiTheme="majorHAnsi" w:cstheme="majorHAnsi"/>
        </w:rPr>
        <w:t>•</w:t>
      </w:r>
      <w:r w:rsidRPr="005E725F">
        <w:rPr>
          <w:rFonts w:asciiTheme="majorHAnsi" w:hAnsiTheme="majorHAnsi" w:cstheme="majorHAnsi"/>
        </w:rPr>
        <w:tab/>
        <w:t>Kolona 5- vlerësimi i kushteve minimale. Në qoftë se komuna i ka përmbushur të katër kushtet minimale, merr vlerën 1, nëqoftese komuna nuk ka përmbushur kushtet minimale, merr vlerën 0 që nënkupton që nuk është përfituese e Grantin.</w:t>
      </w:r>
    </w:p>
    <w:p w:rsidR="005E725F" w:rsidRPr="005E725F" w:rsidRDefault="005E725F" w:rsidP="005E725F">
      <w:pPr>
        <w:spacing w:after="0" w:line="276" w:lineRule="auto"/>
        <w:jc w:val="both"/>
        <w:rPr>
          <w:rFonts w:asciiTheme="majorHAnsi" w:hAnsiTheme="majorHAnsi" w:cstheme="majorHAnsi"/>
        </w:rPr>
      </w:pPr>
      <w:r w:rsidRPr="005E725F">
        <w:rPr>
          <w:rFonts w:asciiTheme="majorHAnsi" w:hAnsiTheme="majorHAnsi" w:cstheme="majorHAnsi"/>
        </w:rPr>
        <w:t>•</w:t>
      </w:r>
      <w:r w:rsidRPr="005E725F">
        <w:rPr>
          <w:rFonts w:asciiTheme="majorHAnsi" w:hAnsiTheme="majorHAnsi" w:cstheme="majorHAnsi"/>
        </w:rPr>
        <w:tab/>
        <w:t>Kolona 6-  ‘Pikët e vlerësimit’ llogariten duke i mbledhur p</w:t>
      </w:r>
      <w:r w:rsidR="00D55B66">
        <w:rPr>
          <w:rFonts w:asciiTheme="majorHAnsi" w:hAnsiTheme="majorHAnsi" w:cstheme="majorHAnsi"/>
        </w:rPr>
        <w:t>ikët e fituara në secilin nga 2</w:t>
      </w:r>
      <w:r w:rsidRPr="005E725F">
        <w:rPr>
          <w:rFonts w:asciiTheme="majorHAnsi" w:hAnsiTheme="majorHAnsi" w:cstheme="majorHAnsi"/>
        </w:rPr>
        <w:t xml:space="preserve"> treguesit e performancës,</w:t>
      </w:r>
    </w:p>
    <w:p w:rsidR="005E725F" w:rsidRPr="005E725F" w:rsidRDefault="005E725F" w:rsidP="005E725F">
      <w:pPr>
        <w:spacing w:after="0" w:line="276" w:lineRule="auto"/>
        <w:jc w:val="both"/>
        <w:rPr>
          <w:rFonts w:asciiTheme="majorHAnsi" w:hAnsiTheme="majorHAnsi" w:cstheme="majorHAnsi"/>
        </w:rPr>
      </w:pPr>
      <w:r w:rsidRPr="005E725F">
        <w:rPr>
          <w:rFonts w:asciiTheme="majorHAnsi" w:hAnsiTheme="majorHAnsi" w:cstheme="majorHAnsi"/>
        </w:rPr>
        <w:t>•</w:t>
      </w:r>
      <w:r w:rsidRPr="005E725F">
        <w:rPr>
          <w:rFonts w:asciiTheme="majorHAnsi" w:hAnsiTheme="majorHAnsi" w:cstheme="majorHAnsi"/>
        </w:rPr>
        <w:tab/>
        <w:t xml:space="preserve">Kolona 7- nëse komuna ka përmbushur kushtet minimale atëherë kolona 7- ‘Rezultati i ponderuar i performancës’ llogaritet duke i shumëzuar ‘pikët e vlerësimit’ nga kolona (6) me ‘pjesën relative të grantit të përgjithshëm– kolona (4), </w:t>
      </w:r>
    </w:p>
    <w:p w:rsidR="005E725F" w:rsidRPr="005E725F" w:rsidRDefault="005E725F" w:rsidP="005E725F">
      <w:pPr>
        <w:spacing w:after="0" w:line="276" w:lineRule="auto"/>
        <w:jc w:val="both"/>
        <w:rPr>
          <w:rFonts w:asciiTheme="majorHAnsi" w:hAnsiTheme="majorHAnsi" w:cstheme="majorHAnsi"/>
        </w:rPr>
      </w:pPr>
      <w:r w:rsidRPr="005E725F">
        <w:rPr>
          <w:rFonts w:asciiTheme="majorHAnsi" w:hAnsiTheme="majorHAnsi" w:cstheme="majorHAnsi"/>
        </w:rPr>
        <w:t>•</w:t>
      </w:r>
      <w:r w:rsidRPr="005E725F">
        <w:rPr>
          <w:rFonts w:asciiTheme="majorHAnsi" w:hAnsiTheme="majorHAnsi" w:cstheme="majorHAnsi"/>
        </w:rPr>
        <w:tab/>
        <w:t>Kolona (8): 'Pjesa relative e rezultatit të ponderuar llogaritet duke e pjesëtuar 'Rezultatin e ponderuar të performancës për Komunën - kolona (7) me totalin e 'rezultatit të ponderuar ' - totali i kolonës (7) ;</w:t>
      </w:r>
    </w:p>
    <w:p w:rsidR="005E725F" w:rsidRPr="005E725F" w:rsidRDefault="005E725F" w:rsidP="005E725F">
      <w:pPr>
        <w:spacing w:after="0" w:line="276" w:lineRule="auto"/>
        <w:jc w:val="both"/>
        <w:rPr>
          <w:rFonts w:asciiTheme="majorHAnsi" w:hAnsiTheme="majorHAnsi" w:cstheme="majorHAnsi"/>
        </w:rPr>
      </w:pPr>
      <w:r w:rsidRPr="005E725F">
        <w:rPr>
          <w:rFonts w:asciiTheme="majorHAnsi" w:hAnsiTheme="majorHAnsi" w:cstheme="majorHAnsi"/>
        </w:rPr>
        <w:t>•</w:t>
      </w:r>
      <w:r w:rsidRPr="005E725F">
        <w:rPr>
          <w:rFonts w:asciiTheme="majorHAnsi" w:hAnsiTheme="majorHAnsi" w:cstheme="majorHAnsi"/>
        </w:rPr>
        <w:tab/>
        <w:t>Kolona (10) tregon ndarjen e grantit për secilën komunë si përqindje e ndarjes së grantit të përgjithshëm (kolona 3).</w:t>
      </w:r>
    </w:p>
    <w:p w:rsidR="005E725F" w:rsidRPr="005E725F" w:rsidRDefault="005E725F" w:rsidP="005E725F">
      <w:pPr>
        <w:spacing w:after="0" w:line="276" w:lineRule="auto"/>
        <w:jc w:val="both"/>
        <w:rPr>
          <w:rFonts w:asciiTheme="majorHAnsi" w:hAnsiTheme="majorHAnsi" w:cstheme="majorHAnsi"/>
        </w:rPr>
      </w:pPr>
      <w:r w:rsidRPr="005E725F">
        <w:rPr>
          <w:rFonts w:asciiTheme="majorHAnsi" w:hAnsiTheme="majorHAnsi" w:cstheme="majorHAnsi"/>
        </w:rPr>
        <w:t>•</w:t>
      </w:r>
      <w:r w:rsidRPr="005E725F">
        <w:rPr>
          <w:rFonts w:asciiTheme="majorHAnsi" w:hAnsiTheme="majorHAnsi" w:cstheme="majorHAnsi"/>
        </w:rPr>
        <w:tab/>
        <w:t xml:space="preserve">Kolona 11 tregon ndarjen e shpërblimit për 3 vendet e para, </w:t>
      </w:r>
    </w:p>
    <w:p w:rsidR="005E725F" w:rsidRPr="005E725F" w:rsidRDefault="005E725F" w:rsidP="005E725F">
      <w:pPr>
        <w:spacing w:after="0" w:line="276" w:lineRule="auto"/>
        <w:jc w:val="both"/>
        <w:rPr>
          <w:rFonts w:asciiTheme="majorHAnsi" w:hAnsiTheme="majorHAnsi" w:cstheme="majorHAnsi"/>
        </w:rPr>
      </w:pPr>
      <w:r w:rsidRPr="005E725F">
        <w:rPr>
          <w:rFonts w:asciiTheme="majorHAnsi" w:hAnsiTheme="majorHAnsi" w:cstheme="majorHAnsi"/>
        </w:rPr>
        <w:t>•</w:t>
      </w:r>
      <w:r w:rsidRPr="005E725F">
        <w:rPr>
          <w:rFonts w:asciiTheme="majorHAnsi" w:hAnsiTheme="majorHAnsi" w:cstheme="majorHAnsi"/>
        </w:rPr>
        <w:tab/>
        <w:t>Kolona 12 tregon vlerën totale të grantit të performancës komunale për secilën komunë pas</w:t>
      </w:r>
    </w:p>
    <w:p w:rsidR="005E725F" w:rsidRPr="005E725F" w:rsidRDefault="005E725F" w:rsidP="005E725F">
      <w:pPr>
        <w:spacing w:after="0" w:line="276" w:lineRule="auto"/>
        <w:jc w:val="both"/>
        <w:rPr>
          <w:rFonts w:asciiTheme="majorHAnsi" w:hAnsiTheme="majorHAnsi" w:cstheme="majorHAnsi"/>
        </w:rPr>
      </w:pPr>
      <w:r w:rsidRPr="005E725F">
        <w:rPr>
          <w:rFonts w:asciiTheme="majorHAnsi" w:hAnsiTheme="majorHAnsi" w:cstheme="majorHAnsi"/>
        </w:rPr>
        <w:t>ndarjes së shpërbilimit. Pra kolonës 9 – vlera e kalkuluar për GPK i shtohet shuma e shpërblimit</w:t>
      </w:r>
    </w:p>
    <w:p w:rsidR="005E725F" w:rsidRPr="005E725F" w:rsidRDefault="005E725F" w:rsidP="005E725F">
      <w:pPr>
        <w:spacing w:after="0" w:line="276" w:lineRule="auto"/>
        <w:jc w:val="both"/>
        <w:rPr>
          <w:rFonts w:asciiTheme="majorHAnsi" w:hAnsiTheme="majorHAnsi" w:cstheme="majorHAnsi"/>
        </w:rPr>
      </w:pPr>
      <w:r w:rsidRPr="005E725F">
        <w:rPr>
          <w:rFonts w:asciiTheme="majorHAnsi" w:hAnsiTheme="majorHAnsi" w:cstheme="majorHAnsi"/>
        </w:rPr>
        <w:t>dhe na jep totalin e vlerës së GPK për secilën komunë.</w:t>
      </w:r>
    </w:p>
    <w:p w:rsidR="005E725F" w:rsidRPr="005E725F" w:rsidRDefault="005E725F" w:rsidP="005E725F">
      <w:pPr>
        <w:spacing w:after="0" w:line="276" w:lineRule="auto"/>
        <w:jc w:val="both"/>
        <w:rPr>
          <w:rFonts w:asciiTheme="majorHAnsi" w:hAnsiTheme="majorHAnsi" w:cstheme="majorHAnsi"/>
        </w:rPr>
      </w:pPr>
      <w:r w:rsidRPr="005E725F">
        <w:rPr>
          <w:rFonts w:asciiTheme="majorHAnsi" w:hAnsiTheme="majorHAnsi" w:cstheme="majorHAnsi"/>
        </w:rPr>
        <w:t>•</w:t>
      </w:r>
      <w:r w:rsidRPr="005E725F">
        <w:rPr>
          <w:rFonts w:asciiTheme="majorHAnsi" w:hAnsiTheme="majorHAnsi" w:cstheme="majorHAnsi"/>
        </w:rPr>
        <w:tab/>
        <w:t>Kolona 13 tregon ndarjen e grantit për secilën komunë si përqindje e ndarjes së grantit të</w:t>
      </w:r>
    </w:p>
    <w:p w:rsidR="005E725F" w:rsidRDefault="005E725F" w:rsidP="005E725F">
      <w:pPr>
        <w:spacing w:after="0" w:line="276" w:lineRule="auto"/>
        <w:jc w:val="both"/>
        <w:rPr>
          <w:rFonts w:asciiTheme="majorHAnsi" w:hAnsiTheme="majorHAnsi" w:cstheme="majorHAnsi"/>
        </w:rPr>
      </w:pPr>
      <w:r w:rsidRPr="005E725F">
        <w:rPr>
          <w:rFonts w:asciiTheme="majorHAnsi" w:hAnsiTheme="majorHAnsi" w:cstheme="majorHAnsi"/>
        </w:rPr>
        <w:t>përgjithshëm (kolona 3).</w:t>
      </w:r>
    </w:p>
    <w:p w:rsidR="00EB16EE" w:rsidRDefault="005E725F" w:rsidP="005E725F">
      <w:pPr>
        <w:rPr>
          <w:rFonts w:asciiTheme="majorHAnsi" w:hAnsiTheme="majorHAnsi" w:cstheme="majorHAnsi"/>
        </w:rPr>
      </w:pPr>
      <w:r>
        <w:rPr>
          <w:rFonts w:asciiTheme="majorHAnsi" w:hAnsiTheme="majorHAnsi" w:cstheme="majorHAnsi"/>
        </w:rPr>
        <w:br w:type="page"/>
      </w:r>
    </w:p>
    <w:p w:rsidR="00EB16EE" w:rsidRPr="00111DBA" w:rsidRDefault="00EB16EE" w:rsidP="00EB16EE">
      <w:pPr>
        <w:keepNext/>
        <w:shd w:val="clear" w:color="auto" w:fill="215E99" w:themeFill="text2" w:themeFillTint="BF"/>
        <w:tabs>
          <w:tab w:val="left" w:pos="540"/>
        </w:tabs>
        <w:spacing w:after="0" w:line="240" w:lineRule="auto"/>
        <w:outlineLvl w:val="0"/>
        <w:rPr>
          <w:rFonts w:asciiTheme="majorHAnsi" w:eastAsiaTheme="majorEastAsia" w:hAnsiTheme="majorHAnsi" w:cstheme="majorHAnsi"/>
          <w:b/>
          <w:color w:val="FFFFFF" w:themeColor="background1"/>
          <w:sz w:val="30"/>
          <w:szCs w:val="30"/>
        </w:rPr>
      </w:pPr>
      <w:bookmarkStart w:id="35" w:name="_Toc178434866"/>
      <w:r>
        <w:rPr>
          <w:rFonts w:asciiTheme="majorHAnsi" w:eastAsiaTheme="majorEastAsia" w:hAnsiTheme="majorHAnsi" w:cstheme="majorHAnsi"/>
          <w:b/>
          <w:color w:val="FFFFFF" w:themeColor="background1"/>
          <w:sz w:val="30"/>
          <w:szCs w:val="30"/>
        </w:rPr>
        <w:lastRenderedPageBreak/>
        <w:t xml:space="preserve">Shtojca 4  </w:t>
      </w:r>
      <w:r w:rsidRPr="00EB16EE">
        <w:rPr>
          <w:rFonts w:asciiTheme="majorHAnsi" w:eastAsiaTheme="majorEastAsia" w:hAnsiTheme="majorHAnsi" w:cstheme="majorHAnsi"/>
          <w:b/>
          <w:color w:val="FFFFFF" w:themeColor="background1"/>
          <w:sz w:val="30"/>
          <w:szCs w:val="30"/>
        </w:rPr>
        <w:t>Përmbledhje e rezultatit të performancës individuale të komunave</w:t>
      </w:r>
      <w:bookmarkEnd w:id="35"/>
    </w:p>
    <w:p w:rsidR="00A14977" w:rsidRDefault="00A14977" w:rsidP="00216577">
      <w:pPr>
        <w:spacing w:line="276" w:lineRule="auto"/>
        <w:jc w:val="both"/>
        <w:rPr>
          <w:rFonts w:asciiTheme="majorHAnsi" w:hAnsiTheme="majorHAnsi" w:cstheme="majorHAnsi"/>
        </w:rPr>
      </w:pPr>
    </w:p>
    <w:p w:rsidR="0069543C" w:rsidRPr="009F2567" w:rsidRDefault="00A97849">
      <w:pPr>
        <w:rPr>
          <w:rFonts w:asciiTheme="majorHAnsi" w:hAnsiTheme="majorHAnsi" w:cstheme="majorHAnsi"/>
          <w:b/>
          <w:bCs/>
        </w:rPr>
      </w:pPr>
      <w:r w:rsidRPr="009F2567">
        <w:rPr>
          <w:rFonts w:asciiTheme="majorHAnsi" w:hAnsiTheme="majorHAnsi" w:cstheme="majorHAnsi"/>
          <w:b/>
          <w:bCs/>
        </w:rPr>
        <w:t>Përmbled</w:t>
      </w:r>
      <w:r w:rsidR="00ED5A1D">
        <w:rPr>
          <w:rFonts w:asciiTheme="majorHAnsi" w:hAnsiTheme="majorHAnsi" w:cstheme="majorHAnsi"/>
          <w:b/>
          <w:bCs/>
        </w:rPr>
        <w:t>hje e rezultateve për vitin 2024</w:t>
      </w:r>
      <w:r w:rsidRPr="009F2567">
        <w:rPr>
          <w:rFonts w:asciiTheme="majorHAnsi" w:hAnsiTheme="majorHAnsi" w:cstheme="majorHAnsi"/>
          <w:b/>
          <w:bCs/>
        </w:rPr>
        <w:t xml:space="preserve"> për grantin e performancës komunale - Komuna Deçan </w:t>
      </w:r>
    </w:p>
    <w:p w:rsidR="0069543C" w:rsidRPr="009F2567" w:rsidRDefault="005958F9" w:rsidP="0069543C">
      <w:pPr>
        <w:jc w:val="both"/>
        <w:rPr>
          <w:rFonts w:asciiTheme="majorHAnsi" w:eastAsiaTheme="majorEastAsia" w:hAnsiTheme="majorHAnsi" w:cstheme="majorBidi"/>
          <w:b/>
          <w:noProof/>
        </w:rPr>
      </w:pPr>
      <w:r>
        <w:rPr>
          <w:noProof/>
          <w:lang w:val="en-GB" w:eastAsia="en-GB"/>
          <w14:ligatures w14:val="standardContextual"/>
        </w:rPr>
        <w:drawing>
          <wp:anchor distT="0" distB="0" distL="114300" distR="114300" simplePos="0" relativeHeight="251819008" behindDoc="0" locked="0" layoutInCell="1" allowOverlap="1" wp14:anchorId="686DBFAC" wp14:editId="555F2231">
            <wp:simplePos x="0" y="0"/>
            <wp:positionH relativeFrom="margin">
              <wp:posOffset>2920053</wp:posOffset>
            </wp:positionH>
            <wp:positionV relativeFrom="margin">
              <wp:posOffset>1220631</wp:posOffset>
            </wp:positionV>
            <wp:extent cx="2844165" cy="1991995"/>
            <wp:effectExtent l="0" t="0" r="13335" b="8255"/>
            <wp:wrapSquare wrapText="bothSides"/>
            <wp:docPr id="6" name="Chart 6">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DB4AB8A4-90CB-4482-8DF6-F34E23BC59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69543C" w:rsidRPr="009F2567">
        <w:rPr>
          <w:rFonts w:asciiTheme="majorHAnsi" w:eastAsiaTheme="majorEastAsia" w:hAnsiTheme="majorHAnsi" w:cstheme="majorBidi"/>
          <w:b/>
          <w:noProof/>
        </w:rPr>
        <w:t xml:space="preserve"> Vlerësimi i kushteve minimale</w:t>
      </w:r>
      <w:r>
        <w:rPr>
          <w:rFonts w:asciiTheme="majorHAnsi" w:eastAsiaTheme="majorEastAsia" w:hAnsiTheme="majorHAnsi" w:cstheme="majorBidi"/>
          <w:b/>
          <w:noProof/>
        </w:rPr>
        <w:t xml:space="preserve"> për vitin 2024</w:t>
      </w:r>
    </w:p>
    <w:p w:rsidR="0069543C" w:rsidRPr="009F2567" w:rsidRDefault="0069543C" w:rsidP="0069543C">
      <w:pPr>
        <w:jc w:val="both"/>
        <w:rPr>
          <w:rFonts w:asciiTheme="majorHAnsi" w:hAnsiTheme="majorHAnsi" w:cstheme="majorHAnsi"/>
          <w:lang w:val="de-CH"/>
        </w:rPr>
      </w:pPr>
      <w:r w:rsidRPr="009F2567">
        <w:rPr>
          <w:rFonts w:asciiTheme="majorHAnsi" w:hAnsiTheme="majorHAnsi" w:cstheme="majorHAnsi"/>
          <w:lang w:val="de-CH"/>
        </w:rPr>
        <w:t>Komuna e Deçanit nuk është kualifikuar për grantin e perf</w:t>
      </w:r>
      <w:r w:rsidR="005958F9">
        <w:rPr>
          <w:rFonts w:asciiTheme="majorHAnsi" w:hAnsiTheme="majorHAnsi" w:cstheme="majorHAnsi"/>
          <w:lang w:val="de-CH"/>
        </w:rPr>
        <w:t>ormancës komunale për vitin 2024</w:t>
      </w:r>
      <w:r w:rsidRPr="009F2567">
        <w:rPr>
          <w:rFonts w:asciiTheme="majorHAnsi" w:hAnsiTheme="majorHAnsi" w:cstheme="majorHAnsi"/>
          <w:lang w:val="de-CH"/>
        </w:rPr>
        <w:t xml:space="preserve">. </w:t>
      </w:r>
    </w:p>
    <w:p w:rsidR="0069543C" w:rsidRPr="009F2567" w:rsidRDefault="00F13D0A" w:rsidP="0069543C">
      <w:pPr>
        <w:jc w:val="both"/>
        <w:rPr>
          <w:rFonts w:asciiTheme="majorHAnsi" w:hAnsiTheme="majorHAnsi" w:cstheme="majorHAnsi"/>
          <w:noProof/>
        </w:rPr>
      </w:pPr>
      <w:r>
        <w:rPr>
          <w:rFonts w:asciiTheme="majorHAnsi" w:hAnsiTheme="majorHAnsi" w:cstheme="majorHAnsi"/>
          <w:lang w:val="de-CH"/>
        </w:rPr>
        <w:t xml:space="preserve">Kushti minimal numër 3 </w:t>
      </w:r>
      <w:r w:rsidR="0069543C" w:rsidRPr="009F2567">
        <w:rPr>
          <w:rFonts w:asciiTheme="majorHAnsi" w:hAnsiTheme="majorHAnsi" w:cstheme="majorHAnsi"/>
          <w:lang w:val="de-CH"/>
        </w:rPr>
        <w:t xml:space="preserve"> (opinioni i auditorit të jetë së paku i pamodifikuar me theksim të çështjes) nuk </w:t>
      </w:r>
      <w:r>
        <w:rPr>
          <w:rFonts w:asciiTheme="majorHAnsi" w:hAnsiTheme="majorHAnsi" w:cstheme="majorHAnsi"/>
          <w:lang w:val="de-CH"/>
        </w:rPr>
        <w:t>është</w:t>
      </w:r>
      <w:r w:rsidR="0069543C" w:rsidRPr="009F2567">
        <w:rPr>
          <w:rFonts w:asciiTheme="majorHAnsi" w:hAnsiTheme="majorHAnsi" w:cstheme="majorHAnsi"/>
          <w:lang w:val="de-CH"/>
        </w:rPr>
        <w:t xml:space="preserve"> përmbushur. </w:t>
      </w:r>
    </w:p>
    <w:p w:rsidR="0069543C" w:rsidRPr="009F2567" w:rsidRDefault="0069543C" w:rsidP="0069543C">
      <w:pPr>
        <w:tabs>
          <w:tab w:val="left" w:pos="1190"/>
        </w:tabs>
        <w:rPr>
          <w:b/>
        </w:rPr>
      </w:pPr>
      <w:r w:rsidRPr="009F2567">
        <w:rPr>
          <w:b/>
        </w:rPr>
        <w:tab/>
      </w:r>
    </w:p>
    <w:p w:rsidR="0002424E" w:rsidRDefault="0002424E" w:rsidP="0069543C">
      <w:pPr>
        <w:rPr>
          <w:b/>
        </w:rPr>
      </w:pPr>
    </w:p>
    <w:p w:rsidR="0002424E" w:rsidRDefault="0002424E" w:rsidP="0069543C">
      <w:pPr>
        <w:rPr>
          <w:b/>
        </w:rPr>
      </w:pPr>
    </w:p>
    <w:p w:rsidR="0069543C" w:rsidRPr="009F2567" w:rsidRDefault="0069543C" w:rsidP="0069543C">
      <w:pPr>
        <w:rPr>
          <w:b/>
        </w:rPr>
      </w:pPr>
      <w:r w:rsidRPr="009F2567">
        <w:rPr>
          <w:b/>
        </w:rPr>
        <w:t>Vlerësimi i treguesv</w:t>
      </w:r>
      <w:r w:rsidR="00ED5A1D">
        <w:rPr>
          <w:b/>
        </w:rPr>
        <w:t>e të performancës për vitin 2024</w:t>
      </w:r>
    </w:p>
    <w:p w:rsidR="0069543C" w:rsidRPr="00F91531" w:rsidRDefault="0069543C" w:rsidP="0069543C">
      <w:pPr>
        <w:jc w:val="both"/>
        <w:rPr>
          <w:rFonts w:asciiTheme="majorHAnsi" w:hAnsiTheme="majorHAnsi" w:cstheme="majorHAnsi"/>
        </w:rPr>
      </w:pPr>
      <w:r w:rsidRPr="00F91531">
        <w:rPr>
          <w:rFonts w:asciiTheme="majorHAnsi" w:hAnsiTheme="majorHAnsi" w:cstheme="majorHAnsi"/>
        </w:rPr>
        <w:t>Performanca mes</w:t>
      </w:r>
      <w:r w:rsidR="00F13D0A">
        <w:rPr>
          <w:rFonts w:asciiTheme="majorHAnsi" w:hAnsiTheme="majorHAnsi" w:cstheme="majorHAnsi"/>
        </w:rPr>
        <w:t>atare e Komunës së Deçanit në 29</w:t>
      </w:r>
      <w:r w:rsidRPr="00F91531">
        <w:rPr>
          <w:rFonts w:asciiTheme="majorHAnsi" w:hAnsiTheme="majorHAnsi" w:cstheme="majorHAnsi"/>
        </w:rPr>
        <w:t xml:space="preserve"> indikatorët e vlerësuar është </w:t>
      </w:r>
      <w:r w:rsidR="00632CD9">
        <w:rPr>
          <w:rFonts w:asciiTheme="majorHAnsi" w:hAnsiTheme="majorHAnsi" w:cstheme="majorHAnsi"/>
        </w:rPr>
        <w:t>63</w:t>
      </w:r>
      <w:r w:rsidRPr="00F91531">
        <w:rPr>
          <w:rFonts w:asciiTheme="majorHAnsi" w:hAnsiTheme="majorHAnsi" w:cstheme="majorHAnsi"/>
        </w:rPr>
        <w:t xml:space="preserve"> pikë nga gjithsej 9</w:t>
      </w:r>
      <w:r w:rsidR="00632CD9">
        <w:rPr>
          <w:rFonts w:asciiTheme="majorHAnsi" w:hAnsiTheme="majorHAnsi" w:cstheme="majorHAnsi"/>
        </w:rPr>
        <w:t>8</w:t>
      </w:r>
      <w:r w:rsidRPr="00F91531">
        <w:rPr>
          <w:rFonts w:asciiTheme="majorHAnsi" w:hAnsiTheme="majorHAnsi" w:cstheme="majorHAnsi"/>
        </w:rPr>
        <w:t xml:space="preserve"> pikë të mundshme (</w:t>
      </w:r>
      <w:r w:rsidR="00632CD9">
        <w:rPr>
          <w:rFonts w:asciiTheme="majorHAnsi" w:hAnsiTheme="majorHAnsi" w:cstheme="majorHAnsi"/>
        </w:rPr>
        <w:t>64.29</w:t>
      </w:r>
      <w:r w:rsidRPr="00F91531">
        <w:rPr>
          <w:rFonts w:asciiTheme="majorHAnsi" w:hAnsiTheme="majorHAnsi" w:cstheme="majorHAnsi"/>
        </w:rPr>
        <w:t>%).</w:t>
      </w:r>
      <w:r w:rsidRPr="00F91531">
        <w:rPr>
          <w:noProof/>
        </w:rPr>
        <w:t xml:space="preserve"> </w:t>
      </w:r>
    </w:p>
    <w:p w:rsidR="0069543C" w:rsidRPr="00F91531" w:rsidRDefault="00071143" w:rsidP="0069543C">
      <w:pPr>
        <w:jc w:val="both"/>
        <w:rPr>
          <w:rFonts w:asciiTheme="majorHAnsi" w:hAnsiTheme="majorHAnsi" w:cstheme="majorHAnsi"/>
        </w:rPr>
      </w:pPr>
      <w:r>
        <w:rPr>
          <w:noProof/>
          <w:lang w:val="en-GB" w:eastAsia="en-GB"/>
          <w14:ligatures w14:val="standardContextual"/>
        </w:rPr>
        <w:drawing>
          <wp:anchor distT="0" distB="0" distL="114300" distR="114300" simplePos="0" relativeHeight="251813888" behindDoc="0" locked="0" layoutInCell="1" allowOverlap="1" wp14:anchorId="549A2BC5" wp14:editId="398E10B0">
            <wp:simplePos x="0" y="0"/>
            <wp:positionH relativeFrom="margin">
              <wp:posOffset>2782950</wp:posOffset>
            </wp:positionH>
            <wp:positionV relativeFrom="margin">
              <wp:posOffset>3707105</wp:posOffset>
            </wp:positionV>
            <wp:extent cx="3054985" cy="2468880"/>
            <wp:effectExtent l="0" t="0" r="12065" b="762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632CD9">
        <w:rPr>
          <w:rFonts w:asciiTheme="majorHAnsi" w:hAnsiTheme="majorHAnsi" w:cstheme="majorHAnsi"/>
        </w:rPr>
        <w:t>Performanca mesatare</w:t>
      </w:r>
      <w:r w:rsidR="006A4FD7">
        <w:rPr>
          <w:rFonts w:asciiTheme="majorHAnsi" w:hAnsiTheme="majorHAnsi" w:cstheme="majorHAnsi"/>
        </w:rPr>
        <w:t xml:space="preserve"> në 13</w:t>
      </w:r>
      <w:r w:rsidR="0069543C" w:rsidRPr="00F91531">
        <w:rPr>
          <w:rFonts w:asciiTheme="majorHAnsi" w:hAnsiTheme="majorHAnsi" w:cstheme="majorHAnsi"/>
        </w:rPr>
        <w:t xml:space="preserve"> treguesit e vlerësuar në kuadër të fushës </w:t>
      </w:r>
      <w:r w:rsidR="00ED5A1D">
        <w:rPr>
          <w:rFonts w:asciiTheme="majorHAnsi" w:hAnsiTheme="majorHAnsi" w:cstheme="majorHAnsi"/>
        </w:rPr>
        <w:t>‘Qeverisja demokratike’ është 34</w:t>
      </w:r>
      <w:r w:rsidR="0069543C" w:rsidRPr="00F91531">
        <w:rPr>
          <w:rFonts w:asciiTheme="majorHAnsi" w:hAnsiTheme="majorHAnsi" w:cstheme="majorHAnsi"/>
        </w:rPr>
        <w:t xml:space="preserve"> pikë nga gjithsej </w:t>
      </w:r>
      <w:r w:rsidR="00ED5A1D">
        <w:rPr>
          <w:rFonts w:asciiTheme="majorHAnsi" w:hAnsiTheme="majorHAnsi" w:cstheme="majorHAnsi"/>
        </w:rPr>
        <w:t>40</w:t>
      </w:r>
      <w:r w:rsidR="0069543C" w:rsidRPr="00F91531">
        <w:rPr>
          <w:rFonts w:asciiTheme="majorHAnsi" w:hAnsiTheme="majorHAnsi" w:cstheme="majorHAnsi"/>
        </w:rPr>
        <w:t xml:space="preserve"> pikët të mundshme (</w:t>
      </w:r>
      <w:r w:rsidR="00ED5A1D">
        <w:rPr>
          <w:rFonts w:asciiTheme="majorHAnsi" w:hAnsiTheme="majorHAnsi" w:cstheme="majorHAnsi"/>
        </w:rPr>
        <w:t>85.00</w:t>
      </w:r>
      <w:r w:rsidR="0069543C" w:rsidRPr="00F91531">
        <w:rPr>
          <w:rFonts w:asciiTheme="majorHAnsi" w:hAnsiTheme="majorHAnsi" w:cstheme="majorHAnsi"/>
        </w:rPr>
        <w:t xml:space="preserve">%). </w:t>
      </w:r>
    </w:p>
    <w:p w:rsidR="0069543C" w:rsidRPr="00F91531" w:rsidRDefault="006A4FD7" w:rsidP="0069543C">
      <w:pPr>
        <w:jc w:val="both"/>
        <w:rPr>
          <w:rFonts w:asciiTheme="majorHAnsi" w:hAnsiTheme="majorHAnsi" w:cstheme="majorHAnsi"/>
        </w:rPr>
      </w:pPr>
      <w:r>
        <w:rPr>
          <w:rFonts w:asciiTheme="majorHAnsi" w:hAnsiTheme="majorHAnsi" w:cstheme="majorHAnsi"/>
        </w:rPr>
        <w:t>Performanca mesatare në 7</w:t>
      </w:r>
      <w:r w:rsidR="0069543C" w:rsidRPr="00F91531">
        <w:rPr>
          <w:rFonts w:asciiTheme="majorHAnsi" w:hAnsiTheme="majorHAnsi" w:cstheme="majorHAnsi"/>
        </w:rPr>
        <w:t xml:space="preserve"> treguesit e vlerësuar në kuadër të fushës ‘Menaxhimi Komunal’ është </w:t>
      </w:r>
      <w:r w:rsidR="00ED5A1D">
        <w:rPr>
          <w:rFonts w:asciiTheme="majorHAnsi" w:hAnsiTheme="majorHAnsi" w:cstheme="majorHAnsi"/>
        </w:rPr>
        <w:t>11</w:t>
      </w:r>
      <w:r w:rsidR="0069543C" w:rsidRPr="00F91531">
        <w:rPr>
          <w:rFonts w:asciiTheme="majorHAnsi" w:hAnsiTheme="majorHAnsi" w:cstheme="majorHAnsi"/>
        </w:rPr>
        <w:t xml:space="preserve"> pikë nga gjithsej </w:t>
      </w:r>
      <w:r w:rsidR="00ED5A1D">
        <w:rPr>
          <w:rFonts w:asciiTheme="majorHAnsi" w:hAnsiTheme="majorHAnsi" w:cstheme="majorHAnsi"/>
        </w:rPr>
        <w:t>28</w:t>
      </w:r>
      <w:r w:rsidR="0069543C" w:rsidRPr="00F91531">
        <w:rPr>
          <w:rFonts w:asciiTheme="majorHAnsi" w:hAnsiTheme="majorHAnsi" w:cstheme="majorHAnsi"/>
        </w:rPr>
        <w:t xml:space="preserve"> pikë të mundshme (</w:t>
      </w:r>
      <w:r w:rsidR="00ED5A1D">
        <w:rPr>
          <w:rFonts w:asciiTheme="majorHAnsi" w:hAnsiTheme="majorHAnsi" w:cstheme="majorHAnsi"/>
        </w:rPr>
        <w:t>39.29</w:t>
      </w:r>
      <w:r w:rsidR="0069543C" w:rsidRPr="00F91531">
        <w:rPr>
          <w:rFonts w:asciiTheme="majorHAnsi" w:hAnsiTheme="majorHAnsi" w:cstheme="majorHAnsi"/>
        </w:rPr>
        <w:t xml:space="preserve">%). </w:t>
      </w:r>
    </w:p>
    <w:p w:rsidR="0069543C" w:rsidRPr="00ED5A1D" w:rsidRDefault="00632CD9" w:rsidP="00ED5A1D">
      <w:pPr>
        <w:jc w:val="both"/>
        <w:rPr>
          <w:rFonts w:asciiTheme="majorHAnsi" w:hAnsiTheme="majorHAnsi" w:cstheme="majorHAnsi"/>
        </w:rPr>
        <w:sectPr w:rsidR="0069543C" w:rsidRPr="00ED5A1D" w:rsidSect="0069543C">
          <w:headerReference w:type="first" r:id="rId39"/>
          <w:pgSz w:w="12240" w:h="15840"/>
          <w:pgMar w:top="1440" w:right="1440" w:bottom="1440" w:left="1440" w:header="720" w:footer="720" w:gutter="0"/>
          <w:cols w:space="720"/>
          <w:docGrid w:linePitch="360"/>
        </w:sectPr>
      </w:pPr>
      <w:r>
        <w:rPr>
          <w:rFonts w:asciiTheme="majorHAnsi" w:hAnsiTheme="majorHAnsi" w:cstheme="majorHAnsi"/>
        </w:rPr>
        <w:t>Performanca mesatare në 9</w:t>
      </w:r>
      <w:r w:rsidR="0069543C" w:rsidRPr="00F91531">
        <w:rPr>
          <w:rFonts w:asciiTheme="majorHAnsi" w:hAnsiTheme="majorHAnsi" w:cstheme="majorHAnsi"/>
        </w:rPr>
        <w:t xml:space="preserve"> treguesit e vlerësuar në kuadër të fushës ‘Ofrimi i shërbimeve’ është </w:t>
      </w:r>
      <w:r w:rsidR="00ED5A1D">
        <w:rPr>
          <w:rFonts w:asciiTheme="majorHAnsi" w:hAnsiTheme="majorHAnsi" w:cstheme="majorHAnsi"/>
        </w:rPr>
        <w:t>18</w:t>
      </w:r>
      <w:r w:rsidR="0069543C" w:rsidRPr="00F91531">
        <w:rPr>
          <w:rFonts w:asciiTheme="majorHAnsi" w:hAnsiTheme="majorHAnsi" w:cstheme="majorHAnsi"/>
        </w:rPr>
        <w:t xml:space="preserve"> pikë nga gjithsej </w:t>
      </w:r>
      <w:r w:rsidR="00ED5A1D">
        <w:rPr>
          <w:rFonts w:asciiTheme="majorHAnsi" w:hAnsiTheme="majorHAnsi" w:cstheme="majorHAnsi"/>
        </w:rPr>
        <w:t>30</w:t>
      </w:r>
      <w:r w:rsidR="0069543C" w:rsidRPr="00F91531">
        <w:rPr>
          <w:rFonts w:asciiTheme="majorHAnsi" w:hAnsiTheme="majorHAnsi" w:cstheme="majorHAnsi"/>
        </w:rPr>
        <w:t xml:space="preserve"> pikë të mundshme (</w:t>
      </w:r>
      <w:r w:rsidR="00ED5A1D">
        <w:rPr>
          <w:rFonts w:asciiTheme="majorHAnsi" w:hAnsiTheme="majorHAnsi" w:cstheme="majorHAnsi"/>
        </w:rPr>
        <w:t>60.00%)</w:t>
      </w:r>
    </w:p>
    <w:p w:rsidR="0002424E" w:rsidRDefault="0002424E" w:rsidP="0069543C">
      <w:pPr>
        <w:rPr>
          <w:rFonts w:asciiTheme="majorHAnsi" w:eastAsiaTheme="majorEastAsia" w:hAnsiTheme="majorHAnsi" w:cstheme="majorBidi"/>
          <w:b/>
          <w:noProof/>
          <w:lang w:val="de-CH"/>
        </w:rPr>
      </w:pPr>
      <w:bookmarkStart w:id="36" w:name="_Toc99363474"/>
    </w:p>
    <w:p w:rsidR="0069543C" w:rsidRPr="0002424E" w:rsidRDefault="0069543C" w:rsidP="0002424E">
      <w:pPr>
        <w:rPr>
          <w:rFonts w:asciiTheme="majorHAnsi" w:eastAsiaTheme="majorEastAsia" w:hAnsiTheme="majorHAnsi" w:cstheme="majorBidi"/>
          <w:b/>
          <w:noProof/>
          <w:lang w:val="de-CH"/>
        </w:rPr>
      </w:pPr>
      <w:r w:rsidRPr="009F2567">
        <w:rPr>
          <w:rFonts w:asciiTheme="majorHAnsi" w:eastAsiaTheme="majorEastAsia" w:hAnsiTheme="majorHAnsi" w:cstheme="majorBidi"/>
          <w:b/>
          <w:noProof/>
          <w:lang w:val="de-CH"/>
        </w:rPr>
        <w:t>Përmbledhje e rezultateve për vitin 202</w:t>
      </w:r>
      <w:r w:rsidR="00ED5A1D">
        <w:rPr>
          <w:rFonts w:asciiTheme="majorHAnsi" w:eastAsiaTheme="majorEastAsia" w:hAnsiTheme="majorHAnsi" w:cstheme="majorBidi"/>
          <w:b/>
          <w:noProof/>
          <w:lang w:val="de-CH"/>
        </w:rPr>
        <w:t>4</w:t>
      </w:r>
      <w:r w:rsidRPr="009F2567">
        <w:rPr>
          <w:rFonts w:asciiTheme="majorHAnsi" w:eastAsiaTheme="majorEastAsia" w:hAnsiTheme="majorHAnsi" w:cstheme="majorBidi"/>
          <w:b/>
          <w:noProof/>
          <w:lang w:val="de-CH"/>
        </w:rPr>
        <w:t xml:space="preserve"> për grantin e performancës komunale - Komuna Dragash</w:t>
      </w:r>
      <w:bookmarkEnd w:id="36"/>
      <w:r w:rsidR="00B91567" w:rsidRPr="009F2567">
        <w:tab/>
      </w:r>
    </w:p>
    <w:p w:rsidR="0069543C" w:rsidRPr="009F2567" w:rsidRDefault="0069543C" w:rsidP="0069543C">
      <w:pPr>
        <w:rPr>
          <w:b/>
        </w:rPr>
      </w:pPr>
      <w:r w:rsidRPr="009F2567">
        <w:rPr>
          <w:b/>
        </w:rPr>
        <w:t xml:space="preserve">Vlerësimi i </w:t>
      </w:r>
      <w:r w:rsidR="005F5E4E">
        <w:rPr>
          <w:b/>
        </w:rPr>
        <w:t>kushteve minimale për vitin 2024</w:t>
      </w:r>
    </w:p>
    <w:p w:rsidR="0069543C" w:rsidRPr="009F2567" w:rsidRDefault="00C346B0" w:rsidP="0069543C">
      <w:pPr>
        <w:jc w:val="both"/>
        <w:rPr>
          <w:rFonts w:asciiTheme="majorHAnsi" w:hAnsiTheme="majorHAnsi" w:cstheme="majorHAnsi"/>
          <w:lang w:val="de-CH"/>
        </w:rPr>
      </w:pPr>
      <w:r w:rsidRPr="009F2567">
        <w:rPr>
          <w:noProof/>
          <w:lang w:val="en-GB" w:eastAsia="en-GB"/>
        </w:rPr>
        <w:drawing>
          <wp:anchor distT="0" distB="0" distL="114300" distR="114300" simplePos="0" relativeHeight="251674624" behindDoc="0" locked="0" layoutInCell="1" allowOverlap="1" wp14:anchorId="5F6B8392" wp14:editId="3AA34FC8">
            <wp:simplePos x="0" y="0"/>
            <wp:positionH relativeFrom="margin">
              <wp:posOffset>2735580</wp:posOffset>
            </wp:positionH>
            <wp:positionV relativeFrom="paragraph">
              <wp:posOffset>10160</wp:posOffset>
            </wp:positionV>
            <wp:extent cx="2995295" cy="2123440"/>
            <wp:effectExtent l="0" t="0" r="14605" b="10160"/>
            <wp:wrapSquare wrapText="bothSides"/>
            <wp:docPr id="189" name="Chart 18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2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69543C" w:rsidRPr="009F2567">
        <w:rPr>
          <w:rFonts w:asciiTheme="majorHAnsi" w:hAnsiTheme="majorHAnsi" w:cstheme="majorHAnsi"/>
          <w:lang w:val="de-CH"/>
        </w:rPr>
        <w:t>Komuna e Dragashit është kualifikuar për grantin e performancës komu</w:t>
      </w:r>
      <w:r w:rsidR="00ED5A1D">
        <w:rPr>
          <w:rFonts w:asciiTheme="majorHAnsi" w:hAnsiTheme="majorHAnsi" w:cstheme="majorHAnsi"/>
          <w:lang w:val="de-CH"/>
        </w:rPr>
        <w:t xml:space="preserve">nale </w:t>
      </w:r>
      <w:r w:rsidR="005F5E4E">
        <w:rPr>
          <w:rFonts w:asciiTheme="majorHAnsi" w:hAnsiTheme="majorHAnsi" w:cstheme="majorHAnsi"/>
          <w:lang w:val="de-CH"/>
        </w:rPr>
        <w:t>për vitin 2024</w:t>
      </w:r>
      <w:r w:rsidR="0069543C" w:rsidRPr="009F2567">
        <w:rPr>
          <w:rFonts w:asciiTheme="majorHAnsi" w:hAnsiTheme="majorHAnsi" w:cstheme="majorHAnsi"/>
          <w:lang w:val="de-CH"/>
        </w:rPr>
        <w:t xml:space="preserve">. </w:t>
      </w:r>
    </w:p>
    <w:p w:rsidR="001111A4" w:rsidRPr="009F2567" w:rsidRDefault="001111A4" w:rsidP="001111A4">
      <w:pPr>
        <w:jc w:val="both"/>
        <w:rPr>
          <w:rFonts w:asciiTheme="majorHAnsi" w:hAnsiTheme="majorHAnsi" w:cstheme="majorHAnsi"/>
          <w:lang w:val="de-CH"/>
        </w:rPr>
      </w:pPr>
      <w:r w:rsidRPr="009F2567">
        <w:rPr>
          <w:rFonts w:asciiTheme="majorHAnsi" w:hAnsiTheme="majorHAnsi" w:cstheme="majorHAnsi"/>
          <w:noProof/>
        </w:rPr>
        <w:t xml:space="preserve">Komuna i ka përmbushur katër kushtet minimale. </w:t>
      </w:r>
    </w:p>
    <w:p w:rsidR="0069543C" w:rsidRPr="009F2567" w:rsidRDefault="0069543C" w:rsidP="0069543C">
      <w:pPr>
        <w:tabs>
          <w:tab w:val="left" w:pos="1190"/>
        </w:tabs>
      </w:pPr>
      <w:r w:rsidRPr="009F2567">
        <w:rPr>
          <w:b/>
        </w:rPr>
        <w:tab/>
      </w:r>
    </w:p>
    <w:p w:rsidR="0069543C" w:rsidRPr="009F2567" w:rsidRDefault="0069543C" w:rsidP="0069543C">
      <w:pPr>
        <w:rPr>
          <w:b/>
        </w:rPr>
      </w:pPr>
    </w:p>
    <w:p w:rsidR="0069543C" w:rsidRPr="009F2567" w:rsidRDefault="0069543C" w:rsidP="0069543C">
      <w:pPr>
        <w:rPr>
          <w:b/>
        </w:rPr>
      </w:pPr>
    </w:p>
    <w:p w:rsidR="0069543C" w:rsidRPr="009F2567" w:rsidRDefault="0069543C" w:rsidP="0069543C">
      <w:pPr>
        <w:rPr>
          <w:b/>
        </w:rPr>
      </w:pPr>
    </w:p>
    <w:p w:rsidR="0069543C" w:rsidRPr="009F2567" w:rsidRDefault="0069543C" w:rsidP="0069543C">
      <w:pPr>
        <w:rPr>
          <w:b/>
        </w:rPr>
      </w:pPr>
    </w:p>
    <w:p w:rsidR="0069543C" w:rsidRPr="009F2567" w:rsidRDefault="0069543C" w:rsidP="0069543C">
      <w:pPr>
        <w:rPr>
          <w:b/>
        </w:rPr>
      </w:pPr>
    </w:p>
    <w:p w:rsidR="0069543C" w:rsidRPr="009F2567" w:rsidRDefault="0069543C" w:rsidP="0069543C">
      <w:pPr>
        <w:rPr>
          <w:b/>
          <w:bCs/>
        </w:rPr>
      </w:pPr>
      <w:r w:rsidRPr="009F2567">
        <w:rPr>
          <w:b/>
          <w:bCs/>
        </w:rPr>
        <w:t>Vlerësimi i treguesv</w:t>
      </w:r>
      <w:r w:rsidR="00ED5A1D">
        <w:rPr>
          <w:b/>
          <w:bCs/>
        </w:rPr>
        <w:t>e të performancës për vitin 2024</w:t>
      </w:r>
    </w:p>
    <w:p w:rsidR="0069543C" w:rsidRPr="00575871" w:rsidRDefault="00ED5A1D" w:rsidP="0069543C">
      <w:pPr>
        <w:jc w:val="both"/>
        <w:rPr>
          <w:rFonts w:cstheme="majorHAnsi"/>
        </w:rPr>
      </w:pPr>
      <w:r>
        <w:rPr>
          <w:noProof/>
          <w:lang w:val="en-GB" w:eastAsia="en-GB"/>
          <w14:ligatures w14:val="standardContextual"/>
        </w:rPr>
        <w:drawing>
          <wp:anchor distT="0" distB="0" distL="114300" distR="114300" simplePos="0" relativeHeight="251814912" behindDoc="0" locked="0" layoutInCell="1" allowOverlap="1" wp14:anchorId="0856D120" wp14:editId="05A1691C">
            <wp:simplePos x="0" y="0"/>
            <wp:positionH relativeFrom="margin">
              <wp:align>right</wp:align>
            </wp:positionH>
            <wp:positionV relativeFrom="margin">
              <wp:posOffset>4593590</wp:posOffset>
            </wp:positionV>
            <wp:extent cx="3307080" cy="2534285"/>
            <wp:effectExtent l="0" t="0" r="7620" b="18415"/>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69543C" w:rsidRPr="00575871">
        <w:rPr>
          <w:rFonts w:cstheme="majorHAnsi"/>
        </w:rPr>
        <w:t>Performanca mesat</w:t>
      </w:r>
      <w:r w:rsidR="004B2E65">
        <w:rPr>
          <w:rFonts w:cstheme="majorHAnsi"/>
        </w:rPr>
        <w:t>are e Komunës së Dragashit në 29</w:t>
      </w:r>
      <w:r w:rsidR="0069543C" w:rsidRPr="00575871">
        <w:rPr>
          <w:rFonts w:cstheme="majorHAnsi"/>
        </w:rPr>
        <w:t xml:space="preserve"> indikatorët e vlerësuar është </w:t>
      </w:r>
      <w:r w:rsidR="004B2E65">
        <w:rPr>
          <w:rFonts w:cstheme="majorHAnsi"/>
        </w:rPr>
        <w:t>60 pikë nga gjithsej 98</w:t>
      </w:r>
      <w:r w:rsidR="0069543C" w:rsidRPr="00575871">
        <w:rPr>
          <w:rFonts w:cstheme="majorHAnsi"/>
        </w:rPr>
        <w:t xml:space="preserve"> pikë të mundshme (</w:t>
      </w:r>
      <w:r w:rsidR="004B2E65">
        <w:rPr>
          <w:rFonts w:cstheme="majorHAnsi"/>
        </w:rPr>
        <w:t>61.22</w:t>
      </w:r>
      <w:r w:rsidR="0069543C" w:rsidRPr="00575871">
        <w:rPr>
          <w:rFonts w:cstheme="majorHAnsi"/>
        </w:rPr>
        <w:t>%).</w:t>
      </w:r>
      <w:r w:rsidR="0069543C" w:rsidRPr="00575871">
        <w:rPr>
          <w:noProof/>
        </w:rPr>
        <w:t xml:space="preserve"> </w:t>
      </w:r>
    </w:p>
    <w:p w:rsidR="0069543C" w:rsidRPr="00575871" w:rsidRDefault="006A4FD7" w:rsidP="0069543C">
      <w:pPr>
        <w:jc w:val="both"/>
        <w:rPr>
          <w:rFonts w:cstheme="majorHAnsi"/>
        </w:rPr>
      </w:pPr>
      <w:r>
        <w:rPr>
          <w:rFonts w:cstheme="majorHAnsi"/>
        </w:rPr>
        <w:t>Performanca mesatare në 13</w:t>
      </w:r>
      <w:r w:rsidR="0069543C" w:rsidRPr="00575871">
        <w:rPr>
          <w:rFonts w:cstheme="majorHAnsi"/>
        </w:rPr>
        <w:t xml:space="preserve"> treguesit e vlerësuar në kuadër të fushës ‘Qeverisja demokratike’ është </w:t>
      </w:r>
      <w:r w:rsidR="00071143">
        <w:rPr>
          <w:rFonts w:cstheme="majorHAnsi"/>
        </w:rPr>
        <w:t>37</w:t>
      </w:r>
      <w:r w:rsidR="0069543C" w:rsidRPr="00575871">
        <w:rPr>
          <w:rFonts w:cstheme="majorHAnsi"/>
        </w:rPr>
        <w:t xml:space="preserve"> pikë nga gjithsej </w:t>
      </w:r>
      <w:r w:rsidR="00600A7F">
        <w:rPr>
          <w:rFonts w:cstheme="majorHAnsi"/>
        </w:rPr>
        <w:t>40</w:t>
      </w:r>
      <w:r w:rsidR="0069543C" w:rsidRPr="00575871">
        <w:rPr>
          <w:rFonts w:cstheme="majorHAnsi"/>
        </w:rPr>
        <w:t xml:space="preserve"> pikët të mundshme (</w:t>
      </w:r>
      <w:r w:rsidR="00071143">
        <w:rPr>
          <w:rFonts w:cstheme="majorHAnsi"/>
        </w:rPr>
        <w:t>92.50</w:t>
      </w:r>
      <w:r w:rsidR="0069543C" w:rsidRPr="00575871">
        <w:rPr>
          <w:rFonts w:cstheme="majorHAnsi"/>
        </w:rPr>
        <w:t xml:space="preserve">%). </w:t>
      </w:r>
    </w:p>
    <w:p w:rsidR="0069543C" w:rsidRPr="00575871" w:rsidRDefault="0069543C" w:rsidP="0069543C">
      <w:pPr>
        <w:jc w:val="both"/>
        <w:rPr>
          <w:rFonts w:cstheme="majorHAnsi"/>
        </w:rPr>
      </w:pPr>
      <w:r w:rsidRPr="00575871">
        <w:rPr>
          <w:rFonts w:cstheme="majorHAnsi"/>
        </w:rPr>
        <w:t xml:space="preserve">Performanca mesatare në </w:t>
      </w:r>
      <w:r w:rsidR="006A4FD7">
        <w:rPr>
          <w:rFonts w:cstheme="majorHAnsi"/>
        </w:rPr>
        <w:t>7</w:t>
      </w:r>
      <w:r w:rsidRPr="00575871">
        <w:rPr>
          <w:rFonts w:cstheme="majorHAnsi"/>
        </w:rPr>
        <w:t xml:space="preserve"> treguesit e vlerësuar në kuadër të fushës ‘Menaxhimi Komunal’ është </w:t>
      </w:r>
      <w:r w:rsidR="00B20EA5" w:rsidRPr="00575871">
        <w:rPr>
          <w:rFonts w:cstheme="majorHAnsi"/>
        </w:rPr>
        <w:t xml:space="preserve">9 </w:t>
      </w:r>
      <w:r w:rsidRPr="00575871">
        <w:rPr>
          <w:rFonts w:cstheme="majorHAnsi"/>
        </w:rPr>
        <w:t xml:space="preserve">pikë nga gjithsej </w:t>
      </w:r>
      <w:r w:rsidR="00600A7F">
        <w:rPr>
          <w:rFonts w:cstheme="majorHAnsi"/>
        </w:rPr>
        <w:t>28</w:t>
      </w:r>
      <w:r w:rsidRPr="00575871">
        <w:rPr>
          <w:rFonts w:cstheme="majorHAnsi"/>
        </w:rPr>
        <w:t xml:space="preserve"> pikë të mundshme (</w:t>
      </w:r>
      <w:r w:rsidR="00071143">
        <w:rPr>
          <w:rFonts w:cstheme="majorHAnsi"/>
        </w:rPr>
        <w:t>32.14</w:t>
      </w:r>
      <w:r w:rsidRPr="00575871">
        <w:rPr>
          <w:rFonts w:cstheme="majorHAnsi"/>
        </w:rPr>
        <w:t xml:space="preserve">%). </w:t>
      </w:r>
    </w:p>
    <w:p w:rsidR="0069543C" w:rsidRPr="00575871" w:rsidRDefault="0069543C" w:rsidP="0069543C">
      <w:pPr>
        <w:jc w:val="both"/>
        <w:rPr>
          <w:rFonts w:cstheme="majorHAnsi"/>
        </w:rPr>
      </w:pPr>
      <w:r w:rsidRPr="00575871">
        <w:rPr>
          <w:rFonts w:cstheme="majorHAnsi"/>
        </w:rPr>
        <w:t xml:space="preserve">Performanca mesatare në </w:t>
      </w:r>
      <w:r w:rsidR="004B2E65">
        <w:rPr>
          <w:rFonts w:cstheme="majorHAnsi"/>
        </w:rPr>
        <w:t>9</w:t>
      </w:r>
      <w:r w:rsidRPr="00575871">
        <w:rPr>
          <w:rFonts w:cstheme="majorHAnsi"/>
        </w:rPr>
        <w:t xml:space="preserve"> treguesit e vlerësuar në kuadër të fushës ‘Ofrimi i shërbimeve’ është </w:t>
      </w:r>
      <w:r w:rsidR="00B20EA5" w:rsidRPr="00575871">
        <w:rPr>
          <w:rFonts w:cstheme="majorHAnsi"/>
        </w:rPr>
        <w:t>1</w:t>
      </w:r>
      <w:r w:rsidR="00071143">
        <w:rPr>
          <w:rFonts w:cstheme="majorHAnsi"/>
        </w:rPr>
        <w:t>4</w:t>
      </w:r>
      <w:r w:rsidRPr="00575871">
        <w:rPr>
          <w:rFonts w:cstheme="majorHAnsi"/>
        </w:rPr>
        <w:t xml:space="preserve"> pikë nga gjithsej </w:t>
      </w:r>
      <w:r w:rsidR="00600A7F">
        <w:rPr>
          <w:rFonts w:cstheme="majorHAnsi"/>
        </w:rPr>
        <w:t>30</w:t>
      </w:r>
      <w:r w:rsidRPr="00575871">
        <w:rPr>
          <w:rFonts w:cstheme="majorHAnsi"/>
        </w:rPr>
        <w:t xml:space="preserve"> pikë të mundshme (</w:t>
      </w:r>
      <w:r w:rsidR="00071143">
        <w:rPr>
          <w:rFonts w:cstheme="majorHAnsi"/>
        </w:rPr>
        <w:t>46.67</w:t>
      </w:r>
      <w:r w:rsidRPr="00575871">
        <w:rPr>
          <w:rFonts w:cstheme="majorHAnsi"/>
        </w:rPr>
        <w:t xml:space="preserve">%). </w:t>
      </w:r>
    </w:p>
    <w:p w:rsidR="0069543C" w:rsidRPr="009F2567" w:rsidRDefault="0069543C" w:rsidP="0069543C"/>
    <w:p w:rsidR="0069543C" w:rsidRPr="009F2567" w:rsidRDefault="0069543C" w:rsidP="0069543C">
      <w:pPr>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asciiTheme="majorHAnsi" w:eastAsiaTheme="majorEastAsia" w:hAnsiTheme="majorHAnsi" w:cstheme="majorBidi"/>
          <w:b/>
          <w:noProof/>
          <w:lang w:val="de-CH"/>
        </w:rPr>
      </w:pPr>
      <w:r w:rsidRPr="009F2567">
        <w:rPr>
          <w:rFonts w:asciiTheme="majorHAnsi" w:eastAsiaTheme="majorEastAsia" w:hAnsiTheme="majorHAnsi" w:cstheme="majorBidi"/>
          <w:b/>
          <w:noProof/>
          <w:lang w:val="de-CH"/>
        </w:rPr>
        <w:lastRenderedPageBreak/>
        <w:t>Përmbledhje e rezultateve për vitin 202</w:t>
      </w:r>
      <w:r w:rsidR="00344B08">
        <w:rPr>
          <w:rFonts w:asciiTheme="majorHAnsi" w:eastAsiaTheme="majorEastAsia" w:hAnsiTheme="majorHAnsi" w:cstheme="majorBidi"/>
          <w:b/>
          <w:noProof/>
          <w:lang w:val="de-CH"/>
        </w:rPr>
        <w:t>4</w:t>
      </w:r>
      <w:r w:rsidRPr="009F2567">
        <w:rPr>
          <w:rFonts w:asciiTheme="majorHAnsi" w:eastAsiaTheme="majorEastAsia" w:hAnsiTheme="majorHAnsi" w:cstheme="majorBidi"/>
          <w:b/>
          <w:noProof/>
          <w:lang w:val="de-CH"/>
        </w:rPr>
        <w:t xml:space="preserve"> për grantin e performancës komunale - Komuna Ferizaj</w:t>
      </w:r>
    </w:p>
    <w:p w:rsidR="0069543C" w:rsidRPr="009F2567" w:rsidRDefault="0069543C" w:rsidP="0069543C">
      <w:pPr>
        <w:rPr>
          <w:b/>
        </w:rPr>
      </w:pPr>
      <w:r w:rsidRPr="009F2567">
        <w:rPr>
          <w:b/>
        </w:rPr>
        <w:t xml:space="preserve">Vlerësimi i </w:t>
      </w:r>
      <w:r w:rsidR="005F5E4E">
        <w:rPr>
          <w:b/>
        </w:rPr>
        <w:t>kushteve minimale për vitin 2024</w:t>
      </w:r>
    </w:p>
    <w:p w:rsidR="0069543C" w:rsidRPr="009F2567" w:rsidRDefault="0069543C" w:rsidP="0069543C">
      <w:pPr>
        <w:jc w:val="both"/>
        <w:rPr>
          <w:rFonts w:asciiTheme="majorHAnsi" w:hAnsiTheme="majorHAnsi" w:cstheme="majorHAnsi"/>
          <w:noProof/>
          <w:lang w:eastAsia="sr-Latn-RS"/>
        </w:rPr>
      </w:pPr>
      <w:r w:rsidRPr="009F2567">
        <w:rPr>
          <w:rFonts w:asciiTheme="majorHAnsi" w:hAnsiTheme="majorHAnsi" w:cstheme="majorHAnsi"/>
          <w:noProof/>
          <w:lang w:val="en-GB" w:eastAsia="en-GB"/>
        </w:rPr>
        <w:drawing>
          <wp:anchor distT="0" distB="0" distL="114300" distR="114300" simplePos="0" relativeHeight="251675648" behindDoc="0" locked="0" layoutInCell="1" allowOverlap="1" wp14:anchorId="0FDC3C5E" wp14:editId="602E4AE0">
            <wp:simplePos x="0" y="0"/>
            <wp:positionH relativeFrom="margin">
              <wp:posOffset>2846070</wp:posOffset>
            </wp:positionH>
            <wp:positionV relativeFrom="paragraph">
              <wp:posOffset>8890</wp:posOffset>
            </wp:positionV>
            <wp:extent cx="3084830" cy="2146300"/>
            <wp:effectExtent l="0" t="0" r="1270" b="6350"/>
            <wp:wrapSquare wrapText="bothSides"/>
            <wp:docPr id="190" name="Chart 19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Pr="009F2567">
        <w:rPr>
          <w:rFonts w:asciiTheme="majorHAnsi" w:hAnsiTheme="majorHAnsi" w:cstheme="majorHAnsi"/>
          <w:lang w:val="de-CH"/>
        </w:rPr>
        <w:t>Komuna e Ferizajit nuk është kualifikuar për grantin e perf</w:t>
      </w:r>
      <w:r w:rsidR="005F5E4E">
        <w:rPr>
          <w:rFonts w:asciiTheme="majorHAnsi" w:hAnsiTheme="majorHAnsi" w:cstheme="majorHAnsi"/>
          <w:lang w:val="de-CH"/>
        </w:rPr>
        <w:t>ormancës komunale për vitin 2024</w:t>
      </w:r>
      <w:r w:rsidRPr="009F2567">
        <w:rPr>
          <w:rFonts w:asciiTheme="majorHAnsi" w:hAnsiTheme="majorHAnsi" w:cstheme="majorHAnsi"/>
          <w:lang w:val="de-CH"/>
        </w:rPr>
        <w:t xml:space="preserve">. </w:t>
      </w:r>
      <w:r w:rsidRPr="009F2567">
        <w:rPr>
          <w:rFonts w:asciiTheme="majorHAnsi" w:hAnsiTheme="majorHAnsi" w:cstheme="majorHAnsi"/>
          <w:noProof/>
          <w:lang w:eastAsia="sr-Latn-RS"/>
        </w:rPr>
        <w:t xml:space="preserve"> </w:t>
      </w:r>
    </w:p>
    <w:p w:rsidR="0069543C" w:rsidRPr="009F2567" w:rsidRDefault="0069543C" w:rsidP="0069543C">
      <w:pPr>
        <w:jc w:val="both"/>
        <w:rPr>
          <w:rFonts w:asciiTheme="majorHAnsi" w:hAnsiTheme="majorHAnsi" w:cstheme="majorHAnsi"/>
          <w:lang w:val="de-CH"/>
        </w:rPr>
      </w:pPr>
      <w:bookmarkStart w:id="37" w:name="_Hlk114221538"/>
      <w:r w:rsidRPr="009F2567">
        <w:rPr>
          <w:rFonts w:asciiTheme="majorHAnsi" w:hAnsiTheme="majorHAnsi" w:cstheme="majorHAnsi"/>
          <w:lang w:val="de-CH"/>
        </w:rPr>
        <w:t xml:space="preserve">Kushti minimal numër 3 (opinioni i auditimit duhet të jetë të paktën i pamodifikuar me theksim të çështjes) nuk është përmbushur. </w:t>
      </w:r>
    </w:p>
    <w:bookmarkEnd w:id="37"/>
    <w:p w:rsidR="0069543C" w:rsidRPr="009F2567" w:rsidRDefault="0069543C" w:rsidP="0069543C">
      <w:pPr>
        <w:tabs>
          <w:tab w:val="left" w:pos="1190"/>
        </w:tabs>
        <w:rPr>
          <w:b/>
        </w:rPr>
      </w:pPr>
      <w:r w:rsidRPr="009F2567">
        <w:rPr>
          <w:b/>
        </w:rPr>
        <w:tab/>
      </w:r>
    </w:p>
    <w:p w:rsidR="0069543C" w:rsidRPr="009F2567" w:rsidRDefault="0069543C" w:rsidP="0069543C">
      <w:pPr>
        <w:tabs>
          <w:tab w:val="left" w:pos="1190"/>
        </w:tabs>
      </w:pPr>
    </w:p>
    <w:p w:rsidR="0069543C" w:rsidRPr="009F2567" w:rsidRDefault="0069543C" w:rsidP="0069543C">
      <w:pPr>
        <w:tabs>
          <w:tab w:val="left" w:pos="1190"/>
        </w:tabs>
      </w:pPr>
    </w:p>
    <w:p w:rsidR="0069543C" w:rsidRPr="009F2567" w:rsidRDefault="0069543C" w:rsidP="0069543C">
      <w:pPr>
        <w:tabs>
          <w:tab w:val="left" w:pos="1190"/>
        </w:tabs>
      </w:pPr>
    </w:p>
    <w:p w:rsidR="0069543C" w:rsidRPr="009F2567" w:rsidRDefault="0069543C" w:rsidP="0069543C">
      <w:pPr>
        <w:tabs>
          <w:tab w:val="left" w:pos="1190"/>
        </w:tabs>
      </w:pPr>
    </w:p>
    <w:p w:rsidR="0069543C" w:rsidRPr="009F2567" w:rsidRDefault="0069543C" w:rsidP="0069543C">
      <w:pPr>
        <w:rPr>
          <w:b/>
        </w:rPr>
      </w:pPr>
      <w:r w:rsidRPr="009F2567">
        <w:rPr>
          <w:b/>
        </w:rPr>
        <w:t>Vlerësimi i treguesv</w:t>
      </w:r>
      <w:r w:rsidR="00344B08">
        <w:rPr>
          <w:b/>
        </w:rPr>
        <w:t>e të performancës për vitin 2024</w:t>
      </w:r>
    </w:p>
    <w:p w:rsidR="0069543C" w:rsidRPr="009F2567" w:rsidRDefault="00344B08" w:rsidP="0069543C">
      <w:pPr>
        <w:jc w:val="both"/>
        <w:rPr>
          <w:rFonts w:asciiTheme="majorHAnsi" w:hAnsiTheme="majorHAnsi" w:cstheme="majorHAnsi"/>
        </w:rPr>
      </w:pPr>
      <w:r>
        <w:rPr>
          <w:noProof/>
          <w:lang w:val="en-GB" w:eastAsia="en-GB"/>
          <w14:ligatures w14:val="standardContextual"/>
        </w:rPr>
        <w:drawing>
          <wp:anchor distT="0" distB="0" distL="114300" distR="114300" simplePos="0" relativeHeight="251815936" behindDoc="0" locked="0" layoutInCell="1" allowOverlap="1" wp14:anchorId="370B517E" wp14:editId="484210C9">
            <wp:simplePos x="0" y="0"/>
            <wp:positionH relativeFrom="margin">
              <wp:posOffset>2922905</wp:posOffset>
            </wp:positionH>
            <wp:positionV relativeFrom="margin">
              <wp:posOffset>3902075</wp:posOffset>
            </wp:positionV>
            <wp:extent cx="3111500" cy="2505075"/>
            <wp:effectExtent l="0" t="0" r="12700" b="9525"/>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69543C" w:rsidRPr="009F2567">
        <w:rPr>
          <w:rFonts w:asciiTheme="majorHAnsi" w:hAnsiTheme="majorHAnsi" w:cstheme="majorHAnsi"/>
        </w:rPr>
        <w:t>Performanca mesat</w:t>
      </w:r>
      <w:r>
        <w:rPr>
          <w:rFonts w:asciiTheme="majorHAnsi" w:hAnsiTheme="majorHAnsi" w:cstheme="majorHAnsi"/>
        </w:rPr>
        <w:t>are e Komunës së Ferizajit në 29</w:t>
      </w:r>
      <w:r w:rsidR="0069543C" w:rsidRPr="009F2567">
        <w:rPr>
          <w:rFonts w:asciiTheme="majorHAnsi" w:hAnsiTheme="majorHAnsi" w:cstheme="majorHAnsi"/>
        </w:rPr>
        <w:t xml:space="preserve"> </w:t>
      </w:r>
      <w:r>
        <w:rPr>
          <w:rFonts w:asciiTheme="majorHAnsi" w:hAnsiTheme="majorHAnsi" w:cstheme="majorHAnsi"/>
        </w:rPr>
        <w:t>indikatorët e vlerësuar është 59 pikë nga gjithsej 98</w:t>
      </w:r>
      <w:r w:rsidR="005F5E4E">
        <w:rPr>
          <w:rFonts w:asciiTheme="majorHAnsi" w:hAnsiTheme="majorHAnsi" w:cstheme="majorHAnsi"/>
        </w:rPr>
        <w:t xml:space="preserve"> pikë të mundshme (60.20</w:t>
      </w:r>
      <w:r w:rsidR="0069543C" w:rsidRPr="009F2567">
        <w:rPr>
          <w:rFonts w:asciiTheme="majorHAnsi" w:hAnsiTheme="majorHAnsi" w:cstheme="majorHAnsi"/>
        </w:rPr>
        <w:t>%).</w:t>
      </w:r>
      <w:r w:rsidR="0069543C" w:rsidRPr="009F2567">
        <w:rPr>
          <w:noProof/>
        </w:rPr>
        <w:t xml:space="preserve"> </w:t>
      </w:r>
    </w:p>
    <w:p w:rsidR="0069543C" w:rsidRPr="009F2567" w:rsidRDefault="006A4FD7" w:rsidP="0069543C">
      <w:pPr>
        <w:jc w:val="both"/>
        <w:rPr>
          <w:rFonts w:asciiTheme="majorHAnsi" w:hAnsiTheme="majorHAnsi" w:cstheme="majorHAnsi"/>
        </w:rPr>
      </w:pPr>
      <w:r>
        <w:rPr>
          <w:rFonts w:asciiTheme="majorHAnsi" w:hAnsiTheme="majorHAnsi" w:cstheme="majorHAnsi"/>
        </w:rPr>
        <w:t>Performanca mesatare në 13</w:t>
      </w:r>
      <w:r w:rsidR="0069543C" w:rsidRPr="009F2567">
        <w:rPr>
          <w:rFonts w:asciiTheme="majorHAnsi" w:hAnsiTheme="majorHAnsi" w:cstheme="majorHAnsi"/>
        </w:rPr>
        <w:t xml:space="preserve"> treguesit e vlerësuar në kuadër të fushës </w:t>
      </w:r>
      <w:r w:rsidR="005F5E4E">
        <w:rPr>
          <w:rFonts w:asciiTheme="majorHAnsi" w:hAnsiTheme="majorHAnsi" w:cstheme="majorHAnsi"/>
        </w:rPr>
        <w:t>‘Qeverisja demokratike’ është 28</w:t>
      </w:r>
      <w:r w:rsidR="0069543C" w:rsidRPr="009F2567">
        <w:rPr>
          <w:rFonts w:asciiTheme="majorHAnsi" w:hAnsiTheme="majorHAnsi" w:cstheme="majorHAnsi"/>
        </w:rPr>
        <w:t xml:space="preserve"> pikë nga gjithsej </w:t>
      </w:r>
      <w:r w:rsidR="00600A7F">
        <w:rPr>
          <w:rFonts w:asciiTheme="majorHAnsi" w:hAnsiTheme="majorHAnsi" w:cstheme="majorHAnsi"/>
        </w:rPr>
        <w:t>40</w:t>
      </w:r>
      <w:r w:rsidR="005F5E4E">
        <w:rPr>
          <w:rFonts w:asciiTheme="majorHAnsi" w:hAnsiTheme="majorHAnsi" w:cstheme="majorHAnsi"/>
        </w:rPr>
        <w:t xml:space="preserve"> pikët të mundshme (70.00</w:t>
      </w:r>
      <w:r w:rsidR="0069543C" w:rsidRPr="009F2567">
        <w:rPr>
          <w:rFonts w:asciiTheme="majorHAnsi" w:hAnsiTheme="majorHAnsi" w:cstheme="majorHAnsi"/>
        </w:rPr>
        <w:t xml:space="preserve">%). </w:t>
      </w:r>
    </w:p>
    <w:p w:rsidR="0069543C" w:rsidRPr="009F2567" w:rsidRDefault="006A4FD7" w:rsidP="0069543C">
      <w:pPr>
        <w:jc w:val="both"/>
        <w:rPr>
          <w:rFonts w:asciiTheme="majorHAnsi" w:hAnsiTheme="majorHAnsi" w:cstheme="majorHAnsi"/>
        </w:rPr>
      </w:pPr>
      <w:r>
        <w:rPr>
          <w:rFonts w:asciiTheme="majorHAnsi" w:hAnsiTheme="majorHAnsi" w:cstheme="majorHAnsi"/>
        </w:rPr>
        <w:t>Performanca mesatare në 7</w:t>
      </w:r>
      <w:r w:rsidR="0069543C" w:rsidRPr="009F2567">
        <w:rPr>
          <w:rFonts w:asciiTheme="majorHAnsi" w:hAnsiTheme="majorHAnsi" w:cstheme="majorHAnsi"/>
        </w:rPr>
        <w:t xml:space="preserve"> treguesit e vlerësuar në kuadër të fus</w:t>
      </w:r>
      <w:r w:rsidR="005F5E4E">
        <w:rPr>
          <w:rFonts w:asciiTheme="majorHAnsi" w:hAnsiTheme="majorHAnsi" w:cstheme="majorHAnsi"/>
        </w:rPr>
        <w:t>hës ‘Menaxhimi Komunal’ është 16</w:t>
      </w:r>
      <w:r w:rsidR="0069543C" w:rsidRPr="009F2567">
        <w:rPr>
          <w:rFonts w:asciiTheme="majorHAnsi" w:hAnsiTheme="majorHAnsi" w:cstheme="majorHAnsi"/>
        </w:rPr>
        <w:t xml:space="preserve"> pikë nga gjithsej </w:t>
      </w:r>
      <w:r w:rsidR="00600A7F">
        <w:rPr>
          <w:rFonts w:asciiTheme="majorHAnsi" w:hAnsiTheme="majorHAnsi" w:cstheme="majorHAnsi"/>
        </w:rPr>
        <w:t>28</w:t>
      </w:r>
      <w:r w:rsidR="0069543C" w:rsidRPr="009F2567">
        <w:rPr>
          <w:rFonts w:asciiTheme="majorHAnsi" w:hAnsiTheme="majorHAnsi" w:cstheme="majorHAnsi"/>
        </w:rPr>
        <w:t xml:space="preserve"> pikë </w:t>
      </w:r>
      <w:r w:rsidR="005F5E4E">
        <w:rPr>
          <w:rFonts w:asciiTheme="majorHAnsi" w:hAnsiTheme="majorHAnsi" w:cstheme="majorHAnsi"/>
        </w:rPr>
        <w:t>të mundshme (57.14</w:t>
      </w:r>
      <w:r w:rsidR="0069543C" w:rsidRPr="009F2567">
        <w:rPr>
          <w:rFonts w:asciiTheme="majorHAnsi" w:hAnsiTheme="majorHAnsi" w:cstheme="majorHAnsi"/>
        </w:rPr>
        <w:t xml:space="preserve">%). </w:t>
      </w:r>
    </w:p>
    <w:p w:rsidR="0069543C" w:rsidRPr="009F2567" w:rsidRDefault="009D4840" w:rsidP="0069543C">
      <w:pPr>
        <w:jc w:val="both"/>
        <w:rPr>
          <w:rFonts w:asciiTheme="majorHAnsi" w:hAnsiTheme="majorHAnsi" w:cstheme="majorHAnsi"/>
        </w:rPr>
      </w:pPr>
      <w:r>
        <w:rPr>
          <w:rFonts w:asciiTheme="majorHAnsi" w:hAnsiTheme="majorHAnsi" w:cstheme="majorHAnsi"/>
        </w:rPr>
        <w:t>Performanca mesatare në 9</w:t>
      </w:r>
      <w:r w:rsidR="0069543C" w:rsidRPr="009F2567">
        <w:rPr>
          <w:rFonts w:asciiTheme="majorHAnsi" w:hAnsiTheme="majorHAnsi" w:cstheme="majorHAnsi"/>
        </w:rPr>
        <w:t xml:space="preserve"> treguesit e vlerësuar në kuadër të fushë</w:t>
      </w:r>
      <w:r w:rsidR="005F5E4E">
        <w:rPr>
          <w:rFonts w:asciiTheme="majorHAnsi" w:hAnsiTheme="majorHAnsi" w:cstheme="majorHAnsi"/>
        </w:rPr>
        <w:t>s ‘Ofrimi i shërbimeve’ është 15</w:t>
      </w:r>
      <w:r w:rsidR="0069543C" w:rsidRPr="009F2567">
        <w:rPr>
          <w:rFonts w:asciiTheme="majorHAnsi" w:hAnsiTheme="majorHAnsi" w:cstheme="majorHAnsi"/>
        </w:rPr>
        <w:t xml:space="preserve"> pikë nga gjithsej </w:t>
      </w:r>
      <w:r w:rsidR="00600A7F">
        <w:rPr>
          <w:rFonts w:asciiTheme="majorHAnsi" w:hAnsiTheme="majorHAnsi" w:cstheme="majorHAnsi"/>
        </w:rPr>
        <w:t>30</w:t>
      </w:r>
      <w:r w:rsidR="005F5E4E">
        <w:rPr>
          <w:rFonts w:asciiTheme="majorHAnsi" w:hAnsiTheme="majorHAnsi" w:cstheme="majorHAnsi"/>
        </w:rPr>
        <w:t xml:space="preserve"> pikë të mundshme (50.00</w:t>
      </w:r>
      <w:r w:rsidR="0069543C" w:rsidRPr="009F2567">
        <w:rPr>
          <w:rFonts w:asciiTheme="majorHAnsi" w:hAnsiTheme="majorHAnsi" w:cstheme="majorHAnsi"/>
        </w:rPr>
        <w:t xml:space="preserve">%). </w:t>
      </w:r>
    </w:p>
    <w:p w:rsidR="0069543C" w:rsidRPr="009F2567" w:rsidRDefault="0069543C" w:rsidP="0069543C">
      <w:pPr>
        <w:jc w:val="both"/>
      </w:pPr>
    </w:p>
    <w:p w:rsidR="0069543C" w:rsidRPr="009F2567" w:rsidRDefault="0069543C" w:rsidP="0069543C">
      <w:pPr>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asciiTheme="majorHAnsi" w:eastAsiaTheme="majorEastAsia" w:hAnsiTheme="majorHAnsi" w:cstheme="majorBidi"/>
          <w:b/>
          <w:noProof/>
          <w:lang w:val="de-CH"/>
        </w:rPr>
      </w:pPr>
      <w:r w:rsidRPr="009F2567">
        <w:rPr>
          <w:rFonts w:asciiTheme="majorHAnsi" w:eastAsiaTheme="majorEastAsia" w:hAnsiTheme="majorHAnsi" w:cstheme="majorBidi"/>
          <w:b/>
          <w:noProof/>
          <w:lang w:val="de-CH"/>
        </w:rPr>
        <w:lastRenderedPageBreak/>
        <w:t>Përmbledhje e rezultateve për vitin 202</w:t>
      </w:r>
      <w:r w:rsidR="005F5E4E">
        <w:rPr>
          <w:rFonts w:asciiTheme="majorHAnsi" w:eastAsiaTheme="majorEastAsia" w:hAnsiTheme="majorHAnsi" w:cstheme="majorBidi"/>
          <w:b/>
          <w:noProof/>
          <w:lang w:val="de-CH"/>
        </w:rPr>
        <w:t>4</w:t>
      </w:r>
      <w:r w:rsidRPr="009F2567">
        <w:rPr>
          <w:rFonts w:asciiTheme="majorHAnsi" w:eastAsiaTheme="majorEastAsia" w:hAnsiTheme="majorHAnsi" w:cstheme="majorBidi"/>
          <w:b/>
          <w:noProof/>
          <w:lang w:val="de-CH"/>
        </w:rPr>
        <w:t xml:space="preserve"> për grantin e performancës komunale - Komuna Fushë Kosovë </w:t>
      </w:r>
    </w:p>
    <w:p w:rsidR="0069543C" w:rsidRPr="009F2567" w:rsidRDefault="0069543C" w:rsidP="0069543C">
      <w:pPr>
        <w:rPr>
          <w:b/>
        </w:rPr>
      </w:pPr>
      <w:r w:rsidRPr="009F2567">
        <w:rPr>
          <w:noProof/>
          <w:lang w:val="en-GB" w:eastAsia="en-GB"/>
        </w:rPr>
        <w:drawing>
          <wp:anchor distT="0" distB="0" distL="114300" distR="114300" simplePos="0" relativeHeight="251676672" behindDoc="0" locked="0" layoutInCell="1" allowOverlap="1" wp14:anchorId="16AF67C9" wp14:editId="78A350F5">
            <wp:simplePos x="0" y="0"/>
            <wp:positionH relativeFrom="page">
              <wp:posOffset>3895725</wp:posOffset>
            </wp:positionH>
            <wp:positionV relativeFrom="paragraph">
              <wp:posOffset>78740</wp:posOffset>
            </wp:positionV>
            <wp:extent cx="3251200" cy="2120900"/>
            <wp:effectExtent l="0" t="0" r="6350" b="12700"/>
            <wp:wrapSquare wrapText="bothSides"/>
            <wp:docPr id="191" name="Chart 19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Pr="009F2567">
        <w:rPr>
          <w:b/>
        </w:rPr>
        <w:t xml:space="preserve">Vlerësimi i </w:t>
      </w:r>
      <w:r w:rsidR="005F5E4E">
        <w:rPr>
          <w:b/>
        </w:rPr>
        <w:t>kushteve minimale për vitin 2024</w:t>
      </w:r>
    </w:p>
    <w:p w:rsidR="0069543C" w:rsidRPr="009F2567" w:rsidRDefault="0069543C" w:rsidP="0069543C">
      <w:pPr>
        <w:jc w:val="both"/>
        <w:rPr>
          <w:rFonts w:asciiTheme="majorHAnsi" w:hAnsiTheme="majorHAnsi" w:cstheme="majorHAnsi"/>
          <w:lang w:val="de-CH"/>
        </w:rPr>
      </w:pPr>
      <w:r w:rsidRPr="009F2567">
        <w:rPr>
          <w:rFonts w:asciiTheme="majorHAnsi" w:hAnsiTheme="majorHAnsi" w:cstheme="majorHAnsi"/>
          <w:lang w:val="de-CH"/>
        </w:rPr>
        <w:t>Kom</w:t>
      </w:r>
      <w:bookmarkStart w:id="38" w:name="_Hlk114220614"/>
      <w:r w:rsidRPr="009F2567">
        <w:rPr>
          <w:rFonts w:asciiTheme="majorHAnsi" w:hAnsiTheme="majorHAnsi" w:cstheme="majorHAnsi"/>
          <w:lang w:val="de-CH"/>
        </w:rPr>
        <w:t>una e Fushë Kosovës nuk është kualifikuar për grantin e perf</w:t>
      </w:r>
      <w:r w:rsidR="005F5E4E">
        <w:rPr>
          <w:rFonts w:asciiTheme="majorHAnsi" w:hAnsiTheme="majorHAnsi" w:cstheme="majorHAnsi"/>
          <w:lang w:val="de-CH"/>
        </w:rPr>
        <w:t>ormancës komunale për vitin 2024</w:t>
      </w:r>
      <w:r w:rsidRPr="009F2567">
        <w:rPr>
          <w:rFonts w:asciiTheme="majorHAnsi" w:hAnsiTheme="majorHAnsi" w:cstheme="majorHAnsi"/>
          <w:lang w:val="de-CH"/>
        </w:rPr>
        <w:t>.</w:t>
      </w:r>
    </w:p>
    <w:p w:rsidR="0069543C" w:rsidRPr="009F2567" w:rsidRDefault="0069543C" w:rsidP="0069543C">
      <w:pPr>
        <w:jc w:val="both"/>
        <w:rPr>
          <w:rFonts w:asciiTheme="majorHAnsi" w:hAnsiTheme="majorHAnsi" w:cstheme="majorHAnsi"/>
          <w:lang w:val="de-CH"/>
        </w:rPr>
      </w:pPr>
    </w:p>
    <w:p w:rsidR="0069543C" w:rsidRPr="009F2567" w:rsidRDefault="0069543C" w:rsidP="0069543C">
      <w:pPr>
        <w:jc w:val="both"/>
        <w:rPr>
          <w:rFonts w:asciiTheme="majorHAnsi" w:hAnsiTheme="majorHAnsi" w:cstheme="majorHAnsi"/>
          <w:lang w:val="de-CH"/>
        </w:rPr>
      </w:pPr>
      <w:r w:rsidRPr="009F2567">
        <w:rPr>
          <w:rFonts w:asciiTheme="majorHAnsi" w:hAnsiTheme="majorHAnsi" w:cstheme="majorHAnsi"/>
          <w:lang w:val="de-CH"/>
        </w:rPr>
        <w:t>Kusht</w:t>
      </w:r>
      <w:r w:rsidR="00562528" w:rsidRPr="009F2567">
        <w:rPr>
          <w:rFonts w:asciiTheme="majorHAnsi" w:hAnsiTheme="majorHAnsi" w:cstheme="majorHAnsi"/>
          <w:lang w:val="de-CH"/>
        </w:rPr>
        <w:t>et</w:t>
      </w:r>
      <w:r w:rsidRPr="009F2567">
        <w:rPr>
          <w:rFonts w:asciiTheme="majorHAnsi" w:hAnsiTheme="majorHAnsi" w:cstheme="majorHAnsi"/>
          <w:lang w:val="de-CH"/>
        </w:rPr>
        <w:t xml:space="preserve"> minimal</w:t>
      </w:r>
      <w:r w:rsidR="00562528" w:rsidRPr="009F2567">
        <w:rPr>
          <w:rFonts w:asciiTheme="majorHAnsi" w:hAnsiTheme="majorHAnsi" w:cstheme="majorHAnsi"/>
          <w:lang w:val="de-CH"/>
        </w:rPr>
        <w:t xml:space="preserve">e </w:t>
      </w:r>
      <w:r w:rsidRPr="009F2567">
        <w:rPr>
          <w:rFonts w:asciiTheme="majorHAnsi" w:hAnsiTheme="majorHAnsi" w:cstheme="majorHAnsi"/>
          <w:lang w:val="de-CH"/>
        </w:rPr>
        <w:t>numër 3 (opinioni i auditimit duhet të jetë të paktën i pamodifikua me theksim të cështjes) dhe 4 (shkalla e shpenzimit të buxhetit për investime kapitale për vitin 202</w:t>
      </w:r>
      <w:r w:rsidR="00896494" w:rsidRPr="009F2567">
        <w:rPr>
          <w:rFonts w:asciiTheme="majorHAnsi" w:hAnsiTheme="majorHAnsi" w:cstheme="majorHAnsi"/>
          <w:lang w:val="de-CH"/>
        </w:rPr>
        <w:t>3</w:t>
      </w:r>
      <w:r w:rsidRPr="009F2567">
        <w:rPr>
          <w:rFonts w:asciiTheme="majorHAnsi" w:hAnsiTheme="majorHAnsi" w:cstheme="majorHAnsi"/>
          <w:lang w:val="de-CH"/>
        </w:rPr>
        <w:t xml:space="preserve"> së paku 75%) nuk janë përmbushur. </w:t>
      </w:r>
    </w:p>
    <w:bookmarkEnd w:id="38"/>
    <w:p w:rsidR="0069543C" w:rsidRPr="009F2567" w:rsidRDefault="0069543C" w:rsidP="0069543C">
      <w:pPr>
        <w:tabs>
          <w:tab w:val="left" w:pos="1190"/>
        </w:tabs>
        <w:rPr>
          <w:b/>
        </w:rPr>
      </w:pPr>
      <w:r w:rsidRPr="009F2567">
        <w:rPr>
          <w:b/>
        </w:rPr>
        <w:tab/>
      </w:r>
    </w:p>
    <w:p w:rsidR="0069543C" w:rsidRPr="009F2567" w:rsidRDefault="0069543C" w:rsidP="0069543C">
      <w:pPr>
        <w:tabs>
          <w:tab w:val="left" w:pos="1190"/>
        </w:tabs>
      </w:pPr>
    </w:p>
    <w:p w:rsidR="0069543C" w:rsidRPr="009F2567" w:rsidRDefault="0069543C" w:rsidP="0069543C">
      <w:pPr>
        <w:rPr>
          <w:b/>
        </w:rPr>
      </w:pPr>
      <w:r w:rsidRPr="009F2567">
        <w:rPr>
          <w:b/>
        </w:rPr>
        <w:t>Vlerësimi i treguesv</w:t>
      </w:r>
      <w:r w:rsidR="005F5E4E">
        <w:rPr>
          <w:b/>
        </w:rPr>
        <w:t>e të performancës për vitin 2024</w:t>
      </w:r>
    </w:p>
    <w:p w:rsidR="0069543C" w:rsidRPr="009F2567" w:rsidRDefault="009D4840" w:rsidP="0069543C">
      <w:pPr>
        <w:jc w:val="both"/>
        <w:rPr>
          <w:rFonts w:asciiTheme="majorHAnsi" w:hAnsiTheme="majorHAnsi" w:cstheme="majorHAnsi"/>
        </w:rPr>
      </w:pPr>
      <w:r>
        <w:rPr>
          <w:noProof/>
          <w:lang w:val="en-GB" w:eastAsia="en-GB"/>
          <w14:ligatures w14:val="standardContextual"/>
        </w:rPr>
        <w:drawing>
          <wp:anchor distT="0" distB="0" distL="114300" distR="114300" simplePos="0" relativeHeight="251820032" behindDoc="0" locked="0" layoutInCell="1" allowOverlap="1" wp14:anchorId="612402F2" wp14:editId="3D91E34B">
            <wp:simplePos x="0" y="0"/>
            <wp:positionH relativeFrom="margin">
              <wp:posOffset>2674620</wp:posOffset>
            </wp:positionH>
            <wp:positionV relativeFrom="margin">
              <wp:posOffset>3787140</wp:posOffset>
            </wp:positionV>
            <wp:extent cx="3430905" cy="2497455"/>
            <wp:effectExtent l="0" t="0" r="17145" b="17145"/>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69543C" w:rsidRPr="009F2567">
        <w:rPr>
          <w:rFonts w:asciiTheme="majorHAnsi" w:hAnsiTheme="majorHAnsi" w:cstheme="majorHAnsi"/>
        </w:rPr>
        <w:t xml:space="preserve">Performanca mesatare e Komunës së </w:t>
      </w:r>
      <w:r w:rsidR="0069543C" w:rsidRPr="009F2567">
        <w:rPr>
          <w:rFonts w:asciiTheme="majorHAnsi" w:hAnsiTheme="majorHAnsi" w:cstheme="majorHAnsi"/>
          <w:lang w:val="de-CH"/>
        </w:rPr>
        <w:t>Fushë Kosovës</w:t>
      </w:r>
      <w:r w:rsidR="005F5E4E">
        <w:rPr>
          <w:rFonts w:asciiTheme="majorHAnsi" w:hAnsiTheme="majorHAnsi" w:cstheme="majorHAnsi"/>
        </w:rPr>
        <w:t xml:space="preserve"> në 29</w:t>
      </w:r>
      <w:r w:rsidR="0069543C" w:rsidRPr="009F2567">
        <w:rPr>
          <w:rFonts w:asciiTheme="majorHAnsi" w:hAnsiTheme="majorHAnsi" w:cstheme="majorHAnsi"/>
        </w:rPr>
        <w:t xml:space="preserve"> indikatorët e vlerës</w:t>
      </w:r>
      <w:r w:rsidR="005F5E4E">
        <w:rPr>
          <w:rFonts w:asciiTheme="majorHAnsi" w:hAnsiTheme="majorHAnsi" w:cstheme="majorHAnsi"/>
        </w:rPr>
        <w:t>uar është 41</w:t>
      </w:r>
      <w:r w:rsidR="0069543C" w:rsidRPr="009F2567">
        <w:rPr>
          <w:rFonts w:asciiTheme="majorHAnsi" w:hAnsiTheme="majorHAnsi" w:cstheme="majorHAnsi"/>
        </w:rPr>
        <w:t xml:space="preserve"> pikë ng</w:t>
      </w:r>
      <w:r w:rsidR="00531433">
        <w:rPr>
          <w:rFonts w:asciiTheme="majorHAnsi" w:hAnsiTheme="majorHAnsi" w:cstheme="majorHAnsi"/>
        </w:rPr>
        <w:t xml:space="preserve">a </w:t>
      </w:r>
      <w:r w:rsidR="005F5E4E">
        <w:rPr>
          <w:rFonts w:asciiTheme="majorHAnsi" w:hAnsiTheme="majorHAnsi" w:cstheme="majorHAnsi"/>
        </w:rPr>
        <w:t>gjithsej 98</w:t>
      </w:r>
      <w:r w:rsidR="0069543C" w:rsidRPr="009F2567">
        <w:rPr>
          <w:rFonts w:asciiTheme="majorHAnsi" w:hAnsiTheme="majorHAnsi" w:cstheme="majorHAnsi"/>
        </w:rPr>
        <w:t xml:space="preserve"> pikë të mundshme (</w:t>
      </w:r>
      <w:r w:rsidR="005F5E4E">
        <w:rPr>
          <w:rFonts w:asciiTheme="majorHAnsi" w:hAnsiTheme="majorHAnsi" w:cstheme="majorHAnsi"/>
        </w:rPr>
        <w:t>41.84</w:t>
      </w:r>
      <w:r w:rsidR="0069543C" w:rsidRPr="009F2567">
        <w:rPr>
          <w:rFonts w:asciiTheme="majorHAnsi" w:hAnsiTheme="majorHAnsi" w:cstheme="majorHAnsi"/>
        </w:rPr>
        <w:t>%).</w:t>
      </w:r>
      <w:r w:rsidR="0069543C" w:rsidRPr="009F2567">
        <w:rPr>
          <w:noProof/>
        </w:rPr>
        <w:t xml:space="preserve"> </w:t>
      </w:r>
    </w:p>
    <w:p w:rsidR="0069543C" w:rsidRPr="009F2567" w:rsidRDefault="006A4FD7" w:rsidP="001F42C9">
      <w:pPr>
        <w:jc w:val="both"/>
        <w:rPr>
          <w:rFonts w:asciiTheme="majorHAnsi" w:hAnsiTheme="majorHAnsi" w:cstheme="majorHAnsi"/>
        </w:rPr>
      </w:pPr>
      <w:r>
        <w:rPr>
          <w:rFonts w:asciiTheme="majorHAnsi" w:hAnsiTheme="majorHAnsi" w:cstheme="majorHAnsi"/>
        </w:rPr>
        <w:t>Performanca mesatare në 13</w:t>
      </w:r>
      <w:r w:rsidR="0069543C" w:rsidRPr="009F2567">
        <w:rPr>
          <w:rFonts w:asciiTheme="majorHAnsi" w:hAnsiTheme="majorHAnsi" w:cstheme="majorHAnsi"/>
        </w:rPr>
        <w:t xml:space="preserve"> treguesit e vlerësuar në kuadër të fushës </w:t>
      </w:r>
      <w:r w:rsidR="009D4840">
        <w:rPr>
          <w:rFonts w:asciiTheme="majorHAnsi" w:hAnsiTheme="majorHAnsi" w:cstheme="majorHAnsi"/>
        </w:rPr>
        <w:t>‘Qeverisja demokratike’ është 11</w:t>
      </w:r>
      <w:r w:rsidR="0069543C" w:rsidRPr="009F2567">
        <w:rPr>
          <w:rFonts w:asciiTheme="majorHAnsi" w:hAnsiTheme="majorHAnsi" w:cstheme="majorHAnsi"/>
        </w:rPr>
        <w:t xml:space="preserve"> pikë nga gjithsej</w:t>
      </w:r>
      <w:r w:rsidR="001F42C9" w:rsidRPr="009F2567">
        <w:rPr>
          <w:rFonts w:asciiTheme="majorHAnsi" w:hAnsiTheme="majorHAnsi" w:cstheme="majorHAnsi"/>
        </w:rPr>
        <w:t xml:space="preserve"> </w:t>
      </w:r>
      <w:r w:rsidR="00600A7F">
        <w:rPr>
          <w:rFonts w:asciiTheme="majorHAnsi" w:hAnsiTheme="majorHAnsi" w:cstheme="majorHAnsi"/>
        </w:rPr>
        <w:t>40</w:t>
      </w:r>
      <w:r w:rsidR="0069543C" w:rsidRPr="009F2567">
        <w:rPr>
          <w:rFonts w:asciiTheme="majorHAnsi" w:hAnsiTheme="majorHAnsi" w:cstheme="majorHAnsi"/>
        </w:rPr>
        <w:t xml:space="preserve"> pikët të mundshme (</w:t>
      </w:r>
      <w:r w:rsidR="009D4840">
        <w:rPr>
          <w:rFonts w:asciiTheme="majorHAnsi" w:hAnsiTheme="majorHAnsi" w:cstheme="majorHAnsi"/>
        </w:rPr>
        <w:t>27.50</w:t>
      </w:r>
      <w:r w:rsidR="0069543C" w:rsidRPr="009F2567">
        <w:rPr>
          <w:rFonts w:asciiTheme="majorHAnsi" w:hAnsiTheme="majorHAnsi" w:cstheme="majorHAnsi"/>
        </w:rPr>
        <w:t xml:space="preserve">%). </w:t>
      </w:r>
    </w:p>
    <w:p w:rsidR="0069543C" w:rsidRPr="009F2567" w:rsidRDefault="006A4FD7" w:rsidP="001F42C9">
      <w:pPr>
        <w:jc w:val="both"/>
        <w:rPr>
          <w:rFonts w:asciiTheme="majorHAnsi" w:hAnsiTheme="majorHAnsi" w:cstheme="majorHAnsi"/>
        </w:rPr>
      </w:pPr>
      <w:r>
        <w:rPr>
          <w:rFonts w:asciiTheme="majorHAnsi" w:hAnsiTheme="majorHAnsi" w:cstheme="majorHAnsi"/>
        </w:rPr>
        <w:t>Performanca mesatare në 7</w:t>
      </w:r>
      <w:r w:rsidR="0069543C" w:rsidRPr="009F2567">
        <w:rPr>
          <w:rFonts w:asciiTheme="majorHAnsi" w:hAnsiTheme="majorHAnsi" w:cstheme="majorHAnsi"/>
        </w:rPr>
        <w:t xml:space="preserve"> treguesit e vlerësuar në kuadër të fus</w:t>
      </w:r>
      <w:r w:rsidR="009D4840">
        <w:rPr>
          <w:rFonts w:asciiTheme="majorHAnsi" w:hAnsiTheme="majorHAnsi" w:cstheme="majorHAnsi"/>
        </w:rPr>
        <w:t>hës ‘Menaxhimi Komunal’ është 7</w:t>
      </w:r>
      <w:r w:rsidR="0069543C" w:rsidRPr="009F2567">
        <w:rPr>
          <w:rFonts w:asciiTheme="majorHAnsi" w:hAnsiTheme="majorHAnsi" w:cstheme="majorHAnsi"/>
        </w:rPr>
        <w:t xml:space="preserve"> pikë nga gjithsej </w:t>
      </w:r>
      <w:r w:rsidR="00600A7F">
        <w:rPr>
          <w:rFonts w:asciiTheme="majorHAnsi" w:hAnsiTheme="majorHAnsi" w:cstheme="majorHAnsi"/>
        </w:rPr>
        <w:t>28</w:t>
      </w:r>
      <w:r w:rsidR="0069543C" w:rsidRPr="009F2567">
        <w:rPr>
          <w:rFonts w:asciiTheme="majorHAnsi" w:hAnsiTheme="majorHAnsi" w:cstheme="majorHAnsi"/>
        </w:rPr>
        <w:t xml:space="preserve"> pikë të mundshme (</w:t>
      </w:r>
      <w:r w:rsidR="009D4840">
        <w:rPr>
          <w:rFonts w:asciiTheme="majorHAnsi" w:hAnsiTheme="majorHAnsi" w:cstheme="majorHAnsi"/>
        </w:rPr>
        <w:t>25.00</w:t>
      </w:r>
      <w:r w:rsidR="0069543C" w:rsidRPr="009F2567">
        <w:rPr>
          <w:rFonts w:asciiTheme="majorHAnsi" w:hAnsiTheme="majorHAnsi" w:cstheme="majorHAnsi"/>
        </w:rPr>
        <w:t xml:space="preserve">%). </w:t>
      </w:r>
    </w:p>
    <w:p w:rsidR="0069543C" w:rsidRPr="009F2567" w:rsidRDefault="009D4840" w:rsidP="001F42C9">
      <w:pPr>
        <w:jc w:val="both"/>
        <w:rPr>
          <w:rFonts w:asciiTheme="majorHAnsi" w:hAnsiTheme="majorHAnsi" w:cstheme="majorHAnsi"/>
        </w:rPr>
      </w:pPr>
      <w:r>
        <w:rPr>
          <w:rFonts w:asciiTheme="majorHAnsi" w:hAnsiTheme="majorHAnsi" w:cstheme="majorHAnsi"/>
        </w:rPr>
        <w:t>Performanca mesatare në 9</w:t>
      </w:r>
      <w:r w:rsidR="0069543C" w:rsidRPr="009F2567">
        <w:rPr>
          <w:rFonts w:asciiTheme="majorHAnsi" w:hAnsiTheme="majorHAnsi" w:cstheme="majorHAnsi"/>
        </w:rPr>
        <w:t xml:space="preserve"> treguesit e vlerësuar në kuadër të fushë</w:t>
      </w:r>
      <w:r>
        <w:rPr>
          <w:rFonts w:asciiTheme="majorHAnsi" w:hAnsiTheme="majorHAnsi" w:cstheme="majorHAnsi"/>
        </w:rPr>
        <w:t>s ‘Ofrimi i shërbimeve’ është 23</w:t>
      </w:r>
      <w:r w:rsidR="0069543C" w:rsidRPr="009F2567">
        <w:rPr>
          <w:rFonts w:asciiTheme="majorHAnsi" w:hAnsiTheme="majorHAnsi" w:cstheme="majorHAnsi"/>
        </w:rPr>
        <w:t xml:space="preserve"> pikë nga gjithsej </w:t>
      </w:r>
      <w:r w:rsidR="00600A7F">
        <w:rPr>
          <w:rFonts w:asciiTheme="majorHAnsi" w:hAnsiTheme="majorHAnsi" w:cstheme="majorHAnsi"/>
        </w:rPr>
        <w:t>30</w:t>
      </w:r>
      <w:r w:rsidR="0069543C" w:rsidRPr="009F2567">
        <w:rPr>
          <w:rFonts w:asciiTheme="majorHAnsi" w:hAnsiTheme="majorHAnsi" w:cstheme="majorHAnsi"/>
        </w:rPr>
        <w:t xml:space="preserve"> pikë të mundshme (</w:t>
      </w:r>
      <w:r w:rsidR="00531433">
        <w:rPr>
          <w:rFonts w:asciiTheme="majorHAnsi" w:hAnsiTheme="majorHAnsi" w:cstheme="majorHAnsi"/>
        </w:rPr>
        <w:t>76.</w:t>
      </w:r>
      <w:r>
        <w:rPr>
          <w:rFonts w:asciiTheme="majorHAnsi" w:hAnsiTheme="majorHAnsi" w:cstheme="majorHAnsi"/>
        </w:rPr>
        <w:t>67</w:t>
      </w:r>
      <w:r w:rsidR="0069543C" w:rsidRPr="009F2567">
        <w:rPr>
          <w:rFonts w:asciiTheme="majorHAnsi" w:hAnsiTheme="majorHAnsi" w:cstheme="majorHAnsi"/>
        </w:rPr>
        <w:t xml:space="preserve">%). </w:t>
      </w:r>
    </w:p>
    <w:p w:rsidR="0069543C" w:rsidRPr="009F2567" w:rsidRDefault="0069543C" w:rsidP="0069543C">
      <w:pPr>
        <w:jc w:val="both"/>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asciiTheme="majorHAnsi" w:eastAsiaTheme="majorEastAsia" w:hAnsiTheme="majorHAnsi" w:cs="Calibri Light"/>
          <w:b/>
          <w:noProof/>
          <w:lang w:val="de-CH"/>
        </w:rPr>
      </w:pPr>
      <w:r w:rsidRPr="009F2567">
        <w:rPr>
          <w:rFonts w:asciiTheme="majorHAnsi" w:eastAsiaTheme="majorEastAsia" w:hAnsiTheme="majorHAnsi" w:cs="Calibri Light"/>
          <w:b/>
          <w:noProof/>
          <w:lang w:val="de-CH"/>
        </w:rPr>
        <w:lastRenderedPageBreak/>
        <w:t>Përmbledhje e rezultateve për vitin 202</w:t>
      </w:r>
      <w:r w:rsidR="009D4840">
        <w:rPr>
          <w:rFonts w:asciiTheme="majorHAnsi" w:eastAsiaTheme="majorEastAsia" w:hAnsiTheme="majorHAnsi" w:cs="Calibri Light"/>
          <w:b/>
          <w:noProof/>
          <w:lang w:val="de-CH"/>
        </w:rPr>
        <w:t>4</w:t>
      </w:r>
      <w:r w:rsidRPr="009F2567">
        <w:rPr>
          <w:rFonts w:asciiTheme="majorHAnsi" w:eastAsiaTheme="majorEastAsia" w:hAnsiTheme="majorHAnsi" w:cs="Calibri Light"/>
          <w:b/>
          <w:noProof/>
          <w:lang w:val="de-CH"/>
        </w:rPr>
        <w:t xml:space="preserve"> për grantin e performancës komunale - Komuna Gjakovë</w:t>
      </w:r>
    </w:p>
    <w:p w:rsidR="0069543C" w:rsidRPr="009F2567" w:rsidRDefault="009D4840" w:rsidP="0069543C">
      <w:pPr>
        <w:rPr>
          <w:b/>
        </w:rPr>
      </w:pPr>
      <w:r>
        <w:rPr>
          <w:noProof/>
          <w:lang w:val="en-GB" w:eastAsia="en-GB"/>
          <w14:ligatures w14:val="standardContextual"/>
        </w:rPr>
        <w:drawing>
          <wp:anchor distT="0" distB="0" distL="114300" distR="114300" simplePos="0" relativeHeight="251821056" behindDoc="0" locked="0" layoutInCell="1" allowOverlap="1" wp14:anchorId="0909D772" wp14:editId="599AF532">
            <wp:simplePos x="0" y="0"/>
            <wp:positionH relativeFrom="margin">
              <wp:posOffset>2606675</wp:posOffset>
            </wp:positionH>
            <wp:positionV relativeFrom="margin">
              <wp:posOffset>565785</wp:posOffset>
            </wp:positionV>
            <wp:extent cx="3219450" cy="2115185"/>
            <wp:effectExtent l="0" t="0" r="0" b="18415"/>
            <wp:wrapSquare wrapText="bothSides"/>
            <wp:docPr id="10" name="Chart 10">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2C99EB82-B8D6-42ED-9AA3-131A0C6D4D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69543C" w:rsidRPr="009F2567">
        <w:rPr>
          <w:b/>
        </w:rPr>
        <w:t xml:space="preserve">Vlerësimi i </w:t>
      </w:r>
      <w:r>
        <w:rPr>
          <w:b/>
        </w:rPr>
        <w:t>kushteve minimale për vitin 2024</w:t>
      </w:r>
    </w:p>
    <w:p w:rsidR="0069543C" w:rsidRPr="009D4840" w:rsidRDefault="0069543C" w:rsidP="0069543C">
      <w:pPr>
        <w:jc w:val="both"/>
        <w:rPr>
          <w:rFonts w:asciiTheme="majorHAnsi" w:hAnsiTheme="majorHAnsi" w:cstheme="majorHAnsi"/>
          <w:noProof/>
          <w:lang w:eastAsia="sr-Latn-RS"/>
        </w:rPr>
      </w:pPr>
      <w:r w:rsidRPr="009F2567">
        <w:rPr>
          <w:rFonts w:asciiTheme="majorHAnsi" w:hAnsiTheme="majorHAnsi" w:cstheme="majorHAnsi"/>
          <w:lang w:val="de-CH"/>
        </w:rPr>
        <w:t xml:space="preserve">Komuna e Gjakovës </w:t>
      </w:r>
      <w:r w:rsidR="004E5C27" w:rsidRPr="009F2567">
        <w:rPr>
          <w:rFonts w:asciiTheme="majorHAnsi" w:hAnsiTheme="majorHAnsi" w:cstheme="majorHAnsi"/>
          <w:lang w:val="de-CH"/>
        </w:rPr>
        <w:t xml:space="preserve">nuk </w:t>
      </w:r>
      <w:r w:rsidRPr="009F2567">
        <w:rPr>
          <w:rFonts w:asciiTheme="majorHAnsi" w:hAnsiTheme="majorHAnsi" w:cstheme="majorHAnsi"/>
          <w:lang w:val="de-CH"/>
        </w:rPr>
        <w:t>është kualifikuar për grantin e perf</w:t>
      </w:r>
      <w:r w:rsidR="009D4840">
        <w:rPr>
          <w:rFonts w:asciiTheme="majorHAnsi" w:hAnsiTheme="majorHAnsi" w:cstheme="majorHAnsi"/>
          <w:lang w:val="de-CH"/>
        </w:rPr>
        <w:t>ormancës komunale për vitin 2024</w:t>
      </w:r>
      <w:r w:rsidRPr="009F2567">
        <w:rPr>
          <w:rFonts w:asciiTheme="majorHAnsi" w:hAnsiTheme="majorHAnsi" w:cstheme="majorHAnsi"/>
          <w:lang w:val="de-CH"/>
        </w:rPr>
        <w:t xml:space="preserve">. </w:t>
      </w:r>
      <w:r w:rsidR="009D4840">
        <w:rPr>
          <w:rFonts w:asciiTheme="majorHAnsi" w:hAnsiTheme="majorHAnsi" w:cstheme="majorHAnsi"/>
          <w:noProof/>
          <w:lang w:eastAsia="sr-Latn-RS"/>
        </w:rPr>
        <w:t xml:space="preserve"> </w:t>
      </w:r>
    </w:p>
    <w:p w:rsidR="0069543C" w:rsidRPr="009F2567" w:rsidRDefault="004E5C27" w:rsidP="0069543C">
      <w:r w:rsidRPr="009F2567">
        <w:rPr>
          <w:rFonts w:asciiTheme="majorHAnsi" w:hAnsiTheme="majorHAnsi" w:cstheme="majorHAnsi"/>
          <w:lang w:val="de-CH"/>
        </w:rPr>
        <w:t>Kushti minimal numër 3 (opinioni i auditimit duhet të jetë të paktën i pamodifikuar me theksim të çështjes) nuk është përmbushur.</w:t>
      </w:r>
    </w:p>
    <w:p w:rsidR="0069543C" w:rsidRPr="009F2567" w:rsidRDefault="0069543C" w:rsidP="0069543C"/>
    <w:p w:rsidR="0069543C" w:rsidRPr="009F2567" w:rsidRDefault="0069543C" w:rsidP="0069543C"/>
    <w:p w:rsidR="0069543C" w:rsidRPr="009F2567" w:rsidRDefault="0069543C" w:rsidP="0069543C"/>
    <w:p w:rsidR="0069543C" w:rsidRPr="009F2567" w:rsidRDefault="0069543C" w:rsidP="0069543C">
      <w:pPr>
        <w:rPr>
          <w:b/>
        </w:rPr>
      </w:pPr>
    </w:p>
    <w:p w:rsidR="0069543C" w:rsidRPr="009F2567" w:rsidRDefault="0069543C" w:rsidP="0069543C">
      <w:pPr>
        <w:rPr>
          <w:b/>
        </w:rPr>
      </w:pPr>
      <w:r w:rsidRPr="009F2567">
        <w:rPr>
          <w:b/>
        </w:rPr>
        <w:t>Vlerësimi i treguesv</w:t>
      </w:r>
      <w:r w:rsidR="009D4840">
        <w:rPr>
          <w:b/>
        </w:rPr>
        <w:t>e të performancës për vitin 2024</w:t>
      </w:r>
    </w:p>
    <w:p w:rsidR="009D41A8" w:rsidRPr="009D41A8" w:rsidRDefault="0069543C" w:rsidP="0069543C">
      <w:pPr>
        <w:jc w:val="both"/>
        <w:rPr>
          <w:noProof/>
        </w:rPr>
      </w:pPr>
      <w:r w:rsidRPr="009F2567">
        <w:rPr>
          <w:rFonts w:asciiTheme="majorHAnsi" w:hAnsiTheme="majorHAnsi" w:cstheme="majorHAnsi"/>
        </w:rPr>
        <w:t>Performanca mesat</w:t>
      </w:r>
      <w:r w:rsidR="009D4840">
        <w:rPr>
          <w:rFonts w:asciiTheme="majorHAnsi" w:hAnsiTheme="majorHAnsi" w:cstheme="majorHAnsi"/>
        </w:rPr>
        <w:t>are e Komunës së Gjakovës  në  29</w:t>
      </w:r>
      <w:r w:rsidRPr="009F2567">
        <w:rPr>
          <w:rFonts w:asciiTheme="majorHAnsi" w:hAnsiTheme="majorHAnsi" w:cstheme="majorHAnsi"/>
        </w:rPr>
        <w:t xml:space="preserve"> </w:t>
      </w:r>
      <w:r w:rsidR="00603A5A">
        <w:rPr>
          <w:rFonts w:asciiTheme="majorHAnsi" w:hAnsiTheme="majorHAnsi" w:cstheme="majorHAnsi"/>
        </w:rPr>
        <w:t>indikatorët e vlerësuar është 52</w:t>
      </w:r>
      <w:r w:rsidRPr="009F2567">
        <w:rPr>
          <w:rFonts w:asciiTheme="majorHAnsi" w:hAnsiTheme="majorHAnsi" w:cstheme="majorHAnsi"/>
        </w:rPr>
        <w:t xml:space="preserve"> pikë nga gj</w:t>
      </w:r>
      <w:r w:rsidR="00603A5A">
        <w:rPr>
          <w:rFonts w:asciiTheme="majorHAnsi" w:hAnsiTheme="majorHAnsi" w:cstheme="majorHAnsi"/>
        </w:rPr>
        <w:t>ithsej 98</w:t>
      </w:r>
      <w:r w:rsidR="009D4840">
        <w:rPr>
          <w:rFonts w:asciiTheme="majorHAnsi" w:hAnsiTheme="majorHAnsi" w:cstheme="majorHAnsi"/>
        </w:rPr>
        <w:t xml:space="preserve"> pikë të mundshme (53.06</w:t>
      </w:r>
      <w:r w:rsidRPr="009F2567">
        <w:rPr>
          <w:rFonts w:asciiTheme="majorHAnsi" w:hAnsiTheme="majorHAnsi" w:cstheme="majorHAnsi"/>
        </w:rPr>
        <w:t>%).</w:t>
      </w:r>
      <w:r w:rsidRPr="009F2567">
        <w:rPr>
          <w:noProof/>
        </w:rPr>
        <w:t xml:space="preserve"> </w:t>
      </w:r>
    </w:p>
    <w:p w:rsidR="0069543C" w:rsidRPr="009F2567" w:rsidRDefault="009D4840" w:rsidP="0069543C">
      <w:pPr>
        <w:jc w:val="both"/>
        <w:rPr>
          <w:rFonts w:asciiTheme="majorHAnsi" w:hAnsiTheme="majorHAnsi" w:cstheme="majorHAnsi"/>
        </w:rPr>
      </w:pPr>
      <w:r>
        <w:rPr>
          <w:noProof/>
          <w:lang w:val="en-GB" w:eastAsia="en-GB"/>
          <w14:ligatures w14:val="standardContextual"/>
        </w:rPr>
        <w:drawing>
          <wp:anchor distT="0" distB="0" distL="114300" distR="114300" simplePos="0" relativeHeight="251822080" behindDoc="0" locked="0" layoutInCell="1" allowOverlap="1" wp14:anchorId="7F62CE87" wp14:editId="0C9A088F">
            <wp:simplePos x="0" y="0"/>
            <wp:positionH relativeFrom="margin">
              <wp:posOffset>2530494</wp:posOffset>
            </wp:positionH>
            <wp:positionV relativeFrom="margin">
              <wp:posOffset>3963793</wp:posOffset>
            </wp:positionV>
            <wp:extent cx="3409950" cy="2339975"/>
            <wp:effectExtent l="0" t="0" r="0" b="3175"/>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6A4FD7">
        <w:rPr>
          <w:rFonts w:asciiTheme="majorHAnsi" w:hAnsiTheme="majorHAnsi" w:cstheme="majorHAnsi"/>
        </w:rPr>
        <w:t>Performanca mesatare në 13</w:t>
      </w:r>
      <w:r w:rsidR="0069543C" w:rsidRPr="009F2567">
        <w:rPr>
          <w:rFonts w:asciiTheme="majorHAnsi" w:hAnsiTheme="majorHAnsi" w:cstheme="majorHAnsi"/>
        </w:rPr>
        <w:t xml:space="preserve"> treguesit e vlerësuar në kuadër të fushës </w:t>
      </w:r>
      <w:r w:rsidR="00603A5A">
        <w:rPr>
          <w:rFonts w:asciiTheme="majorHAnsi" w:hAnsiTheme="majorHAnsi" w:cstheme="majorHAnsi"/>
        </w:rPr>
        <w:t>‘Qeverisja demokratike’ është 20</w:t>
      </w:r>
      <w:r w:rsidR="0069543C" w:rsidRPr="009F2567">
        <w:rPr>
          <w:rFonts w:asciiTheme="majorHAnsi" w:hAnsiTheme="majorHAnsi" w:cstheme="majorHAnsi"/>
        </w:rPr>
        <w:t xml:space="preserve"> pikë nga gjithsej </w:t>
      </w:r>
      <w:r w:rsidR="00600A7F">
        <w:rPr>
          <w:rFonts w:asciiTheme="majorHAnsi" w:hAnsiTheme="majorHAnsi" w:cstheme="majorHAnsi"/>
        </w:rPr>
        <w:t>40</w:t>
      </w:r>
      <w:r>
        <w:rPr>
          <w:rFonts w:asciiTheme="majorHAnsi" w:hAnsiTheme="majorHAnsi" w:cstheme="majorHAnsi"/>
        </w:rPr>
        <w:t xml:space="preserve"> pikët të mundshme (50.00</w:t>
      </w:r>
      <w:r w:rsidR="0069543C" w:rsidRPr="009F2567">
        <w:rPr>
          <w:rFonts w:asciiTheme="majorHAnsi" w:hAnsiTheme="majorHAnsi" w:cstheme="majorHAnsi"/>
        </w:rPr>
        <w:t xml:space="preserve">%). </w:t>
      </w:r>
    </w:p>
    <w:p w:rsidR="0069543C" w:rsidRPr="009F2567" w:rsidRDefault="006A4FD7" w:rsidP="0069543C">
      <w:pPr>
        <w:jc w:val="both"/>
        <w:rPr>
          <w:rFonts w:asciiTheme="majorHAnsi" w:hAnsiTheme="majorHAnsi" w:cstheme="majorHAnsi"/>
        </w:rPr>
      </w:pPr>
      <w:r>
        <w:rPr>
          <w:rFonts w:asciiTheme="majorHAnsi" w:hAnsiTheme="majorHAnsi" w:cstheme="majorHAnsi"/>
        </w:rPr>
        <w:t>Performanca mesatare në 7</w:t>
      </w:r>
      <w:r w:rsidR="0069543C" w:rsidRPr="009F2567">
        <w:rPr>
          <w:rFonts w:asciiTheme="majorHAnsi" w:hAnsiTheme="majorHAnsi" w:cstheme="majorHAnsi"/>
        </w:rPr>
        <w:t xml:space="preserve"> treguesit e vlerësuar në kuadër të fushës</w:t>
      </w:r>
      <w:r w:rsidR="00603A5A">
        <w:rPr>
          <w:rFonts w:asciiTheme="majorHAnsi" w:hAnsiTheme="majorHAnsi" w:cstheme="majorHAnsi"/>
        </w:rPr>
        <w:t xml:space="preserve"> ‘Menaxhimi Komunal’ është 14</w:t>
      </w:r>
      <w:r w:rsidR="0069543C" w:rsidRPr="009F2567">
        <w:rPr>
          <w:rFonts w:asciiTheme="majorHAnsi" w:hAnsiTheme="majorHAnsi" w:cstheme="majorHAnsi"/>
        </w:rPr>
        <w:t xml:space="preserve"> pikë nga gjithsej </w:t>
      </w:r>
      <w:r w:rsidR="00600A7F">
        <w:rPr>
          <w:rFonts w:asciiTheme="majorHAnsi" w:hAnsiTheme="majorHAnsi" w:cstheme="majorHAnsi"/>
        </w:rPr>
        <w:t>28</w:t>
      </w:r>
      <w:r w:rsidR="0069543C" w:rsidRPr="009F2567">
        <w:rPr>
          <w:rFonts w:asciiTheme="majorHAnsi" w:hAnsiTheme="majorHAnsi" w:cstheme="majorHAnsi"/>
        </w:rPr>
        <w:t xml:space="preserve"> pikë të mundshme (</w:t>
      </w:r>
      <w:r w:rsidR="009D4840">
        <w:rPr>
          <w:rFonts w:asciiTheme="majorHAnsi" w:hAnsiTheme="majorHAnsi" w:cstheme="majorHAnsi"/>
        </w:rPr>
        <w:t>50.00</w:t>
      </w:r>
      <w:r w:rsidR="0069543C" w:rsidRPr="009F2567">
        <w:rPr>
          <w:rFonts w:asciiTheme="majorHAnsi" w:hAnsiTheme="majorHAnsi" w:cstheme="majorHAnsi"/>
        </w:rPr>
        <w:t xml:space="preserve">%). </w:t>
      </w:r>
    </w:p>
    <w:p w:rsidR="0069543C" w:rsidRPr="009F2567" w:rsidRDefault="00603A5A" w:rsidP="0069543C">
      <w:pPr>
        <w:jc w:val="both"/>
        <w:rPr>
          <w:rFonts w:asciiTheme="majorHAnsi" w:hAnsiTheme="majorHAnsi" w:cstheme="majorHAnsi"/>
        </w:rPr>
      </w:pPr>
      <w:r>
        <w:rPr>
          <w:rFonts w:asciiTheme="majorHAnsi" w:hAnsiTheme="majorHAnsi" w:cstheme="majorHAnsi"/>
        </w:rPr>
        <w:t>Performanca mesatare në 9</w:t>
      </w:r>
      <w:r w:rsidR="0069543C" w:rsidRPr="009F2567">
        <w:rPr>
          <w:rFonts w:asciiTheme="majorHAnsi" w:hAnsiTheme="majorHAnsi" w:cstheme="majorHAnsi"/>
        </w:rPr>
        <w:t xml:space="preserve"> treguesit e vlerësuar në kuadër të fushë</w:t>
      </w:r>
      <w:r>
        <w:rPr>
          <w:rFonts w:asciiTheme="majorHAnsi" w:hAnsiTheme="majorHAnsi" w:cstheme="majorHAnsi"/>
        </w:rPr>
        <w:t>s ‘Ofrimi i shërbimeve’ është 18</w:t>
      </w:r>
      <w:r w:rsidR="0069543C" w:rsidRPr="009F2567">
        <w:rPr>
          <w:rFonts w:asciiTheme="majorHAnsi" w:hAnsiTheme="majorHAnsi" w:cstheme="majorHAnsi"/>
        </w:rPr>
        <w:t xml:space="preserve"> pikë nga gjithsej </w:t>
      </w:r>
      <w:r w:rsidR="00600A7F">
        <w:rPr>
          <w:rFonts w:asciiTheme="majorHAnsi" w:hAnsiTheme="majorHAnsi" w:cstheme="majorHAnsi"/>
        </w:rPr>
        <w:t>30</w:t>
      </w:r>
      <w:r w:rsidR="0069543C" w:rsidRPr="009F2567">
        <w:rPr>
          <w:rFonts w:asciiTheme="majorHAnsi" w:hAnsiTheme="majorHAnsi" w:cstheme="majorHAnsi"/>
        </w:rPr>
        <w:t xml:space="preserve"> pikë të mundshme (</w:t>
      </w:r>
      <w:r w:rsidR="009D4840">
        <w:rPr>
          <w:rFonts w:asciiTheme="majorHAnsi" w:hAnsiTheme="majorHAnsi" w:cstheme="majorHAnsi"/>
        </w:rPr>
        <w:t>60.00</w:t>
      </w:r>
      <w:r w:rsidR="0069543C" w:rsidRPr="009F2567">
        <w:rPr>
          <w:rFonts w:asciiTheme="majorHAnsi" w:hAnsiTheme="majorHAnsi" w:cstheme="majorHAnsi"/>
        </w:rPr>
        <w:t xml:space="preserve">%). </w:t>
      </w:r>
    </w:p>
    <w:p w:rsidR="0069543C" w:rsidRPr="009F2567" w:rsidRDefault="0069543C" w:rsidP="0069543C">
      <w:pPr>
        <w:jc w:val="both"/>
      </w:pPr>
    </w:p>
    <w:p w:rsidR="0069543C" w:rsidRPr="009F2567" w:rsidRDefault="0069543C" w:rsidP="0069543C"/>
    <w:p w:rsidR="0069543C" w:rsidRPr="009F2567" w:rsidRDefault="0069543C" w:rsidP="0069543C"/>
    <w:p w:rsidR="0069543C" w:rsidRPr="009F2567" w:rsidRDefault="0069543C" w:rsidP="0069543C">
      <w:pPr>
        <w:sectPr w:rsidR="0069543C" w:rsidRPr="009F2567" w:rsidSect="0069543C">
          <w:pgSz w:w="11906" w:h="16838"/>
          <w:pgMar w:top="1440" w:right="1440" w:bottom="1440" w:left="1440" w:header="708" w:footer="708" w:gutter="0"/>
          <w:cols w:space="708"/>
          <w:docGrid w:linePitch="360"/>
        </w:sectPr>
      </w:pPr>
    </w:p>
    <w:p w:rsidR="009F7184" w:rsidRPr="00603A5A" w:rsidRDefault="0069543C" w:rsidP="0069543C">
      <w:pPr>
        <w:rPr>
          <w:rFonts w:asciiTheme="majorHAnsi" w:eastAsiaTheme="majorEastAsia" w:hAnsiTheme="majorHAnsi" w:cs="Calibri Light"/>
          <w:b/>
          <w:noProof/>
          <w:lang w:val="de-CH"/>
        </w:rPr>
      </w:pPr>
      <w:r w:rsidRPr="009F2567">
        <w:rPr>
          <w:rFonts w:asciiTheme="majorHAnsi" w:eastAsiaTheme="majorEastAsia" w:hAnsiTheme="majorHAnsi" w:cs="Calibri Light"/>
          <w:b/>
          <w:noProof/>
          <w:lang w:val="de-CH"/>
        </w:rPr>
        <w:lastRenderedPageBreak/>
        <w:t>Përmbledhje e rezultateve p</w:t>
      </w:r>
      <w:r w:rsidR="00603A5A">
        <w:rPr>
          <w:rFonts w:asciiTheme="majorHAnsi" w:eastAsiaTheme="majorEastAsia" w:hAnsiTheme="majorHAnsi" w:cs="Calibri Light"/>
          <w:b/>
          <w:noProof/>
          <w:lang w:val="de-CH"/>
        </w:rPr>
        <w:t>ër vitin 2024</w:t>
      </w:r>
      <w:r w:rsidRPr="009F2567">
        <w:rPr>
          <w:rFonts w:asciiTheme="majorHAnsi" w:eastAsiaTheme="majorEastAsia" w:hAnsiTheme="majorHAnsi" w:cs="Calibri Light"/>
          <w:b/>
          <w:noProof/>
          <w:lang w:val="de-CH"/>
        </w:rPr>
        <w:t xml:space="preserve"> për grantin e perfor</w:t>
      </w:r>
      <w:r w:rsidR="00603A5A">
        <w:rPr>
          <w:rFonts w:asciiTheme="majorHAnsi" w:eastAsiaTheme="majorEastAsia" w:hAnsiTheme="majorHAnsi" w:cs="Calibri Light"/>
          <w:b/>
          <w:noProof/>
          <w:lang w:val="de-CH"/>
        </w:rPr>
        <w:t>mancës komunale - Komuna Gjilan</w:t>
      </w:r>
    </w:p>
    <w:p w:rsidR="0069543C" w:rsidRPr="009F2567" w:rsidRDefault="0069543C" w:rsidP="0069543C">
      <w:pPr>
        <w:rPr>
          <w:b/>
        </w:rPr>
      </w:pPr>
      <w:r w:rsidRPr="009F2567">
        <w:rPr>
          <w:b/>
        </w:rPr>
        <w:t xml:space="preserve">Vlerësimi i </w:t>
      </w:r>
      <w:r w:rsidR="00603A5A">
        <w:rPr>
          <w:b/>
        </w:rPr>
        <w:t>kushteve minimale për vitin 2024</w:t>
      </w:r>
    </w:p>
    <w:p w:rsidR="0069543C" w:rsidRPr="009F2567" w:rsidRDefault="00603A5A" w:rsidP="0069543C">
      <w:pPr>
        <w:jc w:val="both"/>
        <w:rPr>
          <w:rFonts w:asciiTheme="majorHAnsi" w:hAnsiTheme="majorHAnsi" w:cstheme="majorHAnsi"/>
          <w:lang w:val="de-CH"/>
        </w:rPr>
      </w:pPr>
      <w:r>
        <w:rPr>
          <w:noProof/>
          <w:lang w:val="en-GB" w:eastAsia="en-GB"/>
          <w14:ligatures w14:val="standardContextual"/>
        </w:rPr>
        <w:drawing>
          <wp:anchor distT="0" distB="0" distL="114300" distR="114300" simplePos="0" relativeHeight="251823104" behindDoc="0" locked="0" layoutInCell="1" allowOverlap="1" wp14:anchorId="2B745856" wp14:editId="296D9457">
            <wp:simplePos x="0" y="0"/>
            <wp:positionH relativeFrom="margin">
              <wp:posOffset>2771765</wp:posOffset>
            </wp:positionH>
            <wp:positionV relativeFrom="margin">
              <wp:posOffset>575730</wp:posOffset>
            </wp:positionV>
            <wp:extent cx="3104515" cy="2166620"/>
            <wp:effectExtent l="0" t="0" r="635" b="508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69543C" w:rsidRPr="009F2567">
        <w:rPr>
          <w:rFonts w:asciiTheme="majorHAnsi" w:hAnsiTheme="majorHAnsi" w:cstheme="majorHAnsi"/>
          <w:noProof/>
          <w:lang w:val="en-US"/>
        </w:rPr>
        <w:t>Kom</w:t>
      </w:r>
      <w:r w:rsidR="0069543C" w:rsidRPr="009F2567">
        <w:rPr>
          <w:rFonts w:asciiTheme="majorHAnsi" w:hAnsiTheme="majorHAnsi" w:cstheme="majorHAnsi"/>
          <w:lang w:val="de-CH"/>
        </w:rPr>
        <w:t>una e Gjilanit nuk është kualifikuar për grantin e perf</w:t>
      </w:r>
      <w:r>
        <w:rPr>
          <w:rFonts w:asciiTheme="majorHAnsi" w:hAnsiTheme="majorHAnsi" w:cstheme="majorHAnsi"/>
          <w:lang w:val="de-CH"/>
        </w:rPr>
        <w:t>ormancës komunale për vitin 2024</w:t>
      </w:r>
      <w:bookmarkStart w:id="39" w:name="_Hlk114228872"/>
      <w:r>
        <w:rPr>
          <w:rFonts w:asciiTheme="majorHAnsi" w:hAnsiTheme="majorHAnsi" w:cstheme="majorHAnsi"/>
          <w:lang w:val="de-CH"/>
        </w:rPr>
        <w:t>.</w:t>
      </w:r>
    </w:p>
    <w:p w:rsidR="00603A5A" w:rsidRPr="009F2567" w:rsidRDefault="00603A5A" w:rsidP="00603A5A">
      <w:r w:rsidRPr="009F2567">
        <w:rPr>
          <w:rFonts w:asciiTheme="majorHAnsi" w:hAnsiTheme="majorHAnsi" w:cstheme="majorHAnsi"/>
          <w:lang w:val="de-CH"/>
        </w:rPr>
        <w:t>Kushti minimal numër 3 (opinioni i auditimit duhet të jetë të paktën i pamodifikuar me theksim të çështjes) nuk është përmbushur.</w:t>
      </w:r>
    </w:p>
    <w:p w:rsidR="0069543C" w:rsidRPr="009F2567" w:rsidRDefault="0069543C" w:rsidP="0069543C">
      <w:pPr>
        <w:jc w:val="both"/>
        <w:rPr>
          <w:rFonts w:asciiTheme="majorHAnsi" w:hAnsiTheme="majorHAnsi" w:cstheme="majorHAnsi"/>
          <w:lang w:val="de-CH"/>
        </w:rPr>
      </w:pPr>
    </w:p>
    <w:bookmarkEnd w:id="39"/>
    <w:p w:rsidR="004E27FF" w:rsidRPr="009F2567" w:rsidRDefault="004E27FF" w:rsidP="0069543C">
      <w:pPr>
        <w:rPr>
          <w:b/>
        </w:rPr>
      </w:pPr>
    </w:p>
    <w:p w:rsidR="0069543C" w:rsidRDefault="0069543C" w:rsidP="0069543C">
      <w:pPr>
        <w:rPr>
          <w:b/>
        </w:rPr>
      </w:pPr>
    </w:p>
    <w:p w:rsidR="00603A5A" w:rsidRPr="009F2567" w:rsidRDefault="00603A5A" w:rsidP="0069543C">
      <w:pPr>
        <w:rPr>
          <w:b/>
        </w:rPr>
      </w:pPr>
    </w:p>
    <w:p w:rsidR="0069543C" w:rsidRPr="009F2567" w:rsidRDefault="0069543C" w:rsidP="0069543C">
      <w:pPr>
        <w:rPr>
          <w:b/>
        </w:rPr>
      </w:pPr>
      <w:r w:rsidRPr="009F2567">
        <w:rPr>
          <w:b/>
        </w:rPr>
        <w:t>Vlerësimi i treguesv</w:t>
      </w:r>
      <w:r w:rsidR="00603A5A">
        <w:rPr>
          <w:b/>
        </w:rPr>
        <w:t>e të performancës për vitin 2024</w:t>
      </w:r>
    </w:p>
    <w:p w:rsidR="00797AF1" w:rsidRPr="00797AF1" w:rsidRDefault="0069543C" w:rsidP="0069543C">
      <w:pPr>
        <w:jc w:val="both"/>
        <w:rPr>
          <w:rFonts w:asciiTheme="majorHAnsi" w:hAnsiTheme="majorHAnsi"/>
          <w:noProof/>
        </w:rPr>
      </w:pPr>
      <w:r w:rsidRPr="00797AF1">
        <w:rPr>
          <w:rFonts w:asciiTheme="majorHAnsi" w:hAnsiTheme="majorHAnsi" w:cstheme="majorHAnsi"/>
        </w:rPr>
        <w:t>Performanca mesatare e Komunës së Gjilan</w:t>
      </w:r>
      <w:r w:rsidR="00AA5452">
        <w:rPr>
          <w:rFonts w:asciiTheme="majorHAnsi" w:hAnsiTheme="majorHAnsi" w:cstheme="majorHAnsi"/>
        </w:rPr>
        <w:t>it</w:t>
      </w:r>
      <w:r w:rsidRPr="00797AF1">
        <w:rPr>
          <w:rFonts w:asciiTheme="majorHAnsi" w:hAnsiTheme="majorHAnsi" w:cstheme="majorHAnsi"/>
        </w:rPr>
        <w:t xml:space="preserve"> në 2</w:t>
      </w:r>
      <w:r w:rsidR="00603A5A">
        <w:rPr>
          <w:rFonts w:asciiTheme="majorHAnsi" w:hAnsiTheme="majorHAnsi" w:cstheme="majorHAnsi"/>
        </w:rPr>
        <w:t>9</w:t>
      </w:r>
      <w:r w:rsidRPr="00797AF1">
        <w:rPr>
          <w:rFonts w:asciiTheme="majorHAnsi" w:hAnsiTheme="majorHAnsi" w:cstheme="majorHAnsi"/>
        </w:rPr>
        <w:t xml:space="preserve"> indikatorët e vlerësu</w:t>
      </w:r>
      <w:r w:rsidR="00AA5452">
        <w:rPr>
          <w:rFonts w:asciiTheme="majorHAnsi" w:hAnsiTheme="majorHAnsi" w:cstheme="majorHAnsi"/>
        </w:rPr>
        <w:t>ar është 44 pikë nga gjithsej 98</w:t>
      </w:r>
      <w:r w:rsidRPr="00797AF1">
        <w:rPr>
          <w:rFonts w:asciiTheme="majorHAnsi" w:hAnsiTheme="majorHAnsi" w:cstheme="majorHAnsi"/>
        </w:rPr>
        <w:t xml:space="preserve"> pikë të mundshme (</w:t>
      </w:r>
      <w:r w:rsidR="00AA5452">
        <w:rPr>
          <w:rFonts w:asciiTheme="majorHAnsi" w:hAnsiTheme="majorHAnsi" w:cstheme="majorHAnsi"/>
        </w:rPr>
        <w:t>44.90</w:t>
      </w:r>
      <w:r w:rsidRPr="00797AF1">
        <w:rPr>
          <w:rFonts w:asciiTheme="majorHAnsi" w:hAnsiTheme="majorHAnsi" w:cstheme="majorHAnsi"/>
        </w:rPr>
        <w:t>%).</w:t>
      </w:r>
      <w:r w:rsidRPr="00797AF1">
        <w:rPr>
          <w:rFonts w:asciiTheme="majorHAnsi" w:hAnsiTheme="majorHAnsi"/>
          <w:noProof/>
        </w:rPr>
        <w:t xml:space="preserve"> </w:t>
      </w:r>
    </w:p>
    <w:p w:rsidR="0069543C" w:rsidRPr="00797AF1" w:rsidRDefault="00603A5A" w:rsidP="0069543C">
      <w:pPr>
        <w:jc w:val="both"/>
        <w:rPr>
          <w:rFonts w:asciiTheme="majorHAnsi" w:hAnsiTheme="majorHAnsi"/>
          <w:noProof/>
        </w:rPr>
      </w:pPr>
      <w:r>
        <w:rPr>
          <w:noProof/>
          <w:lang w:val="en-GB" w:eastAsia="en-GB"/>
          <w14:ligatures w14:val="standardContextual"/>
        </w:rPr>
        <w:drawing>
          <wp:anchor distT="0" distB="0" distL="114300" distR="114300" simplePos="0" relativeHeight="251824128" behindDoc="0" locked="0" layoutInCell="1" allowOverlap="1" wp14:anchorId="5066888B" wp14:editId="08910B40">
            <wp:simplePos x="0" y="0"/>
            <wp:positionH relativeFrom="margin">
              <wp:posOffset>2653873</wp:posOffset>
            </wp:positionH>
            <wp:positionV relativeFrom="margin">
              <wp:posOffset>3779908</wp:posOffset>
            </wp:positionV>
            <wp:extent cx="3348990" cy="2449195"/>
            <wp:effectExtent l="0" t="0" r="3810" b="8255"/>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6A4FD7">
        <w:rPr>
          <w:rFonts w:asciiTheme="majorHAnsi" w:hAnsiTheme="majorHAnsi" w:cstheme="majorHAnsi"/>
        </w:rPr>
        <w:t>Performanca mesatare në 13</w:t>
      </w:r>
      <w:r w:rsidR="0069543C" w:rsidRPr="00797AF1">
        <w:rPr>
          <w:rFonts w:asciiTheme="majorHAnsi" w:hAnsiTheme="majorHAnsi" w:cstheme="majorHAnsi"/>
        </w:rPr>
        <w:t xml:space="preserve"> treguesit e vlerësuar në kuadër të fushës </w:t>
      </w:r>
      <w:r w:rsidR="00AA5452">
        <w:rPr>
          <w:rFonts w:asciiTheme="majorHAnsi" w:hAnsiTheme="majorHAnsi" w:cstheme="majorHAnsi"/>
        </w:rPr>
        <w:t>‘Qeverisja demokratike’ është 23</w:t>
      </w:r>
      <w:r w:rsidR="0069543C" w:rsidRPr="00797AF1">
        <w:rPr>
          <w:rFonts w:asciiTheme="majorHAnsi" w:hAnsiTheme="majorHAnsi" w:cstheme="majorHAnsi"/>
        </w:rPr>
        <w:t xml:space="preserve"> pikë nga gjithsej </w:t>
      </w:r>
      <w:r w:rsidR="00600A7F">
        <w:rPr>
          <w:rFonts w:asciiTheme="majorHAnsi" w:hAnsiTheme="majorHAnsi" w:cstheme="majorHAnsi"/>
        </w:rPr>
        <w:t>40</w:t>
      </w:r>
      <w:r w:rsidR="0069543C" w:rsidRPr="00797AF1">
        <w:rPr>
          <w:rFonts w:asciiTheme="majorHAnsi" w:hAnsiTheme="majorHAnsi" w:cstheme="majorHAnsi"/>
        </w:rPr>
        <w:t xml:space="preserve"> pikët të mundshme (</w:t>
      </w:r>
      <w:r>
        <w:rPr>
          <w:rFonts w:asciiTheme="majorHAnsi" w:hAnsiTheme="majorHAnsi" w:cstheme="majorHAnsi"/>
        </w:rPr>
        <w:t>57.50</w:t>
      </w:r>
      <w:r w:rsidR="0069543C" w:rsidRPr="00797AF1">
        <w:rPr>
          <w:rFonts w:asciiTheme="majorHAnsi" w:hAnsiTheme="majorHAnsi" w:cstheme="majorHAnsi"/>
        </w:rPr>
        <w:t xml:space="preserve">%). </w:t>
      </w:r>
    </w:p>
    <w:p w:rsidR="0069543C" w:rsidRPr="00797AF1" w:rsidRDefault="0069543C" w:rsidP="0069543C">
      <w:pPr>
        <w:jc w:val="both"/>
        <w:rPr>
          <w:rFonts w:asciiTheme="majorHAnsi" w:hAnsiTheme="majorHAnsi" w:cstheme="majorHAnsi"/>
        </w:rPr>
      </w:pPr>
      <w:r w:rsidRPr="00797AF1">
        <w:rPr>
          <w:rFonts w:asciiTheme="majorHAnsi" w:hAnsiTheme="majorHAnsi" w:cstheme="majorHAnsi"/>
        </w:rPr>
        <w:t>P</w:t>
      </w:r>
      <w:r w:rsidR="006A4FD7">
        <w:rPr>
          <w:rFonts w:asciiTheme="majorHAnsi" w:hAnsiTheme="majorHAnsi" w:cstheme="majorHAnsi"/>
        </w:rPr>
        <w:t>erformanca mesatare në 7</w:t>
      </w:r>
      <w:r w:rsidRPr="00797AF1">
        <w:rPr>
          <w:rFonts w:asciiTheme="majorHAnsi" w:hAnsiTheme="majorHAnsi" w:cstheme="majorHAnsi"/>
        </w:rPr>
        <w:t xml:space="preserve"> treguesit e vlerësuar në kuadër të fus</w:t>
      </w:r>
      <w:r w:rsidR="00AA5452">
        <w:rPr>
          <w:rFonts w:asciiTheme="majorHAnsi" w:hAnsiTheme="majorHAnsi" w:cstheme="majorHAnsi"/>
        </w:rPr>
        <w:t>hës ‘Menaxhimi Komunal’ është 9</w:t>
      </w:r>
      <w:r w:rsidRPr="00797AF1">
        <w:rPr>
          <w:rFonts w:asciiTheme="majorHAnsi" w:hAnsiTheme="majorHAnsi" w:cstheme="majorHAnsi"/>
        </w:rPr>
        <w:t xml:space="preserve"> pikë nga gjithsej </w:t>
      </w:r>
      <w:r w:rsidR="00600A7F">
        <w:rPr>
          <w:rFonts w:asciiTheme="majorHAnsi" w:hAnsiTheme="majorHAnsi" w:cstheme="majorHAnsi"/>
        </w:rPr>
        <w:t>28</w:t>
      </w:r>
      <w:r w:rsidRPr="00797AF1">
        <w:rPr>
          <w:rFonts w:asciiTheme="majorHAnsi" w:hAnsiTheme="majorHAnsi" w:cstheme="majorHAnsi"/>
        </w:rPr>
        <w:t xml:space="preserve"> pikë të mundshme (</w:t>
      </w:r>
      <w:r w:rsidR="00603A5A">
        <w:rPr>
          <w:rFonts w:asciiTheme="majorHAnsi" w:hAnsiTheme="majorHAnsi" w:cstheme="majorHAnsi"/>
        </w:rPr>
        <w:t>32.14</w:t>
      </w:r>
      <w:r w:rsidRPr="00797AF1">
        <w:rPr>
          <w:rFonts w:asciiTheme="majorHAnsi" w:hAnsiTheme="majorHAnsi" w:cstheme="majorHAnsi"/>
        </w:rPr>
        <w:t xml:space="preserve">%). </w:t>
      </w:r>
    </w:p>
    <w:p w:rsidR="0069543C" w:rsidRPr="00797AF1" w:rsidRDefault="00AA5452" w:rsidP="0069543C">
      <w:pPr>
        <w:jc w:val="both"/>
        <w:rPr>
          <w:rFonts w:asciiTheme="majorHAnsi" w:hAnsiTheme="majorHAnsi" w:cstheme="majorHAnsi"/>
        </w:rPr>
      </w:pPr>
      <w:r>
        <w:rPr>
          <w:rFonts w:asciiTheme="majorHAnsi" w:hAnsiTheme="majorHAnsi" w:cstheme="majorHAnsi"/>
        </w:rPr>
        <w:t>Performanca mesatare në 9</w:t>
      </w:r>
      <w:r w:rsidR="0069543C" w:rsidRPr="00797AF1">
        <w:rPr>
          <w:rFonts w:asciiTheme="majorHAnsi" w:hAnsiTheme="majorHAnsi" w:cstheme="majorHAnsi"/>
        </w:rPr>
        <w:t xml:space="preserve"> treguesit e vlerësuar në kuadër të fushës ‘Ofrimi i shërbimeve’ është </w:t>
      </w:r>
      <w:r>
        <w:rPr>
          <w:rFonts w:asciiTheme="majorHAnsi" w:hAnsiTheme="majorHAnsi" w:cstheme="majorHAnsi"/>
        </w:rPr>
        <w:t>12</w:t>
      </w:r>
      <w:r w:rsidR="0069543C" w:rsidRPr="00797AF1">
        <w:rPr>
          <w:rFonts w:asciiTheme="majorHAnsi" w:hAnsiTheme="majorHAnsi" w:cstheme="majorHAnsi"/>
        </w:rPr>
        <w:t xml:space="preserve"> pikë nga gjithsej </w:t>
      </w:r>
      <w:r w:rsidR="00600A7F">
        <w:rPr>
          <w:rFonts w:asciiTheme="majorHAnsi" w:hAnsiTheme="majorHAnsi" w:cstheme="majorHAnsi"/>
        </w:rPr>
        <w:t>30</w:t>
      </w:r>
      <w:r w:rsidR="0069543C" w:rsidRPr="00797AF1">
        <w:rPr>
          <w:rFonts w:asciiTheme="majorHAnsi" w:hAnsiTheme="majorHAnsi" w:cstheme="majorHAnsi"/>
        </w:rPr>
        <w:t xml:space="preserve"> pikë të mundshme (</w:t>
      </w:r>
      <w:r>
        <w:rPr>
          <w:rFonts w:asciiTheme="majorHAnsi" w:hAnsiTheme="majorHAnsi" w:cstheme="majorHAnsi"/>
        </w:rPr>
        <w:t>40.00</w:t>
      </w:r>
      <w:r w:rsidR="0069543C" w:rsidRPr="00797AF1">
        <w:rPr>
          <w:rFonts w:asciiTheme="majorHAnsi" w:hAnsiTheme="majorHAnsi" w:cstheme="majorHAnsi"/>
        </w:rPr>
        <w:t xml:space="preserve">%). </w:t>
      </w:r>
    </w:p>
    <w:p w:rsidR="00797AF1" w:rsidRPr="009F2567" w:rsidRDefault="00797AF1" w:rsidP="0069543C">
      <w:pPr>
        <w:jc w:val="both"/>
        <w:rPr>
          <w:rFonts w:asciiTheme="majorHAnsi" w:hAnsiTheme="majorHAnsi" w:cstheme="majorHAnsi"/>
        </w:rPr>
      </w:pPr>
    </w:p>
    <w:p w:rsidR="0069543C" w:rsidRPr="009F2567" w:rsidRDefault="0069543C" w:rsidP="0069543C">
      <w:pPr>
        <w:jc w:val="both"/>
      </w:pPr>
    </w:p>
    <w:p w:rsidR="0069543C" w:rsidRPr="009F2567" w:rsidRDefault="0069543C" w:rsidP="0069543C"/>
    <w:p w:rsidR="0069543C" w:rsidRPr="009F2567" w:rsidRDefault="0069543C" w:rsidP="0069543C">
      <w:pPr>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asciiTheme="majorHAnsi" w:eastAsiaTheme="majorEastAsia" w:hAnsiTheme="majorHAnsi" w:cs="Calibri Light"/>
          <w:b/>
          <w:noProof/>
          <w:lang w:val="de-CH"/>
        </w:rPr>
      </w:pPr>
      <w:r w:rsidRPr="009F2567">
        <w:rPr>
          <w:rFonts w:asciiTheme="majorHAnsi" w:eastAsiaTheme="majorEastAsia" w:hAnsiTheme="majorHAnsi" w:cs="Calibri Light"/>
          <w:b/>
          <w:noProof/>
          <w:lang w:val="de-CH"/>
        </w:rPr>
        <w:lastRenderedPageBreak/>
        <w:t>Përmbledhje e rezultateve për vitin 202</w:t>
      </w:r>
      <w:r w:rsidR="00AA5452">
        <w:rPr>
          <w:rFonts w:asciiTheme="majorHAnsi" w:eastAsiaTheme="majorEastAsia" w:hAnsiTheme="majorHAnsi" w:cs="Calibri Light"/>
          <w:b/>
          <w:noProof/>
          <w:lang w:val="de-CH"/>
        </w:rPr>
        <w:t>4</w:t>
      </w:r>
      <w:r w:rsidRPr="009F2567">
        <w:rPr>
          <w:rFonts w:asciiTheme="majorHAnsi" w:eastAsiaTheme="majorEastAsia" w:hAnsiTheme="majorHAnsi" w:cs="Calibri Light"/>
          <w:b/>
          <w:noProof/>
          <w:lang w:val="de-CH"/>
        </w:rPr>
        <w:t xml:space="preserve"> për grantin e performancës komunale - Komuna Gllogovc</w:t>
      </w:r>
    </w:p>
    <w:p w:rsidR="0069543C" w:rsidRPr="009F2567" w:rsidRDefault="0069543C" w:rsidP="0069543C">
      <w:pPr>
        <w:rPr>
          <w:b/>
        </w:rPr>
      </w:pPr>
      <w:r w:rsidRPr="009F2567">
        <w:rPr>
          <w:noProof/>
          <w:lang w:val="en-GB" w:eastAsia="en-GB"/>
        </w:rPr>
        <w:drawing>
          <wp:anchor distT="0" distB="0" distL="114300" distR="114300" simplePos="0" relativeHeight="251679744" behindDoc="0" locked="0" layoutInCell="1" allowOverlap="1" wp14:anchorId="6067BC9F" wp14:editId="13FF2C85">
            <wp:simplePos x="0" y="0"/>
            <wp:positionH relativeFrom="margin">
              <wp:posOffset>2781300</wp:posOffset>
            </wp:positionH>
            <wp:positionV relativeFrom="paragraph">
              <wp:posOffset>177800</wp:posOffset>
            </wp:positionV>
            <wp:extent cx="3124200" cy="2270760"/>
            <wp:effectExtent l="0" t="0" r="0" b="15240"/>
            <wp:wrapSquare wrapText="bothSides"/>
            <wp:docPr id="195" name="Chart 19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anchor>
        </w:drawing>
      </w:r>
      <w:r w:rsidRPr="009F2567">
        <w:rPr>
          <w:b/>
        </w:rPr>
        <w:t xml:space="preserve">Vlerësimi i </w:t>
      </w:r>
      <w:r w:rsidR="00AA5452">
        <w:rPr>
          <w:b/>
        </w:rPr>
        <w:t>kushteve minimale për vitin 2024</w:t>
      </w:r>
    </w:p>
    <w:p w:rsidR="0069543C" w:rsidRPr="009F2567" w:rsidRDefault="0069543C" w:rsidP="0069543C">
      <w:pPr>
        <w:jc w:val="both"/>
        <w:rPr>
          <w:rFonts w:asciiTheme="majorHAnsi" w:hAnsiTheme="majorHAnsi" w:cstheme="majorHAnsi"/>
          <w:noProof/>
        </w:rPr>
      </w:pPr>
      <w:bookmarkStart w:id="40" w:name="_Hlk114223634"/>
      <w:r w:rsidRPr="009F2567">
        <w:rPr>
          <w:rFonts w:asciiTheme="majorHAnsi" w:hAnsiTheme="majorHAnsi" w:cstheme="majorHAnsi"/>
          <w:lang w:val="de-CH"/>
        </w:rPr>
        <w:t xml:space="preserve">Komuna e Gllogovcit </w:t>
      </w:r>
      <w:r w:rsidR="00C346B0">
        <w:rPr>
          <w:rFonts w:asciiTheme="majorHAnsi" w:hAnsiTheme="majorHAnsi" w:cstheme="majorHAnsi"/>
          <w:lang w:val="de-CH"/>
        </w:rPr>
        <w:t xml:space="preserve">nuk </w:t>
      </w:r>
      <w:r w:rsidRPr="009F2567">
        <w:rPr>
          <w:rFonts w:asciiTheme="majorHAnsi" w:hAnsiTheme="majorHAnsi" w:cstheme="majorHAnsi"/>
          <w:lang w:val="de-CH"/>
        </w:rPr>
        <w:t>është kualifikuar për grantin e performancës komunale për</w:t>
      </w:r>
      <w:r w:rsidR="00AA5452">
        <w:rPr>
          <w:rFonts w:asciiTheme="majorHAnsi" w:hAnsiTheme="majorHAnsi" w:cstheme="majorHAnsi"/>
          <w:lang w:val="de-CH"/>
        </w:rPr>
        <w:t xml:space="preserve"> vitin 2024</w:t>
      </w:r>
      <w:r w:rsidRPr="009F2567">
        <w:rPr>
          <w:rFonts w:asciiTheme="majorHAnsi" w:hAnsiTheme="majorHAnsi" w:cstheme="majorHAnsi"/>
          <w:lang w:val="de-CH"/>
        </w:rPr>
        <w:t>.</w:t>
      </w:r>
      <w:r w:rsidR="00AA5452">
        <w:rPr>
          <w:rFonts w:asciiTheme="majorHAnsi" w:hAnsiTheme="majorHAnsi" w:cstheme="majorHAnsi"/>
          <w:noProof/>
        </w:rPr>
        <w:t xml:space="preserve"> </w:t>
      </w:r>
    </w:p>
    <w:bookmarkEnd w:id="40"/>
    <w:p w:rsidR="0069543C" w:rsidRPr="009F2567" w:rsidRDefault="00476B0C" w:rsidP="0069543C">
      <w:pPr>
        <w:tabs>
          <w:tab w:val="left" w:pos="1190"/>
        </w:tabs>
      </w:pPr>
      <w:r w:rsidRPr="00476B0C">
        <w:rPr>
          <w:rFonts w:asciiTheme="majorHAnsi" w:hAnsiTheme="majorHAnsi" w:cstheme="majorHAnsi"/>
          <w:noProof/>
        </w:rPr>
        <w:t>Kushti minimal numër 3 (opinioni i auditimit duhet të jetë të paktën i pamodifikuar me theksim të çështjes) nuk është përmbushur.</w:t>
      </w:r>
    </w:p>
    <w:p w:rsidR="0069543C" w:rsidRPr="009F2567" w:rsidRDefault="0069543C" w:rsidP="0069543C"/>
    <w:p w:rsidR="0069543C" w:rsidRPr="009F2567" w:rsidRDefault="0069543C" w:rsidP="0069543C"/>
    <w:p w:rsidR="0069543C" w:rsidRDefault="0069543C" w:rsidP="0069543C">
      <w:pPr>
        <w:rPr>
          <w:b/>
        </w:rPr>
      </w:pPr>
    </w:p>
    <w:p w:rsidR="00476B0C" w:rsidRPr="009F2567" w:rsidRDefault="00476B0C" w:rsidP="0069543C">
      <w:pPr>
        <w:rPr>
          <w:b/>
        </w:rPr>
      </w:pPr>
    </w:p>
    <w:p w:rsidR="0069543C" w:rsidRPr="009F2567" w:rsidRDefault="0069543C" w:rsidP="0069543C">
      <w:pPr>
        <w:rPr>
          <w:b/>
        </w:rPr>
      </w:pPr>
      <w:r w:rsidRPr="009F2567">
        <w:rPr>
          <w:b/>
        </w:rPr>
        <w:t>Vlerësimi i treguesv</w:t>
      </w:r>
      <w:r w:rsidR="00AA5452">
        <w:rPr>
          <w:b/>
        </w:rPr>
        <w:t>e të performancës për vitin 2024</w:t>
      </w:r>
    </w:p>
    <w:p w:rsidR="005E4C25" w:rsidRPr="003104A1" w:rsidRDefault="00AA5452" w:rsidP="0069543C">
      <w:pPr>
        <w:jc w:val="both"/>
        <w:rPr>
          <w:noProof/>
        </w:rPr>
      </w:pPr>
      <w:r>
        <w:rPr>
          <w:noProof/>
          <w:lang w:val="en-GB" w:eastAsia="en-GB"/>
          <w14:ligatures w14:val="standardContextual"/>
        </w:rPr>
        <w:drawing>
          <wp:anchor distT="0" distB="0" distL="114300" distR="114300" simplePos="0" relativeHeight="251825152" behindDoc="0" locked="0" layoutInCell="1" allowOverlap="1" wp14:anchorId="0B906AA5" wp14:editId="3E57E261">
            <wp:simplePos x="0" y="0"/>
            <wp:positionH relativeFrom="margin">
              <wp:posOffset>2531110</wp:posOffset>
            </wp:positionH>
            <wp:positionV relativeFrom="margin">
              <wp:posOffset>3466465</wp:posOffset>
            </wp:positionV>
            <wp:extent cx="3383915" cy="2701925"/>
            <wp:effectExtent l="0" t="0" r="6985" b="3175"/>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69543C" w:rsidRPr="003104A1">
        <w:rPr>
          <w:rFonts w:cstheme="majorHAnsi"/>
        </w:rPr>
        <w:t>Performanca mesatar</w:t>
      </w:r>
      <w:r>
        <w:rPr>
          <w:rFonts w:cstheme="majorHAnsi"/>
        </w:rPr>
        <w:t>e e Komunës së Gllogovcit  në 29</w:t>
      </w:r>
      <w:r w:rsidR="0069543C" w:rsidRPr="003104A1">
        <w:rPr>
          <w:rFonts w:cstheme="majorHAnsi"/>
        </w:rPr>
        <w:t xml:space="preserve"> </w:t>
      </w:r>
      <w:r>
        <w:rPr>
          <w:rFonts w:cstheme="majorHAnsi"/>
        </w:rPr>
        <w:t>indikatorët e vlerësuar është 75 pikë nga gjithsej 98</w:t>
      </w:r>
      <w:r w:rsidR="0069543C" w:rsidRPr="003104A1">
        <w:rPr>
          <w:rFonts w:cstheme="majorHAnsi"/>
        </w:rPr>
        <w:t xml:space="preserve"> pikë të mundshme (</w:t>
      </w:r>
      <w:r>
        <w:rPr>
          <w:rFonts w:cstheme="majorHAnsi"/>
        </w:rPr>
        <w:t>76.53</w:t>
      </w:r>
      <w:r w:rsidR="0069543C" w:rsidRPr="003104A1">
        <w:rPr>
          <w:rFonts w:cstheme="majorHAnsi"/>
        </w:rPr>
        <w:t>%).</w:t>
      </w:r>
      <w:r w:rsidR="0069543C" w:rsidRPr="003104A1">
        <w:rPr>
          <w:noProof/>
        </w:rPr>
        <w:t xml:space="preserve"> </w:t>
      </w:r>
    </w:p>
    <w:p w:rsidR="0069543C" w:rsidRPr="003104A1" w:rsidRDefault="006A4FD7" w:rsidP="0069543C">
      <w:pPr>
        <w:jc w:val="both"/>
        <w:rPr>
          <w:rFonts w:cstheme="majorHAnsi"/>
        </w:rPr>
      </w:pPr>
      <w:r>
        <w:rPr>
          <w:rFonts w:cstheme="majorHAnsi"/>
        </w:rPr>
        <w:t>Performanca mesatare në 13</w:t>
      </w:r>
      <w:r w:rsidR="0069543C" w:rsidRPr="003104A1">
        <w:rPr>
          <w:rFonts w:cstheme="majorHAnsi"/>
        </w:rPr>
        <w:t xml:space="preserve"> treguesit e vlerësuar në kuadër të fushës </w:t>
      </w:r>
      <w:r w:rsidR="00AA5452">
        <w:rPr>
          <w:rFonts w:cstheme="majorHAnsi"/>
        </w:rPr>
        <w:t>‘Qeverisja demokratike’ është 37</w:t>
      </w:r>
      <w:r w:rsidR="0069543C" w:rsidRPr="003104A1">
        <w:rPr>
          <w:rFonts w:cstheme="majorHAnsi"/>
        </w:rPr>
        <w:t xml:space="preserve"> pikë nga gjithsej </w:t>
      </w:r>
      <w:r w:rsidR="00600A7F">
        <w:rPr>
          <w:rFonts w:cstheme="majorHAnsi"/>
        </w:rPr>
        <w:t>40</w:t>
      </w:r>
      <w:r w:rsidR="00AA5452">
        <w:rPr>
          <w:rFonts w:cstheme="majorHAnsi"/>
        </w:rPr>
        <w:t xml:space="preserve"> pikët të mundshme (92.50</w:t>
      </w:r>
      <w:r w:rsidR="0069543C" w:rsidRPr="003104A1">
        <w:rPr>
          <w:rFonts w:cstheme="majorHAnsi"/>
        </w:rPr>
        <w:t xml:space="preserve">%). </w:t>
      </w:r>
    </w:p>
    <w:p w:rsidR="0069543C" w:rsidRPr="003104A1" w:rsidRDefault="006A4FD7" w:rsidP="0069543C">
      <w:pPr>
        <w:jc w:val="both"/>
        <w:rPr>
          <w:rFonts w:cstheme="majorHAnsi"/>
        </w:rPr>
      </w:pPr>
      <w:r>
        <w:rPr>
          <w:rFonts w:cstheme="majorHAnsi"/>
        </w:rPr>
        <w:t>Performanca mesatare në 7</w:t>
      </w:r>
      <w:r w:rsidR="0069543C" w:rsidRPr="003104A1">
        <w:rPr>
          <w:rFonts w:cstheme="majorHAnsi"/>
        </w:rPr>
        <w:t xml:space="preserve"> treguesit e vlerësuar në kuadër të fus</w:t>
      </w:r>
      <w:r w:rsidR="00AA5452">
        <w:rPr>
          <w:rFonts w:cstheme="majorHAnsi"/>
        </w:rPr>
        <w:t>hës ‘Menaxhimi Komunal’ është 20</w:t>
      </w:r>
      <w:r w:rsidR="0069543C" w:rsidRPr="003104A1">
        <w:rPr>
          <w:rFonts w:cstheme="majorHAnsi"/>
        </w:rPr>
        <w:t xml:space="preserve"> pikë nga gjithsej </w:t>
      </w:r>
      <w:r w:rsidR="00600A7F">
        <w:rPr>
          <w:rFonts w:cstheme="majorHAnsi"/>
        </w:rPr>
        <w:t>28</w:t>
      </w:r>
      <w:r w:rsidR="0069543C" w:rsidRPr="003104A1">
        <w:rPr>
          <w:rFonts w:cstheme="majorHAnsi"/>
        </w:rPr>
        <w:t xml:space="preserve"> pikë të mundshme (</w:t>
      </w:r>
      <w:r w:rsidR="00AA5452">
        <w:rPr>
          <w:rFonts w:cstheme="majorHAnsi"/>
        </w:rPr>
        <w:t>71.43</w:t>
      </w:r>
      <w:r w:rsidR="0069543C" w:rsidRPr="003104A1">
        <w:rPr>
          <w:rFonts w:cstheme="majorHAnsi"/>
        </w:rPr>
        <w:t xml:space="preserve">%). </w:t>
      </w:r>
    </w:p>
    <w:p w:rsidR="0069543C" w:rsidRPr="003104A1" w:rsidRDefault="00AA5452" w:rsidP="0069543C">
      <w:pPr>
        <w:jc w:val="both"/>
        <w:rPr>
          <w:rFonts w:cstheme="majorHAnsi"/>
        </w:rPr>
      </w:pPr>
      <w:r>
        <w:rPr>
          <w:rFonts w:cstheme="majorHAnsi"/>
        </w:rPr>
        <w:t>Performanca mesatare në 9</w:t>
      </w:r>
      <w:r w:rsidR="0069543C" w:rsidRPr="003104A1">
        <w:rPr>
          <w:rFonts w:cstheme="majorHAnsi"/>
        </w:rPr>
        <w:t xml:space="preserve"> treguesit e vlerësuar në kuadër të fushë</w:t>
      </w:r>
      <w:r>
        <w:rPr>
          <w:rFonts w:cstheme="majorHAnsi"/>
        </w:rPr>
        <w:t>s ‘Ofrimi i shërbimeve’ është 18</w:t>
      </w:r>
      <w:r w:rsidR="0069543C" w:rsidRPr="003104A1">
        <w:rPr>
          <w:rFonts w:cstheme="majorHAnsi"/>
        </w:rPr>
        <w:t xml:space="preserve"> pikë nga gjithsej </w:t>
      </w:r>
      <w:r w:rsidR="00600A7F">
        <w:rPr>
          <w:rFonts w:cstheme="majorHAnsi"/>
        </w:rPr>
        <w:t xml:space="preserve">30 </w:t>
      </w:r>
      <w:r w:rsidR="0069543C" w:rsidRPr="003104A1">
        <w:rPr>
          <w:rFonts w:cstheme="majorHAnsi"/>
        </w:rPr>
        <w:t>pikë të mundshme (</w:t>
      </w:r>
      <w:r>
        <w:rPr>
          <w:rFonts w:cstheme="majorHAnsi"/>
        </w:rPr>
        <w:t>60.00</w:t>
      </w:r>
      <w:r w:rsidR="0069543C" w:rsidRPr="003104A1">
        <w:rPr>
          <w:rFonts w:cstheme="majorHAnsi"/>
        </w:rPr>
        <w:t xml:space="preserve">%). </w:t>
      </w:r>
    </w:p>
    <w:p w:rsidR="0069543C" w:rsidRPr="009F2567" w:rsidRDefault="0069543C" w:rsidP="0069543C">
      <w:pPr>
        <w:jc w:val="both"/>
      </w:pPr>
    </w:p>
    <w:p w:rsidR="0069543C" w:rsidRPr="009F2567" w:rsidRDefault="0069543C" w:rsidP="0069543C"/>
    <w:p w:rsidR="0069543C" w:rsidRPr="009F2567" w:rsidRDefault="0069543C" w:rsidP="0069543C"/>
    <w:p w:rsidR="0069543C" w:rsidRPr="009F2567" w:rsidRDefault="0069543C" w:rsidP="0069543C">
      <w:pPr>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asciiTheme="majorHAnsi" w:eastAsiaTheme="majorEastAsia" w:hAnsiTheme="majorHAnsi" w:cs="Calibri Light"/>
          <w:b/>
          <w:noProof/>
          <w:lang w:val="de-CH"/>
        </w:rPr>
      </w:pPr>
      <w:r w:rsidRPr="009F2567">
        <w:rPr>
          <w:rFonts w:asciiTheme="majorHAnsi" w:eastAsiaTheme="majorEastAsia" w:hAnsiTheme="majorHAnsi" w:cs="Calibri Light"/>
          <w:b/>
          <w:noProof/>
          <w:lang w:val="de-CH"/>
        </w:rPr>
        <w:lastRenderedPageBreak/>
        <w:t>Përmbledhje e rezultateve për vitin 202</w:t>
      </w:r>
      <w:r w:rsidR="007904AB">
        <w:rPr>
          <w:rFonts w:asciiTheme="majorHAnsi" w:eastAsiaTheme="majorEastAsia" w:hAnsiTheme="majorHAnsi" w:cs="Calibri Light"/>
          <w:b/>
          <w:noProof/>
          <w:lang w:val="de-CH"/>
        </w:rPr>
        <w:t>4</w:t>
      </w:r>
      <w:r w:rsidRPr="009F2567">
        <w:rPr>
          <w:rFonts w:asciiTheme="majorHAnsi" w:eastAsiaTheme="majorEastAsia" w:hAnsiTheme="majorHAnsi" w:cs="Calibri Light"/>
          <w:b/>
          <w:noProof/>
          <w:lang w:val="de-CH"/>
        </w:rPr>
        <w:t xml:space="preserve"> për grantin e performancës komunale - Komuna Graçanicë</w:t>
      </w:r>
    </w:p>
    <w:p w:rsidR="0069543C" w:rsidRPr="009F2567" w:rsidRDefault="0069543C" w:rsidP="0069543C">
      <w:pPr>
        <w:rPr>
          <w:b/>
        </w:rPr>
      </w:pPr>
      <w:r w:rsidRPr="009F2567">
        <w:rPr>
          <w:b/>
        </w:rPr>
        <w:t xml:space="preserve">Vlerësimi i </w:t>
      </w:r>
      <w:r w:rsidR="007904AB">
        <w:rPr>
          <w:b/>
        </w:rPr>
        <w:t>kushteve minimale për vitin 2024</w:t>
      </w:r>
    </w:p>
    <w:p w:rsidR="0069543C" w:rsidRPr="009F2567" w:rsidRDefault="00476B0C" w:rsidP="0069543C">
      <w:pPr>
        <w:jc w:val="both"/>
        <w:rPr>
          <w:rFonts w:asciiTheme="majorHAnsi" w:hAnsiTheme="majorHAnsi" w:cstheme="majorHAnsi"/>
          <w:lang w:val="de-CH"/>
        </w:rPr>
      </w:pPr>
      <w:r>
        <w:rPr>
          <w:noProof/>
          <w:lang w:val="en-GB" w:eastAsia="en-GB"/>
          <w14:ligatures w14:val="standardContextual"/>
        </w:rPr>
        <w:drawing>
          <wp:anchor distT="0" distB="0" distL="114300" distR="114300" simplePos="0" relativeHeight="251826176" behindDoc="0" locked="0" layoutInCell="1" allowOverlap="1" wp14:anchorId="0E3AFF70" wp14:editId="08661EDE">
            <wp:simplePos x="0" y="0"/>
            <wp:positionH relativeFrom="margin">
              <wp:posOffset>2685315</wp:posOffset>
            </wp:positionH>
            <wp:positionV relativeFrom="margin">
              <wp:posOffset>763065</wp:posOffset>
            </wp:positionV>
            <wp:extent cx="3080385" cy="2073275"/>
            <wp:effectExtent l="0" t="0" r="5715" b="3175"/>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69543C" w:rsidRPr="009F2567">
        <w:rPr>
          <w:rFonts w:asciiTheme="majorHAnsi" w:hAnsiTheme="majorHAnsi" w:cstheme="majorHAnsi"/>
          <w:lang w:val="de-CH"/>
        </w:rPr>
        <w:t>Komuna e Graçanicës nuk është kualifikuar për grantin e perf</w:t>
      </w:r>
      <w:r w:rsidR="007904AB">
        <w:rPr>
          <w:rFonts w:asciiTheme="majorHAnsi" w:hAnsiTheme="majorHAnsi" w:cstheme="majorHAnsi"/>
          <w:lang w:val="de-CH"/>
        </w:rPr>
        <w:t>ormancës komunale për vitin 2024</w:t>
      </w:r>
      <w:r w:rsidR="0069543C" w:rsidRPr="009F2567">
        <w:rPr>
          <w:rFonts w:asciiTheme="majorHAnsi" w:hAnsiTheme="majorHAnsi" w:cstheme="majorHAnsi"/>
          <w:lang w:val="de-CH"/>
        </w:rPr>
        <w:t>.</w:t>
      </w:r>
      <w:r w:rsidR="0069543C" w:rsidRPr="009F2567">
        <w:rPr>
          <w:rFonts w:asciiTheme="majorHAnsi" w:hAnsiTheme="majorHAnsi" w:cstheme="majorHAnsi"/>
          <w:noProof/>
        </w:rPr>
        <w:t xml:space="preserve"> </w:t>
      </w:r>
    </w:p>
    <w:p w:rsidR="00470BDD" w:rsidRPr="009F2567" w:rsidRDefault="007904AB" w:rsidP="00470BDD">
      <w:pPr>
        <w:jc w:val="both"/>
        <w:rPr>
          <w:rFonts w:asciiTheme="majorHAnsi" w:hAnsiTheme="majorHAnsi" w:cstheme="majorHAnsi"/>
          <w:lang w:val="de-CH"/>
        </w:rPr>
      </w:pPr>
      <w:r w:rsidRPr="007904AB">
        <w:rPr>
          <w:rFonts w:asciiTheme="majorHAnsi" w:hAnsiTheme="majorHAnsi" w:cstheme="majorHAnsi"/>
          <w:lang w:val="de-CH"/>
        </w:rPr>
        <w:t>Kushtet minimal numër 2 (komunat duhet të kenë respektuar obligimin ligjor për t’i rishqyrtuar aktet komunale të vlerësuara si të kundërligjshme nga autoriteti mbikëqyrës)</w:t>
      </w:r>
      <w:r>
        <w:rPr>
          <w:rFonts w:asciiTheme="majorHAnsi" w:hAnsiTheme="majorHAnsi" w:cstheme="majorHAnsi"/>
          <w:lang w:val="de-CH"/>
        </w:rPr>
        <w:t xml:space="preserve"> dhe</w:t>
      </w:r>
      <w:r w:rsidR="00470BDD" w:rsidRPr="009F2567">
        <w:rPr>
          <w:rFonts w:asciiTheme="majorHAnsi" w:hAnsiTheme="majorHAnsi" w:cstheme="majorHAnsi"/>
          <w:lang w:val="de-CH"/>
        </w:rPr>
        <w:t xml:space="preserve"> numër </w:t>
      </w:r>
      <w:r w:rsidR="002B6764" w:rsidRPr="009F2567">
        <w:rPr>
          <w:rFonts w:asciiTheme="majorHAnsi" w:hAnsiTheme="majorHAnsi" w:cstheme="majorHAnsi"/>
          <w:lang w:val="de-CH"/>
        </w:rPr>
        <w:t xml:space="preserve">3 (opinioni i auditimit duhet të jetë të paktën i pamodifikua me theksim të </w:t>
      </w:r>
      <w:r w:rsidR="00964802" w:rsidRPr="009F2567">
        <w:rPr>
          <w:rFonts w:asciiTheme="majorHAnsi" w:hAnsiTheme="majorHAnsi" w:cstheme="majorHAnsi"/>
          <w:lang w:val="de-CH"/>
        </w:rPr>
        <w:t>ç</w:t>
      </w:r>
      <w:r w:rsidR="002B6764" w:rsidRPr="009F2567">
        <w:rPr>
          <w:rFonts w:asciiTheme="majorHAnsi" w:hAnsiTheme="majorHAnsi" w:cstheme="majorHAnsi"/>
          <w:lang w:val="de-CH"/>
        </w:rPr>
        <w:t xml:space="preserve">ështjes) </w:t>
      </w:r>
      <w:r w:rsidR="00470BDD" w:rsidRPr="009F2567">
        <w:rPr>
          <w:rFonts w:asciiTheme="majorHAnsi" w:hAnsiTheme="majorHAnsi" w:cstheme="majorHAnsi"/>
          <w:lang w:val="de-CH"/>
        </w:rPr>
        <w:t xml:space="preserve">nuk </w:t>
      </w:r>
      <w:r>
        <w:rPr>
          <w:rFonts w:asciiTheme="majorHAnsi" w:hAnsiTheme="majorHAnsi" w:cstheme="majorHAnsi"/>
          <w:lang w:val="de-CH"/>
        </w:rPr>
        <w:t>jan</w:t>
      </w:r>
      <w:r w:rsidR="002B6764" w:rsidRPr="009F2567">
        <w:rPr>
          <w:rFonts w:asciiTheme="majorHAnsi" w:hAnsiTheme="majorHAnsi" w:cstheme="majorHAnsi"/>
          <w:lang w:val="de-CH"/>
        </w:rPr>
        <w:t>ë</w:t>
      </w:r>
      <w:r w:rsidR="00470BDD" w:rsidRPr="009F2567">
        <w:rPr>
          <w:rFonts w:asciiTheme="majorHAnsi" w:hAnsiTheme="majorHAnsi" w:cstheme="majorHAnsi"/>
          <w:lang w:val="de-CH"/>
        </w:rPr>
        <w:t xml:space="preserve"> përmbushur. </w:t>
      </w:r>
    </w:p>
    <w:p w:rsidR="00470BDD" w:rsidRPr="009F2567" w:rsidRDefault="00470BDD" w:rsidP="0069543C">
      <w:pPr>
        <w:jc w:val="both"/>
        <w:rPr>
          <w:rFonts w:asciiTheme="majorHAnsi" w:hAnsiTheme="majorHAnsi" w:cstheme="majorHAnsi"/>
          <w:lang w:val="de-CH"/>
        </w:rPr>
      </w:pPr>
    </w:p>
    <w:p w:rsidR="0069543C" w:rsidRPr="009F2567" w:rsidRDefault="0069543C" w:rsidP="0069543C">
      <w:pPr>
        <w:tabs>
          <w:tab w:val="left" w:pos="1190"/>
        </w:tabs>
        <w:rPr>
          <w:b/>
        </w:rPr>
      </w:pPr>
      <w:r w:rsidRPr="009F2567">
        <w:rPr>
          <w:b/>
        </w:rPr>
        <w:tab/>
      </w:r>
    </w:p>
    <w:p w:rsidR="0069543C" w:rsidRPr="009F2567" w:rsidRDefault="0069543C" w:rsidP="0069543C">
      <w:pPr>
        <w:tabs>
          <w:tab w:val="left" w:pos="1190"/>
        </w:tabs>
        <w:rPr>
          <w:b/>
        </w:rPr>
      </w:pPr>
    </w:p>
    <w:p w:rsidR="0069543C" w:rsidRPr="009F2567" w:rsidRDefault="0069543C" w:rsidP="0069543C">
      <w:pPr>
        <w:tabs>
          <w:tab w:val="left" w:pos="1190"/>
        </w:tabs>
        <w:rPr>
          <w:b/>
        </w:rPr>
      </w:pPr>
    </w:p>
    <w:p w:rsidR="0069543C" w:rsidRPr="009F2567" w:rsidRDefault="0069543C" w:rsidP="0069543C">
      <w:pPr>
        <w:rPr>
          <w:b/>
        </w:rPr>
      </w:pPr>
      <w:r w:rsidRPr="009F2567">
        <w:rPr>
          <w:b/>
        </w:rPr>
        <w:t>Vlerësimi i treguesv</w:t>
      </w:r>
      <w:r w:rsidR="007904AB">
        <w:rPr>
          <w:b/>
        </w:rPr>
        <w:t>e të performancës për vitin 2024</w:t>
      </w:r>
    </w:p>
    <w:p w:rsidR="0069543C" w:rsidRPr="006220CC" w:rsidRDefault="00476B0C" w:rsidP="0069543C">
      <w:pPr>
        <w:jc w:val="both"/>
        <w:rPr>
          <w:rFonts w:cstheme="majorHAnsi"/>
        </w:rPr>
      </w:pPr>
      <w:r>
        <w:rPr>
          <w:noProof/>
          <w:lang w:val="en-GB" w:eastAsia="en-GB"/>
          <w14:ligatures w14:val="standardContextual"/>
        </w:rPr>
        <w:drawing>
          <wp:anchor distT="0" distB="0" distL="114300" distR="114300" simplePos="0" relativeHeight="251827200" behindDoc="0" locked="0" layoutInCell="1" allowOverlap="1" wp14:anchorId="38AF2581" wp14:editId="323E8D92">
            <wp:simplePos x="0" y="0"/>
            <wp:positionH relativeFrom="margin">
              <wp:posOffset>2476070</wp:posOffset>
            </wp:positionH>
            <wp:positionV relativeFrom="margin">
              <wp:posOffset>4204740</wp:posOffset>
            </wp:positionV>
            <wp:extent cx="3402330" cy="2476500"/>
            <wp:effectExtent l="0" t="0" r="7620" b="0"/>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69543C" w:rsidRPr="006220CC">
        <w:rPr>
          <w:rFonts w:cstheme="majorHAnsi"/>
        </w:rPr>
        <w:t>Performanca mesatare e Komunës së</w:t>
      </w:r>
      <w:r w:rsidR="007904AB">
        <w:rPr>
          <w:rFonts w:cstheme="majorHAnsi"/>
        </w:rPr>
        <w:t xml:space="preserve"> </w:t>
      </w:r>
      <w:r w:rsidR="007904AB" w:rsidRPr="009F2567">
        <w:rPr>
          <w:rFonts w:asciiTheme="majorHAnsi" w:hAnsiTheme="majorHAnsi" w:cstheme="majorHAnsi"/>
          <w:lang w:val="de-CH"/>
        </w:rPr>
        <w:t>Graçanicës</w:t>
      </w:r>
      <w:r w:rsidR="007904AB">
        <w:rPr>
          <w:rFonts w:cstheme="majorHAnsi"/>
        </w:rPr>
        <w:t xml:space="preserve"> në 29</w:t>
      </w:r>
      <w:r w:rsidR="0069543C" w:rsidRPr="006220CC">
        <w:rPr>
          <w:rFonts w:cstheme="majorHAnsi"/>
        </w:rPr>
        <w:t xml:space="preserve"> indikatorët e vlerësuar është </w:t>
      </w:r>
      <w:r w:rsidR="0089430B">
        <w:rPr>
          <w:rFonts w:cstheme="majorHAnsi"/>
        </w:rPr>
        <w:t>26</w:t>
      </w:r>
      <w:r w:rsidR="0069543C" w:rsidRPr="006220CC">
        <w:rPr>
          <w:rFonts w:cstheme="majorHAnsi"/>
        </w:rPr>
        <w:t xml:space="preserve"> pikë nga gjithsej 9</w:t>
      </w:r>
      <w:r w:rsidR="0089430B">
        <w:rPr>
          <w:rFonts w:cstheme="majorHAnsi"/>
        </w:rPr>
        <w:t>8</w:t>
      </w:r>
      <w:r w:rsidR="0069543C" w:rsidRPr="006220CC">
        <w:rPr>
          <w:rFonts w:cstheme="majorHAnsi"/>
        </w:rPr>
        <w:t xml:space="preserve"> pikë të mundshme (</w:t>
      </w:r>
      <w:r w:rsidR="0089430B">
        <w:rPr>
          <w:rFonts w:cstheme="majorHAnsi"/>
        </w:rPr>
        <w:t>26.53</w:t>
      </w:r>
      <w:r w:rsidR="0069543C" w:rsidRPr="006220CC">
        <w:rPr>
          <w:rFonts w:cstheme="majorHAnsi"/>
        </w:rPr>
        <w:t>%).</w:t>
      </w:r>
      <w:r w:rsidR="0069543C" w:rsidRPr="006220CC">
        <w:rPr>
          <w:noProof/>
        </w:rPr>
        <w:t xml:space="preserve"> </w:t>
      </w:r>
    </w:p>
    <w:p w:rsidR="0069543C" w:rsidRPr="006220CC" w:rsidRDefault="006A4FD7" w:rsidP="0069543C">
      <w:pPr>
        <w:jc w:val="both"/>
        <w:rPr>
          <w:rFonts w:cstheme="majorHAnsi"/>
        </w:rPr>
      </w:pPr>
      <w:r>
        <w:rPr>
          <w:rFonts w:cstheme="majorHAnsi"/>
        </w:rPr>
        <w:t>Performanca mesatare në 13</w:t>
      </w:r>
      <w:r w:rsidR="0069543C" w:rsidRPr="006220CC">
        <w:rPr>
          <w:rFonts w:cstheme="majorHAnsi"/>
        </w:rPr>
        <w:t xml:space="preserve"> treguesit e vlerësuar në kuadër të fushës ‘Qeverisja demokratike’ është </w:t>
      </w:r>
      <w:r w:rsidR="0089430B">
        <w:rPr>
          <w:rFonts w:cstheme="majorHAnsi"/>
        </w:rPr>
        <w:t>19</w:t>
      </w:r>
      <w:r w:rsidR="0069543C" w:rsidRPr="006220CC">
        <w:rPr>
          <w:rFonts w:cstheme="majorHAnsi"/>
        </w:rPr>
        <w:t xml:space="preserve"> pikë nga gjithsej </w:t>
      </w:r>
      <w:r w:rsidR="00600A7F">
        <w:rPr>
          <w:rFonts w:cstheme="majorHAnsi"/>
        </w:rPr>
        <w:t>40</w:t>
      </w:r>
      <w:r w:rsidR="0069543C" w:rsidRPr="006220CC">
        <w:rPr>
          <w:rFonts w:cstheme="majorHAnsi"/>
        </w:rPr>
        <w:t xml:space="preserve"> pikët të mundshme (</w:t>
      </w:r>
      <w:r w:rsidR="0089430B">
        <w:rPr>
          <w:rFonts w:cstheme="majorHAnsi"/>
        </w:rPr>
        <w:t>47.50</w:t>
      </w:r>
      <w:r w:rsidR="0069543C" w:rsidRPr="006220CC">
        <w:rPr>
          <w:rFonts w:cstheme="majorHAnsi"/>
        </w:rPr>
        <w:t xml:space="preserve">%). </w:t>
      </w:r>
    </w:p>
    <w:p w:rsidR="0069543C" w:rsidRPr="006220CC" w:rsidRDefault="0069543C" w:rsidP="0069543C">
      <w:pPr>
        <w:jc w:val="both"/>
        <w:rPr>
          <w:rFonts w:cstheme="majorHAnsi"/>
        </w:rPr>
      </w:pPr>
      <w:r w:rsidRPr="006220CC">
        <w:rPr>
          <w:rFonts w:cstheme="majorHAnsi"/>
        </w:rPr>
        <w:t xml:space="preserve">Performanca mesatare në </w:t>
      </w:r>
      <w:r w:rsidR="006A4FD7">
        <w:rPr>
          <w:rFonts w:cstheme="majorHAnsi"/>
        </w:rPr>
        <w:t>7</w:t>
      </w:r>
      <w:r w:rsidRPr="006220CC">
        <w:rPr>
          <w:rFonts w:cstheme="majorHAnsi"/>
        </w:rPr>
        <w:t xml:space="preserve"> treguesit e vlerësuar në kuadër të fushës ‘Menaxhimi Komunal’ është </w:t>
      </w:r>
      <w:r w:rsidR="0089430B">
        <w:rPr>
          <w:rFonts w:cstheme="majorHAnsi"/>
        </w:rPr>
        <w:t>4</w:t>
      </w:r>
      <w:r w:rsidRPr="006220CC">
        <w:rPr>
          <w:rFonts w:cstheme="majorHAnsi"/>
        </w:rPr>
        <w:t xml:space="preserve"> pikë nga gjithsej 2</w:t>
      </w:r>
      <w:r w:rsidR="00600A7F">
        <w:rPr>
          <w:rFonts w:cstheme="majorHAnsi"/>
        </w:rPr>
        <w:t>8</w:t>
      </w:r>
      <w:r w:rsidRPr="006220CC">
        <w:rPr>
          <w:rFonts w:cstheme="majorHAnsi"/>
        </w:rPr>
        <w:t xml:space="preserve"> pikë të mundshme (</w:t>
      </w:r>
      <w:r w:rsidR="0089430B">
        <w:rPr>
          <w:rFonts w:cstheme="majorHAnsi"/>
        </w:rPr>
        <w:t>14.29</w:t>
      </w:r>
      <w:r w:rsidRPr="006220CC">
        <w:rPr>
          <w:rFonts w:cstheme="majorHAnsi"/>
        </w:rPr>
        <w:t xml:space="preserve">%). </w:t>
      </w:r>
    </w:p>
    <w:p w:rsidR="0069543C" w:rsidRPr="006220CC" w:rsidRDefault="0069543C" w:rsidP="0069543C">
      <w:pPr>
        <w:jc w:val="both"/>
        <w:rPr>
          <w:rFonts w:cstheme="majorHAnsi"/>
        </w:rPr>
      </w:pPr>
      <w:r w:rsidRPr="006220CC">
        <w:rPr>
          <w:rFonts w:cstheme="majorHAnsi"/>
        </w:rPr>
        <w:t xml:space="preserve">Performanca mesatare në </w:t>
      </w:r>
      <w:r w:rsidR="0089430B">
        <w:rPr>
          <w:rFonts w:cstheme="majorHAnsi"/>
        </w:rPr>
        <w:t>9</w:t>
      </w:r>
      <w:r w:rsidRPr="006220CC">
        <w:rPr>
          <w:rFonts w:cstheme="majorHAnsi"/>
        </w:rPr>
        <w:t xml:space="preserve"> treguesit e vlerësuar në kuadër të fushës ‘Ofrimi i shërbimeve’ është </w:t>
      </w:r>
      <w:r w:rsidR="0089430B">
        <w:rPr>
          <w:rFonts w:cstheme="majorHAnsi"/>
        </w:rPr>
        <w:t xml:space="preserve">3 </w:t>
      </w:r>
      <w:r w:rsidRPr="006220CC">
        <w:rPr>
          <w:rFonts w:cstheme="majorHAnsi"/>
        </w:rPr>
        <w:t xml:space="preserve">pikë nga gjithsej </w:t>
      </w:r>
      <w:r w:rsidR="00600A7F">
        <w:rPr>
          <w:rFonts w:cstheme="majorHAnsi"/>
        </w:rPr>
        <w:t>30</w:t>
      </w:r>
      <w:r w:rsidRPr="006220CC">
        <w:rPr>
          <w:rFonts w:cstheme="majorHAnsi"/>
        </w:rPr>
        <w:t xml:space="preserve"> pikë të mundshme (</w:t>
      </w:r>
      <w:r w:rsidR="0089430B">
        <w:rPr>
          <w:rFonts w:cstheme="majorHAnsi"/>
        </w:rPr>
        <w:t>10.00</w:t>
      </w:r>
      <w:r w:rsidRPr="006220CC">
        <w:rPr>
          <w:rFonts w:cstheme="majorHAnsi"/>
        </w:rPr>
        <w:t xml:space="preserve">%). </w:t>
      </w:r>
    </w:p>
    <w:p w:rsidR="0069543C" w:rsidRPr="009F2567" w:rsidRDefault="0069543C" w:rsidP="0069543C">
      <w:pPr>
        <w:jc w:val="both"/>
      </w:pPr>
    </w:p>
    <w:p w:rsidR="0069543C" w:rsidRPr="009F2567" w:rsidRDefault="0069543C" w:rsidP="0069543C"/>
    <w:p w:rsidR="0069543C" w:rsidRPr="009F2567" w:rsidRDefault="0069543C" w:rsidP="0069543C"/>
    <w:p w:rsidR="0069543C" w:rsidRPr="009F2567" w:rsidRDefault="0069543C" w:rsidP="0069543C"/>
    <w:p w:rsidR="0069543C" w:rsidRPr="009F2567" w:rsidRDefault="0069543C" w:rsidP="0069543C"/>
    <w:p w:rsidR="0069543C" w:rsidRPr="009F2567" w:rsidRDefault="0069543C" w:rsidP="0069543C">
      <w:pPr>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asciiTheme="majorHAnsi" w:eastAsiaTheme="majorEastAsia" w:hAnsiTheme="majorHAnsi" w:cs="Calibri Light"/>
          <w:b/>
          <w:noProof/>
          <w:lang w:val="de-CH"/>
        </w:rPr>
      </w:pPr>
      <w:r w:rsidRPr="009F2567">
        <w:rPr>
          <w:rFonts w:asciiTheme="majorHAnsi" w:eastAsiaTheme="majorEastAsia" w:hAnsiTheme="majorHAnsi" w:cs="Calibri Light"/>
          <w:b/>
          <w:noProof/>
          <w:lang w:val="de-CH"/>
        </w:rPr>
        <w:lastRenderedPageBreak/>
        <w:t>Përmbledhje e rezultateve për vitin 202</w:t>
      </w:r>
      <w:r w:rsidR="0089430B">
        <w:rPr>
          <w:rFonts w:asciiTheme="majorHAnsi" w:eastAsiaTheme="majorEastAsia" w:hAnsiTheme="majorHAnsi" w:cs="Calibri Light"/>
          <w:b/>
          <w:noProof/>
          <w:lang w:val="de-CH"/>
        </w:rPr>
        <w:t>4</w:t>
      </w:r>
      <w:r w:rsidRPr="009F2567">
        <w:rPr>
          <w:rFonts w:asciiTheme="majorHAnsi" w:eastAsiaTheme="majorEastAsia" w:hAnsiTheme="majorHAnsi" w:cs="Calibri Light"/>
          <w:b/>
          <w:noProof/>
          <w:lang w:val="de-CH"/>
        </w:rPr>
        <w:t xml:space="preserve"> për grantin e performancës komunale - Komuna Hani i Elezit</w:t>
      </w:r>
    </w:p>
    <w:p w:rsidR="0069543C" w:rsidRPr="009F2567" w:rsidRDefault="00476B0C" w:rsidP="0069543C">
      <w:pPr>
        <w:rPr>
          <w:b/>
        </w:rPr>
      </w:pPr>
      <w:r>
        <w:rPr>
          <w:noProof/>
          <w:lang w:val="en-GB" w:eastAsia="en-GB"/>
          <w14:ligatures w14:val="standardContextual"/>
        </w:rPr>
        <w:drawing>
          <wp:anchor distT="0" distB="0" distL="114300" distR="114300" simplePos="0" relativeHeight="251828224" behindDoc="0" locked="0" layoutInCell="1" allowOverlap="1" wp14:anchorId="3988EE88" wp14:editId="5533B1C5">
            <wp:simplePos x="0" y="0"/>
            <wp:positionH relativeFrom="margin">
              <wp:posOffset>2742565</wp:posOffset>
            </wp:positionH>
            <wp:positionV relativeFrom="margin">
              <wp:posOffset>720705</wp:posOffset>
            </wp:positionV>
            <wp:extent cx="3070225" cy="1958340"/>
            <wp:effectExtent l="0" t="0" r="15875" b="3810"/>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0069543C" w:rsidRPr="009F2567">
        <w:rPr>
          <w:b/>
        </w:rPr>
        <w:t>Vlerësimi i kushteve minimale për vitin 202</w:t>
      </w:r>
      <w:r w:rsidR="0089430B">
        <w:rPr>
          <w:b/>
        </w:rPr>
        <w:t>4</w:t>
      </w:r>
    </w:p>
    <w:p w:rsidR="0069543C" w:rsidRPr="009F2567" w:rsidRDefault="0069543C" w:rsidP="0069543C">
      <w:pPr>
        <w:jc w:val="both"/>
        <w:rPr>
          <w:rFonts w:asciiTheme="majorHAnsi" w:hAnsiTheme="majorHAnsi" w:cstheme="majorHAnsi"/>
          <w:lang w:val="de-CH"/>
        </w:rPr>
      </w:pPr>
      <w:r w:rsidRPr="009F2567">
        <w:rPr>
          <w:rFonts w:asciiTheme="majorHAnsi" w:hAnsiTheme="majorHAnsi" w:cstheme="majorHAnsi"/>
          <w:lang w:val="de-CH"/>
        </w:rPr>
        <w:t>Komuna e Hani i Elezit  nuk është kualifikuar për grantin e performancës komunale për vitin 202</w:t>
      </w:r>
      <w:r w:rsidR="0089430B">
        <w:rPr>
          <w:rFonts w:asciiTheme="majorHAnsi" w:hAnsiTheme="majorHAnsi" w:cstheme="majorHAnsi"/>
          <w:lang w:val="de-CH"/>
        </w:rPr>
        <w:t>4</w:t>
      </w:r>
      <w:r w:rsidRPr="009F2567">
        <w:rPr>
          <w:rFonts w:asciiTheme="majorHAnsi" w:hAnsiTheme="majorHAnsi" w:cstheme="majorHAnsi"/>
          <w:lang w:val="de-CH"/>
        </w:rPr>
        <w:t>.</w:t>
      </w:r>
    </w:p>
    <w:p w:rsidR="002B6764" w:rsidRPr="009F2567" w:rsidRDefault="0089430B" w:rsidP="002B6764">
      <w:pPr>
        <w:jc w:val="both"/>
        <w:rPr>
          <w:rFonts w:asciiTheme="majorHAnsi" w:hAnsiTheme="majorHAnsi" w:cstheme="majorHAnsi"/>
          <w:lang w:val="de-CH"/>
        </w:rPr>
      </w:pPr>
      <w:r>
        <w:rPr>
          <w:rFonts w:asciiTheme="majorHAnsi" w:hAnsiTheme="majorHAnsi" w:cstheme="majorHAnsi"/>
          <w:lang w:val="de-CH"/>
        </w:rPr>
        <w:t>Kushti</w:t>
      </w:r>
      <w:r w:rsidR="002B6764" w:rsidRPr="009F2567">
        <w:rPr>
          <w:rFonts w:asciiTheme="majorHAnsi" w:hAnsiTheme="majorHAnsi" w:cstheme="majorHAnsi"/>
          <w:lang w:val="de-CH"/>
        </w:rPr>
        <w:t xml:space="preserve"> minimal</w:t>
      </w:r>
      <w:r>
        <w:rPr>
          <w:rFonts w:asciiTheme="majorHAnsi" w:hAnsiTheme="majorHAnsi" w:cstheme="majorHAnsi"/>
          <w:lang w:val="de-CH"/>
        </w:rPr>
        <w:t xml:space="preserve"> numër 4</w:t>
      </w:r>
      <w:r w:rsidR="002B6764" w:rsidRPr="009F2567">
        <w:rPr>
          <w:rFonts w:asciiTheme="majorHAnsi" w:hAnsiTheme="majorHAnsi" w:cstheme="majorHAnsi"/>
          <w:lang w:val="de-CH"/>
        </w:rPr>
        <w:t xml:space="preserve"> </w:t>
      </w:r>
      <w:r>
        <w:rPr>
          <w:rFonts w:asciiTheme="majorHAnsi" w:hAnsiTheme="majorHAnsi" w:cstheme="majorHAnsi"/>
          <w:lang w:val="de-CH"/>
        </w:rPr>
        <w:t>sh</w:t>
      </w:r>
      <w:r w:rsidR="002B6764" w:rsidRPr="009F2567">
        <w:rPr>
          <w:rFonts w:asciiTheme="majorHAnsi" w:hAnsiTheme="majorHAnsi" w:cstheme="majorHAnsi"/>
          <w:lang w:val="de-CH"/>
        </w:rPr>
        <w:t>kalla e shpenzimit të buxhetit për i</w:t>
      </w:r>
      <w:r>
        <w:rPr>
          <w:rFonts w:asciiTheme="majorHAnsi" w:hAnsiTheme="majorHAnsi" w:cstheme="majorHAnsi"/>
          <w:lang w:val="de-CH"/>
        </w:rPr>
        <w:t>nvestime kapitale për vitin 2024</w:t>
      </w:r>
      <w:r w:rsidR="002B6764" w:rsidRPr="009F2567">
        <w:rPr>
          <w:rFonts w:asciiTheme="majorHAnsi" w:hAnsiTheme="majorHAnsi" w:cstheme="majorHAnsi"/>
          <w:lang w:val="de-CH"/>
        </w:rPr>
        <w:t xml:space="preserve"> së paku 75%) nuk </w:t>
      </w:r>
      <w:r>
        <w:rPr>
          <w:rFonts w:asciiTheme="majorHAnsi" w:hAnsiTheme="majorHAnsi" w:cstheme="majorHAnsi"/>
          <w:lang w:val="de-CH"/>
        </w:rPr>
        <w:t xml:space="preserve">ëshë </w:t>
      </w:r>
      <w:r w:rsidR="002B6764" w:rsidRPr="009F2567">
        <w:rPr>
          <w:rFonts w:asciiTheme="majorHAnsi" w:hAnsiTheme="majorHAnsi" w:cstheme="majorHAnsi"/>
          <w:lang w:val="de-CH"/>
        </w:rPr>
        <w:t xml:space="preserve">përmbushur. </w:t>
      </w:r>
    </w:p>
    <w:p w:rsidR="0069543C" w:rsidRPr="009F2567" w:rsidRDefault="0069543C" w:rsidP="0069543C">
      <w:pPr>
        <w:rPr>
          <w:lang w:val="de-CH"/>
        </w:rPr>
      </w:pPr>
    </w:p>
    <w:p w:rsidR="0069543C" w:rsidRPr="009F2567" w:rsidRDefault="0069543C" w:rsidP="0069543C">
      <w:pPr>
        <w:tabs>
          <w:tab w:val="left" w:pos="1190"/>
        </w:tabs>
        <w:rPr>
          <w:b/>
        </w:rPr>
      </w:pPr>
    </w:p>
    <w:p w:rsidR="0069543C" w:rsidRPr="009F2567" w:rsidRDefault="0069543C" w:rsidP="00AC7561">
      <w:pPr>
        <w:tabs>
          <w:tab w:val="left" w:pos="1190"/>
        </w:tabs>
      </w:pPr>
    </w:p>
    <w:p w:rsidR="0069543C" w:rsidRPr="009F2567" w:rsidRDefault="0069543C" w:rsidP="0069543C">
      <w:pPr>
        <w:rPr>
          <w:b/>
        </w:rPr>
      </w:pPr>
      <w:r w:rsidRPr="009F2567">
        <w:rPr>
          <w:b/>
        </w:rPr>
        <w:t>Vlerësimi i treguesv</w:t>
      </w:r>
      <w:r w:rsidR="0089430B">
        <w:rPr>
          <w:b/>
        </w:rPr>
        <w:t>e të performancës për vitin 2024</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e </w:t>
      </w:r>
      <w:r w:rsidR="0089430B">
        <w:rPr>
          <w:rFonts w:asciiTheme="majorHAnsi" w:hAnsiTheme="majorHAnsi" w:cstheme="majorHAnsi"/>
        </w:rPr>
        <w:t>Komunës së Hani i Elezit  në 29</w:t>
      </w:r>
      <w:r w:rsidRPr="009F2567">
        <w:rPr>
          <w:rFonts w:asciiTheme="majorHAnsi" w:hAnsiTheme="majorHAnsi" w:cstheme="majorHAnsi"/>
        </w:rPr>
        <w:t xml:space="preserve"> indikatorët e vlerësu</w:t>
      </w:r>
      <w:r w:rsidR="0089430B">
        <w:rPr>
          <w:rFonts w:asciiTheme="majorHAnsi" w:hAnsiTheme="majorHAnsi" w:cstheme="majorHAnsi"/>
        </w:rPr>
        <w:t>ar është 61 pikë nga gjithsej 98</w:t>
      </w:r>
      <w:r w:rsidRPr="009F2567">
        <w:rPr>
          <w:rFonts w:asciiTheme="majorHAnsi" w:hAnsiTheme="majorHAnsi" w:cstheme="majorHAnsi"/>
        </w:rPr>
        <w:t xml:space="preserve"> pikë të mundshme (</w:t>
      </w:r>
      <w:r w:rsidR="0089430B">
        <w:rPr>
          <w:rFonts w:asciiTheme="majorHAnsi" w:hAnsiTheme="majorHAnsi" w:cstheme="majorHAnsi"/>
        </w:rPr>
        <w:t>62.24</w:t>
      </w:r>
      <w:r w:rsidRPr="009F2567">
        <w:rPr>
          <w:rFonts w:asciiTheme="majorHAnsi" w:hAnsiTheme="majorHAnsi" w:cstheme="majorHAnsi"/>
        </w:rPr>
        <w:t>%).</w:t>
      </w:r>
      <w:r w:rsidRPr="009F2567">
        <w:rPr>
          <w:noProof/>
        </w:rPr>
        <w:t xml:space="preserve"> </w:t>
      </w:r>
    </w:p>
    <w:p w:rsidR="0069543C" w:rsidRPr="009F2567" w:rsidRDefault="0089430B" w:rsidP="0069543C">
      <w:pPr>
        <w:jc w:val="both"/>
        <w:rPr>
          <w:rFonts w:asciiTheme="majorHAnsi" w:hAnsiTheme="majorHAnsi" w:cstheme="majorHAnsi"/>
        </w:rPr>
      </w:pPr>
      <w:r>
        <w:rPr>
          <w:noProof/>
          <w:lang w:val="en-GB" w:eastAsia="en-GB"/>
          <w14:ligatures w14:val="standardContextual"/>
        </w:rPr>
        <w:drawing>
          <wp:anchor distT="0" distB="0" distL="114300" distR="114300" simplePos="0" relativeHeight="251829248" behindDoc="0" locked="0" layoutInCell="1" allowOverlap="1" wp14:anchorId="12F44F1F" wp14:editId="418C1913">
            <wp:simplePos x="0" y="0"/>
            <wp:positionH relativeFrom="margin">
              <wp:posOffset>2483457</wp:posOffset>
            </wp:positionH>
            <wp:positionV relativeFrom="margin">
              <wp:posOffset>3684270</wp:posOffset>
            </wp:positionV>
            <wp:extent cx="3451225" cy="2708910"/>
            <wp:effectExtent l="0" t="0" r="15875" b="1524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6A4FD7">
        <w:rPr>
          <w:rFonts w:asciiTheme="majorHAnsi" w:hAnsiTheme="majorHAnsi" w:cstheme="majorHAnsi"/>
        </w:rPr>
        <w:t>Performanca mesatare në 13</w:t>
      </w:r>
      <w:r w:rsidR="0069543C" w:rsidRPr="009F2567">
        <w:rPr>
          <w:rFonts w:asciiTheme="majorHAnsi" w:hAnsiTheme="majorHAnsi" w:cstheme="majorHAnsi"/>
        </w:rPr>
        <w:t xml:space="preserve"> treguesit e vlerësuar në kuadër të fushës ‘Qeverisja demokratike’ është </w:t>
      </w:r>
      <w:r>
        <w:rPr>
          <w:rFonts w:asciiTheme="majorHAnsi" w:hAnsiTheme="majorHAnsi" w:cstheme="majorHAnsi"/>
        </w:rPr>
        <w:t>33</w:t>
      </w:r>
      <w:r w:rsidR="0069543C" w:rsidRPr="009F2567">
        <w:rPr>
          <w:rFonts w:asciiTheme="majorHAnsi" w:hAnsiTheme="majorHAnsi" w:cstheme="majorHAnsi"/>
        </w:rPr>
        <w:t xml:space="preserve"> pikë nga gjithsej </w:t>
      </w:r>
      <w:r w:rsidR="00600A7F">
        <w:rPr>
          <w:rFonts w:asciiTheme="majorHAnsi" w:hAnsiTheme="majorHAnsi" w:cstheme="majorHAnsi"/>
        </w:rPr>
        <w:t>40</w:t>
      </w:r>
      <w:r w:rsidR="0069543C" w:rsidRPr="009F2567">
        <w:rPr>
          <w:rFonts w:asciiTheme="majorHAnsi" w:hAnsiTheme="majorHAnsi" w:cstheme="majorHAnsi"/>
        </w:rPr>
        <w:t xml:space="preserve"> pikët të mundshme (</w:t>
      </w:r>
      <w:r w:rsidR="00723951">
        <w:rPr>
          <w:rFonts w:asciiTheme="majorHAnsi" w:hAnsiTheme="majorHAnsi" w:cstheme="majorHAnsi"/>
        </w:rPr>
        <w:t>82.50</w:t>
      </w:r>
      <w:r w:rsidR="0069543C" w:rsidRPr="009F2567">
        <w:rPr>
          <w:rFonts w:asciiTheme="majorHAnsi" w:hAnsiTheme="majorHAnsi" w:cstheme="majorHAnsi"/>
        </w:rPr>
        <w:t xml:space="preserve">%). </w:t>
      </w:r>
    </w:p>
    <w:p w:rsidR="0069543C" w:rsidRPr="009F2567" w:rsidRDefault="006A4FD7" w:rsidP="0069543C">
      <w:pPr>
        <w:jc w:val="both"/>
        <w:rPr>
          <w:rFonts w:asciiTheme="majorHAnsi" w:hAnsiTheme="majorHAnsi" w:cstheme="majorHAnsi"/>
        </w:rPr>
      </w:pPr>
      <w:r>
        <w:rPr>
          <w:rFonts w:asciiTheme="majorHAnsi" w:hAnsiTheme="majorHAnsi" w:cstheme="majorHAnsi"/>
        </w:rPr>
        <w:t>Performanca mesatare në 7</w:t>
      </w:r>
      <w:r w:rsidR="0069543C" w:rsidRPr="009F2567">
        <w:rPr>
          <w:rFonts w:asciiTheme="majorHAnsi" w:hAnsiTheme="majorHAnsi" w:cstheme="majorHAnsi"/>
        </w:rPr>
        <w:t xml:space="preserve"> treguesit e vlerësuar në kuadër të fushës ‘Menaxhimi Komunal’ është </w:t>
      </w:r>
      <w:r w:rsidR="0089430B">
        <w:rPr>
          <w:rFonts w:asciiTheme="majorHAnsi" w:hAnsiTheme="majorHAnsi" w:cstheme="majorHAnsi"/>
        </w:rPr>
        <w:t>13</w:t>
      </w:r>
      <w:r w:rsidR="0069543C" w:rsidRPr="009F2567">
        <w:rPr>
          <w:rFonts w:asciiTheme="majorHAnsi" w:hAnsiTheme="majorHAnsi" w:cstheme="majorHAnsi"/>
        </w:rPr>
        <w:t xml:space="preserve"> pikë nga gjithsej </w:t>
      </w:r>
      <w:r w:rsidR="00600A7F">
        <w:rPr>
          <w:rFonts w:asciiTheme="majorHAnsi" w:hAnsiTheme="majorHAnsi" w:cstheme="majorHAnsi"/>
        </w:rPr>
        <w:t>28</w:t>
      </w:r>
      <w:r w:rsidR="0069543C" w:rsidRPr="009F2567">
        <w:rPr>
          <w:rFonts w:asciiTheme="majorHAnsi" w:hAnsiTheme="majorHAnsi" w:cstheme="majorHAnsi"/>
        </w:rPr>
        <w:t xml:space="preserve"> pikë të mundshme (</w:t>
      </w:r>
      <w:r w:rsidR="00723951">
        <w:rPr>
          <w:rFonts w:asciiTheme="majorHAnsi" w:hAnsiTheme="majorHAnsi" w:cstheme="majorHAnsi"/>
        </w:rPr>
        <w:t>46.43</w:t>
      </w:r>
      <w:r w:rsidR="0069543C" w:rsidRPr="009F2567">
        <w:rPr>
          <w:rFonts w:asciiTheme="majorHAnsi" w:hAnsiTheme="majorHAnsi" w:cstheme="majorHAnsi"/>
        </w:rPr>
        <w:t xml:space="preserve">%). </w:t>
      </w:r>
    </w:p>
    <w:p w:rsidR="0069543C" w:rsidRPr="009F2567" w:rsidRDefault="00723951" w:rsidP="0069543C">
      <w:pPr>
        <w:jc w:val="both"/>
        <w:rPr>
          <w:rFonts w:asciiTheme="majorHAnsi" w:hAnsiTheme="majorHAnsi" w:cstheme="majorHAnsi"/>
        </w:rPr>
      </w:pPr>
      <w:r>
        <w:rPr>
          <w:rFonts w:asciiTheme="majorHAnsi" w:hAnsiTheme="majorHAnsi" w:cstheme="majorHAnsi"/>
        </w:rPr>
        <w:t>Performanca mesatare në 9</w:t>
      </w:r>
      <w:r w:rsidR="0069543C" w:rsidRPr="009F2567">
        <w:rPr>
          <w:rFonts w:asciiTheme="majorHAnsi" w:hAnsiTheme="majorHAnsi" w:cstheme="majorHAnsi"/>
        </w:rPr>
        <w:t xml:space="preserve"> treguesit e vlerësuar në kuadër të fushës ‘Ofrimi i shërbimeve’ është </w:t>
      </w:r>
      <w:r w:rsidR="00B93D48" w:rsidRPr="009F2567">
        <w:rPr>
          <w:rFonts w:asciiTheme="majorHAnsi" w:hAnsiTheme="majorHAnsi" w:cstheme="majorHAnsi"/>
        </w:rPr>
        <w:t>1</w:t>
      </w:r>
      <w:r w:rsidR="0089430B">
        <w:rPr>
          <w:rFonts w:asciiTheme="majorHAnsi" w:hAnsiTheme="majorHAnsi" w:cstheme="majorHAnsi"/>
        </w:rPr>
        <w:t>5</w:t>
      </w:r>
      <w:r w:rsidR="0069543C" w:rsidRPr="009F2567">
        <w:rPr>
          <w:rFonts w:asciiTheme="majorHAnsi" w:hAnsiTheme="majorHAnsi" w:cstheme="majorHAnsi"/>
        </w:rPr>
        <w:t xml:space="preserve"> pikë nga gjithsej </w:t>
      </w:r>
      <w:r w:rsidR="00600A7F">
        <w:rPr>
          <w:rFonts w:asciiTheme="majorHAnsi" w:hAnsiTheme="majorHAnsi" w:cstheme="majorHAnsi"/>
        </w:rPr>
        <w:t>30</w:t>
      </w:r>
      <w:r w:rsidR="0069543C" w:rsidRPr="009F2567">
        <w:rPr>
          <w:rFonts w:asciiTheme="majorHAnsi" w:hAnsiTheme="majorHAnsi" w:cstheme="majorHAnsi"/>
        </w:rPr>
        <w:t xml:space="preserve"> pikë të mundshme (50</w:t>
      </w:r>
      <w:r w:rsidR="00C360A0">
        <w:rPr>
          <w:rFonts w:asciiTheme="majorHAnsi" w:hAnsiTheme="majorHAnsi" w:cstheme="majorHAnsi"/>
        </w:rPr>
        <w:t>.0</w:t>
      </w:r>
      <w:r w:rsidR="0069543C" w:rsidRPr="009F2567">
        <w:rPr>
          <w:rFonts w:asciiTheme="majorHAnsi" w:hAnsiTheme="majorHAnsi" w:cstheme="majorHAnsi"/>
        </w:rPr>
        <w:t xml:space="preserve">%). </w:t>
      </w:r>
    </w:p>
    <w:p w:rsidR="0069543C" w:rsidRPr="009F2567" w:rsidRDefault="0069543C" w:rsidP="0069543C">
      <w:pPr>
        <w:jc w:val="both"/>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asciiTheme="majorHAnsi" w:eastAsiaTheme="majorEastAsia" w:hAnsiTheme="majorHAnsi" w:cs="Calibri Light"/>
          <w:b/>
          <w:noProof/>
          <w:lang w:val="de-CH"/>
        </w:rPr>
      </w:pPr>
      <w:r w:rsidRPr="009F2567">
        <w:rPr>
          <w:rFonts w:asciiTheme="majorHAnsi" w:eastAsiaTheme="majorEastAsia" w:hAnsiTheme="majorHAnsi" w:cs="Calibri Light"/>
          <w:b/>
          <w:noProof/>
          <w:lang w:val="de-CH"/>
        </w:rPr>
        <w:lastRenderedPageBreak/>
        <w:t>Përmbledhje e rezultateve për vitin 20</w:t>
      </w:r>
      <w:r w:rsidR="00723951">
        <w:rPr>
          <w:rFonts w:asciiTheme="majorHAnsi" w:eastAsiaTheme="majorEastAsia" w:hAnsiTheme="majorHAnsi" w:cs="Calibri Light"/>
          <w:b/>
          <w:noProof/>
          <w:lang w:val="de-CH"/>
        </w:rPr>
        <w:t>24</w:t>
      </w:r>
      <w:r w:rsidRPr="009F2567">
        <w:rPr>
          <w:rFonts w:asciiTheme="majorHAnsi" w:eastAsiaTheme="majorEastAsia" w:hAnsiTheme="majorHAnsi" w:cs="Calibri Light"/>
          <w:b/>
          <w:noProof/>
          <w:lang w:val="de-CH"/>
        </w:rPr>
        <w:t xml:space="preserve"> për grantin e performancës komunale - Komuna Istog</w:t>
      </w:r>
    </w:p>
    <w:p w:rsidR="0069543C" w:rsidRPr="009F2567" w:rsidRDefault="0069543C" w:rsidP="0069543C">
      <w:pPr>
        <w:rPr>
          <w:b/>
        </w:rPr>
      </w:pPr>
      <w:r w:rsidRPr="009F2567">
        <w:rPr>
          <w:b/>
        </w:rPr>
        <w:t xml:space="preserve">Vlerësimi i </w:t>
      </w:r>
      <w:r w:rsidR="00723951">
        <w:rPr>
          <w:b/>
        </w:rPr>
        <w:t>kushteve minimale për vitin 2024</w:t>
      </w:r>
    </w:p>
    <w:p w:rsidR="0069543C" w:rsidRPr="009F2567" w:rsidRDefault="00723951" w:rsidP="0069543C">
      <w:pPr>
        <w:jc w:val="both"/>
        <w:rPr>
          <w:rFonts w:asciiTheme="majorHAnsi" w:hAnsiTheme="majorHAnsi" w:cstheme="majorHAnsi"/>
          <w:lang w:val="de-CH"/>
        </w:rPr>
      </w:pPr>
      <w:r>
        <w:rPr>
          <w:noProof/>
          <w:lang w:val="en-GB" w:eastAsia="en-GB"/>
          <w14:ligatures w14:val="standardContextual"/>
        </w:rPr>
        <w:drawing>
          <wp:anchor distT="0" distB="0" distL="114300" distR="114300" simplePos="0" relativeHeight="251830272" behindDoc="0" locked="0" layoutInCell="1" allowOverlap="1" wp14:anchorId="0AB8EDAC" wp14:editId="7382A0F8">
            <wp:simplePos x="0" y="0"/>
            <wp:positionH relativeFrom="margin">
              <wp:posOffset>2559419</wp:posOffset>
            </wp:positionH>
            <wp:positionV relativeFrom="margin">
              <wp:posOffset>579243</wp:posOffset>
            </wp:positionV>
            <wp:extent cx="3314700" cy="2251710"/>
            <wp:effectExtent l="0" t="0" r="0" b="15240"/>
            <wp:wrapSquare wrapText="bothSides"/>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0069543C" w:rsidRPr="009F2567">
        <w:rPr>
          <w:rFonts w:asciiTheme="majorHAnsi" w:hAnsiTheme="majorHAnsi" w:cstheme="majorHAnsi"/>
          <w:lang w:val="de-CH"/>
        </w:rPr>
        <w:t xml:space="preserve">Komuna e Istogut </w:t>
      </w:r>
      <w:r>
        <w:rPr>
          <w:rFonts w:asciiTheme="majorHAnsi" w:hAnsiTheme="majorHAnsi" w:cstheme="majorHAnsi"/>
          <w:lang w:val="de-CH"/>
        </w:rPr>
        <w:t xml:space="preserve">nuk </w:t>
      </w:r>
      <w:r w:rsidR="0069543C" w:rsidRPr="009F2567">
        <w:rPr>
          <w:rFonts w:asciiTheme="majorHAnsi" w:hAnsiTheme="majorHAnsi" w:cstheme="majorHAnsi"/>
          <w:lang w:val="de-CH"/>
        </w:rPr>
        <w:t>është kualifikuar për grantin e performancës komunale p</w:t>
      </w:r>
      <w:r>
        <w:rPr>
          <w:rFonts w:asciiTheme="majorHAnsi" w:hAnsiTheme="majorHAnsi" w:cstheme="majorHAnsi"/>
          <w:lang w:val="de-CH"/>
        </w:rPr>
        <w:t>ër vitin 2024</w:t>
      </w:r>
      <w:r w:rsidR="0069543C" w:rsidRPr="009F2567">
        <w:rPr>
          <w:rFonts w:asciiTheme="majorHAnsi" w:hAnsiTheme="majorHAnsi" w:cstheme="majorHAnsi"/>
          <w:lang w:val="de-CH"/>
        </w:rPr>
        <w:t>.</w:t>
      </w:r>
    </w:p>
    <w:p w:rsidR="0069543C" w:rsidRPr="009F2567" w:rsidRDefault="00723951" w:rsidP="0069543C">
      <w:pPr>
        <w:jc w:val="both"/>
        <w:rPr>
          <w:rFonts w:asciiTheme="majorHAnsi" w:hAnsiTheme="majorHAnsi" w:cstheme="majorHAnsi"/>
          <w:lang w:val="de-CH"/>
        </w:rPr>
      </w:pPr>
      <w:bookmarkStart w:id="41" w:name="_Hlk114223081"/>
      <w:r w:rsidRPr="009F2567">
        <w:rPr>
          <w:rFonts w:asciiTheme="majorHAnsi" w:hAnsiTheme="majorHAnsi" w:cstheme="majorHAnsi"/>
          <w:lang w:val="de-CH"/>
        </w:rPr>
        <w:t>Kushti minimal numër 3 (opinioni i auditimit duhet të jetë të paktën i pamodifikuar me theksim të çështjes) nuk është përmbushur</w:t>
      </w:r>
      <w:r>
        <w:rPr>
          <w:rFonts w:asciiTheme="majorHAnsi" w:hAnsiTheme="majorHAnsi" w:cstheme="majorHAnsi"/>
          <w:lang w:val="de-CH"/>
        </w:rPr>
        <w:t>.</w:t>
      </w:r>
    </w:p>
    <w:bookmarkEnd w:id="41"/>
    <w:p w:rsidR="0069543C" w:rsidRPr="009F2567" w:rsidRDefault="0069543C" w:rsidP="0069543C">
      <w:pPr>
        <w:tabs>
          <w:tab w:val="left" w:pos="1190"/>
        </w:tabs>
      </w:pPr>
    </w:p>
    <w:p w:rsidR="0069543C" w:rsidRPr="009F2567" w:rsidRDefault="0069543C" w:rsidP="0069543C"/>
    <w:p w:rsidR="0069543C" w:rsidRPr="009F2567" w:rsidRDefault="0069543C" w:rsidP="0069543C"/>
    <w:p w:rsidR="0069543C" w:rsidRPr="009F2567" w:rsidRDefault="0069543C" w:rsidP="0069543C"/>
    <w:p w:rsidR="0069543C" w:rsidRPr="009F2567" w:rsidRDefault="0069543C" w:rsidP="0069543C">
      <w:pPr>
        <w:rPr>
          <w:b/>
        </w:rPr>
      </w:pPr>
      <w:r w:rsidRPr="009F2567">
        <w:rPr>
          <w:b/>
        </w:rPr>
        <w:t>Vlerësimi i treguesv</w:t>
      </w:r>
      <w:r w:rsidR="00723951">
        <w:rPr>
          <w:b/>
        </w:rPr>
        <w:t>e të performancës për vitin 2024</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Performanca mesa</w:t>
      </w:r>
      <w:r w:rsidR="00723951">
        <w:rPr>
          <w:rFonts w:asciiTheme="majorHAnsi" w:hAnsiTheme="majorHAnsi" w:cstheme="majorHAnsi"/>
        </w:rPr>
        <w:t>tare e Komunës së Istogut  në 29</w:t>
      </w:r>
      <w:r w:rsidRPr="009F2567">
        <w:rPr>
          <w:rFonts w:asciiTheme="majorHAnsi" w:hAnsiTheme="majorHAnsi" w:cstheme="majorHAnsi"/>
        </w:rPr>
        <w:t xml:space="preserve"> indikatorët e vlerësu</w:t>
      </w:r>
      <w:r w:rsidR="00723951">
        <w:rPr>
          <w:rFonts w:asciiTheme="majorHAnsi" w:hAnsiTheme="majorHAnsi" w:cstheme="majorHAnsi"/>
        </w:rPr>
        <w:t>ar është 68 pikë nga gjithsej 98</w:t>
      </w:r>
      <w:r w:rsidRPr="009F2567">
        <w:rPr>
          <w:rFonts w:asciiTheme="majorHAnsi" w:hAnsiTheme="majorHAnsi" w:cstheme="majorHAnsi"/>
        </w:rPr>
        <w:t xml:space="preserve"> pikë të mundshme (</w:t>
      </w:r>
      <w:r w:rsidR="00723951">
        <w:rPr>
          <w:rFonts w:asciiTheme="majorHAnsi" w:hAnsiTheme="majorHAnsi" w:cstheme="majorHAnsi"/>
        </w:rPr>
        <w:t>69.39</w:t>
      </w:r>
      <w:r w:rsidRPr="009F2567">
        <w:rPr>
          <w:rFonts w:asciiTheme="majorHAnsi" w:hAnsiTheme="majorHAnsi" w:cstheme="majorHAnsi"/>
        </w:rPr>
        <w:t>%).</w:t>
      </w:r>
      <w:r w:rsidRPr="009F2567">
        <w:rPr>
          <w:noProof/>
        </w:rPr>
        <w:t xml:space="preserve"> </w:t>
      </w:r>
    </w:p>
    <w:p w:rsidR="00523B0D" w:rsidRPr="009F2567" w:rsidRDefault="00723951" w:rsidP="0069543C">
      <w:pPr>
        <w:jc w:val="both"/>
        <w:rPr>
          <w:rFonts w:asciiTheme="majorHAnsi" w:hAnsiTheme="majorHAnsi" w:cstheme="majorHAnsi"/>
        </w:rPr>
      </w:pPr>
      <w:r>
        <w:rPr>
          <w:noProof/>
          <w:lang w:val="en-GB" w:eastAsia="en-GB"/>
          <w14:ligatures w14:val="standardContextual"/>
        </w:rPr>
        <w:drawing>
          <wp:anchor distT="0" distB="0" distL="114300" distR="114300" simplePos="0" relativeHeight="251831296" behindDoc="0" locked="0" layoutInCell="1" allowOverlap="1" wp14:anchorId="1A3C282A" wp14:editId="10DD8DEE">
            <wp:simplePos x="0" y="0"/>
            <wp:positionH relativeFrom="margin">
              <wp:align>right</wp:align>
            </wp:positionH>
            <wp:positionV relativeFrom="margin">
              <wp:posOffset>3963651</wp:posOffset>
            </wp:positionV>
            <wp:extent cx="3307080" cy="2339975"/>
            <wp:effectExtent l="0" t="0" r="7620" b="3175"/>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006A4FD7">
        <w:rPr>
          <w:rFonts w:asciiTheme="majorHAnsi" w:hAnsiTheme="majorHAnsi" w:cstheme="majorHAnsi"/>
        </w:rPr>
        <w:t>Performanca mesatare në 13</w:t>
      </w:r>
      <w:r w:rsidR="0069543C" w:rsidRPr="009F2567">
        <w:rPr>
          <w:rFonts w:asciiTheme="majorHAnsi" w:hAnsiTheme="majorHAnsi" w:cstheme="majorHAnsi"/>
        </w:rPr>
        <w:t xml:space="preserve"> treguesit e vlerësuar në kuadër të fushës ‘Qeverisja demokratike’ është </w:t>
      </w:r>
      <w:r w:rsidR="0090313C">
        <w:rPr>
          <w:rFonts w:asciiTheme="majorHAnsi" w:hAnsiTheme="majorHAnsi" w:cstheme="majorHAnsi"/>
        </w:rPr>
        <w:t>35</w:t>
      </w:r>
      <w:r w:rsidR="00EF1C60" w:rsidRPr="009F2567">
        <w:rPr>
          <w:rFonts w:asciiTheme="majorHAnsi" w:hAnsiTheme="majorHAnsi" w:cstheme="majorHAnsi"/>
        </w:rPr>
        <w:t xml:space="preserve"> </w:t>
      </w:r>
      <w:r w:rsidR="0069543C" w:rsidRPr="009F2567">
        <w:rPr>
          <w:rFonts w:asciiTheme="majorHAnsi" w:hAnsiTheme="majorHAnsi" w:cstheme="majorHAnsi"/>
        </w:rPr>
        <w:t xml:space="preserve">pikë nga gjithsej </w:t>
      </w:r>
      <w:r w:rsidR="00600A7F">
        <w:rPr>
          <w:rFonts w:asciiTheme="majorHAnsi" w:hAnsiTheme="majorHAnsi" w:cstheme="majorHAnsi"/>
        </w:rPr>
        <w:t>40</w:t>
      </w:r>
      <w:r w:rsidR="0069543C" w:rsidRPr="009F2567">
        <w:rPr>
          <w:rFonts w:asciiTheme="majorHAnsi" w:hAnsiTheme="majorHAnsi" w:cstheme="majorHAnsi"/>
        </w:rPr>
        <w:t xml:space="preserve"> pikët të mundshme (</w:t>
      </w:r>
      <w:r>
        <w:rPr>
          <w:rFonts w:asciiTheme="majorHAnsi" w:hAnsiTheme="majorHAnsi" w:cstheme="majorHAnsi"/>
        </w:rPr>
        <w:t>87.50</w:t>
      </w:r>
      <w:r w:rsidR="0069543C" w:rsidRPr="009F2567">
        <w:rPr>
          <w:rFonts w:asciiTheme="majorHAnsi" w:hAnsiTheme="majorHAnsi" w:cstheme="majorHAnsi"/>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w:t>
      </w:r>
      <w:r w:rsidR="006A4FD7">
        <w:rPr>
          <w:rFonts w:asciiTheme="majorHAnsi" w:hAnsiTheme="majorHAnsi" w:cstheme="majorHAnsi"/>
        </w:rPr>
        <w:t>7</w:t>
      </w:r>
      <w:r w:rsidRPr="009F2567">
        <w:rPr>
          <w:rFonts w:asciiTheme="majorHAnsi" w:hAnsiTheme="majorHAnsi" w:cstheme="majorHAnsi"/>
        </w:rPr>
        <w:t xml:space="preserve"> treguesit e vlerësuar në kuadër të fushës ‘Menaxhimi Komunal’ është 1</w:t>
      </w:r>
      <w:r w:rsidR="0090313C">
        <w:rPr>
          <w:rFonts w:asciiTheme="majorHAnsi" w:hAnsiTheme="majorHAnsi" w:cstheme="majorHAnsi"/>
        </w:rPr>
        <w:t>5</w:t>
      </w:r>
      <w:r w:rsidRPr="009F2567">
        <w:rPr>
          <w:rFonts w:asciiTheme="majorHAnsi" w:hAnsiTheme="majorHAnsi" w:cstheme="majorHAnsi"/>
        </w:rPr>
        <w:t xml:space="preserve"> pikë nga gjithsej </w:t>
      </w:r>
      <w:r w:rsidR="00600A7F">
        <w:rPr>
          <w:rFonts w:asciiTheme="majorHAnsi" w:hAnsiTheme="majorHAnsi" w:cstheme="majorHAnsi"/>
        </w:rPr>
        <w:t>28</w:t>
      </w:r>
      <w:r w:rsidRPr="009F2567">
        <w:rPr>
          <w:rFonts w:asciiTheme="majorHAnsi" w:hAnsiTheme="majorHAnsi" w:cstheme="majorHAnsi"/>
        </w:rPr>
        <w:t xml:space="preserve"> pikë të mundshme (</w:t>
      </w:r>
      <w:r w:rsidR="00723951">
        <w:rPr>
          <w:rFonts w:asciiTheme="majorHAnsi" w:hAnsiTheme="majorHAnsi" w:cstheme="majorHAnsi"/>
        </w:rPr>
        <w:t>53.57</w:t>
      </w:r>
      <w:r w:rsidRPr="009F2567">
        <w:rPr>
          <w:rFonts w:asciiTheme="majorHAnsi" w:hAnsiTheme="majorHAnsi" w:cstheme="majorHAnsi"/>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w:t>
      </w:r>
      <w:r w:rsidR="0090313C">
        <w:rPr>
          <w:rFonts w:asciiTheme="majorHAnsi" w:hAnsiTheme="majorHAnsi" w:cstheme="majorHAnsi"/>
        </w:rPr>
        <w:t>9</w:t>
      </w:r>
      <w:r w:rsidRPr="009F2567">
        <w:rPr>
          <w:rFonts w:asciiTheme="majorHAnsi" w:hAnsiTheme="majorHAnsi" w:cstheme="majorHAnsi"/>
        </w:rPr>
        <w:t xml:space="preserve"> treguesit e vlerësuar në kuadër të fushës ‘Ofrimi i shërbimeve’ është </w:t>
      </w:r>
      <w:r w:rsidR="0090313C">
        <w:rPr>
          <w:rFonts w:asciiTheme="majorHAnsi" w:hAnsiTheme="majorHAnsi" w:cstheme="majorHAnsi"/>
        </w:rPr>
        <w:t>18</w:t>
      </w:r>
      <w:r w:rsidRPr="009F2567">
        <w:rPr>
          <w:rFonts w:asciiTheme="majorHAnsi" w:hAnsiTheme="majorHAnsi" w:cstheme="majorHAnsi"/>
        </w:rPr>
        <w:t xml:space="preserve"> pikë nga gjithsej </w:t>
      </w:r>
      <w:r w:rsidR="00600A7F">
        <w:rPr>
          <w:rFonts w:asciiTheme="majorHAnsi" w:hAnsiTheme="majorHAnsi" w:cstheme="majorHAnsi"/>
        </w:rPr>
        <w:t>30</w:t>
      </w:r>
      <w:r w:rsidRPr="009F2567">
        <w:rPr>
          <w:rFonts w:asciiTheme="majorHAnsi" w:hAnsiTheme="majorHAnsi" w:cstheme="majorHAnsi"/>
        </w:rPr>
        <w:t xml:space="preserve"> pikë të mundshme (</w:t>
      </w:r>
      <w:r w:rsidR="00723951">
        <w:rPr>
          <w:rFonts w:asciiTheme="majorHAnsi" w:hAnsiTheme="majorHAnsi" w:cstheme="majorHAnsi"/>
        </w:rPr>
        <w:t>60.00</w:t>
      </w:r>
      <w:r w:rsidRPr="009F2567">
        <w:rPr>
          <w:rFonts w:asciiTheme="majorHAnsi" w:hAnsiTheme="majorHAnsi" w:cstheme="majorHAnsi"/>
        </w:rPr>
        <w:t xml:space="preserve">%). </w:t>
      </w:r>
    </w:p>
    <w:p w:rsidR="0069543C" w:rsidRPr="009F2567" w:rsidRDefault="0069543C" w:rsidP="0069543C">
      <w:pPr>
        <w:jc w:val="both"/>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asciiTheme="majorHAnsi" w:eastAsiaTheme="majorEastAsia" w:hAnsiTheme="majorHAnsi" w:cs="Calibri Light"/>
          <w:b/>
          <w:noProof/>
          <w:lang w:val="de-CH"/>
        </w:rPr>
      </w:pPr>
      <w:r w:rsidRPr="009F2567">
        <w:rPr>
          <w:rFonts w:asciiTheme="majorHAnsi" w:eastAsiaTheme="majorEastAsia" w:hAnsiTheme="majorHAnsi" w:cs="Calibri Light"/>
          <w:b/>
          <w:noProof/>
          <w:lang w:val="de-CH"/>
        </w:rPr>
        <w:lastRenderedPageBreak/>
        <w:t>Përmbledhje e rezultateve për vitin 202</w:t>
      </w:r>
      <w:r w:rsidR="0090313C">
        <w:rPr>
          <w:rFonts w:asciiTheme="majorHAnsi" w:eastAsiaTheme="majorEastAsia" w:hAnsiTheme="majorHAnsi" w:cs="Calibri Light"/>
          <w:b/>
          <w:noProof/>
          <w:lang w:val="de-CH"/>
        </w:rPr>
        <w:t>4</w:t>
      </w:r>
      <w:r w:rsidRPr="009F2567">
        <w:rPr>
          <w:rFonts w:asciiTheme="majorHAnsi" w:eastAsiaTheme="majorEastAsia" w:hAnsiTheme="majorHAnsi" w:cs="Calibri Light"/>
          <w:b/>
          <w:noProof/>
          <w:lang w:val="de-CH"/>
        </w:rPr>
        <w:t xml:space="preserve"> për grantin e performancës komunale - Komuna Junik</w:t>
      </w:r>
    </w:p>
    <w:p w:rsidR="0069543C" w:rsidRPr="009F2567" w:rsidRDefault="0090313C" w:rsidP="0069543C">
      <w:pPr>
        <w:rPr>
          <w:b/>
        </w:rPr>
      </w:pPr>
      <w:r w:rsidRPr="009F2567">
        <w:rPr>
          <w:b/>
        </w:rPr>
        <w:t xml:space="preserve"> </w:t>
      </w:r>
      <w:r w:rsidR="0069543C" w:rsidRPr="009F2567">
        <w:rPr>
          <w:b/>
        </w:rPr>
        <w:t xml:space="preserve">Vlerësimi i </w:t>
      </w:r>
      <w:r>
        <w:rPr>
          <w:b/>
        </w:rPr>
        <w:t>kushteve minimale për vitin 2024</w:t>
      </w:r>
    </w:p>
    <w:p w:rsidR="0069543C" w:rsidRPr="009F2567" w:rsidRDefault="0090313C" w:rsidP="0069543C">
      <w:pPr>
        <w:jc w:val="both"/>
        <w:rPr>
          <w:rFonts w:asciiTheme="majorHAnsi" w:hAnsiTheme="majorHAnsi" w:cstheme="majorHAnsi"/>
          <w:lang w:val="de-CH"/>
        </w:rPr>
      </w:pPr>
      <w:r>
        <w:rPr>
          <w:noProof/>
          <w:lang w:val="en-GB" w:eastAsia="en-GB"/>
          <w14:ligatures w14:val="standardContextual"/>
        </w:rPr>
        <w:drawing>
          <wp:anchor distT="0" distB="0" distL="114300" distR="114300" simplePos="0" relativeHeight="251832320" behindDoc="0" locked="0" layoutInCell="1" allowOverlap="1" wp14:anchorId="579E776B" wp14:editId="75581BD5">
            <wp:simplePos x="0" y="0"/>
            <wp:positionH relativeFrom="margin">
              <wp:posOffset>2605784</wp:posOffset>
            </wp:positionH>
            <wp:positionV relativeFrom="margin">
              <wp:posOffset>674654</wp:posOffset>
            </wp:positionV>
            <wp:extent cx="3089275" cy="1917065"/>
            <wp:effectExtent l="0" t="0" r="15875" b="6985"/>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Pr>
          <w:rFonts w:asciiTheme="majorHAnsi" w:hAnsiTheme="majorHAnsi" w:cstheme="majorHAnsi"/>
          <w:lang w:val="de-CH"/>
        </w:rPr>
        <w:t xml:space="preserve">Komuna e Junikut nuk </w:t>
      </w:r>
      <w:r w:rsidR="0069543C" w:rsidRPr="009F2567">
        <w:rPr>
          <w:rFonts w:asciiTheme="majorHAnsi" w:hAnsiTheme="majorHAnsi" w:cstheme="majorHAnsi"/>
          <w:lang w:val="de-CH"/>
        </w:rPr>
        <w:t>është kualifikuar për grantin e perf</w:t>
      </w:r>
      <w:r>
        <w:rPr>
          <w:rFonts w:asciiTheme="majorHAnsi" w:hAnsiTheme="majorHAnsi" w:cstheme="majorHAnsi"/>
          <w:lang w:val="de-CH"/>
        </w:rPr>
        <w:t>ormancës komunale për vitin 2024</w:t>
      </w:r>
      <w:r w:rsidR="0069543C" w:rsidRPr="009F2567">
        <w:rPr>
          <w:rFonts w:asciiTheme="majorHAnsi" w:hAnsiTheme="majorHAnsi" w:cstheme="majorHAnsi"/>
          <w:lang w:val="de-CH"/>
        </w:rPr>
        <w:t>.</w:t>
      </w:r>
    </w:p>
    <w:p w:rsidR="0090313C" w:rsidRPr="009F2567" w:rsidRDefault="0090313C" w:rsidP="0090313C">
      <w:pPr>
        <w:jc w:val="both"/>
        <w:rPr>
          <w:rFonts w:asciiTheme="majorHAnsi" w:hAnsiTheme="majorHAnsi" w:cstheme="majorHAnsi"/>
          <w:lang w:val="de-CH"/>
        </w:rPr>
      </w:pPr>
      <w:bookmarkStart w:id="42" w:name="_Hlk114223342"/>
      <w:r w:rsidRPr="009F2567">
        <w:rPr>
          <w:rFonts w:asciiTheme="majorHAnsi" w:hAnsiTheme="majorHAnsi" w:cstheme="majorHAnsi"/>
          <w:lang w:val="de-CH"/>
        </w:rPr>
        <w:t xml:space="preserve">Kushtet minimale numër 3 (opinioni i auditimit duhet të jetë të paktën i pamodifikua me theksim të cështjes) dhe 4 (shkalla e shpenzimit të buxhetit për investime kapitale për vitin 2023 së paku 75%) nuk janë përmbushur. </w:t>
      </w:r>
    </w:p>
    <w:p w:rsidR="0069543C" w:rsidRPr="009F2567" w:rsidRDefault="0069543C" w:rsidP="0069543C">
      <w:pPr>
        <w:jc w:val="both"/>
        <w:rPr>
          <w:rFonts w:asciiTheme="majorHAnsi" w:hAnsiTheme="majorHAnsi" w:cstheme="majorHAnsi"/>
        </w:rPr>
      </w:pPr>
    </w:p>
    <w:bookmarkEnd w:id="42"/>
    <w:p w:rsidR="0069543C" w:rsidRPr="009F2567" w:rsidRDefault="0069543C" w:rsidP="0069543C"/>
    <w:p w:rsidR="0069543C" w:rsidRPr="009F2567" w:rsidRDefault="0069543C" w:rsidP="0069543C"/>
    <w:p w:rsidR="0069543C" w:rsidRPr="009F2567" w:rsidRDefault="0069543C" w:rsidP="0069543C">
      <w:pPr>
        <w:rPr>
          <w:b/>
        </w:rPr>
      </w:pPr>
      <w:r w:rsidRPr="009F2567">
        <w:rPr>
          <w:b/>
        </w:rPr>
        <w:t>Vlerësimi i treguesve të performancës për vitin 202</w:t>
      </w:r>
      <w:r w:rsidR="0090313C">
        <w:rPr>
          <w:b/>
        </w:rPr>
        <w:t>4</w:t>
      </w:r>
    </w:p>
    <w:p w:rsidR="001B2D82" w:rsidRPr="001B2D82" w:rsidRDefault="0090313C" w:rsidP="0069543C">
      <w:pPr>
        <w:jc w:val="both"/>
        <w:rPr>
          <w:rFonts w:asciiTheme="majorHAnsi" w:hAnsiTheme="majorHAnsi" w:cstheme="majorHAnsi"/>
        </w:rPr>
      </w:pPr>
      <w:r>
        <w:rPr>
          <w:noProof/>
          <w:lang w:val="en-GB" w:eastAsia="en-GB"/>
          <w14:ligatures w14:val="standardContextual"/>
        </w:rPr>
        <w:drawing>
          <wp:anchor distT="0" distB="0" distL="114300" distR="114300" simplePos="0" relativeHeight="251833344" behindDoc="0" locked="0" layoutInCell="1" allowOverlap="1" wp14:anchorId="5BD32C26" wp14:editId="4F519488">
            <wp:simplePos x="0" y="0"/>
            <wp:positionH relativeFrom="margin">
              <wp:posOffset>2463165</wp:posOffset>
            </wp:positionH>
            <wp:positionV relativeFrom="margin">
              <wp:posOffset>3957320</wp:posOffset>
            </wp:positionV>
            <wp:extent cx="3327400" cy="2408555"/>
            <wp:effectExtent l="0" t="0" r="6350" b="10795"/>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0069543C" w:rsidRPr="009F2567">
        <w:rPr>
          <w:rFonts w:asciiTheme="majorHAnsi" w:hAnsiTheme="majorHAnsi" w:cstheme="majorHAnsi"/>
        </w:rPr>
        <w:t>Perform</w:t>
      </w:r>
      <w:r>
        <w:rPr>
          <w:rFonts w:asciiTheme="majorHAnsi" w:hAnsiTheme="majorHAnsi" w:cstheme="majorHAnsi"/>
        </w:rPr>
        <w:t>anca mesatare e Komunës së Junikut në 29</w:t>
      </w:r>
      <w:r w:rsidR="0069543C" w:rsidRPr="009F2567">
        <w:rPr>
          <w:rFonts w:asciiTheme="majorHAnsi" w:hAnsiTheme="majorHAnsi" w:cstheme="majorHAnsi"/>
        </w:rPr>
        <w:t xml:space="preserve"> indikatorët e vlerësuar është </w:t>
      </w:r>
      <w:r>
        <w:rPr>
          <w:rFonts w:asciiTheme="majorHAnsi" w:hAnsiTheme="majorHAnsi" w:cstheme="majorHAnsi"/>
        </w:rPr>
        <w:t>52</w:t>
      </w:r>
      <w:r w:rsidR="0069543C" w:rsidRPr="009F2567">
        <w:rPr>
          <w:rFonts w:asciiTheme="majorHAnsi" w:hAnsiTheme="majorHAnsi" w:cstheme="majorHAnsi"/>
        </w:rPr>
        <w:t xml:space="preserve"> pikë nga gjithsej 9</w:t>
      </w:r>
      <w:r>
        <w:rPr>
          <w:rFonts w:asciiTheme="majorHAnsi" w:hAnsiTheme="majorHAnsi" w:cstheme="majorHAnsi"/>
        </w:rPr>
        <w:t>8</w:t>
      </w:r>
      <w:r w:rsidR="0069543C" w:rsidRPr="009F2567">
        <w:rPr>
          <w:rFonts w:asciiTheme="majorHAnsi" w:hAnsiTheme="majorHAnsi" w:cstheme="majorHAnsi"/>
        </w:rPr>
        <w:t xml:space="preserve"> pikë të mundshme (</w:t>
      </w:r>
      <w:r w:rsidR="002627BE">
        <w:rPr>
          <w:rFonts w:asciiTheme="majorHAnsi" w:hAnsiTheme="majorHAnsi" w:cstheme="majorHAnsi"/>
        </w:rPr>
        <w:t>53.06</w:t>
      </w:r>
      <w:r w:rsidR="0069543C" w:rsidRPr="009F2567">
        <w:rPr>
          <w:rFonts w:asciiTheme="majorHAnsi" w:hAnsiTheme="majorHAnsi" w:cstheme="majorHAnsi"/>
        </w:rPr>
        <w:t>%).</w:t>
      </w:r>
      <w:r w:rsidR="0069543C" w:rsidRPr="009F2567">
        <w:rPr>
          <w:noProof/>
        </w:rPr>
        <w:t xml:space="preserve"> </w:t>
      </w:r>
    </w:p>
    <w:p w:rsidR="0069543C" w:rsidRPr="009F2567" w:rsidRDefault="006A4FD7" w:rsidP="0069543C">
      <w:pPr>
        <w:jc w:val="both"/>
        <w:rPr>
          <w:rFonts w:asciiTheme="majorHAnsi" w:hAnsiTheme="majorHAnsi" w:cstheme="majorHAnsi"/>
        </w:rPr>
      </w:pPr>
      <w:r>
        <w:rPr>
          <w:rFonts w:asciiTheme="majorHAnsi" w:hAnsiTheme="majorHAnsi" w:cstheme="majorHAnsi"/>
        </w:rPr>
        <w:t>Performanca mesatare në 13</w:t>
      </w:r>
      <w:r w:rsidR="0069543C" w:rsidRPr="009F2567">
        <w:rPr>
          <w:rFonts w:asciiTheme="majorHAnsi" w:hAnsiTheme="majorHAnsi" w:cstheme="majorHAnsi"/>
        </w:rPr>
        <w:t xml:space="preserve"> treguesit e vlerësuar në kuadër të fushës ‘Qeverisja demokratike’ është </w:t>
      </w:r>
      <w:r w:rsidR="0090313C">
        <w:rPr>
          <w:rFonts w:asciiTheme="majorHAnsi" w:hAnsiTheme="majorHAnsi" w:cstheme="majorHAnsi"/>
        </w:rPr>
        <w:t>28</w:t>
      </w:r>
      <w:r w:rsidR="0069543C" w:rsidRPr="009F2567">
        <w:rPr>
          <w:rFonts w:asciiTheme="majorHAnsi" w:hAnsiTheme="majorHAnsi" w:cstheme="majorHAnsi"/>
        </w:rPr>
        <w:t xml:space="preserve"> pikë nga gjithsej </w:t>
      </w:r>
      <w:r w:rsidR="00600A7F">
        <w:rPr>
          <w:rFonts w:asciiTheme="majorHAnsi" w:hAnsiTheme="majorHAnsi" w:cstheme="majorHAnsi"/>
        </w:rPr>
        <w:t>40</w:t>
      </w:r>
      <w:r w:rsidR="0069543C" w:rsidRPr="009F2567">
        <w:rPr>
          <w:rFonts w:asciiTheme="majorHAnsi" w:hAnsiTheme="majorHAnsi" w:cstheme="majorHAnsi"/>
        </w:rPr>
        <w:t xml:space="preserve"> pikët të mundshme (</w:t>
      </w:r>
      <w:r w:rsidR="0090313C">
        <w:rPr>
          <w:rFonts w:asciiTheme="majorHAnsi" w:hAnsiTheme="majorHAnsi" w:cstheme="majorHAnsi"/>
        </w:rPr>
        <w:t>70.00</w:t>
      </w:r>
      <w:r w:rsidR="0069543C" w:rsidRPr="009F2567">
        <w:rPr>
          <w:rFonts w:asciiTheme="majorHAnsi" w:hAnsiTheme="majorHAnsi" w:cstheme="majorHAnsi"/>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Performanca mesatare në 7 treguesit e vlerësuar në kuadër të fushës ‘Menaxhimi Komunal’ është 1</w:t>
      </w:r>
      <w:r w:rsidR="0090313C">
        <w:rPr>
          <w:rFonts w:asciiTheme="majorHAnsi" w:hAnsiTheme="majorHAnsi" w:cstheme="majorHAnsi"/>
        </w:rPr>
        <w:t>0</w:t>
      </w:r>
      <w:r w:rsidRPr="009F2567">
        <w:rPr>
          <w:rFonts w:asciiTheme="majorHAnsi" w:hAnsiTheme="majorHAnsi" w:cstheme="majorHAnsi"/>
        </w:rPr>
        <w:t xml:space="preserve"> pikë nga gjithsej 2</w:t>
      </w:r>
      <w:r w:rsidR="00600A7F">
        <w:rPr>
          <w:rFonts w:asciiTheme="majorHAnsi" w:hAnsiTheme="majorHAnsi" w:cstheme="majorHAnsi"/>
        </w:rPr>
        <w:t>8</w:t>
      </w:r>
      <w:r w:rsidRPr="009F2567">
        <w:rPr>
          <w:rFonts w:asciiTheme="majorHAnsi" w:hAnsiTheme="majorHAnsi" w:cstheme="majorHAnsi"/>
        </w:rPr>
        <w:t xml:space="preserve"> pikë të mundshme (</w:t>
      </w:r>
      <w:r w:rsidR="0090313C">
        <w:rPr>
          <w:rFonts w:asciiTheme="majorHAnsi" w:hAnsiTheme="majorHAnsi" w:cstheme="majorHAnsi"/>
        </w:rPr>
        <w:t>35.71</w:t>
      </w:r>
      <w:r w:rsidRPr="009F2567">
        <w:rPr>
          <w:rFonts w:asciiTheme="majorHAnsi" w:hAnsiTheme="majorHAnsi" w:cstheme="majorHAnsi"/>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P</w:t>
      </w:r>
      <w:r w:rsidR="006A4FD7">
        <w:rPr>
          <w:rFonts w:asciiTheme="majorHAnsi" w:hAnsiTheme="majorHAnsi" w:cstheme="majorHAnsi"/>
        </w:rPr>
        <w:t>erformanca mesatare në 9</w:t>
      </w:r>
      <w:r w:rsidRPr="009F2567">
        <w:rPr>
          <w:rFonts w:asciiTheme="majorHAnsi" w:hAnsiTheme="majorHAnsi" w:cstheme="majorHAnsi"/>
        </w:rPr>
        <w:t xml:space="preserve"> treguesit e vlerësuar në kuadër të fushës ‘Ofrimi i shërbimeve’ është </w:t>
      </w:r>
      <w:r w:rsidR="0090313C">
        <w:rPr>
          <w:rFonts w:asciiTheme="majorHAnsi" w:hAnsiTheme="majorHAnsi" w:cstheme="majorHAnsi"/>
        </w:rPr>
        <w:t>14</w:t>
      </w:r>
      <w:r w:rsidRPr="009F2567">
        <w:rPr>
          <w:rFonts w:asciiTheme="majorHAnsi" w:hAnsiTheme="majorHAnsi" w:cstheme="majorHAnsi"/>
        </w:rPr>
        <w:t xml:space="preserve"> pikë nga gjithsej </w:t>
      </w:r>
      <w:r w:rsidR="00600A7F">
        <w:rPr>
          <w:rFonts w:asciiTheme="majorHAnsi" w:hAnsiTheme="majorHAnsi" w:cstheme="majorHAnsi"/>
        </w:rPr>
        <w:t>30</w:t>
      </w:r>
      <w:r w:rsidRPr="009F2567">
        <w:rPr>
          <w:rFonts w:asciiTheme="majorHAnsi" w:hAnsiTheme="majorHAnsi" w:cstheme="majorHAnsi"/>
        </w:rPr>
        <w:t xml:space="preserve"> pikë të mundshme (</w:t>
      </w:r>
      <w:r w:rsidR="0090313C">
        <w:rPr>
          <w:rFonts w:asciiTheme="majorHAnsi" w:hAnsiTheme="majorHAnsi" w:cstheme="majorHAnsi"/>
        </w:rPr>
        <w:t>46.67</w:t>
      </w:r>
      <w:r w:rsidRPr="009F2567">
        <w:rPr>
          <w:rFonts w:asciiTheme="majorHAnsi" w:hAnsiTheme="majorHAnsi" w:cstheme="majorHAnsi"/>
        </w:rPr>
        <w:t xml:space="preserve">%). </w:t>
      </w:r>
    </w:p>
    <w:p w:rsidR="0069543C" w:rsidRPr="009F2567" w:rsidRDefault="0069543C" w:rsidP="0069543C">
      <w:pPr>
        <w:jc w:val="both"/>
      </w:pPr>
    </w:p>
    <w:p w:rsidR="0069543C" w:rsidRPr="009F2567" w:rsidRDefault="0069543C" w:rsidP="0069543C"/>
    <w:p w:rsidR="0069543C" w:rsidRPr="009F2567" w:rsidRDefault="0069543C" w:rsidP="0069543C">
      <w:pPr>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asciiTheme="majorHAnsi" w:eastAsiaTheme="majorEastAsia" w:hAnsiTheme="majorHAnsi" w:cs="Calibri Light"/>
          <w:b/>
          <w:noProof/>
          <w:lang w:val="de-CH"/>
        </w:rPr>
      </w:pPr>
      <w:r w:rsidRPr="009F2567">
        <w:rPr>
          <w:rFonts w:asciiTheme="majorHAnsi" w:eastAsiaTheme="majorEastAsia" w:hAnsiTheme="majorHAnsi" w:cs="Calibri Light"/>
          <w:b/>
          <w:noProof/>
          <w:lang w:val="de-CH"/>
        </w:rPr>
        <w:lastRenderedPageBreak/>
        <w:t>Përmbledhje e rezultateve për vitin 202</w:t>
      </w:r>
      <w:r w:rsidR="00875F5F">
        <w:rPr>
          <w:rFonts w:asciiTheme="majorHAnsi" w:eastAsiaTheme="majorEastAsia" w:hAnsiTheme="majorHAnsi" w:cs="Calibri Light"/>
          <w:b/>
          <w:noProof/>
          <w:lang w:val="de-CH"/>
        </w:rPr>
        <w:t>4</w:t>
      </w:r>
      <w:r w:rsidRPr="009F2567">
        <w:rPr>
          <w:rFonts w:asciiTheme="majorHAnsi" w:eastAsiaTheme="majorEastAsia" w:hAnsiTheme="majorHAnsi" w:cs="Calibri Light"/>
          <w:b/>
          <w:noProof/>
          <w:lang w:val="de-CH"/>
        </w:rPr>
        <w:t xml:space="preserve"> për grantin e performancës komunale - Komuna Kaçanik</w:t>
      </w:r>
    </w:p>
    <w:p w:rsidR="0069543C" w:rsidRPr="009F2567" w:rsidRDefault="00875F5F" w:rsidP="0069543C">
      <w:pPr>
        <w:rPr>
          <w:b/>
        </w:rPr>
      </w:pPr>
      <w:r>
        <w:rPr>
          <w:noProof/>
          <w:lang w:val="en-GB" w:eastAsia="en-GB"/>
          <w14:ligatures w14:val="standardContextual"/>
        </w:rPr>
        <w:drawing>
          <wp:anchor distT="0" distB="0" distL="114300" distR="114300" simplePos="0" relativeHeight="251834368" behindDoc="0" locked="0" layoutInCell="1" allowOverlap="1" wp14:anchorId="290FE249" wp14:editId="6168E209">
            <wp:simplePos x="0" y="0"/>
            <wp:positionH relativeFrom="margin">
              <wp:posOffset>2434580</wp:posOffset>
            </wp:positionH>
            <wp:positionV relativeFrom="margin">
              <wp:posOffset>546530</wp:posOffset>
            </wp:positionV>
            <wp:extent cx="3342005" cy="2237740"/>
            <wp:effectExtent l="0" t="0" r="10795" b="1016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0069543C" w:rsidRPr="009F2567">
        <w:rPr>
          <w:b/>
        </w:rPr>
        <w:t xml:space="preserve">Vlerësimi i </w:t>
      </w:r>
      <w:r>
        <w:rPr>
          <w:b/>
        </w:rPr>
        <w:t>kushteve minimale për vitin 2024</w:t>
      </w:r>
    </w:p>
    <w:p w:rsidR="0069543C" w:rsidRPr="00875F5F" w:rsidRDefault="0069543C" w:rsidP="00875F5F">
      <w:pPr>
        <w:jc w:val="both"/>
        <w:rPr>
          <w:rFonts w:asciiTheme="majorHAnsi" w:hAnsiTheme="majorHAnsi" w:cstheme="majorHAnsi"/>
          <w:noProof/>
          <w:lang w:eastAsia="sr-Latn-RS"/>
        </w:rPr>
      </w:pPr>
      <w:r w:rsidRPr="009F2567">
        <w:rPr>
          <w:rFonts w:asciiTheme="majorHAnsi" w:hAnsiTheme="majorHAnsi" w:cstheme="majorHAnsi"/>
          <w:lang w:val="de-CH"/>
        </w:rPr>
        <w:t>Komuna e Kaçanikut</w:t>
      </w:r>
      <w:r w:rsidR="00941E17" w:rsidRPr="009F2567">
        <w:rPr>
          <w:rFonts w:asciiTheme="majorHAnsi" w:hAnsiTheme="majorHAnsi" w:cstheme="majorHAnsi"/>
          <w:lang w:val="de-CH"/>
        </w:rPr>
        <w:t xml:space="preserve"> </w:t>
      </w:r>
      <w:r w:rsidR="00875F5F">
        <w:rPr>
          <w:rFonts w:asciiTheme="majorHAnsi" w:hAnsiTheme="majorHAnsi" w:cstheme="majorHAnsi"/>
          <w:lang w:val="de-CH"/>
        </w:rPr>
        <w:t>nuk është kualifikuar</w:t>
      </w:r>
      <w:r w:rsidRPr="009F2567">
        <w:rPr>
          <w:rFonts w:asciiTheme="majorHAnsi" w:hAnsiTheme="majorHAnsi" w:cstheme="majorHAnsi"/>
          <w:lang w:val="de-CH"/>
        </w:rPr>
        <w:t xml:space="preserve"> për grantin e perfor</w:t>
      </w:r>
      <w:r w:rsidR="00875F5F">
        <w:rPr>
          <w:rFonts w:asciiTheme="majorHAnsi" w:hAnsiTheme="majorHAnsi" w:cstheme="majorHAnsi"/>
          <w:lang w:val="de-CH"/>
        </w:rPr>
        <w:t>mancës komunale për vitin 2024</w:t>
      </w:r>
      <w:r w:rsidRPr="009F2567">
        <w:rPr>
          <w:rFonts w:asciiTheme="majorHAnsi" w:hAnsiTheme="majorHAnsi" w:cstheme="majorHAnsi"/>
          <w:lang w:val="de-CH"/>
        </w:rPr>
        <w:t xml:space="preserve">. </w:t>
      </w:r>
      <w:bookmarkStart w:id="43" w:name="_Hlk114228580"/>
      <w:r w:rsidR="00875F5F">
        <w:rPr>
          <w:rFonts w:asciiTheme="majorHAnsi" w:hAnsiTheme="majorHAnsi" w:cstheme="majorHAnsi"/>
          <w:noProof/>
          <w:lang w:eastAsia="sr-Latn-RS"/>
        </w:rPr>
        <w:t xml:space="preserve"> </w:t>
      </w:r>
    </w:p>
    <w:bookmarkEnd w:id="43"/>
    <w:p w:rsidR="0069543C" w:rsidRPr="009F2567" w:rsidRDefault="00875F5F" w:rsidP="0069543C">
      <w:r w:rsidRPr="007904AB">
        <w:rPr>
          <w:rFonts w:asciiTheme="majorHAnsi" w:hAnsiTheme="majorHAnsi" w:cstheme="majorHAnsi"/>
          <w:lang w:val="de-CH"/>
        </w:rPr>
        <w:t>Kushtet minimal numër 2 (komunat duhet të kenë respektuar obligimin ligjor për t’i rishqyrtuar aktet komunale të vlerësuara si të kundërligjshme nga autoriteti mbikëqyrës)</w:t>
      </w:r>
      <w:r>
        <w:rPr>
          <w:rFonts w:asciiTheme="majorHAnsi" w:hAnsiTheme="majorHAnsi" w:cstheme="majorHAnsi"/>
          <w:lang w:val="de-CH"/>
        </w:rPr>
        <w:t xml:space="preserve"> dhe</w:t>
      </w:r>
      <w:r w:rsidRPr="009F2567">
        <w:rPr>
          <w:rFonts w:asciiTheme="majorHAnsi" w:hAnsiTheme="majorHAnsi" w:cstheme="majorHAnsi"/>
          <w:lang w:val="de-CH"/>
        </w:rPr>
        <w:t xml:space="preserve"> numër 3 (opinioni i auditimit duhet të jetë të paktën i pamodifikua me theksim të çështjes) nuk </w:t>
      </w:r>
      <w:r>
        <w:rPr>
          <w:rFonts w:asciiTheme="majorHAnsi" w:hAnsiTheme="majorHAnsi" w:cstheme="majorHAnsi"/>
          <w:lang w:val="de-CH"/>
        </w:rPr>
        <w:t>jan</w:t>
      </w:r>
      <w:r w:rsidRPr="009F2567">
        <w:rPr>
          <w:rFonts w:asciiTheme="majorHAnsi" w:hAnsiTheme="majorHAnsi" w:cstheme="majorHAnsi"/>
          <w:lang w:val="de-CH"/>
        </w:rPr>
        <w:t>ë përmbushur</w:t>
      </w:r>
      <w:r>
        <w:rPr>
          <w:rFonts w:asciiTheme="majorHAnsi" w:hAnsiTheme="majorHAnsi" w:cstheme="majorHAnsi"/>
          <w:lang w:val="de-CH"/>
        </w:rPr>
        <w:t>.</w:t>
      </w:r>
    </w:p>
    <w:p w:rsidR="0069543C" w:rsidRPr="009F2567" w:rsidRDefault="0069543C" w:rsidP="0069543C"/>
    <w:p w:rsidR="0069543C" w:rsidRPr="009F2567" w:rsidRDefault="0069543C" w:rsidP="0069543C">
      <w:pPr>
        <w:rPr>
          <w:b/>
        </w:rPr>
      </w:pPr>
    </w:p>
    <w:p w:rsidR="0069543C" w:rsidRPr="009F2567" w:rsidRDefault="0069543C" w:rsidP="0069543C">
      <w:pPr>
        <w:rPr>
          <w:b/>
        </w:rPr>
      </w:pPr>
      <w:r w:rsidRPr="009F2567">
        <w:rPr>
          <w:b/>
        </w:rPr>
        <w:t>Vlerësimi i treguesve të performancës për vitin 202</w:t>
      </w:r>
      <w:r w:rsidR="00875F5F">
        <w:rPr>
          <w:b/>
        </w:rPr>
        <w:t>4</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Performanca mesatare e Komunës së Kaçanikut në 2</w:t>
      </w:r>
      <w:r w:rsidR="00875F5F">
        <w:rPr>
          <w:rFonts w:asciiTheme="majorHAnsi" w:hAnsiTheme="majorHAnsi" w:cstheme="majorHAnsi"/>
        </w:rPr>
        <w:t>9</w:t>
      </w:r>
      <w:r w:rsidRPr="009F2567">
        <w:rPr>
          <w:rFonts w:asciiTheme="majorHAnsi" w:hAnsiTheme="majorHAnsi" w:cstheme="majorHAnsi"/>
        </w:rPr>
        <w:t xml:space="preserve"> indikatorët e vlerësuar është </w:t>
      </w:r>
      <w:r w:rsidR="002627BE">
        <w:rPr>
          <w:rFonts w:asciiTheme="majorHAnsi" w:hAnsiTheme="majorHAnsi" w:cstheme="majorHAnsi"/>
        </w:rPr>
        <w:t>39</w:t>
      </w:r>
      <w:r w:rsidRPr="009F2567">
        <w:rPr>
          <w:rFonts w:asciiTheme="majorHAnsi" w:hAnsiTheme="majorHAnsi" w:cstheme="majorHAnsi"/>
        </w:rPr>
        <w:t xml:space="preserve"> pikë nga gjithsej 9</w:t>
      </w:r>
      <w:r w:rsidR="00875F5F">
        <w:rPr>
          <w:rFonts w:asciiTheme="majorHAnsi" w:hAnsiTheme="majorHAnsi" w:cstheme="majorHAnsi"/>
        </w:rPr>
        <w:t>8</w:t>
      </w:r>
      <w:r w:rsidRPr="009F2567">
        <w:rPr>
          <w:rFonts w:asciiTheme="majorHAnsi" w:hAnsiTheme="majorHAnsi" w:cstheme="majorHAnsi"/>
        </w:rPr>
        <w:t xml:space="preserve"> pikë të mundshme (</w:t>
      </w:r>
      <w:r w:rsidR="00875F5F">
        <w:rPr>
          <w:rFonts w:asciiTheme="majorHAnsi" w:hAnsiTheme="majorHAnsi" w:cstheme="majorHAnsi"/>
        </w:rPr>
        <w:t>39.80</w:t>
      </w:r>
      <w:r w:rsidRPr="009F2567">
        <w:rPr>
          <w:rFonts w:asciiTheme="majorHAnsi" w:hAnsiTheme="majorHAnsi" w:cstheme="majorHAnsi"/>
        </w:rPr>
        <w:t>%).</w:t>
      </w:r>
      <w:r w:rsidRPr="009F2567">
        <w:rPr>
          <w:rFonts w:asciiTheme="majorHAnsi" w:hAnsiTheme="majorHAnsi"/>
          <w:noProof/>
        </w:rPr>
        <w:t xml:space="preserve"> </w:t>
      </w:r>
    </w:p>
    <w:p w:rsidR="0069543C" w:rsidRPr="009F2567" w:rsidRDefault="00875F5F" w:rsidP="0069543C">
      <w:pPr>
        <w:jc w:val="both"/>
        <w:rPr>
          <w:rFonts w:asciiTheme="majorHAnsi" w:hAnsiTheme="majorHAnsi" w:cstheme="majorHAnsi"/>
        </w:rPr>
      </w:pPr>
      <w:r>
        <w:rPr>
          <w:noProof/>
          <w:lang w:val="en-GB" w:eastAsia="en-GB"/>
          <w14:ligatures w14:val="standardContextual"/>
        </w:rPr>
        <w:drawing>
          <wp:anchor distT="0" distB="0" distL="114300" distR="114300" simplePos="0" relativeHeight="251835392" behindDoc="0" locked="0" layoutInCell="1" allowOverlap="1" wp14:anchorId="02286239" wp14:editId="624CD09D">
            <wp:simplePos x="0" y="0"/>
            <wp:positionH relativeFrom="margin">
              <wp:align>right</wp:align>
            </wp:positionH>
            <wp:positionV relativeFrom="margin">
              <wp:posOffset>4135120</wp:posOffset>
            </wp:positionV>
            <wp:extent cx="3505835" cy="2743200"/>
            <wp:effectExtent l="0" t="0" r="18415" b="0"/>
            <wp:wrapSquare wrapText="bothSides"/>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anchor>
        </w:drawing>
      </w:r>
      <w:r w:rsidR="006A4FD7">
        <w:rPr>
          <w:rFonts w:asciiTheme="majorHAnsi" w:hAnsiTheme="majorHAnsi" w:cstheme="majorHAnsi"/>
        </w:rPr>
        <w:t>Performanca mesatare në 13</w:t>
      </w:r>
      <w:r w:rsidR="0069543C" w:rsidRPr="009F2567">
        <w:rPr>
          <w:rFonts w:asciiTheme="majorHAnsi" w:hAnsiTheme="majorHAnsi" w:cstheme="majorHAnsi"/>
        </w:rPr>
        <w:t xml:space="preserve"> treguesit e vlerësuar në kuadër të fushës ‘Qeverisja demokratike’ është 2</w:t>
      </w:r>
      <w:r w:rsidR="002627BE">
        <w:rPr>
          <w:rFonts w:asciiTheme="majorHAnsi" w:hAnsiTheme="majorHAnsi" w:cstheme="majorHAnsi"/>
        </w:rPr>
        <w:t>4</w:t>
      </w:r>
      <w:r w:rsidR="0069543C" w:rsidRPr="009F2567">
        <w:rPr>
          <w:rFonts w:asciiTheme="majorHAnsi" w:hAnsiTheme="majorHAnsi" w:cstheme="majorHAnsi"/>
        </w:rPr>
        <w:t xml:space="preserve"> pikë nga gjithsej </w:t>
      </w:r>
      <w:r w:rsidR="00600A7F">
        <w:rPr>
          <w:rFonts w:asciiTheme="majorHAnsi" w:hAnsiTheme="majorHAnsi" w:cstheme="majorHAnsi"/>
        </w:rPr>
        <w:t>40</w:t>
      </w:r>
      <w:r w:rsidR="0069543C" w:rsidRPr="009F2567">
        <w:rPr>
          <w:rFonts w:asciiTheme="majorHAnsi" w:hAnsiTheme="majorHAnsi" w:cstheme="majorHAnsi"/>
        </w:rPr>
        <w:t xml:space="preserve"> pikët të mundshme (</w:t>
      </w:r>
      <w:r>
        <w:rPr>
          <w:rFonts w:asciiTheme="majorHAnsi" w:hAnsiTheme="majorHAnsi" w:cstheme="majorHAnsi"/>
        </w:rPr>
        <w:t>60.00</w:t>
      </w:r>
      <w:r w:rsidR="0069543C" w:rsidRPr="009F2567">
        <w:rPr>
          <w:rFonts w:asciiTheme="majorHAnsi" w:hAnsiTheme="majorHAnsi" w:cstheme="majorHAnsi"/>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w:t>
      </w:r>
      <w:r w:rsidR="006A4FD7">
        <w:rPr>
          <w:rFonts w:asciiTheme="majorHAnsi" w:hAnsiTheme="majorHAnsi" w:cstheme="majorHAnsi"/>
        </w:rPr>
        <w:t>7</w:t>
      </w:r>
      <w:r w:rsidRPr="009F2567">
        <w:rPr>
          <w:rFonts w:asciiTheme="majorHAnsi" w:hAnsiTheme="majorHAnsi" w:cstheme="majorHAnsi"/>
        </w:rPr>
        <w:t xml:space="preserve"> treguesit e vlerësuar në kuadër të fushës ‘Menaxhimi Komunal’ është </w:t>
      </w:r>
      <w:r w:rsidR="002627BE">
        <w:rPr>
          <w:rFonts w:asciiTheme="majorHAnsi" w:hAnsiTheme="majorHAnsi" w:cstheme="majorHAnsi"/>
        </w:rPr>
        <w:t>8</w:t>
      </w:r>
      <w:r w:rsidRPr="009F2567">
        <w:rPr>
          <w:rFonts w:asciiTheme="majorHAnsi" w:hAnsiTheme="majorHAnsi" w:cstheme="majorHAnsi"/>
        </w:rPr>
        <w:t xml:space="preserve"> pikë nga gjithsej 2</w:t>
      </w:r>
      <w:r w:rsidR="00600A7F">
        <w:rPr>
          <w:rFonts w:asciiTheme="majorHAnsi" w:hAnsiTheme="majorHAnsi" w:cstheme="majorHAnsi"/>
        </w:rPr>
        <w:t>8</w:t>
      </w:r>
      <w:r w:rsidRPr="009F2567">
        <w:rPr>
          <w:rFonts w:asciiTheme="majorHAnsi" w:hAnsiTheme="majorHAnsi" w:cstheme="majorHAnsi"/>
        </w:rPr>
        <w:t xml:space="preserve"> pikë të mundshme (</w:t>
      </w:r>
      <w:r w:rsidR="00875F5F">
        <w:rPr>
          <w:rFonts w:asciiTheme="majorHAnsi" w:hAnsiTheme="majorHAnsi" w:cstheme="majorHAnsi"/>
        </w:rPr>
        <w:t>28.57</w:t>
      </w:r>
      <w:r w:rsidRPr="009F2567">
        <w:rPr>
          <w:rFonts w:asciiTheme="majorHAnsi" w:hAnsiTheme="majorHAnsi" w:cstheme="majorHAnsi"/>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w:t>
      </w:r>
      <w:r w:rsidR="00875F5F">
        <w:rPr>
          <w:rFonts w:asciiTheme="majorHAnsi" w:hAnsiTheme="majorHAnsi" w:cstheme="majorHAnsi"/>
        </w:rPr>
        <w:t>9</w:t>
      </w:r>
      <w:r w:rsidRPr="009F2567">
        <w:rPr>
          <w:rFonts w:asciiTheme="majorHAnsi" w:hAnsiTheme="majorHAnsi" w:cstheme="majorHAnsi"/>
        </w:rPr>
        <w:t xml:space="preserve"> treguesit e vlerësuar në kuadër të fushës ‘Ofrimi i shërbimeve’ është </w:t>
      </w:r>
      <w:r w:rsidR="002627BE">
        <w:rPr>
          <w:rFonts w:asciiTheme="majorHAnsi" w:hAnsiTheme="majorHAnsi" w:cstheme="majorHAnsi"/>
        </w:rPr>
        <w:t>7</w:t>
      </w:r>
      <w:r w:rsidRPr="009F2567">
        <w:rPr>
          <w:rFonts w:asciiTheme="majorHAnsi" w:hAnsiTheme="majorHAnsi" w:cstheme="majorHAnsi"/>
        </w:rPr>
        <w:t xml:space="preserve"> pikë nga gjithsej </w:t>
      </w:r>
      <w:r w:rsidR="00600A7F">
        <w:rPr>
          <w:rFonts w:asciiTheme="majorHAnsi" w:hAnsiTheme="majorHAnsi" w:cstheme="majorHAnsi"/>
        </w:rPr>
        <w:t>30</w:t>
      </w:r>
      <w:r w:rsidRPr="009F2567">
        <w:rPr>
          <w:rFonts w:asciiTheme="majorHAnsi" w:hAnsiTheme="majorHAnsi" w:cstheme="majorHAnsi"/>
        </w:rPr>
        <w:t xml:space="preserve"> pikë të mundshme (</w:t>
      </w:r>
      <w:r w:rsidR="00875F5F">
        <w:rPr>
          <w:rFonts w:asciiTheme="majorHAnsi" w:hAnsiTheme="majorHAnsi" w:cstheme="majorHAnsi"/>
        </w:rPr>
        <w:t>23.33</w:t>
      </w:r>
      <w:r w:rsidRPr="009F2567">
        <w:rPr>
          <w:rFonts w:asciiTheme="majorHAnsi" w:hAnsiTheme="majorHAnsi" w:cstheme="majorHAnsi"/>
        </w:rPr>
        <w:t xml:space="preserve">%). </w:t>
      </w:r>
    </w:p>
    <w:p w:rsidR="0069543C" w:rsidRPr="009F2567" w:rsidRDefault="0069543C" w:rsidP="0069543C">
      <w:pPr>
        <w:jc w:val="both"/>
      </w:pPr>
    </w:p>
    <w:p w:rsidR="0069543C" w:rsidRPr="009F2567" w:rsidRDefault="0069543C" w:rsidP="0069543C">
      <w:pPr>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asciiTheme="majorHAnsi" w:hAnsiTheme="majorHAnsi" w:cs="Calibri Light"/>
        </w:rPr>
      </w:pPr>
      <w:r w:rsidRPr="009F2567">
        <w:rPr>
          <w:rFonts w:asciiTheme="majorHAnsi" w:eastAsiaTheme="majorEastAsia" w:hAnsiTheme="majorHAnsi" w:cs="Calibri Light"/>
          <w:b/>
          <w:noProof/>
          <w:lang w:val="de-CH"/>
        </w:rPr>
        <w:lastRenderedPageBreak/>
        <w:t>Përmbledhje e rezultateve për vitin 202</w:t>
      </w:r>
      <w:r w:rsidR="002627BE">
        <w:rPr>
          <w:rFonts w:asciiTheme="majorHAnsi" w:eastAsiaTheme="majorEastAsia" w:hAnsiTheme="majorHAnsi" w:cs="Calibri Light"/>
          <w:b/>
          <w:noProof/>
          <w:lang w:val="de-CH"/>
        </w:rPr>
        <w:t>4</w:t>
      </w:r>
      <w:r w:rsidRPr="009F2567">
        <w:rPr>
          <w:rFonts w:asciiTheme="majorHAnsi" w:eastAsiaTheme="majorEastAsia" w:hAnsiTheme="majorHAnsi" w:cs="Calibri Light"/>
          <w:b/>
          <w:noProof/>
          <w:lang w:val="de-CH"/>
        </w:rPr>
        <w:t xml:space="preserve"> për grantin e performancës komunale - Komuna Kamenicë</w:t>
      </w:r>
    </w:p>
    <w:p w:rsidR="0069543C" w:rsidRPr="009F2567" w:rsidRDefault="0069543C" w:rsidP="0069543C">
      <w:pPr>
        <w:rPr>
          <w:b/>
        </w:rPr>
      </w:pPr>
      <w:r w:rsidRPr="009F2567">
        <w:rPr>
          <w:b/>
        </w:rPr>
        <w:t>Vlerësimi i kushteve minimale për vitin 202</w:t>
      </w:r>
      <w:r w:rsidR="002627BE">
        <w:rPr>
          <w:b/>
        </w:rPr>
        <w:t>4</w:t>
      </w:r>
    </w:p>
    <w:p w:rsidR="0069543C" w:rsidRPr="009F2567" w:rsidRDefault="00476B0C" w:rsidP="0069543C">
      <w:pPr>
        <w:jc w:val="both"/>
        <w:rPr>
          <w:rFonts w:asciiTheme="majorHAnsi" w:hAnsiTheme="majorHAnsi" w:cstheme="majorHAnsi"/>
        </w:rPr>
      </w:pPr>
      <w:r>
        <w:rPr>
          <w:noProof/>
          <w:lang w:val="en-GB" w:eastAsia="en-GB"/>
          <w14:ligatures w14:val="standardContextual"/>
        </w:rPr>
        <w:drawing>
          <wp:anchor distT="0" distB="0" distL="114300" distR="114300" simplePos="0" relativeHeight="251836416" behindDoc="0" locked="0" layoutInCell="1" allowOverlap="1" wp14:anchorId="169F1A43" wp14:editId="70BF2A6B">
            <wp:simplePos x="0" y="0"/>
            <wp:positionH relativeFrom="margin">
              <wp:posOffset>2487910</wp:posOffset>
            </wp:positionH>
            <wp:positionV relativeFrom="margin">
              <wp:posOffset>796065</wp:posOffset>
            </wp:positionV>
            <wp:extent cx="3193415" cy="1937385"/>
            <wp:effectExtent l="0" t="0" r="6985" b="5715"/>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0069543C" w:rsidRPr="009F2567">
        <w:rPr>
          <w:rFonts w:asciiTheme="majorHAnsi" w:hAnsiTheme="majorHAnsi" w:cstheme="majorHAnsi"/>
        </w:rPr>
        <w:t>Komuna e Kamenicës nuk është kualifikuar për grantin e perf</w:t>
      </w:r>
      <w:r w:rsidR="002627BE">
        <w:rPr>
          <w:rFonts w:asciiTheme="majorHAnsi" w:hAnsiTheme="majorHAnsi" w:cstheme="majorHAnsi"/>
        </w:rPr>
        <w:t>ormancës komunale për vitin 2024</w:t>
      </w:r>
      <w:r w:rsidR="0069543C" w:rsidRPr="009F2567">
        <w:rPr>
          <w:rFonts w:asciiTheme="majorHAnsi" w:hAnsiTheme="majorHAnsi" w:cstheme="majorHAnsi"/>
        </w:rPr>
        <w:t xml:space="preserve">. </w:t>
      </w:r>
    </w:p>
    <w:p w:rsidR="002627BE" w:rsidRPr="009F2567" w:rsidRDefault="002627BE" w:rsidP="002627BE">
      <w:pPr>
        <w:jc w:val="both"/>
        <w:rPr>
          <w:rFonts w:asciiTheme="majorHAnsi" w:hAnsiTheme="majorHAnsi" w:cstheme="majorHAnsi"/>
          <w:lang w:val="de-CH"/>
        </w:rPr>
      </w:pPr>
      <w:r>
        <w:rPr>
          <w:rFonts w:asciiTheme="majorHAnsi" w:hAnsiTheme="majorHAnsi" w:cstheme="majorHAnsi"/>
          <w:lang w:val="de-CH"/>
        </w:rPr>
        <w:t>Kushti</w:t>
      </w:r>
      <w:r w:rsidRPr="009F2567">
        <w:rPr>
          <w:rFonts w:asciiTheme="majorHAnsi" w:hAnsiTheme="majorHAnsi" w:cstheme="majorHAnsi"/>
          <w:lang w:val="de-CH"/>
        </w:rPr>
        <w:t xml:space="preserve"> minimal</w:t>
      </w:r>
      <w:r>
        <w:rPr>
          <w:rFonts w:asciiTheme="majorHAnsi" w:hAnsiTheme="majorHAnsi" w:cstheme="majorHAnsi"/>
          <w:lang w:val="de-CH"/>
        </w:rPr>
        <w:t xml:space="preserve"> numër 4</w:t>
      </w:r>
      <w:r w:rsidRPr="009F2567">
        <w:rPr>
          <w:rFonts w:asciiTheme="majorHAnsi" w:hAnsiTheme="majorHAnsi" w:cstheme="majorHAnsi"/>
          <w:lang w:val="de-CH"/>
        </w:rPr>
        <w:t xml:space="preserve"> </w:t>
      </w:r>
      <w:r>
        <w:rPr>
          <w:rFonts w:asciiTheme="majorHAnsi" w:hAnsiTheme="majorHAnsi" w:cstheme="majorHAnsi"/>
          <w:lang w:val="de-CH"/>
        </w:rPr>
        <w:t>sh</w:t>
      </w:r>
      <w:r w:rsidRPr="009F2567">
        <w:rPr>
          <w:rFonts w:asciiTheme="majorHAnsi" w:hAnsiTheme="majorHAnsi" w:cstheme="majorHAnsi"/>
          <w:lang w:val="de-CH"/>
        </w:rPr>
        <w:t>kalla e shpenzimit të buxhetit për i</w:t>
      </w:r>
      <w:r>
        <w:rPr>
          <w:rFonts w:asciiTheme="majorHAnsi" w:hAnsiTheme="majorHAnsi" w:cstheme="majorHAnsi"/>
          <w:lang w:val="de-CH"/>
        </w:rPr>
        <w:t>nvestime kapitale për vitin 2024</w:t>
      </w:r>
      <w:r w:rsidRPr="009F2567">
        <w:rPr>
          <w:rFonts w:asciiTheme="majorHAnsi" w:hAnsiTheme="majorHAnsi" w:cstheme="majorHAnsi"/>
          <w:lang w:val="de-CH"/>
        </w:rPr>
        <w:t xml:space="preserve"> së paku 75%) nuk </w:t>
      </w:r>
      <w:r>
        <w:rPr>
          <w:rFonts w:asciiTheme="majorHAnsi" w:hAnsiTheme="majorHAnsi" w:cstheme="majorHAnsi"/>
          <w:lang w:val="de-CH"/>
        </w:rPr>
        <w:t xml:space="preserve">ëshë </w:t>
      </w:r>
      <w:r w:rsidRPr="009F2567">
        <w:rPr>
          <w:rFonts w:asciiTheme="majorHAnsi" w:hAnsiTheme="majorHAnsi" w:cstheme="majorHAnsi"/>
          <w:lang w:val="de-CH"/>
        </w:rPr>
        <w:t xml:space="preserve">përmbushur. </w:t>
      </w:r>
    </w:p>
    <w:p w:rsidR="0069543C" w:rsidRPr="009F2567" w:rsidRDefault="0069543C" w:rsidP="0069543C">
      <w:pPr>
        <w:tabs>
          <w:tab w:val="left" w:pos="1190"/>
        </w:tabs>
      </w:pPr>
      <w:r w:rsidRPr="009F2567">
        <w:rPr>
          <w:b/>
        </w:rPr>
        <w:tab/>
      </w:r>
    </w:p>
    <w:p w:rsidR="0069543C" w:rsidRPr="009F2567" w:rsidRDefault="0069543C" w:rsidP="0069543C">
      <w:pPr>
        <w:tabs>
          <w:tab w:val="left" w:pos="1190"/>
        </w:tabs>
        <w:rPr>
          <w:b/>
        </w:rPr>
      </w:pPr>
      <w:r w:rsidRPr="009F2567">
        <w:rPr>
          <w:b/>
        </w:rPr>
        <w:tab/>
      </w:r>
    </w:p>
    <w:p w:rsidR="0069543C" w:rsidRPr="009F2567" w:rsidRDefault="0069543C" w:rsidP="0069543C">
      <w:pPr>
        <w:tabs>
          <w:tab w:val="left" w:pos="1190"/>
        </w:tabs>
        <w:rPr>
          <w:b/>
        </w:rPr>
      </w:pPr>
    </w:p>
    <w:p w:rsidR="0069543C" w:rsidRPr="009F2567" w:rsidRDefault="0069543C" w:rsidP="0069543C">
      <w:pPr>
        <w:tabs>
          <w:tab w:val="left" w:pos="1190"/>
        </w:tabs>
        <w:rPr>
          <w:b/>
        </w:rPr>
      </w:pPr>
    </w:p>
    <w:p w:rsidR="0069543C" w:rsidRPr="009F2567" w:rsidRDefault="0069543C" w:rsidP="0069543C">
      <w:pPr>
        <w:rPr>
          <w:b/>
        </w:rPr>
      </w:pPr>
      <w:r w:rsidRPr="009F2567">
        <w:rPr>
          <w:b/>
        </w:rPr>
        <w:t>Vlerësimi i treguesv</w:t>
      </w:r>
      <w:r w:rsidR="002627BE">
        <w:rPr>
          <w:b/>
        </w:rPr>
        <w:t>e të performancës për vitin 2024</w:t>
      </w:r>
    </w:p>
    <w:p w:rsidR="0069543C" w:rsidRPr="009F2567" w:rsidRDefault="002627BE" w:rsidP="0069543C">
      <w:pPr>
        <w:jc w:val="both"/>
        <w:rPr>
          <w:rFonts w:asciiTheme="majorHAnsi" w:hAnsiTheme="majorHAnsi" w:cstheme="majorHAnsi"/>
        </w:rPr>
      </w:pPr>
      <w:r>
        <w:rPr>
          <w:noProof/>
          <w:lang w:val="en-GB" w:eastAsia="en-GB"/>
          <w14:ligatures w14:val="standardContextual"/>
        </w:rPr>
        <w:drawing>
          <wp:anchor distT="0" distB="0" distL="114300" distR="114300" simplePos="0" relativeHeight="251837440" behindDoc="0" locked="0" layoutInCell="1" allowOverlap="1" wp14:anchorId="665FB646" wp14:editId="00E08169">
            <wp:simplePos x="0" y="0"/>
            <wp:positionH relativeFrom="margin">
              <wp:align>right</wp:align>
            </wp:positionH>
            <wp:positionV relativeFrom="margin">
              <wp:posOffset>4127983</wp:posOffset>
            </wp:positionV>
            <wp:extent cx="3430905" cy="2722245"/>
            <wp:effectExtent l="0" t="0" r="17145" b="1905"/>
            <wp:wrapSquare wrapText="bothSides"/>
            <wp:docPr id="1708941600" name="Chart 17089416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0069543C" w:rsidRPr="009F2567">
        <w:rPr>
          <w:rFonts w:asciiTheme="majorHAnsi" w:hAnsiTheme="majorHAnsi" w:cstheme="majorHAnsi"/>
        </w:rPr>
        <w:t>Performanca mesatare e Komunës së Kamenicës në 2</w:t>
      </w:r>
      <w:r w:rsidR="00152E0A">
        <w:rPr>
          <w:rFonts w:asciiTheme="majorHAnsi" w:hAnsiTheme="majorHAnsi" w:cstheme="majorHAnsi"/>
        </w:rPr>
        <w:t>9</w:t>
      </w:r>
      <w:r w:rsidR="0069543C" w:rsidRPr="009F2567">
        <w:rPr>
          <w:rFonts w:asciiTheme="majorHAnsi" w:hAnsiTheme="majorHAnsi" w:cstheme="majorHAnsi"/>
        </w:rPr>
        <w:t xml:space="preserve"> indikatorët e vlerësuar është </w:t>
      </w:r>
      <w:r w:rsidR="00152E0A">
        <w:rPr>
          <w:rFonts w:asciiTheme="majorHAnsi" w:hAnsiTheme="majorHAnsi" w:cstheme="majorHAnsi"/>
        </w:rPr>
        <w:t>32</w:t>
      </w:r>
      <w:r w:rsidR="0069543C" w:rsidRPr="009F2567">
        <w:rPr>
          <w:rFonts w:asciiTheme="majorHAnsi" w:hAnsiTheme="majorHAnsi" w:cstheme="majorHAnsi"/>
        </w:rPr>
        <w:t xml:space="preserve"> pikë nga gjithsej 9</w:t>
      </w:r>
      <w:r w:rsidR="00152E0A">
        <w:rPr>
          <w:rFonts w:asciiTheme="majorHAnsi" w:hAnsiTheme="majorHAnsi" w:cstheme="majorHAnsi"/>
        </w:rPr>
        <w:t>8</w:t>
      </w:r>
      <w:r w:rsidR="0069543C" w:rsidRPr="009F2567">
        <w:rPr>
          <w:rFonts w:asciiTheme="majorHAnsi" w:hAnsiTheme="majorHAnsi" w:cstheme="majorHAnsi"/>
        </w:rPr>
        <w:t xml:space="preserve"> pikë të mundshme (</w:t>
      </w:r>
      <w:r w:rsidR="00152E0A">
        <w:rPr>
          <w:rFonts w:asciiTheme="majorHAnsi" w:hAnsiTheme="majorHAnsi" w:cstheme="majorHAnsi"/>
        </w:rPr>
        <w:t>32.65</w:t>
      </w:r>
      <w:r w:rsidR="0069543C" w:rsidRPr="009F2567">
        <w:rPr>
          <w:rFonts w:asciiTheme="majorHAnsi" w:hAnsiTheme="majorHAnsi" w:cstheme="majorHAnsi"/>
        </w:rPr>
        <w:t>%).</w:t>
      </w:r>
      <w:r w:rsidR="0069543C" w:rsidRPr="009F2567">
        <w:rPr>
          <w:noProof/>
        </w:rPr>
        <w:t xml:space="preserve"> </w:t>
      </w:r>
    </w:p>
    <w:p w:rsidR="0069543C" w:rsidRPr="009F2567" w:rsidRDefault="006A4FD7" w:rsidP="0069543C">
      <w:pPr>
        <w:jc w:val="both"/>
        <w:rPr>
          <w:rFonts w:asciiTheme="majorHAnsi" w:hAnsiTheme="majorHAnsi" w:cstheme="majorHAnsi"/>
        </w:rPr>
      </w:pPr>
      <w:r>
        <w:rPr>
          <w:rFonts w:asciiTheme="majorHAnsi" w:hAnsiTheme="majorHAnsi" w:cstheme="majorHAnsi"/>
        </w:rPr>
        <w:t>Performanca mesatare në 13</w:t>
      </w:r>
      <w:r w:rsidR="0069543C" w:rsidRPr="009F2567">
        <w:rPr>
          <w:rFonts w:asciiTheme="majorHAnsi" w:hAnsiTheme="majorHAnsi" w:cstheme="majorHAnsi"/>
        </w:rPr>
        <w:t xml:space="preserve"> treguesit e vlerësuar në kuadër të fushës ‘Qeverisja demokratike’ është </w:t>
      </w:r>
      <w:r w:rsidR="00152E0A">
        <w:rPr>
          <w:rFonts w:asciiTheme="majorHAnsi" w:hAnsiTheme="majorHAnsi" w:cstheme="majorHAnsi"/>
        </w:rPr>
        <w:t>14</w:t>
      </w:r>
      <w:r w:rsidR="0069543C" w:rsidRPr="009F2567">
        <w:rPr>
          <w:rFonts w:asciiTheme="majorHAnsi" w:hAnsiTheme="majorHAnsi" w:cstheme="majorHAnsi"/>
        </w:rPr>
        <w:t xml:space="preserve"> pikë nga gjithsej </w:t>
      </w:r>
      <w:r w:rsidR="00600A7F">
        <w:rPr>
          <w:rFonts w:asciiTheme="majorHAnsi" w:hAnsiTheme="majorHAnsi" w:cstheme="majorHAnsi"/>
        </w:rPr>
        <w:t>40</w:t>
      </w:r>
      <w:r w:rsidR="0069543C" w:rsidRPr="009F2567">
        <w:rPr>
          <w:rFonts w:asciiTheme="majorHAnsi" w:hAnsiTheme="majorHAnsi" w:cstheme="majorHAnsi"/>
        </w:rPr>
        <w:t xml:space="preserve"> pikët të mundshme (</w:t>
      </w:r>
      <w:r w:rsidR="00152E0A">
        <w:rPr>
          <w:rFonts w:asciiTheme="majorHAnsi" w:hAnsiTheme="majorHAnsi" w:cstheme="majorHAnsi"/>
        </w:rPr>
        <w:t>35.00</w:t>
      </w:r>
      <w:r w:rsidR="0069543C" w:rsidRPr="009F2567">
        <w:rPr>
          <w:rFonts w:asciiTheme="majorHAnsi" w:hAnsiTheme="majorHAnsi" w:cstheme="majorHAnsi"/>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w:t>
      </w:r>
      <w:r w:rsidR="006A4FD7">
        <w:rPr>
          <w:rFonts w:asciiTheme="majorHAnsi" w:hAnsiTheme="majorHAnsi" w:cstheme="majorHAnsi"/>
        </w:rPr>
        <w:t>7</w:t>
      </w:r>
      <w:r w:rsidRPr="009F2567">
        <w:rPr>
          <w:rFonts w:asciiTheme="majorHAnsi" w:hAnsiTheme="majorHAnsi" w:cstheme="majorHAnsi"/>
        </w:rPr>
        <w:t xml:space="preserve"> treguesit e vlerësuar në kuadër të fushës ‘Menaxhimi Komunal’ është </w:t>
      </w:r>
      <w:r w:rsidR="00152E0A">
        <w:rPr>
          <w:rFonts w:asciiTheme="majorHAnsi" w:hAnsiTheme="majorHAnsi" w:cstheme="majorHAnsi"/>
        </w:rPr>
        <w:t>9</w:t>
      </w:r>
      <w:r w:rsidRPr="009F2567">
        <w:rPr>
          <w:rFonts w:asciiTheme="majorHAnsi" w:hAnsiTheme="majorHAnsi" w:cstheme="majorHAnsi"/>
        </w:rPr>
        <w:t xml:space="preserve"> pikë nga gjithsej </w:t>
      </w:r>
      <w:r w:rsidR="00600A7F">
        <w:rPr>
          <w:rFonts w:asciiTheme="majorHAnsi" w:hAnsiTheme="majorHAnsi" w:cstheme="majorHAnsi"/>
        </w:rPr>
        <w:t>28</w:t>
      </w:r>
      <w:r w:rsidRPr="009F2567">
        <w:rPr>
          <w:rFonts w:asciiTheme="majorHAnsi" w:hAnsiTheme="majorHAnsi" w:cstheme="majorHAnsi"/>
        </w:rPr>
        <w:t xml:space="preserve"> pikë të mundshme (</w:t>
      </w:r>
      <w:r w:rsidR="00152E0A">
        <w:rPr>
          <w:rFonts w:asciiTheme="majorHAnsi" w:hAnsiTheme="majorHAnsi" w:cstheme="majorHAnsi"/>
        </w:rPr>
        <w:t>32.14</w:t>
      </w:r>
      <w:r w:rsidRPr="009F2567">
        <w:rPr>
          <w:rFonts w:asciiTheme="majorHAnsi" w:hAnsiTheme="majorHAnsi" w:cstheme="majorHAnsi"/>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w:t>
      </w:r>
      <w:r w:rsidR="00152E0A">
        <w:rPr>
          <w:rFonts w:asciiTheme="majorHAnsi" w:hAnsiTheme="majorHAnsi" w:cstheme="majorHAnsi"/>
        </w:rPr>
        <w:t>9</w:t>
      </w:r>
      <w:r w:rsidRPr="009F2567">
        <w:rPr>
          <w:rFonts w:asciiTheme="majorHAnsi" w:hAnsiTheme="majorHAnsi" w:cstheme="majorHAnsi"/>
        </w:rPr>
        <w:t xml:space="preserve"> treguesit e vlerësuar në kuadër të fushës ‘Ofrimi i shërbimeve’ është </w:t>
      </w:r>
      <w:r w:rsidR="00152E0A">
        <w:rPr>
          <w:rFonts w:asciiTheme="majorHAnsi" w:hAnsiTheme="majorHAnsi" w:cstheme="majorHAnsi"/>
        </w:rPr>
        <w:t>9</w:t>
      </w:r>
      <w:r w:rsidRPr="009F2567">
        <w:rPr>
          <w:rFonts w:asciiTheme="majorHAnsi" w:hAnsiTheme="majorHAnsi" w:cstheme="majorHAnsi"/>
        </w:rPr>
        <w:t xml:space="preserve"> pikë nga gjithsej </w:t>
      </w:r>
      <w:r w:rsidR="00600A7F">
        <w:rPr>
          <w:rFonts w:asciiTheme="majorHAnsi" w:hAnsiTheme="majorHAnsi" w:cstheme="majorHAnsi"/>
        </w:rPr>
        <w:t>30</w:t>
      </w:r>
      <w:r w:rsidRPr="009F2567">
        <w:rPr>
          <w:rFonts w:asciiTheme="majorHAnsi" w:hAnsiTheme="majorHAnsi" w:cstheme="majorHAnsi"/>
        </w:rPr>
        <w:t xml:space="preserve"> pikë të mundshme (</w:t>
      </w:r>
      <w:r w:rsidR="00152E0A">
        <w:rPr>
          <w:rFonts w:asciiTheme="majorHAnsi" w:hAnsiTheme="majorHAnsi" w:cstheme="majorHAnsi"/>
        </w:rPr>
        <w:t>30.00</w:t>
      </w:r>
      <w:r w:rsidRPr="009F2567">
        <w:rPr>
          <w:rFonts w:asciiTheme="majorHAnsi" w:hAnsiTheme="majorHAnsi" w:cstheme="majorHAnsi"/>
        </w:rPr>
        <w:t xml:space="preserve">%). </w:t>
      </w:r>
    </w:p>
    <w:p w:rsidR="0069543C" w:rsidRPr="009F2567" w:rsidRDefault="0069543C" w:rsidP="0069543C"/>
    <w:p w:rsidR="0069543C" w:rsidRPr="009F2567" w:rsidRDefault="0069543C" w:rsidP="0069543C">
      <w:pPr>
        <w:jc w:val="both"/>
        <w:rPr>
          <w:lang w:val="de-CH"/>
        </w:rPr>
      </w:pPr>
    </w:p>
    <w:p w:rsidR="0069543C" w:rsidRPr="009F2567" w:rsidRDefault="0069543C" w:rsidP="0069543C"/>
    <w:p w:rsidR="0069543C" w:rsidRPr="009F2567" w:rsidRDefault="0069543C" w:rsidP="0069543C"/>
    <w:p w:rsidR="0069543C" w:rsidRPr="009F2567" w:rsidRDefault="0069543C" w:rsidP="0069543C"/>
    <w:p w:rsidR="0069543C" w:rsidRPr="009F2567" w:rsidRDefault="0069543C" w:rsidP="0069543C">
      <w:pPr>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asciiTheme="majorHAnsi" w:eastAsiaTheme="majorEastAsia" w:hAnsiTheme="majorHAnsi" w:cs="Calibri Light"/>
          <w:b/>
          <w:noProof/>
          <w:lang w:val="de-CH"/>
        </w:rPr>
      </w:pPr>
      <w:r w:rsidRPr="009F2567">
        <w:rPr>
          <w:rFonts w:asciiTheme="majorHAnsi" w:eastAsiaTheme="majorEastAsia" w:hAnsiTheme="majorHAnsi" w:cs="Calibri Light"/>
          <w:b/>
          <w:noProof/>
          <w:lang w:val="de-CH"/>
        </w:rPr>
        <w:lastRenderedPageBreak/>
        <w:t>Përmbledhje e rezultateve për vitin 202</w:t>
      </w:r>
      <w:r w:rsidR="005072AD">
        <w:rPr>
          <w:rFonts w:asciiTheme="majorHAnsi" w:eastAsiaTheme="majorEastAsia" w:hAnsiTheme="majorHAnsi" w:cs="Calibri Light"/>
          <w:b/>
          <w:noProof/>
          <w:lang w:val="de-CH"/>
        </w:rPr>
        <w:t>4</w:t>
      </w:r>
      <w:r w:rsidRPr="009F2567">
        <w:rPr>
          <w:rFonts w:asciiTheme="majorHAnsi" w:eastAsiaTheme="majorEastAsia" w:hAnsiTheme="majorHAnsi" w:cs="Calibri Light"/>
          <w:b/>
          <w:noProof/>
          <w:lang w:val="de-CH"/>
        </w:rPr>
        <w:t xml:space="preserve"> për grantin e performancës komunale - Komuna Klinë</w:t>
      </w:r>
    </w:p>
    <w:p w:rsidR="0069543C" w:rsidRPr="009F2567" w:rsidRDefault="0069543C" w:rsidP="0069543C">
      <w:pPr>
        <w:rPr>
          <w:b/>
        </w:rPr>
      </w:pPr>
      <w:r w:rsidRPr="009F2567">
        <w:rPr>
          <w:b/>
        </w:rPr>
        <w:t>Vlerësimi i kushteve</w:t>
      </w:r>
      <w:r w:rsidR="005072AD">
        <w:rPr>
          <w:b/>
        </w:rPr>
        <w:t xml:space="preserve"> minimale për vitin 2024</w:t>
      </w:r>
    </w:p>
    <w:p w:rsidR="0069543C" w:rsidRPr="009F2567" w:rsidRDefault="0069543C" w:rsidP="0069543C">
      <w:pPr>
        <w:jc w:val="both"/>
        <w:rPr>
          <w:rFonts w:asciiTheme="majorHAnsi" w:hAnsiTheme="majorHAnsi" w:cstheme="majorHAnsi"/>
          <w:noProof/>
        </w:rPr>
      </w:pPr>
      <w:r w:rsidRPr="009F2567">
        <w:rPr>
          <w:rFonts w:asciiTheme="majorHAnsi" w:hAnsiTheme="majorHAnsi" w:cstheme="majorHAnsi"/>
          <w:noProof/>
          <w:lang w:val="en-GB" w:eastAsia="en-GB"/>
        </w:rPr>
        <w:drawing>
          <wp:anchor distT="0" distB="0" distL="114300" distR="114300" simplePos="0" relativeHeight="251686912" behindDoc="0" locked="0" layoutInCell="1" allowOverlap="1" wp14:anchorId="193A2862" wp14:editId="743FDECB">
            <wp:simplePos x="0" y="0"/>
            <wp:positionH relativeFrom="margin">
              <wp:align>right</wp:align>
            </wp:positionH>
            <wp:positionV relativeFrom="paragraph">
              <wp:posOffset>8890</wp:posOffset>
            </wp:positionV>
            <wp:extent cx="2853690" cy="2012950"/>
            <wp:effectExtent l="0" t="0" r="3810" b="6350"/>
            <wp:wrapSquare wrapText="bothSides"/>
            <wp:docPr id="41" name="Chart 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Pr="009F2567">
        <w:rPr>
          <w:rFonts w:asciiTheme="majorHAnsi" w:hAnsiTheme="majorHAnsi" w:cstheme="majorHAnsi"/>
          <w:lang w:val="de-CH"/>
        </w:rPr>
        <w:t>Komuna e Klinës është kualifikuar për grantin e perf</w:t>
      </w:r>
      <w:r w:rsidR="005072AD">
        <w:rPr>
          <w:rFonts w:asciiTheme="majorHAnsi" w:hAnsiTheme="majorHAnsi" w:cstheme="majorHAnsi"/>
          <w:lang w:val="de-CH"/>
        </w:rPr>
        <w:t>ormancës komunale për vitin 2024</w:t>
      </w:r>
      <w:r w:rsidRPr="009F2567">
        <w:rPr>
          <w:rFonts w:asciiTheme="majorHAnsi" w:hAnsiTheme="majorHAnsi" w:cstheme="majorHAnsi"/>
          <w:lang w:val="de-CH"/>
        </w:rPr>
        <w:t>.</w:t>
      </w:r>
      <w:r w:rsidRPr="009F2567">
        <w:rPr>
          <w:rFonts w:asciiTheme="majorHAnsi" w:hAnsiTheme="majorHAnsi" w:cstheme="majorHAnsi"/>
          <w:noProof/>
        </w:rPr>
        <w:t xml:space="preserve"> </w:t>
      </w:r>
    </w:p>
    <w:p w:rsidR="0069543C" w:rsidRPr="009F2567" w:rsidRDefault="0069543C" w:rsidP="0069543C">
      <w:pPr>
        <w:jc w:val="both"/>
        <w:rPr>
          <w:rFonts w:asciiTheme="majorHAnsi" w:hAnsiTheme="majorHAnsi" w:cstheme="majorHAnsi"/>
          <w:noProof/>
        </w:rPr>
      </w:pPr>
    </w:p>
    <w:p w:rsidR="0069543C" w:rsidRPr="009F2567" w:rsidRDefault="0069543C" w:rsidP="0069543C">
      <w:pPr>
        <w:jc w:val="both"/>
        <w:rPr>
          <w:rFonts w:asciiTheme="majorHAnsi" w:hAnsiTheme="majorHAnsi" w:cstheme="majorHAnsi"/>
          <w:lang w:val="de-CH"/>
        </w:rPr>
      </w:pPr>
      <w:r w:rsidRPr="009F2567">
        <w:rPr>
          <w:rFonts w:asciiTheme="majorHAnsi" w:hAnsiTheme="majorHAnsi" w:cstheme="majorHAnsi"/>
          <w:noProof/>
        </w:rPr>
        <w:t xml:space="preserve">Komuna ka përmbushur katër kushtet minimale. </w:t>
      </w:r>
    </w:p>
    <w:p w:rsidR="0069543C" w:rsidRPr="009F2567" w:rsidRDefault="0069543C" w:rsidP="0069543C">
      <w:pPr>
        <w:jc w:val="both"/>
        <w:rPr>
          <w:lang w:val="de-CH"/>
        </w:rPr>
      </w:pPr>
    </w:p>
    <w:p w:rsidR="0069543C" w:rsidRPr="009F2567" w:rsidRDefault="0069543C" w:rsidP="0069543C">
      <w:pPr>
        <w:jc w:val="both"/>
        <w:rPr>
          <w:lang w:val="de-CH"/>
        </w:rPr>
      </w:pPr>
    </w:p>
    <w:p w:rsidR="0069543C" w:rsidRPr="009F2567" w:rsidRDefault="0069543C" w:rsidP="0069543C">
      <w:pPr>
        <w:tabs>
          <w:tab w:val="left" w:pos="1190"/>
        </w:tabs>
      </w:pPr>
      <w:r w:rsidRPr="009F2567">
        <w:rPr>
          <w:b/>
        </w:rPr>
        <w:tab/>
      </w:r>
    </w:p>
    <w:p w:rsidR="0069543C" w:rsidRPr="009F2567" w:rsidRDefault="0069543C" w:rsidP="0069543C">
      <w:pPr>
        <w:tabs>
          <w:tab w:val="left" w:pos="1190"/>
        </w:tabs>
      </w:pPr>
      <w:r w:rsidRPr="009F2567">
        <w:rPr>
          <w:b/>
        </w:rPr>
        <w:tab/>
      </w:r>
    </w:p>
    <w:p w:rsidR="0069543C" w:rsidRPr="009F2567" w:rsidRDefault="0069543C" w:rsidP="0069543C"/>
    <w:p w:rsidR="0069543C" w:rsidRPr="009F2567" w:rsidRDefault="0069543C" w:rsidP="0069543C">
      <w:pPr>
        <w:rPr>
          <w:b/>
        </w:rPr>
      </w:pPr>
      <w:r w:rsidRPr="009F2567">
        <w:rPr>
          <w:b/>
        </w:rPr>
        <w:t>Vlerësimi i treguesv</w:t>
      </w:r>
      <w:r w:rsidR="005072AD">
        <w:rPr>
          <w:b/>
        </w:rPr>
        <w:t>e të performancës për vitin 2024</w:t>
      </w:r>
    </w:p>
    <w:p w:rsidR="0069543C" w:rsidRPr="009F2567" w:rsidRDefault="005072AD" w:rsidP="0069543C">
      <w:pPr>
        <w:jc w:val="both"/>
        <w:rPr>
          <w:rFonts w:asciiTheme="majorHAnsi" w:hAnsiTheme="majorHAnsi" w:cstheme="majorHAnsi"/>
        </w:rPr>
      </w:pPr>
      <w:r>
        <w:rPr>
          <w:noProof/>
          <w:lang w:val="en-GB" w:eastAsia="en-GB"/>
          <w14:ligatures w14:val="standardContextual"/>
        </w:rPr>
        <w:drawing>
          <wp:anchor distT="0" distB="0" distL="114300" distR="114300" simplePos="0" relativeHeight="251838464" behindDoc="0" locked="0" layoutInCell="1" allowOverlap="1" wp14:anchorId="71E07301" wp14:editId="4AA8D19E">
            <wp:simplePos x="0" y="0"/>
            <wp:positionH relativeFrom="margin">
              <wp:posOffset>2626995</wp:posOffset>
            </wp:positionH>
            <wp:positionV relativeFrom="margin">
              <wp:posOffset>3718560</wp:posOffset>
            </wp:positionV>
            <wp:extent cx="3384550" cy="2183130"/>
            <wp:effectExtent l="0" t="0" r="6350" b="762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0069543C" w:rsidRPr="009F2567">
        <w:rPr>
          <w:rFonts w:asciiTheme="majorHAnsi" w:hAnsiTheme="majorHAnsi" w:cstheme="majorHAnsi"/>
        </w:rPr>
        <w:t xml:space="preserve">Performanca mesatare e Komunës së </w:t>
      </w:r>
      <w:r>
        <w:rPr>
          <w:rFonts w:asciiTheme="majorHAnsi" w:hAnsiTheme="majorHAnsi" w:cstheme="majorHAnsi"/>
        </w:rPr>
        <w:t>Klinës  në 29</w:t>
      </w:r>
      <w:r w:rsidR="0069543C" w:rsidRPr="009F2567">
        <w:rPr>
          <w:rFonts w:asciiTheme="majorHAnsi" w:hAnsiTheme="majorHAnsi" w:cstheme="majorHAnsi"/>
        </w:rPr>
        <w:t xml:space="preserve"> </w:t>
      </w:r>
      <w:r>
        <w:rPr>
          <w:rFonts w:asciiTheme="majorHAnsi" w:hAnsiTheme="majorHAnsi" w:cstheme="majorHAnsi"/>
        </w:rPr>
        <w:t>indikatorët e vlerësuar është 58 pikë nga gjithsej 98 pikë të mundshme (59.18</w:t>
      </w:r>
      <w:r w:rsidR="0069543C" w:rsidRPr="009F2567">
        <w:rPr>
          <w:rFonts w:asciiTheme="majorHAnsi" w:hAnsiTheme="majorHAnsi" w:cstheme="majorHAnsi"/>
        </w:rPr>
        <w:t>%).</w:t>
      </w:r>
      <w:r w:rsidR="0069543C" w:rsidRPr="009F2567">
        <w:rPr>
          <w:noProof/>
        </w:rPr>
        <w:t xml:space="preserve"> </w:t>
      </w:r>
    </w:p>
    <w:p w:rsidR="0069543C" w:rsidRPr="009F2567" w:rsidRDefault="006A4FD7" w:rsidP="0069543C">
      <w:pPr>
        <w:jc w:val="both"/>
        <w:rPr>
          <w:rFonts w:asciiTheme="majorHAnsi" w:hAnsiTheme="majorHAnsi" w:cstheme="majorHAnsi"/>
        </w:rPr>
      </w:pPr>
      <w:r>
        <w:rPr>
          <w:rFonts w:asciiTheme="majorHAnsi" w:hAnsiTheme="majorHAnsi" w:cstheme="majorHAnsi"/>
        </w:rPr>
        <w:t>Performanca mesatare në 13</w:t>
      </w:r>
      <w:r w:rsidR="0069543C" w:rsidRPr="009F2567">
        <w:rPr>
          <w:rFonts w:asciiTheme="majorHAnsi" w:hAnsiTheme="majorHAnsi" w:cstheme="majorHAnsi"/>
        </w:rPr>
        <w:t xml:space="preserve"> treguesit e vlerësuar në kuadër të fushës </w:t>
      </w:r>
      <w:r w:rsidR="005072AD">
        <w:rPr>
          <w:rFonts w:asciiTheme="majorHAnsi" w:hAnsiTheme="majorHAnsi" w:cstheme="majorHAnsi"/>
        </w:rPr>
        <w:t>‘Qeverisja demokratike’ është 34</w:t>
      </w:r>
      <w:r w:rsidR="0069543C" w:rsidRPr="009F2567">
        <w:rPr>
          <w:rFonts w:asciiTheme="majorHAnsi" w:hAnsiTheme="majorHAnsi" w:cstheme="majorHAnsi"/>
        </w:rPr>
        <w:t xml:space="preserve"> pikë nga gjithsej </w:t>
      </w:r>
      <w:r w:rsidR="00600A7F">
        <w:rPr>
          <w:rFonts w:asciiTheme="majorHAnsi" w:hAnsiTheme="majorHAnsi" w:cstheme="majorHAnsi"/>
        </w:rPr>
        <w:t>40</w:t>
      </w:r>
      <w:r w:rsidR="005072AD">
        <w:rPr>
          <w:rFonts w:asciiTheme="majorHAnsi" w:hAnsiTheme="majorHAnsi" w:cstheme="majorHAnsi"/>
        </w:rPr>
        <w:t xml:space="preserve"> pikët të mundshme (85.00</w:t>
      </w:r>
      <w:r w:rsidR="0069543C" w:rsidRPr="009F2567">
        <w:rPr>
          <w:rFonts w:asciiTheme="majorHAnsi" w:hAnsiTheme="majorHAnsi" w:cstheme="majorHAnsi"/>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Performanc</w:t>
      </w:r>
      <w:r w:rsidR="006A4FD7">
        <w:rPr>
          <w:rFonts w:asciiTheme="majorHAnsi" w:hAnsiTheme="majorHAnsi" w:cstheme="majorHAnsi"/>
        </w:rPr>
        <w:t>a mesatare në 7</w:t>
      </w:r>
      <w:r w:rsidRPr="009F2567">
        <w:rPr>
          <w:rFonts w:asciiTheme="majorHAnsi" w:hAnsiTheme="majorHAnsi" w:cstheme="majorHAnsi"/>
        </w:rPr>
        <w:t xml:space="preserve"> treguesit e vlerësuar në kuadër të fus</w:t>
      </w:r>
      <w:r w:rsidR="005072AD">
        <w:rPr>
          <w:rFonts w:asciiTheme="majorHAnsi" w:hAnsiTheme="majorHAnsi" w:cstheme="majorHAnsi"/>
        </w:rPr>
        <w:t>hës ‘Menaxhimi Komunal’ është 11</w:t>
      </w:r>
      <w:r w:rsidRPr="009F2567">
        <w:rPr>
          <w:rFonts w:asciiTheme="majorHAnsi" w:hAnsiTheme="majorHAnsi" w:cstheme="majorHAnsi"/>
        </w:rPr>
        <w:t xml:space="preserve"> pikë nga gjithsej 2</w:t>
      </w:r>
      <w:r w:rsidR="00600A7F">
        <w:rPr>
          <w:rFonts w:asciiTheme="majorHAnsi" w:hAnsiTheme="majorHAnsi" w:cstheme="majorHAnsi"/>
        </w:rPr>
        <w:t>8</w:t>
      </w:r>
      <w:r w:rsidR="005072AD">
        <w:rPr>
          <w:rFonts w:asciiTheme="majorHAnsi" w:hAnsiTheme="majorHAnsi" w:cstheme="majorHAnsi"/>
        </w:rPr>
        <w:t xml:space="preserve"> pikë të mundshme (39.29</w:t>
      </w:r>
      <w:r w:rsidRPr="009F2567">
        <w:rPr>
          <w:rFonts w:asciiTheme="majorHAnsi" w:hAnsiTheme="majorHAnsi" w:cstheme="majorHAnsi"/>
        </w:rPr>
        <w:t xml:space="preserve">%). </w:t>
      </w:r>
    </w:p>
    <w:p w:rsidR="0069543C" w:rsidRPr="009F2567" w:rsidRDefault="005072AD" w:rsidP="0069543C">
      <w:pPr>
        <w:jc w:val="both"/>
        <w:rPr>
          <w:rFonts w:asciiTheme="majorHAnsi" w:hAnsiTheme="majorHAnsi" w:cstheme="majorHAnsi"/>
        </w:rPr>
      </w:pPr>
      <w:r>
        <w:rPr>
          <w:rFonts w:asciiTheme="majorHAnsi" w:hAnsiTheme="majorHAnsi" w:cstheme="majorHAnsi"/>
        </w:rPr>
        <w:t>Performanca mesatare në 9</w:t>
      </w:r>
      <w:r w:rsidR="0069543C" w:rsidRPr="009F2567">
        <w:rPr>
          <w:rFonts w:asciiTheme="majorHAnsi" w:hAnsiTheme="majorHAnsi" w:cstheme="majorHAnsi"/>
        </w:rPr>
        <w:t xml:space="preserve"> treguesit e vlerësuar në kuadër të fushë</w:t>
      </w:r>
      <w:r>
        <w:rPr>
          <w:rFonts w:asciiTheme="majorHAnsi" w:hAnsiTheme="majorHAnsi" w:cstheme="majorHAnsi"/>
        </w:rPr>
        <w:t>s ‘Ofrimi i shërbimeve’ është 13</w:t>
      </w:r>
      <w:r w:rsidR="0069543C" w:rsidRPr="009F2567">
        <w:rPr>
          <w:rFonts w:asciiTheme="majorHAnsi" w:hAnsiTheme="majorHAnsi" w:cstheme="majorHAnsi"/>
        </w:rPr>
        <w:t xml:space="preserve"> pikë nga gjithsej </w:t>
      </w:r>
      <w:r w:rsidR="00600A7F">
        <w:rPr>
          <w:rFonts w:asciiTheme="majorHAnsi" w:hAnsiTheme="majorHAnsi" w:cstheme="majorHAnsi"/>
        </w:rPr>
        <w:t>30</w:t>
      </w:r>
      <w:r w:rsidR="0069543C" w:rsidRPr="009F2567">
        <w:rPr>
          <w:rFonts w:asciiTheme="majorHAnsi" w:hAnsiTheme="majorHAnsi" w:cstheme="majorHAnsi"/>
        </w:rPr>
        <w:t xml:space="preserve"> p</w:t>
      </w:r>
      <w:r>
        <w:rPr>
          <w:rFonts w:asciiTheme="majorHAnsi" w:hAnsiTheme="majorHAnsi" w:cstheme="majorHAnsi"/>
        </w:rPr>
        <w:t>ikë të mundshme (43.33</w:t>
      </w:r>
      <w:r w:rsidR="0069543C" w:rsidRPr="009F2567">
        <w:rPr>
          <w:rFonts w:asciiTheme="majorHAnsi" w:hAnsiTheme="majorHAnsi" w:cstheme="majorHAnsi"/>
        </w:rPr>
        <w:t xml:space="preserve">%). </w:t>
      </w:r>
    </w:p>
    <w:p w:rsidR="0069543C" w:rsidRPr="009F2567" w:rsidRDefault="0069543C" w:rsidP="0069543C"/>
    <w:p w:rsidR="0069543C" w:rsidRPr="009F2567" w:rsidRDefault="0069543C" w:rsidP="0069543C">
      <w:pPr>
        <w:jc w:val="both"/>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asciiTheme="majorHAnsi" w:eastAsiaTheme="majorEastAsia" w:hAnsiTheme="majorHAnsi" w:cs="Calibri Light"/>
          <w:b/>
          <w:noProof/>
          <w:lang w:val="de-CH"/>
        </w:rPr>
      </w:pPr>
      <w:r w:rsidRPr="009F2567">
        <w:rPr>
          <w:rFonts w:asciiTheme="majorHAnsi" w:eastAsiaTheme="majorEastAsia" w:hAnsiTheme="majorHAnsi" w:cs="Calibri Light"/>
          <w:b/>
          <w:noProof/>
          <w:lang w:val="de-CH"/>
        </w:rPr>
        <w:lastRenderedPageBreak/>
        <w:t>Përmbledhje e rezultateve për vitin 202</w:t>
      </w:r>
      <w:r w:rsidR="005072AD">
        <w:rPr>
          <w:rFonts w:asciiTheme="majorHAnsi" w:eastAsiaTheme="majorEastAsia" w:hAnsiTheme="majorHAnsi" w:cs="Calibri Light"/>
          <w:b/>
          <w:noProof/>
          <w:lang w:val="de-CH"/>
        </w:rPr>
        <w:t>4</w:t>
      </w:r>
      <w:r w:rsidRPr="009F2567">
        <w:rPr>
          <w:rFonts w:asciiTheme="majorHAnsi" w:eastAsiaTheme="majorEastAsia" w:hAnsiTheme="majorHAnsi" w:cs="Calibri Light"/>
          <w:b/>
          <w:noProof/>
          <w:lang w:val="de-CH"/>
        </w:rPr>
        <w:t xml:space="preserve"> për grantin e performancës komunale - Komuna Kllokot </w:t>
      </w:r>
    </w:p>
    <w:p w:rsidR="0069543C" w:rsidRPr="009F2567" w:rsidRDefault="0069543C" w:rsidP="0069543C">
      <w:pPr>
        <w:rPr>
          <w:b/>
        </w:rPr>
      </w:pPr>
      <w:r w:rsidRPr="009F2567">
        <w:rPr>
          <w:b/>
        </w:rPr>
        <w:t xml:space="preserve">Vlerësimi i </w:t>
      </w:r>
      <w:r w:rsidR="005072AD">
        <w:rPr>
          <w:b/>
        </w:rPr>
        <w:t>kushteve minimale për vitin 2024</w:t>
      </w:r>
    </w:p>
    <w:p w:rsidR="0069543C" w:rsidRPr="009F2567" w:rsidRDefault="005722CE" w:rsidP="0069543C">
      <w:pPr>
        <w:jc w:val="both"/>
        <w:rPr>
          <w:rFonts w:asciiTheme="majorHAnsi" w:hAnsiTheme="majorHAnsi" w:cstheme="majorHAnsi"/>
          <w:lang w:val="de-CH"/>
        </w:rPr>
      </w:pPr>
      <w:r>
        <w:rPr>
          <w:noProof/>
          <w:lang w:val="en-GB" w:eastAsia="en-GB"/>
          <w14:ligatures w14:val="standardContextual"/>
        </w:rPr>
        <w:drawing>
          <wp:anchor distT="0" distB="0" distL="114300" distR="114300" simplePos="0" relativeHeight="251839488" behindDoc="0" locked="0" layoutInCell="1" allowOverlap="1" wp14:anchorId="3F59B68A" wp14:editId="6FBCA020">
            <wp:simplePos x="0" y="0"/>
            <wp:positionH relativeFrom="margin">
              <wp:posOffset>2426950</wp:posOffset>
            </wp:positionH>
            <wp:positionV relativeFrom="margin">
              <wp:posOffset>687335</wp:posOffset>
            </wp:positionV>
            <wp:extent cx="3027680" cy="1924050"/>
            <wp:effectExtent l="0" t="0" r="1270"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0069543C" w:rsidRPr="009F2567">
        <w:rPr>
          <w:rFonts w:asciiTheme="majorHAnsi" w:hAnsiTheme="majorHAnsi" w:cstheme="majorHAnsi"/>
          <w:lang w:val="de-CH"/>
        </w:rPr>
        <w:t xml:space="preserve">Komuna e </w:t>
      </w:r>
      <w:r w:rsidR="0069543C" w:rsidRPr="009F2567">
        <w:rPr>
          <w:rFonts w:asciiTheme="majorHAnsi" w:hAnsiTheme="majorHAnsi" w:cstheme="majorHAnsi"/>
        </w:rPr>
        <w:t xml:space="preserve">Kllokotit nuk </w:t>
      </w:r>
      <w:r w:rsidR="0069543C" w:rsidRPr="009F2567">
        <w:rPr>
          <w:rFonts w:asciiTheme="majorHAnsi" w:hAnsiTheme="majorHAnsi" w:cstheme="majorHAnsi"/>
          <w:lang w:val="de-CH"/>
        </w:rPr>
        <w:t xml:space="preserve">është kualifikuar për grantin e performancës </w:t>
      </w:r>
      <w:r w:rsidR="005072AD">
        <w:rPr>
          <w:rFonts w:asciiTheme="majorHAnsi" w:hAnsiTheme="majorHAnsi" w:cstheme="majorHAnsi"/>
          <w:lang w:val="de-CH"/>
        </w:rPr>
        <w:t>komunale për vitin 2024</w:t>
      </w:r>
      <w:r w:rsidR="0069543C" w:rsidRPr="009F2567">
        <w:rPr>
          <w:rFonts w:asciiTheme="majorHAnsi" w:hAnsiTheme="majorHAnsi" w:cstheme="majorHAnsi"/>
          <w:lang w:val="de-CH"/>
        </w:rPr>
        <w:t>.</w:t>
      </w:r>
      <w:r w:rsidR="0069543C" w:rsidRPr="009F2567">
        <w:rPr>
          <w:rFonts w:asciiTheme="majorHAnsi" w:hAnsiTheme="majorHAnsi" w:cstheme="majorHAnsi"/>
          <w:noProof/>
          <w:color w:val="0070C0"/>
        </w:rPr>
        <w:t xml:space="preserve"> </w:t>
      </w:r>
    </w:p>
    <w:p w:rsidR="0069543C" w:rsidRPr="009F2567" w:rsidRDefault="0091147D" w:rsidP="0069543C">
      <w:pPr>
        <w:tabs>
          <w:tab w:val="left" w:pos="1190"/>
        </w:tabs>
        <w:jc w:val="both"/>
        <w:rPr>
          <w:rFonts w:asciiTheme="majorHAnsi" w:hAnsiTheme="majorHAnsi" w:cstheme="majorHAnsi"/>
        </w:rPr>
      </w:pPr>
      <w:bookmarkStart w:id="44" w:name="_Hlk114228165"/>
      <w:r w:rsidRPr="0091147D">
        <w:rPr>
          <w:rFonts w:asciiTheme="majorHAnsi" w:hAnsiTheme="majorHAnsi" w:cstheme="majorHAnsi"/>
          <w:lang w:val="de-CH"/>
        </w:rPr>
        <w:t>Kushtet minimale numër 1</w:t>
      </w:r>
      <w:r>
        <w:rPr>
          <w:rFonts w:asciiTheme="majorHAnsi" w:hAnsiTheme="majorHAnsi" w:cstheme="majorHAnsi"/>
          <w:lang w:val="de-CH"/>
        </w:rPr>
        <w:t xml:space="preserve"> </w:t>
      </w:r>
      <w:r w:rsidRPr="0091147D">
        <w:rPr>
          <w:rFonts w:asciiTheme="majorHAnsi" w:hAnsiTheme="majorHAnsi" w:cstheme="majorHAnsi"/>
          <w:lang w:val="de-CH"/>
        </w:rPr>
        <w:t>(komunat duhet të kenë raportuar të dhënat në SMPK sipas afatit të përcaktuar) numër 3 (opinioni i auditorit të jetë të paktën i pamodifikuar me theksim të çështjes) dhe numër 4 (shkalla e shpenzimit të buxhetit për investime kapita</w:t>
      </w:r>
      <w:r>
        <w:rPr>
          <w:rFonts w:asciiTheme="majorHAnsi" w:hAnsiTheme="majorHAnsi" w:cstheme="majorHAnsi"/>
          <w:lang w:val="de-CH"/>
        </w:rPr>
        <w:t>le për vitin 2024</w:t>
      </w:r>
      <w:r w:rsidRPr="0091147D">
        <w:rPr>
          <w:rFonts w:asciiTheme="majorHAnsi" w:hAnsiTheme="majorHAnsi" w:cstheme="majorHAnsi"/>
          <w:lang w:val="de-CH"/>
        </w:rPr>
        <w:t xml:space="preserve"> të jetë s</w:t>
      </w:r>
      <w:r>
        <w:rPr>
          <w:rFonts w:asciiTheme="majorHAnsi" w:hAnsiTheme="majorHAnsi" w:cstheme="majorHAnsi"/>
          <w:lang w:val="de-CH"/>
        </w:rPr>
        <w:t>ë paku 75%) nuk janë përmbushur.</w:t>
      </w:r>
    </w:p>
    <w:bookmarkEnd w:id="44"/>
    <w:p w:rsidR="0069543C" w:rsidRPr="009F2567" w:rsidRDefault="0069543C" w:rsidP="0069543C">
      <w:pPr>
        <w:tabs>
          <w:tab w:val="left" w:pos="1190"/>
        </w:tabs>
      </w:pPr>
      <w:r w:rsidRPr="009F2567">
        <w:rPr>
          <w:b/>
        </w:rPr>
        <w:tab/>
      </w:r>
    </w:p>
    <w:p w:rsidR="0069543C" w:rsidRPr="009F2567" w:rsidRDefault="0069543C" w:rsidP="0069543C"/>
    <w:p w:rsidR="0069543C" w:rsidRPr="009F2567" w:rsidRDefault="0069543C" w:rsidP="0069543C"/>
    <w:p w:rsidR="0069543C" w:rsidRPr="009F2567" w:rsidRDefault="0069543C" w:rsidP="0069543C">
      <w:pPr>
        <w:rPr>
          <w:b/>
        </w:rPr>
      </w:pPr>
      <w:r w:rsidRPr="009F2567">
        <w:rPr>
          <w:b/>
        </w:rPr>
        <w:t>Vlerësimi i treguesv</w:t>
      </w:r>
      <w:r w:rsidR="0091147D">
        <w:rPr>
          <w:b/>
        </w:rPr>
        <w:t>e të performancës për vitin 2024</w:t>
      </w:r>
    </w:p>
    <w:p w:rsidR="0069543C" w:rsidRPr="009F2567" w:rsidRDefault="0091147D" w:rsidP="0069543C">
      <w:pPr>
        <w:jc w:val="both"/>
        <w:rPr>
          <w:rFonts w:asciiTheme="majorHAnsi" w:hAnsiTheme="majorHAnsi" w:cstheme="majorHAnsi"/>
        </w:rPr>
      </w:pPr>
      <w:r>
        <w:rPr>
          <w:noProof/>
          <w:lang w:val="en-GB" w:eastAsia="en-GB"/>
          <w14:ligatures w14:val="standardContextual"/>
        </w:rPr>
        <w:drawing>
          <wp:anchor distT="0" distB="0" distL="114300" distR="114300" simplePos="0" relativeHeight="251841536" behindDoc="0" locked="0" layoutInCell="1" allowOverlap="1" wp14:anchorId="5D475023" wp14:editId="13DA372B">
            <wp:simplePos x="0" y="0"/>
            <wp:positionH relativeFrom="column">
              <wp:posOffset>2599804</wp:posOffset>
            </wp:positionH>
            <wp:positionV relativeFrom="paragraph">
              <wp:posOffset>368177</wp:posOffset>
            </wp:positionV>
            <wp:extent cx="3314700" cy="2505075"/>
            <wp:effectExtent l="0" t="0" r="0" b="9525"/>
            <wp:wrapSquare wrapText="bothSides"/>
            <wp:docPr id="8"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9265A3E-DB16-4EDE-B375-6CA11C9530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V relativeFrom="margin">
              <wp14:pctHeight>0</wp14:pctHeight>
            </wp14:sizeRelV>
          </wp:anchor>
        </w:drawing>
      </w:r>
      <w:r w:rsidR="0069543C" w:rsidRPr="009F2567">
        <w:rPr>
          <w:rFonts w:asciiTheme="majorHAnsi" w:hAnsiTheme="majorHAnsi" w:cstheme="majorHAnsi"/>
        </w:rPr>
        <w:t>Performanca mesata</w:t>
      </w:r>
      <w:r>
        <w:rPr>
          <w:rFonts w:asciiTheme="majorHAnsi" w:hAnsiTheme="majorHAnsi" w:cstheme="majorHAnsi"/>
        </w:rPr>
        <w:t>re e Komunës së Kllokotit  në 29</w:t>
      </w:r>
      <w:r w:rsidR="0069543C" w:rsidRPr="009F2567">
        <w:rPr>
          <w:rFonts w:asciiTheme="majorHAnsi" w:hAnsiTheme="majorHAnsi" w:cstheme="majorHAnsi"/>
        </w:rPr>
        <w:t xml:space="preserve"> indikatorët e vlerësuar është </w:t>
      </w:r>
      <w:r>
        <w:rPr>
          <w:rFonts w:asciiTheme="majorHAnsi" w:hAnsiTheme="majorHAnsi" w:cstheme="majorHAnsi"/>
        </w:rPr>
        <w:t>0 pikë nga gjithsej 98</w:t>
      </w:r>
      <w:r w:rsidR="0069543C" w:rsidRPr="009F2567">
        <w:rPr>
          <w:rFonts w:asciiTheme="majorHAnsi" w:hAnsiTheme="majorHAnsi" w:cstheme="majorHAnsi"/>
        </w:rPr>
        <w:t xml:space="preserve"> pikë të mundshme (</w:t>
      </w:r>
      <w:r>
        <w:rPr>
          <w:rFonts w:asciiTheme="majorHAnsi" w:hAnsiTheme="majorHAnsi" w:cstheme="majorHAnsi"/>
        </w:rPr>
        <w:t>0.00</w:t>
      </w:r>
      <w:r w:rsidR="0069543C" w:rsidRPr="009F2567">
        <w:rPr>
          <w:rFonts w:asciiTheme="majorHAnsi" w:hAnsiTheme="majorHAnsi" w:cstheme="majorHAnsi"/>
        </w:rPr>
        <w:t>%).</w:t>
      </w:r>
      <w:r w:rsidR="0069543C" w:rsidRPr="009F2567">
        <w:rPr>
          <w:noProof/>
        </w:rPr>
        <w:t xml:space="preserve"> </w:t>
      </w:r>
    </w:p>
    <w:p w:rsidR="0069543C" w:rsidRPr="009F2567" w:rsidRDefault="006A4FD7" w:rsidP="0069543C">
      <w:pPr>
        <w:jc w:val="both"/>
        <w:rPr>
          <w:rFonts w:asciiTheme="majorHAnsi" w:hAnsiTheme="majorHAnsi" w:cstheme="majorHAnsi"/>
        </w:rPr>
      </w:pPr>
      <w:r>
        <w:rPr>
          <w:rFonts w:asciiTheme="majorHAnsi" w:hAnsiTheme="majorHAnsi" w:cstheme="majorHAnsi"/>
        </w:rPr>
        <w:t>Performanca mesatare në 13</w:t>
      </w:r>
      <w:r w:rsidR="0069543C" w:rsidRPr="009F2567">
        <w:rPr>
          <w:rFonts w:asciiTheme="majorHAnsi" w:hAnsiTheme="majorHAnsi" w:cstheme="majorHAnsi"/>
        </w:rPr>
        <w:t xml:space="preserve"> treguesit e vlerësuar në kuadër të fushës ‘Qeverisja demokratike’ është </w:t>
      </w:r>
      <w:r w:rsidR="0091147D">
        <w:rPr>
          <w:rFonts w:asciiTheme="majorHAnsi" w:hAnsiTheme="majorHAnsi" w:cstheme="majorHAnsi"/>
        </w:rPr>
        <w:t>0</w:t>
      </w:r>
      <w:r w:rsidR="0069543C" w:rsidRPr="009F2567">
        <w:rPr>
          <w:rFonts w:asciiTheme="majorHAnsi" w:hAnsiTheme="majorHAnsi" w:cstheme="majorHAnsi"/>
        </w:rPr>
        <w:t xml:space="preserve"> pikë nga gjithsej </w:t>
      </w:r>
      <w:r w:rsidR="0009266D">
        <w:rPr>
          <w:rFonts w:asciiTheme="majorHAnsi" w:hAnsiTheme="majorHAnsi" w:cstheme="majorHAnsi"/>
        </w:rPr>
        <w:t>40</w:t>
      </w:r>
      <w:r w:rsidR="0069543C" w:rsidRPr="009F2567">
        <w:rPr>
          <w:rFonts w:asciiTheme="majorHAnsi" w:hAnsiTheme="majorHAnsi" w:cstheme="majorHAnsi"/>
        </w:rPr>
        <w:t xml:space="preserve"> pikët të mundshme (</w:t>
      </w:r>
      <w:r w:rsidR="0091147D">
        <w:rPr>
          <w:rFonts w:asciiTheme="majorHAnsi" w:hAnsiTheme="majorHAnsi" w:cstheme="majorHAnsi"/>
        </w:rPr>
        <w:t>0.00</w:t>
      </w:r>
      <w:r w:rsidR="0069543C" w:rsidRPr="009F2567">
        <w:rPr>
          <w:rFonts w:asciiTheme="majorHAnsi" w:hAnsiTheme="majorHAnsi" w:cstheme="majorHAnsi"/>
        </w:rPr>
        <w:t xml:space="preserve">%). </w:t>
      </w:r>
    </w:p>
    <w:p w:rsidR="0069543C" w:rsidRPr="009F2567" w:rsidRDefault="006A4FD7" w:rsidP="0069543C">
      <w:pPr>
        <w:jc w:val="both"/>
        <w:rPr>
          <w:rFonts w:asciiTheme="majorHAnsi" w:hAnsiTheme="majorHAnsi" w:cstheme="majorHAnsi"/>
        </w:rPr>
      </w:pPr>
      <w:r>
        <w:rPr>
          <w:rFonts w:asciiTheme="majorHAnsi" w:hAnsiTheme="majorHAnsi" w:cstheme="majorHAnsi"/>
        </w:rPr>
        <w:t>Performanca mesatare në 7</w:t>
      </w:r>
      <w:r w:rsidR="0069543C" w:rsidRPr="009F2567">
        <w:rPr>
          <w:rFonts w:asciiTheme="majorHAnsi" w:hAnsiTheme="majorHAnsi" w:cstheme="majorHAnsi"/>
        </w:rPr>
        <w:t xml:space="preserve"> treguesit e vlerësuar në kuadër të fushës ‘Menaxhimi Komunal’ është</w:t>
      </w:r>
      <w:r w:rsidR="0091147D">
        <w:rPr>
          <w:rFonts w:asciiTheme="majorHAnsi" w:hAnsiTheme="majorHAnsi" w:cstheme="majorHAnsi"/>
        </w:rPr>
        <w:t xml:space="preserve"> 0</w:t>
      </w:r>
      <w:r w:rsidR="0069543C" w:rsidRPr="009F2567">
        <w:rPr>
          <w:rFonts w:asciiTheme="majorHAnsi" w:hAnsiTheme="majorHAnsi" w:cstheme="majorHAnsi"/>
        </w:rPr>
        <w:t xml:space="preserve"> pikë nga gjithsej 2</w:t>
      </w:r>
      <w:r w:rsidR="0009266D">
        <w:rPr>
          <w:rFonts w:asciiTheme="majorHAnsi" w:hAnsiTheme="majorHAnsi" w:cstheme="majorHAnsi"/>
        </w:rPr>
        <w:t>8</w:t>
      </w:r>
      <w:r w:rsidR="0091147D">
        <w:rPr>
          <w:rFonts w:asciiTheme="majorHAnsi" w:hAnsiTheme="majorHAnsi" w:cstheme="majorHAnsi"/>
        </w:rPr>
        <w:t xml:space="preserve"> pikë të mundshme (0.00</w:t>
      </w:r>
      <w:r w:rsidR="0069543C" w:rsidRPr="009F2567">
        <w:rPr>
          <w:rFonts w:asciiTheme="majorHAnsi" w:hAnsiTheme="majorHAnsi" w:cstheme="majorHAnsi"/>
        </w:rPr>
        <w:t xml:space="preserve">%). </w:t>
      </w:r>
    </w:p>
    <w:p w:rsidR="0069543C" w:rsidRPr="009F2567" w:rsidRDefault="0091147D" w:rsidP="0069543C">
      <w:pPr>
        <w:jc w:val="both"/>
        <w:rPr>
          <w:rFonts w:asciiTheme="majorHAnsi" w:hAnsiTheme="majorHAnsi" w:cstheme="majorHAnsi"/>
        </w:rPr>
      </w:pPr>
      <w:r>
        <w:rPr>
          <w:rFonts w:asciiTheme="majorHAnsi" w:hAnsiTheme="majorHAnsi" w:cstheme="majorHAnsi"/>
        </w:rPr>
        <w:t>Performanca mesatare në 9</w:t>
      </w:r>
      <w:r w:rsidR="0069543C" w:rsidRPr="009F2567">
        <w:rPr>
          <w:rFonts w:asciiTheme="majorHAnsi" w:hAnsiTheme="majorHAnsi" w:cstheme="majorHAnsi"/>
        </w:rPr>
        <w:t xml:space="preserve"> treguesit e vlerësuar në kuadër të fushës ‘Ofrimi i shërbimeve’ është </w:t>
      </w:r>
      <w:r>
        <w:rPr>
          <w:rFonts w:asciiTheme="majorHAnsi" w:hAnsiTheme="majorHAnsi" w:cstheme="majorHAnsi"/>
        </w:rPr>
        <w:t>0</w:t>
      </w:r>
      <w:r w:rsidR="0069543C" w:rsidRPr="009F2567">
        <w:rPr>
          <w:rFonts w:asciiTheme="majorHAnsi" w:hAnsiTheme="majorHAnsi" w:cstheme="majorHAnsi"/>
        </w:rPr>
        <w:t xml:space="preserve"> pikë nga gjithsej </w:t>
      </w:r>
      <w:r w:rsidR="0009266D">
        <w:rPr>
          <w:rFonts w:asciiTheme="majorHAnsi" w:hAnsiTheme="majorHAnsi" w:cstheme="majorHAnsi"/>
        </w:rPr>
        <w:t>30</w:t>
      </w:r>
      <w:r w:rsidR="0069543C" w:rsidRPr="009F2567">
        <w:rPr>
          <w:rFonts w:asciiTheme="majorHAnsi" w:hAnsiTheme="majorHAnsi" w:cstheme="majorHAnsi"/>
        </w:rPr>
        <w:t xml:space="preserve"> pikë të mundshme (</w:t>
      </w:r>
      <w:r>
        <w:rPr>
          <w:rFonts w:asciiTheme="majorHAnsi" w:hAnsiTheme="majorHAnsi" w:cstheme="majorHAnsi"/>
        </w:rPr>
        <w:t>0.00</w:t>
      </w:r>
      <w:r w:rsidR="0069543C" w:rsidRPr="009F2567">
        <w:rPr>
          <w:rFonts w:asciiTheme="majorHAnsi" w:hAnsiTheme="majorHAnsi" w:cstheme="majorHAnsi"/>
        </w:rPr>
        <w:t xml:space="preserve">%). </w:t>
      </w:r>
    </w:p>
    <w:p w:rsidR="0069543C" w:rsidRPr="009F2567" w:rsidRDefault="0069543C" w:rsidP="0069543C"/>
    <w:p w:rsidR="0069543C" w:rsidRPr="009F2567" w:rsidRDefault="0069543C" w:rsidP="0069543C">
      <w:pPr>
        <w:jc w:val="both"/>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eastAsiaTheme="majorEastAsia" w:cs="Calibri Light"/>
          <w:b/>
          <w:noProof/>
          <w:lang w:val="de-CH"/>
        </w:rPr>
      </w:pPr>
      <w:r w:rsidRPr="009F2567">
        <w:rPr>
          <w:rFonts w:eastAsiaTheme="majorEastAsia" w:cs="Calibri Light"/>
          <w:b/>
          <w:noProof/>
          <w:lang w:val="de-CH"/>
        </w:rPr>
        <w:lastRenderedPageBreak/>
        <w:t>Përmbledhje e rezultateve për vitin 202</w:t>
      </w:r>
      <w:r w:rsidR="0091147D">
        <w:rPr>
          <w:rFonts w:eastAsiaTheme="majorEastAsia" w:cs="Calibri Light"/>
          <w:b/>
          <w:noProof/>
          <w:lang w:val="de-CH"/>
        </w:rPr>
        <w:t>4</w:t>
      </w:r>
      <w:r w:rsidRPr="009F2567">
        <w:rPr>
          <w:rFonts w:eastAsiaTheme="majorEastAsia" w:cs="Calibri Light"/>
          <w:b/>
          <w:noProof/>
          <w:lang w:val="de-CH"/>
        </w:rPr>
        <w:t xml:space="preserve"> për grantin e performancës komunale - Komuna Leposaviq</w:t>
      </w:r>
    </w:p>
    <w:p w:rsidR="0069543C" w:rsidRPr="009F2567" w:rsidRDefault="0069543C" w:rsidP="0069543C">
      <w:pPr>
        <w:rPr>
          <w:b/>
        </w:rPr>
      </w:pPr>
      <w:r w:rsidRPr="009F2567">
        <w:rPr>
          <w:b/>
        </w:rPr>
        <w:t xml:space="preserve">Vlerësimi i </w:t>
      </w:r>
      <w:r w:rsidR="0091147D">
        <w:rPr>
          <w:b/>
        </w:rPr>
        <w:t>kushteve minimale për vitin 2024</w:t>
      </w:r>
    </w:p>
    <w:p w:rsidR="0069543C" w:rsidRPr="009F2567" w:rsidRDefault="0091147D" w:rsidP="0069543C">
      <w:pPr>
        <w:jc w:val="both"/>
        <w:rPr>
          <w:rFonts w:asciiTheme="majorHAnsi" w:hAnsiTheme="majorHAnsi" w:cstheme="majorHAnsi"/>
          <w:lang w:val="de-CH"/>
        </w:rPr>
      </w:pPr>
      <w:r w:rsidRPr="009F2567">
        <w:rPr>
          <w:noProof/>
          <w:lang w:val="en-GB" w:eastAsia="en-GB"/>
        </w:rPr>
        <w:drawing>
          <wp:anchor distT="0" distB="0" distL="114300" distR="114300" simplePos="0" relativeHeight="251688960" behindDoc="0" locked="0" layoutInCell="1" allowOverlap="1" wp14:anchorId="36D25775" wp14:editId="3E71EDC2">
            <wp:simplePos x="0" y="0"/>
            <wp:positionH relativeFrom="margin">
              <wp:posOffset>2526665</wp:posOffset>
            </wp:positionH>
            <wp:positionV relativeFrom="paragraph">
              <wp:posOffset>72390</wp:posOffset>
            </wp:positionV>
            <wp:extent cx="3505835" cy="2260600"/>
            <wp:effectExtent l="0" t="0" r="18415" b="6350"/>
            <wp:wrapSquare wrapText="bothSides"/>
            <wp:docPr id="45" name="Chart 4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0069543C" w:rsidRPr="009F2567">
        <w:rPr>
          <w:rFonts w:asciiTheme="majorHAnsi" w:hAnsiTheme="majorHAnsi" w:cstheme="majorHAnsi"/>
          <w:lang w:val="de-CH"/>
        </w:rPr>
        <w:t>Komuna e Leposaviqit nuk është kualifikuar për grantin e perf</w:t>
      </w:r>
      <w:r>
        <w:rPr>
          <w:rFonts w:asciiTheme="majorHAnsi" w:hAnsiTheme="majorHAnsi" w:cstheme="majorHAnsi"/>
          <w:lang w:val="de-CH"/>
        </w:rPr>
        <w:t>ormancës komunale për vitin 2024</w:t>
      </w:r>
      <w:r w:rsidR="0069543C" w:rsidRPr="009F2567">
        <w:rPr>
          <w:rFonts w:asciiTheme="majorHAnsi" w:hAnsiTheme="majorHAnsi" w:cstheme="majorHAnsi"/>
          <w:lang w:val="de-CH"/>
        </w:rPr>
        <w:t>.</w:t>
      </w:r>
    </w:p>
    <w:p w:rsidR="0069543C" w:rsidRPr="009F2567" w:rsidRDefault="0069543C" w:rsidP="0069543C">
      <w:pPr>
        <w:tabs>
          <w:tab w:val="left" w:pos="1190"/>
        </w:tabs>
        <w:jc w:val="both"/>
        <w:rPr>
          <w:rFonts w:asciiTheme="majorHAnsi" w:hAnsiTheme="majorHAnsi" w:cstheme="majorHAnsi"/>
        </w:rPr>
      </w:pPr>
      <w:bookmarkStart w:id="45" w:name="_Hlk178069565"/>
      <w:r w:rsidRPr="009F2567">
        <w:rPr>
          <w:rFonts w:asciiTheme="majorHAnsi" w:hAnsiTheme="majorHAnsi" w:cstheme="majorHAnsi"/>
          <w:lang w:val="de-CH"/>
        </w:rPr>
        <w:t>Kushtet minimale numër</w:t>
      </w:r>
      <w:r w:rsidR="0002364E" w:rsidRPr="009F2567">
        <w:rPr>
          <w:rFonts w:asciiTheme="majorHAnsi" w:hAnsiTheme="majorHAnsi" w:cstheme="majorHAnsi"/>
          <w:lang w:val="de-CH"/>
        </w:rPr>
        <w:t xml:space="preserve"> 1</w:t>
      </w:r>
      <w:r w:rsidR="005722CE">
        <w:rPr>
          <w:rFonts w:asciiTheme="majorHAnsi" w:hAnsiTheme="majorHAnsi" w:cstheme="majorHAnsi"/>
          <w:lang w:val="de-CH"/>
        </w:rPr>
        <w:t xml:space="preserve"> </w:t>
      </w:r>
      <w:r w:rsidR="0002364E" w:rsidRPr="009F2567">
        <w:rPr>
          <w:rFonts w:asciiTheme="majorHAnsi" w:hAnsiTheme="majorHAnsi" w:cstheme="majorHAnsi"/>
          <w:lang w:val="de-CH"/>
        </w:rPr>
        <w:t xml:space="preserve">(komunat duhet të kenë raportuar të dhënat në SMPK sipas afatit të përcaktuar) numër </w:t>
      </w:r>
      <w:r w:rsidRPr="009F2567">
        <w:rPr>
          <w:rFonts w:asciiTheme="majorHAnsi" w:hAnsiTheme="majorHAnsi" w:cstheme="majorHAnsi"/>
          <w:lang w:val="de-CH"/>
        </w:rPr>
        <w:t>3 (opinioni i auditorit të jetë të paktën i pamodifikuar me theksim të çështjes) dhe numër 4 (shkalla e shpenzimit të buxhetit për investime kapitale për vitin 202</w:t>
      </w:r>
      <w:r w:rsidR="0091147D">
        <w:rPr>
          <w:rFonts w:asciiTheme="majorHAnsi" w:hAnsiTheme="majorHAnsi" w:cstheme="majorHAnsi"/>
          <w:lang w:val="de-CH"/>
        </w:rPr>
        <w:t>4</w:t>
      </w:r>
      <w:r w:rsidRPr="009F2567">
        <w:rPr>
          <w:rFonts w:asciiTheme="majorHAnsi" w:hAnsiTheme="majorHAnsi" w:cstheme="majorHAnsi"/>
          <w:lang w:val="de-CH"/>
        </w:rPr>
        <w:t xml:space="preserve"> të jetë së paku 75%) nuk janë përmbushur. </w:t>
      </w:r>
    </w:p>
    <w:bookmarkEnd w:id="45"/>
    <w:p w:rsidR="0069543C" w:rsidRPr="009F2567" w:rsidRDefault="0069543C" w:rsidP="0069543C">
      <w:pPr>
        <w:tabs>
          <w:tab w:val="left" w:pos="1190"/>
        </w:tabs>
      </w:pPr>
      <w:r w:rsidRPr="009F2567">
        <w:rPr>
          <w:b/>
        </w:rPr>
        <w:tab/>
      </w:r>
    </w:p>
    <w:p w:rsidR="0069543C" w:rsidRPr="009F2567" w:rsidRDefault="0069543C" w:rsidP="0069543C">
      <w:pPr>
        <w:tabs>
          <w:tab w:val="left" w:pos="1190"/>
        </w:tabs>
      </w:pPr>
      <w:r w:rsidRPr="009F2567">
        <w:rPr>
          <w:b/>
        </w:rPr>
        <w:tab/>
      </w:r>
    </w:p>
    <w:p w:rsidR="0069543C" w:rsidRPr="009F2567" w:rsidRDefault="0069543C" w:rsidP="0069543C">
      <w:pPr>
        <w:rPr>
          <w:lang w:val="de-CH"/>
        </w:rPr>
      </w:pPr>
      <w:r w:rsidRPr="009F2567">
        <w:rPr>
          <w:lang w:val="de-CH"/>
        </w:rPr>
        <w:t xml:space="preserve"> </w:t>
      </w:r>
    </w:p>
    <w:p w:rsidR="0069543C" w:rsidRPr="009F2567" w:rsidRDefault="0069543C" w:rsidP="0069543C">
      <w:pPr>
        <w:rPr>
          <w:lang w:val="de-CH"/>
        </w:rPr>
      </w:pPr>
    </w:p>
    <w:p w:rsidR="0069543C" w:rsidRPr="009F2567" w:rsidRDefault="0069543C" w:rsidP="0069543C">
      <w:pPr>
        <w:rPr>
          <w:b/>
        </w:rPr>
      </w:pPr>
      <w:r w:rsidRPr="009F2567">
        <w:rPr>
          <w:b/>
        </w:rPr>
        <w:t>Vlerësimi i treguesv</w:t>
      </w:r>
      <w:r w:rsidR="0091147D">
        <w:rPr>
          <w:b/>
        </w:rPr>
        <w:t>e të performancës për vitin 2024</w:t>
      </w:r>
    </w:p>
    <w:p w:rsidR="00D45ED6" w:rsidRDefault="00D45ED6" w:rsidP="000D25ED">
      <w:pPr>
        <w:jc w:val="both"/>
        <w:rPr>
          <w:rFonts w:cstheme="majorHAnsi"/>
        </w:rPr>
      </w:pPr>
      <w:r>
        <w:rPr>
          <w:noProof/>
          <w:lang w:val="en-GB" w:eastAsia="en-GB"/>
          <w14:ligatures w14:val="standardContextual"/>
        </w:rPr>
        <w:drawing>
          <wp:anchor distT="0" distB="0" distL="114300" distR="114300" simplePos="0" relativeHeight="251784192" behindDoc="0" locked="0" layoutInCell="1" allowOverlap="1" wp14:anchorId="53601FFB" wp14:editId="7AA33CA9">
            <wp:simplePos x="0" y="0"/>
            <wp:positionH relativeFrom="column">
              <wp:posOffset>2543175</wp:posOffset>
            </wp:positionH>
            <wp:positionV relativeFrom="paragraph">
              <wp:posOffset>256540</wp:posOffset>
            </wp:positionV>
            <wp:extent cx="3314700" cy="2505075"/>
            <wp:effectExtent l="0" t="0" r="0" b="9525"/>
            <wp:wrapSquare wrapText="bothSides"/>
            <wp:docPr id="1354147023"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9265A3E-DB16-4EDE-B375-6CA11C9530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V relativeFrom="margin">
              <wp14:pctHeight>0</wp14:pctHeight>
            </wp14:sizeRelV>
          </wp:anchor>
        </w:drawing>
      </w:r>
      <w:r w:rsidR="0069543C" w:rsidRPr="009F2567">
        <w:rPr>
          <w:rFonts w:cstheme="majorHAnsi"/>
        </w:rPr>
        <w:t>Perform</w:t>
      </w:r>
      <w:r w:rsidR="0091147D">
        <w:rPr>
          <w:rFonts w:cstheme="majorHAnsi"/>
        </w:rPr>
        <w:t>anca mesatare e Komunës së në 29</w:t>
      </w:r>
      <w:r w:rsidR="0069543C" w:rsidRPr="009F2567">
        <w:rPr>
          <w:rFonts w:cstheme="majorHAnsi"/>
        </w:rPr>
        <w:t xml:space="preserve"> indikatorët e vlerësuar është 0 pikë nga gjithsej 9</w:t>
      </w:r>
      <w:r w:rsidR="005722CE">
        <w:rPr>
          <w:rFonts w:cstheme="majorHAnsi"/>
        </w:rPr>
        <w:t>8</w:t>
      </w:r>
      <w:r w:rsidR="0069543C" w:rsidRPr="009F2567">
        <w:rPr>
          <w:rFonts w:cstheme="majorHAnsi"/>
        </w:rPr>
        <w:t xml:space="preserve"> pikë të mundshme (0%).</w:t>
      </w:r>
      <w:r w:rsidR="0069543C" w:rsidRPr="009F2567">
        <w:rPr>
          <w:noProof/>
        </w:rPr>
        <w:t xml:space="preserve"> </w:t>
      </w:r>
    </w:p>
    <w:p w:rsidR="006A4FD7" w:rsidRDefault="006A4FD7" w:rsidP="000D25ED">
      <w:pPr>
        <w:jc w:val="both"/>
        <w:rPr>
          <w:rFonts w:cstheme="majorHAnsi"/>
        </w:rPr>
      </w:pPr>
      <w:r>
        <w:rPr>
          <w:rFonts w:cstheme="majorHAnsi"/>
        </w:rPr>
        <w:t>Performanca mesatare në 13</w:t>
      </w:r>
      <w:r w:rsidR="0069543C" w:rsidRPr="009F2567">
        <w:rPr>
          <w:rFonts w:cstheme="majorHAnsi"/>
        </w:rPr>
        <w:t xml:space="preserve"> treguesit e vlerësuar në kuadër të fushës ‘Qeverisja demokratike’ është 0 pikë nga gjithsej </w:t>
      </w:r>
      <w:r w:rsidR="0009266D">
        <w:rPr>
          <w:rFonts w:cstheme="majorHAnsi"/>
        </w:rPr>
        <w:t>40</w:t>
      </w:r>
      <w:r w:rsidR="0069543C" w:rsidRPr="009F2567">
        <w:rPr>
          <w:rFonts w:cstheme="majorHAnsi"/>
        </w:rPr>
        <w:t xml:space="preserve"> pikët të mundshme (0%). </w:t>
      </w:r>
    </w:p>
    <w:p w:rsidR="000D25ED" w:rsidRPr="009F2567" w:rsidRDefault="006A4FD7" w:rsidP="000D25ED">
      <w:pPr>
        <w:jc w:val="both"/>
        <w:rPr>
          <w:rFonts w:cstheme="majorHAnsi"/>
        </w:rPr>
      </w:pPr>
      <w:r>
        <w:rPr>
          <w:rFonts w:cstheme="majorHAnsi"/>
        </w:rPr>
        <w:t>Performanca mesatare në 7</w:t>
      </w:r>
      <w:r w:rsidR="000D25ED" w:rsidRPr="009F2567">
        <w:rPr>
          <w:rFonts w:cstheme="majorHAnsi"/>
        </w:rPr>
        <w:t xml:space="preserve"> treguesit e vlerësuar në kuadër të fushës ‘Menaxhimi Komunal’ është 0 pikë nga gjithsej 2</w:t>
      </w:r>
      <w:r w:rsidR="0009266D">
        <w:rPr>
          <w:rFonts w:cstheme="majorHAnsi"/>
        </w:rPr>
        <w:t>8</w:t>
      </w:r>
      <w:r w:rsidR="000D25ED" w:rsidRPr="009F2567">
        <w:rPr>
          <w:rFonts w:cstheme="majorHAnsi"/>
        </w:rPr>
        <w:t xml:space="preserve"> pikë të mundshme (0%). </w:t>
      </w:r>
    </w:p>
    <w:p w:rsidR="000D25ED" w:rsidRPr="009F2567" w:rsidRDefault="0091147D" w:rsidP="000D25ED">
      <w:pPr>
        <w:jc w:val="both"/>
        <w:rPr>
          <w:rFonts w:cstheme="majorHAnsi"/>
        </w:rPr>
      </w:pPr>
      <w:r>
        <w:rPr>
          <w:rFonts w:cstheme="majorHAnsi"/>
        </w:rPr>
        <w:t>Performanca mesatare në 9</w:t>
      </w:r>
      <w:r w:rsidR="000D25ED" w:rsidRPr="009F2567">
        <w:rPr>
          <w:rFonts w:cstheme="majorHAnsi"/>
        </w:rPr>
        <w:t xml:space="preserve"> treguesit e vlerësuar në kuadër të fushës ‘Ofrimi i shërbimeve’ është 0 pikë nga gjithsej </w:t>
      </w:r>
      <w:r w:rsidR="0009266D">
        <w:rPr>
          <w:rFonts w:cstheme="majorHAnsi"/>
        </w:rPr>
        <w:t xml:space="preserve">30 </w:t>
      </w:r>
      <w:r w:rsidR="000D25ED" w:rsidRPr="009F2567">
        <w:rPr>
          <w:rFonts w:cstheme="majorHAnsi"/>
        </w:rPr>
        <w:t xml:space="preserve">pikë të mundshme (0%). </w:t>
      </w:r>
    </w:p>
    <w:p w:rsidR="0069543C" w:rsidRPr="009F2567" w:rsidRDefault="0069543C" w:rsidP="0069543C">
      <w:pPr>
        <w:jc w:val="both"/>
        <w:rPr>
          <w:rFonts w:cstheme="majorHAnsi"/>
        </w:rPr>
      </w:pPr>
    </w:p>
    <w:p w:rsidR="0069543C" w:rsidRPr="009F2567" w:rsidRDefault="0069543C" w:rsidP="0069543C"/>
    <w:p w:rsidR="0069543C" w:rsidRPr="009F2567" w:rsidRDefault="0069543C" w:rsidP="0069543C">
      <w:pPr>
        <w:jc w:val="both"/>
      </w:pPr>
    </w:p>
    <w:p w:rsidR="0069543C" w:rsidRPr="009F2567" w:rsidRDefault="0069543C" w:rsidP="0069543C">
      <w:pPr>
        <w:jc w:val="both"/>
      </w:pPr>
    </w:p>
    <w:p w:rsidR="0069543C" w:rsidRPr="009F2567" w:rsidRDefault="0069543C" w:rsidP="0069543C">
      <w:pPr>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eastAsiaTheme="majorEastAsia" w:cs="Calibri Light"/>
          <w:b/>
          <w:noProof/>
          <w:lang w:val="de-CH"/>
        </w:rPr>
      </w:pPr>
      <w:r w:rsidRPr="009F2567">
        <w:rPr>
          <w:rFonts w:eastAsiaTheme="majorEastAsia" w:cs="Calibri Light"/>
          <w:b/>
          <w:noProof/>
          <w:lang w:val="de-CH"/>
        </w:rPr>
        <w:lastRenderedPageBreak/>
        <w:t>Përmbledhje e rezultateve për vitin 202</w:t>
      </w:r>
      <w:r w:rsidR="0091147D">
        <w:rPr>
          <w:rFonts w:eastAsiaTheme="majorEastAsia" w:cs="Calibri Light"/>
          <w:b/>
          <w:noProof/>
          <w:lang w:val="de-CH"/>
        </w:rPr>
        <w:t>4</w:t>
      </w:r>
      <w:r w:rsidRPr="009F2567">
        <w:rPr>
          <w:rFonts w:eastAsiaTheme="majorEastAsia" w:cs="Calibri Light"/>
          <w:b/>
          <w:noProof/>
          <w:lang w:val="de-CH"/>
        </w:rPr>
        <w:t xml:space="preserve"> për grantin e performancës komunale - Komuna Lipjan</w:t>
      </w:r>
    </w:p>
    <w:p w:rsidR="0069543C" w:rsidRPr="009F2567" w:rsidRDefault="0069543C" w:rsidP="0069543C">
      <w:pPr>
        <w:rPr>
          <w:b/>
        </w:rPr>
      </w:pPr>
      <w:r w:rsidRPr="009F2567">
        <w:rPr>
          <w:b/>
        </w:rPr>
        <w:t xml:space="preserve">Vlerësimi i </w:t>
      </w:r>
      <w:r w:rsidR="0091147D">
        <w:rPr>
          <w:b/>
        </w:rPr>
        <w:t>kushteve minimale për vitin 2024</w:t>
      </w:r>
    </w:p>
    <w:p w:rsidR="0069543C" w:rsidRPr="009F2567" w:rsidRDefault="0069543C" w:rsidP="0069543C">
      <w:pPr>
        <w:jc w:val="both"/>
        <w:rPr>
          <w:rFonts w:asciiTheme="majorHAnsi" w:hAnsiTheme="majorHAnsi" w:cstheme="majorHAnsi"/>
          <w:noProof/>
          <w:lang w:eastAsia="sr-Latn-RS"/>
        </w:rPr>
      </w:pPr>
      <w:r w:rsidRPr="009F2567">
        <w:rPr>
          <w:rFonts w:asciiTheme="majorHAnsi" w:hAnsiTheme="majorHAnsi" w:cstheme="majorHAnsi"/>
          <w:noProof/>
          <w:lang w:val="en-GB" w:eastAsia="en-GB"/>
        </w:rPr>
        <w:drawing>
          <wp:anchor distT="0" distB="0" distL="114300" distR="114300" simplePos="0" relativeHeight="251689984" behindDoc="0" locked="0" layoutInCell="1" allowOverlap="1" wp14:anchorId="151EC6EE" wp14:editId="2346BD75">
            <wp:simplePos x="0" y="0"/>
            <wp:positionH relativeFrom="margin">
              <wp:align>right</wp:align>
            </wp:positionH>
            <wp:positionV relativeFrom="paragraph">
              <wp:posOffset>6350</wp:posOffset>
            </wp:positionV>
            <wp:extent cx="3155950" cy="1884045"/>
            <wp:effectExtent l="0" t="0" r="6350" b="1905"/>
            <wp:wrapSquare wrapText="bothSides"/>
            <wp:docPr id="46" name="Chart 4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0091147D">
        <w:rPr>
          <w:rFonts w:asciiTheme="majorHAnsi" w:hAnsiTheme="majorHAnsi" w:cstheme="majorHAnsi"/>
          <w:lang w:val="de-CH"/>
        </w:rPr>
        <w:t xml:space="preserve">Komuna e Lipjanit nuk </w:t>
      </w:r>
      <w:r w:rsidRPr="009F2567">
        <w:rPr>
          <w:rFonts w:asciiTheme="majorHAnsi" w:hAnsiTheme="majorHAnsi" w:cstheme="majorHAnsi"/>
          <w:lang w:val="de-CH"/>
        </w:rPr>
        <w:t>është kualifikuar për grantin e perf</w:t>
      </w:r>
      <w:r w:rsidR="0091147D">
        <w:rPr>
          <w:rFonts w:asciiTheme="majorHAnsi" w:hAnsiTheme="majorHAnsi" w:cstheme="majorHAnsi"/>
          <w:lang w:val="de-CH"/>
        </w:rPr>
        <w:t>ormancës komunale për vitin 2024</w:t>
      </w:r>
      <w:r w:rsidRPr="009F2567">
        <w:rPr>
          <w:rFonts w:asciiTheme="majorHAnsi" w:hAnsiTheme="majorHAnsi" w:cstheme="majorHAnsi"/>
          <w:lang w:val="de-CH"/>
        </w:rPr>
        <w:t xml:space="preserve">. </w:t>
      </w:r>
      <w:r w:rsidRPr="009F2567">
        <w:rPr>
          <w:rFonts w:asciiTheme="majorHAnsi" w:hAnsiTheme="majorHAnsi" w:cstheme="majorHAnsi"/>
          <w:noProof/>
          <w:lang w:eastAsia="sr-Latn-RS"/>
        </w:rPr>
        <w:t xml:space="preserve"> </w:t>
      </w:r>
    </w:p>
    <w:p w:rsidR="0069543C" w:rsidRPr="009F2567" w:rsidRDefault="0091147D" w:rsidP="0069543C">
      <w:pPr>
        <w:rPr>
          <w:lang w:val="de-CH"/>
        </w:rPr>
      </w:pPr>
      <w:r w:rsidRPr="0091147D">
        <w:rPr>
          <w:rFonts w:asciiTheme="majorHAnsi" w:hAnsiTheme="majorHAnsi" w:cstheme="majorHAnsi"/>
          <w:lang w:val="de-CH"/>
        </w:rPr>
        <w:t>Kushti minimal numër 3 (opinioni i auditimit duhet të jetë të paktën i pamodifikuar me theksim të çështjes) nuk është përmbushur.</w:t>
      </w:r>
    </w:p>
    <w:p w:rsidR="0069543C" w:rsidRPr="009F2567" w:rsidRDefault="0069543C" w:rsidP="0069543C">
      <w:pPr>
        <w:rPr>
          <w:lang w:val="de-CH"/>
        </w:rPr>
      </w:pPr>
    </w:p>
    <w:p w:rsidR="0069543C" w:rsidRPr="009F2567" w:rsidRDefault="0069543C" w:rsidP="0069543C">
      <w:pPr>
        <w:rPr>
          <w:lang w:val="de-CH"/>
        </w:rPr>
      </w:pPr>
    </w:p>
    <w:p w:rsidR="0069543C" w:rsidRPr="009F2567" w:rsidRDefault="0069543C" w:rsidP="0069543C">
      <w:pPr>
        <w:rPr>
          <w:noProof/>
          <w:lang w:eastAsia="sr-Latn-RS"/>
        </w:rPr>
      </w:pPr>
    </w:p>
    <w:p w:rsidR="0069543C" w:rsidRPr="009F2567" w:rsidRDefault="0069543C" w:rsidP="0069543C"/>
    <w:p w:rsidR="0069543C" w:rsidRPr="009F2567" w:rsidRDefault="0069543C" w:rsidP="0069543C"/>
    <w:p w:rsidR="0069543C" w:rsidRPr="009F2567" w:rsidRDefault="0069543C" w:rsidP="0069543C"/>
    <w:p w:rsidR="0069543C" w:rsidRPr="009F2567" w:rsidRDefault="0069543C" w:rsidP="0069543C">
      <w:pPr>
        <w:rPr>
          <w:b/>
        </w:rPr>
      </w:pPr>
      <w:r w:rsidRPr="009F2567">
        <w:rPr>
          <w:b/>
        </w:rPr>
        <w:t>Vlerësimi i treguesv</w:t>
      </w:r>
      <w:r w:rsidR="0091147D">
        <w:rPr>
          <w:b/>
        </w:rPr>
        <w:t>e të performancës për vitin 2024</w:t>
      </w:r>
    </w:p>
    <w:p w:rsidR="0069543C" w:rsidRPr="009F2567" w:rsidRDefault="0069543C" w:rsidP="0069543C">
      <w:pPr>
        <w:jc w:val="both"/>
        <w:rPr>
          <w:rFonts w:cstheme="majorHAnsi"/>
        </w:rPr>
      </w:pPr>
      <w:r w:rsidRPr="009F2567">
        <w:rPr>
          <w:rFonts w:cstheme="majorHAnsi"/>
        </w:rPr>
        <w:t>Perform</w:t>
      </w:r>
      <w:r w:rsidR="0091147D">
        <w:rPr>
          <w:rFonts w:cstheme="majorHAnsi"/>
        </w:rPr>
        <w:t>anca mesatare e Komunës së në 29</w:t>
      </w:r>
      <w:r w:rsidRPr="009F2567">
        <w:rPr>
          <w:rFonts w:cstheme="majorHAnsi"/>
        </w:rPr>
        <w:t xml:space="preserve"> </w:t>
      </w:r>
      <w:r w:rsidR="0091147D">
        <w:rPr>
          <w:rFonts w:cstheme="majorHAnsi"/>
        </w:rPr>
        <w:t>indikatorët e vlerësuar është 72 pikë nga gjithsej 98</w:t>
      </w:r>
      <w:r w:rsidRPr="009F2567">
        <w:rPr>
          <w:rFonts w:cstheme="majorHAnsi"/>
        </w:rPr>
        <w:t xml:space="preserve"> pikë të mundshme (</w:t>
      </w:r>
      <w:r w:rsidR="0091147D">
        <w:rPr>
          <w:rFonts w:cstheme="majorHAnsi"/>
        </w:rPr>
        <w:t>73.47</w:t>
      </w:r>
      <w:r w:rsidRPr="009F2567">
        <w:rPr>
          <w:rFonts w:cstheme="majorHAnsi"/>
        </w:rPr>
        <w:t>%).</w:t>
      </w:r>
      <w:r w:rsidRPr="009F2567">
        <w:rPr>
          <w:noProof/>
        </w:rPr>
        <w:t xml:space="preserve"> </w:t>
      </w:r>
    </w:p>
    <w:p w:rsidR="0069543C" w:rsidRPr="009F2567" w:rsidRDefault="0091147D" w:rsidP="0069543C">
      <w:pPr>
        <w:jc w:val="both"/>
        <w:rPr>
          <w:rFonts w:cstheme="majorHAnsi"/>
        </w:rPr>
      </w:pPr>
      <w:r>
        <w:rPr>
          <w:noProof/>
          <w:lang w:val="en-GB" w:eastAsia="en-GB"/>
          <w14:ligatures w14:val="standardContextual"/>
        </w:rPr>
        <w:drawing>
          <wp:anchor distT="0" distB="0" distL="114300" distR="114300" simplePos="0" relativeHeight="251842560" behindDoc="0" locked="0" layoutInCell="1" allowOverlap="1" wp14:anchorId="7A368874" wp14:editId="191DD642">
            <wp:simplePos x="0" y="0"/>
            <wp:positionH relativeFrom="margin">
              <wp:posOffset>2483655</wp:posOffset>
            </wp:positionH>
            <wp:positionV relativeFrom="margin">
              <wp:posOffset>4537284</wp:posOffset>
            </wp:positionV>
            <wp:extent cx="3409950" cy="2599690"/>
            <wp:effectExtent l="0" t="0" r="0" b="1016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r w:rsidR="0069543C" w:rsidRPr="009F2567">
        <w:rPr>
          <w:rFonts w:cstheme="majorHAnsi"/>
        </w:rPr>
        <w:t xml:space="preserve">Performanca mesatare në </w:t>
      </w:r>
      <w:r w:rsidR="006A4FD7">
        <w:rPr>
          <w:rFonts w:cstheme="majorHAnsi"/>
        </w:rPr>
        <w:t>13</w:t>
      </w:r>
      <w:r w:rsidR="0069543C" w:rsidRPr="009F2567">
        <w:rPr>
          <w:rFonts w:cstheme="majorHAnsi"/>
        </w:rPr>
        <w:t xml:space="preserve"> treguesit e vlerësuar në kuadër të fushës </w:t>
      </w:r>
      <w:r w:rsidR="00520F39">
        <w:rPr>
          <w:rFonts w:cstheme="majorHAnsi"/>
        </w:rPr>
        <w:t>‘Qeverisja demokratike’ është 34</w:t>
      </w:r>
      <w:r w:rsidR="0069543C" w:rsidRPr="009F2567">
        <w:rPr>
          <w:rFonts w:cstheme="majorHAnsi"/>
        </w:rPr>
        <w:t xml:space="preserve"> pikë nga gjithsej </w:t>
      </w:r>
      <w:r w:rsidR="0009266D">
        <w:rPr>
          <w:rFonts w:cstheme="majorHAnsi"/>
        </w:rPr>
        <w:t>40</w:t>
      </w:r>
      <w:r w:rsidR="0069543C" w:rsidRPr="009F2567">
        <w:rPr>
          <w:rFonts w:cstheme="majorHAnsi"/>
        </w:rPr>
        <w:t xml:space="preserve"> pikët të mundshme (</w:t>
      </w:r>
      <w:r>
        <w:rPr>
          <w:rFonts w:cstheme="majorHAnsi"/>
        </w:rPr>
        <w:t>85.00</w:t>
      </w:r>
      <w:r w:rsidR="0069543C" w:rsidRPr="009F2567">
        <w:rPr>
          <w:rFonts w:cstheme="majorHAnsi"/>
        </w:rPr>
        <w:t xml:space="preserve">%). </w:t>
      </w:r>
    </w:p>
    <w:p w:rsidR="0069543C" w:rsidRPr="009F2567" w:rsidRDefault="006A4FD7" w:rsidP="0069543C">
      <w:pPr>
        <w:jc w:val="both"/>
        <w:rPr>
          <w:rFonts w:cstheme="majorHAnsi"/>
        </w:rPr>
      </w:pPr>
      <w:r>
        <w:rPr>
          <w:rFonts w:cstheme="majorHAnsi"/>
        </w:rPr>
        <w:t>Performanca mesatare në 7</w:t>
      </w:r>
      <w:r w:rsidR="0069543C" w:rsidRPr="009F2567">
        <w:rPr>
          <w:rFonts w:cstheme="majorHAnsi"/>
        </w:rPr>
        <w:t xml:space="preserve"> treguesit e vlerësuar në kuadër të fushës ‘Menaxhimi Komunal’ është 1</w:t>
      </w:r>
      <w:r w:rsidR="00520F39">
        <w:rPr>
          <w:rFonts w:cstheme="majorHAnsi"/>
        </w:rPr>
        <w:t>4</w:t>
      </w:r>
      <w:r w:rsidR="0069543C" w:rsidRPr="009F2567">
        <w:rPr>
          <w:rFonts w:cstheme="majorHAnsi"/>
        </w:rPr>
        <w:t xml:space="preserve"> pikë nga gjithsej 2</w:t>
      </w:r>
      <w:r w:rsidR="0009266D">
        <w:rPr>
          <w:rFonts w:cstheme="majorHAnsi"/>
        </w:rPr>
        <w:t>8</w:t>
      </w:r>
      <w:r w:rsidR="0069543C" w:rsidRPr="009F2567">
        <w:rPr>
          <w:rFonts w:cstheme="majorHAnsi"/>
        </w:rPr>
        <w:t xml:space="preserve"> pikë të mundshme (</w:t>
      </w:r>
      <w:r w:rsidR="0091147D">
        <w:rPr>
          <w:rFonts w:cstheme="majorHAnsi"/>
        </w:rPr>
        <w:t>50.00</w:t>
      </w:r>
      <w:r w:rsidR="0069543C" w:rsidRPr="009F2567">
        <w:rPr>
          <w:rFonts w:cstheme="majorHAnsi"/>
        </w:rPr>
        <w:t xml:space="preserve">%). </w:t>
      </w:r>
    </w:p>
    <w:p w:rsidR="0069543C" w:rsidRPr="009F2567" w:rsidRDefault="0091147D" w:rsidP="0069543C">
      <w:pPr>
        <w:jc w:val="both"/>
        <w:rPr>
          <w:rFonts w:cstheme="majorHAnsi"/>
        </w:rPr>
      </w:pPr>
      <w:r>
        <w:rPr>
          <w:rFonts w:cstheme="majorHAnsi"/>
        </w:rPr>
        <w:t>Performanca mesatare në 9</w:t>
      </w:r>
      <w:r w:rsidR="0069543C" w:rsidRPr="009F2567">
        <w:rPr>
          <w:rFonts w:cstheme="majorHAnsi"/>
        </w:rPr>
        <w:t xml:space="preserve"> treguesit e vlerësuar në kuadër të fushës ‘Ofrimi i shërbimeve’ është 2</w:t>
      </w:r>
      <w:r w:rsidR="00520F39">
        <w:rPr>
          <w:rFonts w:cstheme="majorHAnsi"/>
        </w:rPr>
        <w:t>4</w:t>
      </w:r>
      <w:r w:rsidR="0069543C" w:rsidRPr="009F2567">
        <w:rPr>
          <w:rFonts w:cstheme="majorHAnsi"/>
        </w:rPr>
        <w:t xml:space="preserve"> pikë nga gjithsej </w:t>
      </w:r>
      <w:r w:rsidR="0009266D">
        <w:rPr>
          <w:rFonts w:cstheme="majorHAnsi"/>
        </w:rPr>
        <w:t>30</w:t>
      </w:r>
      <w:r w:rsidR="0069543C" w:rsidRPr="009F2567">
        <w:rPr>
          <w:rFonts w:cstheme="majorHAnsi"/>
        </w:rPr>
        <w:t xml:space="preserve"> pikë të mundshme (</w:t>
      </w:r>
      <w:r>
        <w:rPr>
          <w:rFonts w:cstheme="majorHAnsi"/>
        </w:rPr>
        <w:t>80.00</w:t>
      </w:r>
      <w:r w:rsidR="0069543C" w:rsidRPr="009F2567">
        <w:rPr>
          <w:rFonts w:cstheme="majorHAnsi"/>
        </w:rPr>
        <w:t xml:space="preserve">%). </w:t>
      </w:r>
    </w:p>
    <w:p w:rsidR="0069543C" w:rsidRPr="009F2567" w:rsidRDefault="0069543C" w:rsidP="0069543C"/>
    <w:p w:rsidR="0069543C" w:rsidRPr="009F2567" w:rsidRDefault="0069543C" w:rsidP="0069543C">
      <w:pPr>
        <w:jc w:val="both"/>
      </w:pPr>
    </w:p>
    <w:p w:rsidR="0069543C" w:rsidRPr="009F2567" w:rsidRDefault="0069543C" w:rsidP="0069543C">
      <w:pPr>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eastAsiaTheme="majorEastAsia" w:cs="Calibri Light"/>
          <w:b/>
          <w:noProof/>
          <w:lang w:val="de-CH"/>
        </w:rPr>
      </w:pPr>
      <w:r w:rsidRPr="009F2567">
        <w:rPr>
          <w:rFonts w:eastAsiaTheme="majorEastAsia" w:cs="Calibri Light"/>
          <w:b/>
          <w:noProof/>
          <w:lang w:val="de-CH"/>
        </w:rPr>
        <w:lastRenderedPageBreak/>
        <w:t>Përmbledhje e rezultateve për vitin 202</w:t>
      </w:r>
      <w:r w:rsidR="00520F39">
        <w:rPr>
          <w:rFonts w:eastAsiaTheme="majorEastAsia" w:cs="Calibri Light"/>
          <w:b/>
          <w:noProof/>
          <w:lang w:val="de-CH"/>
        </w:rPr>
        <w:t>4</w:t>
      </w:r>
      <w:r w:rsidRPr="009F2567">
        <w:rPr>
          <w:rFonts w:eastAsiaTheme="majorEastAsia" w:cs="Calibri Light"/>
          <w:b/>
          <w:noProof/>
          <w:lang w:val="de-CH"/>
        </w:rPr>
        <w:t xml:space="preserve"> për grantin e performancës komunale - Komuna Malishevë</w:t>
      </w:r>
    </w:p>
    <w:p w:rsidR="0069543C" w:rsidRPr="009F2567" w:rsidRDefault="005722CE" w:rsidP="0069543C">
      <w:pPr>
        <w:rPr>
          <w:b/>
        </w:rPr>
      </w:pPr>
      <w:r w:rsidRPr="009F2567">
        <w:rPr>
          <w:noProof/>
          <w:lang w:val="en-GB" w:eastAsia="en-GB"/>
        </w:rPr>
        <w:drawing>
          <wp:anchor distT="0" distB="0" distL="114300" distR="114300" simplePos="0" relativeHeight="251691008" behindDoc="0" locked="0" layoutInCell="1" allowOverlap="1" wp14:anchorId="3C2ECF21" wp14:editId="6ACCE92C">
            <wp:simplePos x="0" y="0"/>
            <wp:positionH relativeFrom="margin">
              <wp:posOffset>2542060</wp:posOffset>
            </wp:positionH>
            <wp:positionV relativeFrom="paragraph">
              <wp:posOffset>75465</wp:posOffset>
            </wp:positionV>
            <wp:extent cx="3054350" cy="2279650"/>
            <wp:effectExtent l="0" t="0" r="12700" b="6350"/>
            <wp:wrapSquare wrapText="bothSides"/>
            <wp:docPr id="49" name="Chart 4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sidR="0069543C" w:rsidRPr="009F2567">
        <w:rPr>
          <w:b/>
        </w:rPr>
        <w:t>Vlerësimi i kushteve minimale për vi</w:t>
      </w:r>
      <w:r w:rsidR="00520F39">
        <w:rPr>
          <w:b/>
        </w:rPr>
        <w:t>tin 2024</w:t>
      </w:r>
    </w:p>
    <w:p w:rsidR="0069543C" w:rsidRPr="009F2567" w:rsidRDefault="0069543C" w:rsidP="0069543C">
      <w:pPr>
        <w:jc w:val="both"/>
        <w:rPr>
          <w:rFonts w:asciiTheme="majorHAnsi" w:hAnsiTheme="majorHAnsi" w:cstheme="majorHAnsi"/>
          <w:lang w:val="de-CH"/>
        </w:rPr>
      </w:pPr>
      <w:r w:rsidRPr="009F2567">
        <w:rPr>
          <w:rFonts w:asciiTheme="majorHAnsi" w:hAnsiTheme="majorHAnsi" w:cstheme="majorHAnsi"/>
          <w:lang w:val="de-CH"/>
        </w:rPr>
        <w:t>Komuna e Malishevës nuk është kualifikuar për grantin e perf</w:t>
      </w:r>
      <w:r w:rsidR="00520F39">
        <w:rPr>
          <w:rFonts w:asciiTheme="majorHAnsi" w:hAnsiTheme="majorHAnsi" w:cstheme="majorHAnsi"/>
          <w:lang w:val="de-CH"/>
        </w:rPr>
        <w:t>ormancës komunale për vitin 2024</w:t>
      </w:r>
      <w:r w:rsidRPr="009F2567">
        <w:rPr>
          <w:rFonts w:asciiTheme="majorHAnsi" w:hAnsiTheme="majorHAnsi" w:cstheme="majorHAnsi"/>
          <w:lang w:val="de-CH"/>
        </w:rPr>
        <w:t>.</w:t>
      </w:r>
    </w:p>
    <w:p w:rsidR="0069543C" w:rsidRPr="009F2567" w:rsidRDefault="0069543C" w:rsidP="0069543C">
      <w:pPr>
        <w:jc w:val="both"/>
        <w:rPr>
          <w:rFonts w:asciiTheme="majorHAnsi" w:hAnsiTheme="majorHAnsi" w:cstheme="majorHAnsi"/>
          <w:lang w:val="de-CH"/>
        </w:rPr>
      </w:pPr>
      <w:r w:rsidRPr="009F2567">
        <w:rPr>
          <w:rFonts w:asciiTheme="majorHAnsi" w:hAnsiTheme="majorHAnsi" w:cstheme="majorHAnsi"/>
          <w:lang w:val="de-CH"/>
        </w:rPr>
        <w:t>Kushti minimal numër 3 (opinoni i auditimit duhet të jetë të paktën i pamodifikuar me theksim të çështjes) nuk është përmbushur</w:t>
      </w:r>
      <w:r w:rsidR="00FF209B" w:rsidRPr="009F2567">
        <w:rPr>
          <w:rFonts w:asciiTheme="majorHAnsi" w:hAnsiTheme="majorHAnsi" w:cstheme="majorHAnsi"/>
          <w:lang w:val="de-CH"/>
        </w:rPr>
        <w:t>.</w:t>
      </w:r>
      <w:r w:rsidRPr="009F2567" w:rsidDel="00785497">
        <w:rPr>
          <w:rFonts w:asciiTheme="majorHAnsi" w:hAnsiTheme="majorHAnsi" w:cstheme="majorHAnsi"/>
          <w:lang w:val="de-CH"/>
        </w:rPr>
        <w:t xml:space="preserve"> </w:t>
      </w:r>
    </w:p>
    <w:p w:rsidR="0069543C" w:rsidRPr="009F2567" w:rsidRDefault="0069543C" w:rsidP="0069543C">
      <w:pPr>
        <w:tabs>
          <w:tab w:val="left" w:pos="1190"/>
        </w:tabs>
      </w:pPr>
    </w:p>
    <w:p w:rsidR="0069543C" w:rsidRPr="009F2567" w:rsidRDefault="0069543C" w:rsidP="0069543C">
      <w:pPr>
        <w:tabs>
          <w:tab w:val="left" w:pos="1190"/>
        </w:tabs>
      </w:pPr>
    </w:p>
    <w:p w:rsidR="0069543C" w:rsidRPr="009F2567" w:rsidRDefault="0069543C" w:rsidP="0069543C">
      <w:pPr>
        <w:tabs>
          <w:tab w:val="left" w:pos="1190"/>
        </w:tabs>
      </w:pPr>
    </w:p>
    <w:p w:rsidR="0069543C" w:rsidRPr="009F2567" w:rsidRDefault="0069543C" w:rsidP="0069543C">
      <w:pPr>
        <w:tabs>
          <w:tab w:val="left" w:pos="1190"/>
        </w:tabs>
      </w:pPr>
    </w:p>
    <w:p w:rsidR="0069543C" w:rsidRPr="009F2567" w:rsidRDefault="0069543C" w:rsidP="0069543C">
      <w:pPr>
        <w:tabs>
          <w:tab w:val="left" w:pos="1190"/>
        </w:tabs>
      </w:pPr>
    </w:p>
    <w:p w:rsidR="0069543C" w:rsidRPr="009F2567" w:rsidRDefault="0069543C" w:rsidP="0069543C">
      <w:pPr>
        <w:rPr>
          <w:b/>
        </w:rPr>
      </w:pPr>
      <w:r w:rsidRPr="009F2567">
        <w:rPr>
          <w:b/>
        </w:rPr>
        <w:t>Vlerësimi i treguesv</w:t>
      </w:r>
      <w:r w:rsidR="00520F39">
        <w:rPr>
          <w:b/>
        </w:rPr>
        <w:t>e të performancës për vitin 2024</w:t>
      </w:r>
      <w:r w:rsidRPr="009F2567">
        <w:rPr>
          <w:b/>
        </w:rPr>
        <w:t xml:space="preserve"> </w:t>
      </w:r>
    </w:p>
    <w:p w:rsidR="0069543C" w:rsidRPr="009F2567" w:rsidRDefault="00520F39" w:rsidP="0069543C">
      <w:pPr>
        <w:jc w:val="both"/>
        <w:rPr>
          <w:rFonts w:asciiTheme="majorHAnsi" w:hAnsiTheme="majorHAnsi" w:cstheme="majorHAnsi"/>
        </w:rPr>
      </w:pPr>
      <w:r>
        <w:rPr>
          <w:noProof/>
          <w:lang w:val="en-GB" w:eastAsia="en-GB"/>
          <w14:ligatures w14:val="standardContextual"/>
        </w:rPr>
        <w:drawing>
          <wp:anchor distT="0" distB="0" distL="114300" distR="114300" simplePos="0" relativeHeight="251843584" behindDoc="0" locked="0" layoutInCell="1" allowOverlap="1" wp14:anchorId="4475D957" wp14:editId="781FB897">
            <wp:simplePos x="0" y="0"/>
            <wp:positionH relativeFrom="margin">
              <wp:posOffset>2592705</wp:posOffset>
            </wp:positionH>
            <wp:positionV relativeFrom="margin">
              <wp:posOffset>4196080</wp:posOffset>
            </wp:positionV>
            <wp:extent cx="3301365" cy="2756535"/>
            <wp:effectExtent l="0" t="0" r="13335" b="5715"/>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r w:rsidR="0069543C" w:rsidRPr="009F2567">
        <w:rPr>
          <w:rFonts w:asciiTheme="majorHAnsi" w:hAnsiTheme="majorHAnsi" w:cstheme="majorHAnsi"/>
        </w:rPr>
        <w:t>Performanca mesatar</w:t>
      </w:r>
      <w:r>
        <w:rPr>
          <w:rFonts w:asciiTheme="majorHAnsi" w:hAnsiTheme="majorHAnsi" w:cstheme="majorHAnsi"/>
        </w:rPr>
        <w:t>e e Komunës së Malishevës  në 29</w:t>
      </w:r>
      <w:r w:rsidR="0069543C" w:rsidRPr="009F2567">
        <w:rPr>
          <w:rFonts w:asciiTheme="majorHAnsi" w:hAnsiTheme="majorHAnsi" w:cstheme="majorHAnsi"/>
        </w:rPr>
        <w:t xml:space="preserve"> indikatorët e vlerësuar është </w:t>
      </w:r>
      <w:r>
        <w:rPr>
          <w:rFonts w:asciiTheme="majorHAnsi" w:hAnsiTheme="majorHAnsi" w:cstheme="majorHAnsi"/>
        </w:rPr>
        <w:t>26</w:t>
      </w:r>
      <w:r w:rsidR="0069543C" w:rsidRPr="009F2567">
        <w:rPr>
          <w:rFonts w:asciiTheme="majorHAnsi" w:hAnsiTheme="majorHAnsi" w:cstheme="majorHAnsi"/>
        </w:rPr>
        <w:t xml:space="preserve"> pikë nga gjithsej 9</w:t>
      </w:r>
      <w:r>
        <w:rPr>
          <w:rFonts w:asciiTheme="majorHAnsi" w:hAnsiTheme="majorHAnsi" w:cstheme="majorHAnsi"/>
        </w:rPr>
        <w:t>8</w:t>
      </w:r>
      <w:r w:rsidR="0069543C" w:rsidRPr="009F2567">
        <w:rPr>
          <w:rFonts w:asciiTheme="majorHAnsi" w:hAnsiTheme="majorHAnsi" w:cstheme="majorHAnsi"/>
        </w:rPr>
        <w:t xml:space="preserve"> pikë të mundshme (</w:t>
      </w:r>
      <w:r>
        <w:rPr>
          <w:rFonts w:asciiTheme="majorHAnsi" w:hAnsiTheme="majorHAnsi" w:cstheme="majorHAnsi"/>
        </w:rPr>
        <w:t>26.53</w:t>
      </w:r>
      <w:r w:rsidR="0069543C" w:rsidRPr="009F2567">
        <w:rPr>
          <w:rFonts w:asciiTheme="majorHAnsi" w:hAnsiTheme="majorHAnsi" w:cstheme="majorHAnsi"/>
        </w:rPr>
        <w:t>%).</w:t>
      </w:r>
      <w:r w:rsidR="0069543C" w:rsidRPr="009F2567">
        <w:rPr>
          <w:noProof/>
        </w:rPr>
        <w:t xml:space="preserve"> </w:t>
      </w:r>
    </w:p>
    <w:p w:rsidR="0069543C" w:rsidRPr="009F2567" w:rsidRDefault="006A4FD7" w:rsidP="0069543C">
      <w:pPr>
        <w:jc w:val="both"/>
        <w:rPr>
          <w:rFonts w:asciiTheme="majorHAnsi" w:hAnsiTheme="majorHAnsi" w:cstheme="majorHAnsi"/>
        </w:rPr>
      </w:pPr>
      <w:r>
        <w:rPr>
          <w:rFonts w:asciiTheme="majorHAnsi" w:hAnsiTheme="majorHAnsi" w:cstheme="majorHAnsi"/>
        </w:rPr>
        <w:t>Performanca mesatare në 13</w:t>
      </w:r>
      <w:r w:rsidR="0069543C" w:rsidRPr="009F2567">
        <w:rPr>
          <w:rFonts w:asciiTheme="majorHAnsi" w:hAnsiTheme="majorHAnsi" w:cstheme="majorHAnsi"/>
        </w:rPr>
        <w:t xml:space="preserve"> treguesit e vlerësuar në kuadër të fushës ‘Qeverisja demok</w:t>
      </w:r>
      <w:r w:rsidR="00520F39">
        <w:rPr>
          <w:rFonts w:asciiTheme="majorHAnsi" w:hAnsiTheme="majorHAnsi" w:cstheme="majorHAnsi"/>
        </w:rPr>
        <w:t>ratike’ është 13</w:t>
      </w:r>
      <w:r w:rsidR="0069543C" w:rsidRPr="009F2567">
        <w:rPr>
          <w:rFonts w:asciiTheme="majorHAnsi" w:hAnsiTheme="majorHAnsi" w:cstheme="majorHAnsi"/>
        </w:rPr>
        <w:t xml:space="preserve"> pikë nga gjithsej </w:t>
      </w:r>
      <w:r w:rsidR="00486F4B">
        <w:rPr>
          <w:rFonts w:asciiTheme="majorHAnsi" w:hAnsiTheme="majorHAnsi" w:cstheme="majorHAnsi"/>
        </w:rPr>
        <w:t>40</w:t>
      </w:r>
      <w:r w:rsidR="0069543C" w:rsidRPr="009F2567">
        <w:rPr>
          <w:rFonts w:asciiTheme="majorHAnsi" w:hAnsiTheme="majorHAnsi" w:cstheme="majorHAnsi"/>
        </w:rPr>
        <w:t xml:space="preserve"> pikët të mundshme (</w:t>
      </w:r>
      <w:r w:rsidR="00520F39">
        <w:rPr>
          <w:rFonts w:asciiTheme="majorHAnsi" w:hAnsiTheme="majorHAnsi" w:cstheme="majorHAnsi"/>
        </w:rPr>
        <w:t>32.50</w:t>
      </w:r>
      <w:r w:rsidR="0069543C" w:rsidRPr="009F2567">
        <w:rPr>
          <w:rFonts w:asciiTheme="majorHAnsi" w:hAnsiTheme="majorHAnsi" w:cstheme="majorHAnsi"/>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w:t>
      </w:r>
      <w:r w:rsidR="006A4FD7">
        <w:rPr>
          <w:rFonts w:asciiTheme="majorHAnsi" w:hAnsiTheme="majorHAnsi" w:cstheme="majorHAnsi"/>
        </w:rPr>
        <w:t>7</w:t>
      </w:r>
      <w:r w:rsidRPr="009F2567">
        <w:rPr>
          <w:rFonts w:asciiTheme="majorHAnsi" w:hAnsiTheme="majorHAnsi" w:cstheme="majorHAnsi"/>
        </w:rPr>
        <w:t xml:space="preserve"> treguesit e vlerësuar në kuadër të fushës ‘Menaxhimi Komunal’ është </w:t>
      </w:r>
      <w:r w:rsidR="00520F39">
        <w:rPr>
          <w:rFonts w:asciiTheme="majorHAnsi" w:hAnsiTheme="majorHAnsi" w:cstheme="majorHAnsi"/>
        </w:rPr>
        <w:t>5</w:t>
      </w:r>
      <w:r w:rsidRPr="009F2567">
        <w:rPr>
          <w:rFonts w:asciiTheme="majorHAnsi" w:hAnsiTheme="majorHAnsi" w:cstheme="majorHAnsi"/>
        </w:rPr>
        <w:t xml:space="preserve"> pikë nga gjithsej 2</w:t>
      </w:r>
      <w:r w:rsidR="00486F4B">
        <w:rPr>
          <w:rFonts w:asciiTheme="majorHAnsi" w:hAnsiTheme="majorHAnsi" w:cstheme="majorHAnsi"/>
        </w:rPr>
        <w:t>8</w:t>
      </w:r>
      <w:r w:rsidRPr="009F2567">
        <w:rPr>
          <w:rFonts w:asciiTheme="majorHAnsi" w:hAnsiTheme="majorHAnsi" w:cstheme="majorHAnsi"/>
        </w:rPr>
        <w:t xml:space="preserve"> pikë të mundshme (</w:t>
      </w:r>
      <w:r w:rsidR="00520F39">
        <w:rPr>
          <w:rFonts w:asciiTheme="majorHAnsi" w:hAnsiTheme="majorHAnsi" w:cstheme="majorHAnsi"/>
        </w:rPr>
        <w:t>17.86</w:t>
      </w:r>
      <w:r w:rsidRPr="009F2567">
        <w:rPr>
          <w:rFonts w:asciiTheme="majorHAnsi" w:hAnsiTheme="majorHAnsi" w:cstheme="majorHAnsi"/>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w:t>
      </w:r>
      <w:r w:rsidR="00520F39">
        <w:rPr>
          <w:rFonts w:asciiTheme="majorHAnsi" w:hAnsiTheme="majorHAnsi" w:cstheme="majorHAnsi"/>
        </w:rPr>
        <w:t>9</w:t>
      </w:r>
      <w:r w:rsidRPr="009F2567">
        <w:rPr>
          <w:rFonts w:asciiTheme="majorHAnsi" w:hAnsiTheme="majorHAnsi" w:cstheme="majorHAnsi"/>
        </w:rPr>
        <w:t xml:space="preserve"> treguesit e vlerësuar në kuadër të fushës ‘Ofrimi i shërbimeve’ është </w:t>
      </w:r>
      <w:r w:rsidR="00520F39">
        <w:rPr>
          <w:rFonts w:asciiTheme="majorHAnsi" w:hAnsiTheme="majorHAnsi" w:cstheme="majorHAnsi"/>
        </w:rPr>
        <w:t>8</w:t>
      </w:r>
      <w:r w:rsidRPr="009F2567">
        <w:rPr>
          <w:rFonts w:asciiTheme="majorHAnsi" w:hAnsiTheme="majorHAnsi" w:cstheme="majorHAnsi"/>
        </w:rPr>
        <w:t xml:space="preserve"> pikë nga gjithsej </w:t>
      </w:r>
      <w:r w:rsidR="00486F4B">
        <w:rPr>
          <w:rFonts w:asciiTheme="majorHAnsi" w:hAnsiTheme="majorHAnsi" w:cstheme="majorHAnsi"/>
        </w:rPr>
        <w:t>30</w:t>
      </w:r>
      <w:r w:rsidRPr="009F2567">
        <w:rPr>
          <w:rFonts w:asciiTheme="majorHAnsi" w:hAnsiTheme="majorHAnsi" w:cstheme="majorHAnsi"/>
        </w:rPr>
        <w:t xml:space="preserve"> pikë të mundshme (</w:t>
      </w:r>
      <w:r w:rsidR="00520F39">
        <w:rPr>
          <w:rFonts w:asciiTheme="majorHAnsi" w:hAnsiTheme="majorHAnsi" w:cstheme="majorHAnsi"/>
        </w:rPr>
        <w:t>26.67</w:t>
      </w:r>
      <w:r w:rsidRPr="009F2567">
        <w:rPr>
          <w:rFonts w:asciiTheme="majorHAnsi" w:hAnsiTheme="majorHAnsi" w:cstheme="majorHAnsi"/>
        </w:rPr>
        <w:t xml:space="preserve">%). </w:t>
      </w:r>
    </w:p>
    <w:p w:rsidR="0069543C" w:rsidRPr="009F2567" w:rsidRDefault="0069543C" w:rsidP="0069543C"/>
    <w:p w:rsidR="0069543C" w:rsidRPr="009F2567" w:rsidRDefault="0069543C" w:rsidP="0069543C">
      <w:pPr>
        <w:jc w:val="both"/>
      </w:pPr>
    </w:p>
    <w:p w:rsidR="0069543C" w:rsidRPr="009F2567" w:rsidRDefault="0069543C" w:rsidP="0069543C">
      <w:pPr>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eastAsiaTheme="majorEastAsia" w:cs="Calibri Light"/>
          <w:b/>
          <w:noProof/>
          <w:lang w:val="de-CH"/>
        </w:rPr>
      </w:pPr>
      <w:r w:rsidRPr="009F2567">
        <w:rPr>
          <w:rFonts w:eastAsiaTheme="majorEastAsia" w:cs="Calibri Light"/>
          <w:b/>
          <w:noProof/>
          <w:lang w:val="de-CH"/>
        </w:rPr>
        <w:lastRenderedPageBreak/>
        <w:t>Përmbled</w:t>
      </w:r>
      <w:r w:rsidR="00520F39">
        <w:rPr>
          <w:rFonts w:eastAsiaTheme="majorEastAsia" w:cs="Calibri Light"/>
          <w:b/>
          <w:noProof/>
          <w:lang w:val="de-CH"/>
        </w:rPr>
        <w:t>hje e rezultateve për vitin 2024</w:t>
      </w:r>
      <w:r w:rsidRPr="009F2567">
        <w:rPr>
          <w:rFonts w:eastAsiaTheme="majorEastAsia" w:cs="Calibri Light"/>
          <w:b/>
          <w:noProof/>
          <w:lang w:val="de-CH"/>
        </w:rPr>
        <w:t xml:space="preserve"> për grantin e performancës komunale - Komuna Mamushë</w:t>
      </w:r>
    </w:p>
    <w:p w:rsidR="0069543C" w:rsidRPr="009F2567" w:rsidRDefault="0069543C" w:rsidP="0069543C">
      <w:pPr>
        <w:rPr>
          <w:b/>
        </w:rPr>
      </w:pPr>
      <w:r w:rsidRPr="009F2567">
        <w:rPr>
          <w:b/>
        </w:rPr>
        <w:t xml:space="preserve">Vlerësimi i </w:t>
      </w:r>
      <w:r w:rsidR="00520F39">
        <w:rPr>
          <w:b/>
        </w:rPr>
        <w:t>kushteve minimale për vitin 2024</w:t>
      </w:r>
    </w:p>
    <w:p w:rsidR="0069543C" w:rsidRPr="009F2567" w:rsidRDefault="0069543C" w:rsidP="0069543C">
      <w:pPr>
        <w:jc w:val="both"/>
        <w:rPr>
          <w:rFonts w:asciiTheme="majorHAnsi" w:hAnsiTheme="majorHAnsi" w:cstheme="majorHAnsi"/>
          <w:noProof/>
          <w:lang w:eastAsia="sr-Latn-RS"/>
        </w:rPr>
      </w:pPr>
      <w:r w:rsidRPr="009F2567">
        <w:rPr>
          <w:rFonts w:asciiTheme="majorHAnsi" w:hAnsiTheme="majorHAnsi" w:cstheme="majorHAnsi"/>
          <w:noProof/>
          <w:lang w:val="en-GB" w:eastAsia="en-GB"/>
        </w:rPr>
        <w:drawing>
          <wp:anchor distT="0" distB="0" distL="114300" distR="114300" simplePos="0" relativeHeight="251692032" behindDoc="0" locked="0" layoutInCell="1" allowOverlap="1" wp14:anchorId="44B34E41" wp14:editId="11690F8D">
            <wp:simplePos x="0" y="0"/>
            <wp:positionH relativeFrom="margin">
              <wp:posOffset>2782990</wp:posOffset>
            </wp:positionH>
            <wp:positionV relativeFrom="paragraph">
              <wp:posOffset>8890</wp:posOffset>
            </wp:positionV>
            <wp:extent cx="2992120" cy="1821815"/>
            <wp:effectExtent l="0" t="0" r="17780" b="6985"/>
            <wp:wrapSquare wrapText="bothSides"/>
            <wp:docPr id="51" name="Chart 5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sidRPr="009F2567">
        <w:rPr>
          <w:rFonts w:asciiTheme="majorHAnsi" w:hAnsiTheme="majorHAnsi" w:cstheme="majorHAnsi"/>
          <w:lang w:val="de-CH"/>
        </w:rPr>
        <w:t>Komuna e Ma</w:t>
      </w:r>
      <w:r w:rsidR="00520F39">
        <w:rPr>
          <w:rFonts w:asciiTheme="majorHAnsi" w:hAnsiTheme="majorHAnsi" w:cstheme="majorHAnsi"/>
          <w:lang w:val="de-CH"/>
        </w:rPr>
        <w:t>mushës</w:t>
      </w:r>
      <w:r w:rsidRPr="009F2567">
        <w:rPr>
          <w:rFonts w:asciiTheme="majorHAnsi" w:hAnsiTheme="majorHAnsi" w:cstheme="majorHAnsi"/>
          <w:lang w:val="de-CH"/>
        </w:rPr>
        <w:t xml:space="preserve"> është kualifikuar për grantin e perf</w:t>
      </w:r>
      <w:r w:rsidR="00520F39">
        <w:rPr>
          <w:rFonts w:asciiTheme="majorHAnsi" w:hAnsiTheme="majorHAnsi" w:cstheme="majorHAnsi"/>
          <w:lang w:val="de-CH"/>
        </w:rPr>
        <w:t>ormancës komunale për vitin 2024</w:t>
      </w:r>
      <w:r w:rsidRPr="009F2567">
        <w:rPr>
          <w:rFonts w:asciiTheme="majorHAnsi" w:hAnsiTheme="majorHAnsi" w:cstheme="majorHAnsi"/>
          <w:lang w:val="de-CH"/>
        </w:rPr>
        <w:t xml:space="preserve">. </w:t>
      </w:r>
      <w:r w:rsidRPr="009F2567">
        <w:rPr>
          <w:rFonts w:asciiTheme="majorHAnsi" w:hAnsiTheme="majorHAnsi" w:cstheme="majorHAnsi"/>
          <w:noProof/>
          <w:lang w:eastAsia="sr-Latn-RS"/>
        </w:rPr>
        <w:t xml:space="preserve"> </w:t>
      </w:r>
    </w:p>
    <w:p w:rsidR="009C1652" w:rsidRPr="009F2567" w:rsidRDefault="009C1652" w:rsidP="009C1652">
      <w:pPr>
        <w:jc w:val="both"/>
        <w:rPr>
          <w:rFonts w:asciiTheme="majorHAnsi" w:hAnsiTheme="majorHAnsi" w:cstheme="majorHAnsi"/>
          <w:lang w:val="de-CH"/>
        </w:rPr>
      </w:pPr>
      <w:r w:rsidRPr="009F2567">
        <w:rPr>
          <w:rFonts w:asciiTheme="majorHAnsi" w:hAnsiTheme="majorHAnsi" w:cstheme="majorHAnsi"/>
          <w:lang w:val="de-CH"/>
        </w:rPr>
        <w:t xml:space="preserve">Komuna ka përmbushur të katër kushtet minimale. </w:t>
      </w:r>
    </w:p>
    <w:p w:rsidR="0069543C" w:rsidRPr="009F2567" w:rsidRDefault="0069543C" w:rsidP="0069543C">
      <w:pPr>
        <w:jc w:val="both"/>
      </w:pPr>
    </w:p>
    <w:p w:rsidR="0069543C" w:rsidRPr="009F2567" w:rsidRDefault="0069543C" w:rsidP="0069543C">
      <w:pPr>
        <w:jc w:val="both"/>
        <w:rPr>
          <w:lang w:val="de-CH"/>
        </w:rPr>
      </w:pPr>
    </w:p>
    <w:p w:rsidR="0069543C" w:rsidRPr="009F2567" w:rsidRDefault="0069543C" w:rsidP="0069543C">
      <w:pPr>
        <w:jc w:val="both"/>
        <w:rPr>
          <w:lang w:val="de-CH"/>
        </w:rPr>
      </w:pPr>
    </w:p>
    <w:p w:rsidR="0069543C" w:rsidRPr="009F2567" w:rsidRDefault="0069543C" w:rsidP="0069543C"/>
    <w:p w:rsidR="0069543C" w:rsidRPr="009F2567" w:rsidRDefault="0069543C" w:rsidP="0069543C">
      <w:pPr>
        <w:rPr>
          <w:b/>
        </w:rPr>
      </w:pPr>
      <w:r w:rsidRPr="009F2567">
        <w:rPr>
          <w:b/>
        </w:rPr>
        <w:t>Vlerësimi i treguesv</w:t>
      </w:r>
      <w:r w:rsidR="005958B7">
        <w:rPr>
          <w:b/>
        </w:rPr>
        <w:t>e të performancës për vitin 2024</w:t>
      </w:r>
    </w:p>
    <w:p w:rsidR="0069543C" w:rsidRPr="009F2567" w:rsidRDefault="00520F39" w:rsidP="0069543C">
      <w:pPr>
        <w:jc w:val="both"/>
        <w:rPr>
          <w:rFonts w:cstheme="majorHAnsi"/>
        </w:rPr>
      </w:pPr>
      <w:r>
        <w:rPr>
          <w:noProof/>
          <w:lang w:val="en-GB" w:eastAsia="en-GB"/>
          <w14:ligatures w14:val="standardContextual"/>
        </w:rPr>
        <w:drawing>
          <wp:anchor distT="0" distB="0" distL="114300" distR="114300" simplePos="0" relativeHeight="251844608" behindDoc="0" locked="0" layoutInCell="1" allowOverlap="1" wp14:anchorId="01D8DE56" wp14:editId="77D63F6A">
            <wp:simplePos x="0" y="0"/>
            <wp:positionH relativeFrom="margin">
              <wp:posOffset>2749550</wp:posOffset>
            </wp:positionH>
            <wp:positionV relativeFrom="margin">
              <wp:posOffset>3582035</wp:posOffset>
            </wp:positionV>
            <wp:extent cx="3370580" cy="2654300"/>
            <wp:effectExtent l="0" t="0" r="1270" b="12700"/>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sidR="0069543C" w:rsidRPr="009F2567">
        <w:rPr>
          <w:rFonts w:cstheme="majorHAnsi"/>
        </w:rPr>
        <w:t>Performanca mesat</w:t>
      </w:r>
      <w:r w:rsidR="005958B7">
        <w:rPr>
          <w:rFonts w:cstheme="majorHAnsi"/>
        </w:rPr>
        <w:t>are e Komunës së Mamushës  në 29</w:t>
      </w:r>
      <w:r w:rsidR="0069543C" w:rsidRPr="009F2567">
        <w:rPr>
          <w:rFonts w:cstheme="majorHAnsi"/>
        </w:rPr>
        <w:t xml:space="preserve"> indikatorët e vlerësu</w:t>
      </w:r>
      <w:r w:rsidR="005958B7">
        <w:rPr>
          <w:rFonts w:cstheme="majorHAnsi"/>
        </w:rPr>
        <w:t>ar është 26 pikë nga gjithsej 98</w:t>
      </w:r>
      <w:r w:rsidR="0069543C" w:rsidRPr="009F2567">
        <w:rPr>
          <w:rFonts w:cstheme="majorHAnsi"/>
        </w:rPr>
        <w:t xml:space="preserve"> pikë të mundshme (</w:t>
      </w:r>
      <w:r w:rsidR="005958B7">
        <w:rPr>
          <w:rFonts w:cstheme="majorHAnsi"/>
        </w:rPr>
        <w:t>26.53</w:t>
      </w:r>
      <w:r w:rsidR="0069543C" w:rsidRPr="009F2567">
        <w:rPr>
          <w:rFonts w:cstheme="majorHAnsi"/>
        </w:rPr>
        <w:t>%).</w:t>
      </w:r>
      <w:r w:rsidR="0069543C" w:rsidRPr="009F2567">
        <w:rPr>
          <w:noProof/>
        </w:rPr>
        <w:t xml:space="preserve"> </w:t>
      </w:r>
    </w:p>
    <w:p w:rsidR="0069543C" w:rsidRPr="009F2567" w:rsidRDefault="006A4FD7" w:rsidP="0069543C">
      <w:pPr>
        <w:jc w:val="both"/>
        <w:rPr>
          <w:rFonts w:cstheme="majorHAnsi"/>
        </w:rPr>
      </w:pPr>
      <w:r>
        <w:rPr>
          <w:rFonts w:cstheme="majorHAnsi"/>
        </w:rPr>
        <w:t>Performanca mesatare në 13</w:t>
      </w:r>
      <w:r w:rsidR="0069543C" w:rsidRPr="009F2567">
        <w:rPr>
          <w:rFonts w:cstheme="majorHAnsi"/>
        </w:rPr>
        <w:t xml:space="preserve"> treguesit e vlerësuar në kuadër të fushës ‘Qeverisja demokratike’ është </w:t>
      </w:r>
      <w:r w:rsidR="005958B7">
        <w:rPr>
          <w:rFonts w:cstheme="majorHAnsi"/>
        </w:rPr>
        <w:t>6</w:t>
      </w:r>
      <w:r w:rsidR="0069543C" w:rsidRPr="009F2567">
        <w:rPr>
          <w:rFonts w:cstheme="majorHAnsi"/>
        </w:rPr>
        <w:t xml:space="preserve"> pikë nga gjithsej </w:t>
      </w:r>
      <w:r w:rsidR="00486F4B">
        <w:rPr>
          <w:rFonts w:cstheme="majorHAnsi"/>
        </w:rPr>
        <w:t>40</w:t>
      </w:r>
      <w:r w:rsidR="0069543C" w:rsidRPr="009F2567">
        <w:rPr>
          <w:rFonts w:cstheme="majorHAnsi"/>
        </w:rPr>
        <w:t xml:space="preserve"> pikët të mundshme (</w:t>
      </w:r>
      <w:r w:rsidR="005958B7">
        <w:rPr>
          <w:rFonts w:cstheme="majorHAnsi"/>
        </w:rPr>
        <w:t>15.00</w:t>
      </w:r>
      <w:r w:rsidR="0069543C" w:rsidRPr="009F2567">
        <w:rPr>
          <w:rFonts w:cstheme="majorHAnsi"/>
        </w:rPr>
        <w:t xml:space="preserve">%). </w:t>
      </w:r>
    </w:p>
    <w:p w:rsidR="0069543C" w:rsidRPr="009F2567" w:rsidRDefault="0069543C" w:rsidP="0069543C">
      <w:pPr>
        <w:jc w:val="both"/>
        <w:rPr>
          <w:rFonts w:cstheme="majorHAnsi"/>
        </w:rPr>
      </w:pPr>
      <w:r w:rsidRPr="009F2567">
        <w:rPr>
          <w:rFonts w:cstheme="majorHAnsi"/>
        </w:rPr>
        <w:t xml:space="preserve">Performanca mesatare në </w:t>
      </w:r>
      <w:r w:rsidR="006A4FD7">
        <w:rPr>
          <w:rFonts w:cstheme="majorHAnsi"/>
        </w:rPr>
        <w:t>7</w:t>
      </w:r>
      <w:r w:rsidRPr="009F2567">
        <w:rPr>
          <w:rFonts w:cstheme="majorHAnsi"/>
        </w:rPr>
        <w:t xml:space="preserve"> treguesit e vlerësuar në kuadër të fu</w:t>
      </w:r>
      <w:r w:rsidR="005958B7">
        <w:rPr>
          <w:rFonts w:cstheme="majorHAnsi"/>
        </w:rPr>
        <w:t>shës ‘Menaxhimi Komunal’ është 10</w:t>
      </w:r>
      <w:r w:rsidRPr="009F2567">
        <w:rPr>
          <w:rFonts w:cstheme="majorHAnsi"/>
        </w:rPr>
        <w:t xml:space="preserve"> pikë nga gjithsej 2</w:t>
      </w:r>
      <w:r w:rsidR="00486F4B">
        <w:rPr>
          <w:rFonts w:cstheme="majorHAnsi"/>
        </w:rPr>
        <w:t>8</w:t>
      </w:r>
      <w:r w:rsidRPr="009F2567">
        <w:rPr>
          <w:rFonts w:cstheme="majorHAnsi"/>
        </w:rPr>
        <w:t xml:space="preserve"> pikë të mundshme (</w:t>
      </w:r>
      <w:r w:rsidR="005958B7">
        <w:rPr>
          <w:rFonts w:cstheme="majorHAnsi"/>
        </w:rPr>
        <w:t>35.71</w:t>
      </w:r>
      <w:r w:rsidRPr="009F2567">
        <w:rPr>
          <w:rFonts w:cstheme="majorHAnsi"/>
        </w:rPr>
        <w:t xml:space="preserve">%). </w:t>
      </w:r>
    </w:p>
    <w:p w:rsidR="0069543C" w:rsidRPr="009F2567" w:rsidRDefault="0069543C" w:rsidP="0069543C">
      <w:pPr>
        <w:jc w:val="both"/>
        <w:rPr>
          <w:rFonts w:cstheme="majorHAnsi"/>
        </w:rPr>
      </w:pPr>
      <w:r w:rsidRPr="009F2567">
        <w:rPr>
          <w:rFonts w:cstheme="majorHAnsi"/>
        </w:rPr>
        <w:t xml:space="preserve">Performanca mesatare në </w:t>
      </w:r>
      <w:r w:rsidR="005958B7">
        <w:rPr>
          <w:rFonts w:cstheme="majorHAnsi"/>
        </w:rPr>
        <w:t>9</w:t>
      </w:r>
      <w:r w:rsidRPr="009F2567">
        <w:rPr>
          <w:rFonts w:cstheme="majorHAnsi"/>
        </w:rPr>
        <w:t xml:space="preserve"> treguesit e vlerësuar në kuadër të fushës ‘Ofrimi i shërbimeve’ është 1</w:t>
      </w:r>
      <w:r w:rsidR="005958B7">
        <w:rPr>
          <w:rFonts w:cstheme="majorHAnsi"/>
        </w:rPr>
        <w:t>0</w:t>
      </w:r>
      <w:r w:rsidRPr="009F2567">
        <w:rPr>
          <w:rFonts w:cstheme="majorHAnsi"/>
        </w:rPr>
        <w:t xml:space="preserve"> pikë nga gjithsej </w:t>
      </w:r>
      <w:r w:rsidR="00486F4B">
        <w:rPr>
          <w:rFonts w:cstheme="majorHAnsi"/>
        </w:rPr>
        <w:t>30</w:t>
      </w:r>
      <w:r w:rsidRPr="009F2567">
        <w:rPr>
          <w:rFonts w:cstheme="majorHAnsi"/>
        </w:rPr>
        <w:t xml:space="preserve"> pikë të mundshme (</w:t>
      </w:r>
      <w:r w:rsidR="005958B7">
        <w:rPr>
          <w:rFonts w:cstheme="majorHAnsi"/>
        </w:rPr>
        <w:t>33.33</w:t>
      </w:r>
      <w:r w:rsidRPr="009F2567">
        <w:rPr>
          <w:rFonts w:cstheme="majorHAnsi"/>
        </w:rPr>
        <w:t xml:space="preserve">%). </w:t>
      </w:r>
    </w:p>
    <w:p w:rsidR="0069543C" w:rsidRPr="009F2567" w:rsidRDefault="0069543C" w:rsidP="0069543C"/>
    <w:p w:rsidR="0069543C" w:rsidRPr="009F2567" w:rsidRDefault="0069543C" w:rsidP="0069543C">
      <w:pPr>
        <w:jc w:val="both"/>
      </w:pPr>
    </w:p>
    <w:p w:rsidR="0069543C" w:rsidRPr="009F2567" w:rsidRDefault="0069543C" w:rsidP="0069543C">
      <w:pPr>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eastAsiaTheme="majorEastAsia" w:cs="Calibri Light"/>
          <w:b/>
          <w:noProof/>
          <w:lang w:val="de-CH"/>
        </w:rPr>
      </w:pPr>
      <w:r w:rsidRPr="009F2567">
        <w:rPr>
          <w:rFonts w:eastAsiaTheme="majorEastAsia" w:cs="Calibri Light"/>
          <w:b/>
          <w:noProof/>
          <w:lang w:val="de-CH"/>
        </w:rPr>
        <w:lastRenderedPageBreak/>
        <w:t>Përmbled</w:t>
      </w:r>
      <w:r w:rsidR="005958B7">
        <w:rPr>
          <w:rFonts w:eastAsiaTheme="majorEastAsia" w:cs="Calibri Light"/>
          <w:b/>
          <w:noProof/>
          <w:lang w:val="de-CH"/>
        </w:rPr>
        <w:t>hje e rezultateve për vitin 2024</w:t>
      </w:r>
      <w:r w:rsidRPr="009F2567">
        <w:rPr>
          <w:rFonts w:eastAsiaTheme="majorEastAsia" w:cs="Calibri Light"/>
          <w:b/>
          <w:noProof/>
          <w:lang w:val="de-CH"/>
        </w:rPr>
        <w:t xml:space="preserve"> për grantin e performancës</w:t>
      </w:r>
      <w:r w:rsidR="005958B7">
        <w:rPr>
          <w:rFonts w:eastAsiaTheme="majorEastAsia" w:cs="Calibri Light"/>
          <w:b/>
          <w:noProof/>
          <w:lang w:val="de-CH"/>
        </w:rPr>
        <w:t xml:space="preserve"> komunale - Komuna Mitrovicë e J</w:t>
      </w:r>
      <w:r w:rsidRPr="009F2567">
        <w:rPr>
          <w:rFonts w:eastAsiaTheme="majorEastAsia" w:cs="Calibri Light"/>
          <w:b/>
          <w:noProof/>
          <w:lang w:val="de-CH"/>
        </w:rPr>
        <w:t>ugut</w:t>
      </w:r>
    </w:p>
    <w:p w:rsidR="0069543C" w:rsidRPr="009F2567" w:rsidRDefault="0069543C" w:rsidP="0069543C">
      <w:pPr>
        <w:rPr>
          <w:b/>
        </w:rPr>
      </w:pPr>
      <w:r w:rsidRPr="009F2567">
        <w:rPr>
          <w:b/>
        </w:rPr>
        <w:t xml:space="preserve">Vlerësimi i </w:t>
      </w:r>
      <w:r w:rsidR="005958B7">
        <w:rPr>
          <w:b/>
        </w:rPr>
        <w:t>kushteve minimale për vitin 2024</w:t>
      </w:r>
    </w:p>
    <w:p w:rsidR="0069543C" w:rsidRPr="009F2567" w:rsidRDefault="005958B7" w:rsidP="0069543C">
      <w:pPr>
        <w:jc w:val="both"/>
        <w:rPr>
          <w:rFonts w:asciiTheme="majorHAnsi" w:hAnsiTheme="majorHAnsi" w:cstheme="majorHAnsi"/>
          <w:noProof/>
          <w:lang w:eastAsia="sr-Latn-RS"/>
        </w:rPr>
      </w:pPr>
      <w:r>
        <w:rPr>
          <w:noProof/>
          <w:lang w:val="en-GB" w:eastAsia="en-GB"/>
          <w14:ligatures w14:val="standardContextual"/>
        </w:rPr>
        <w:drawing>
          <wp:anchor distT="0" distB="0" distL="114300" distR="114300" simplePos="0" relativeHeight="251845632" behindDoc="0" locked="0" layoutInCell="1" allowOverlap="1" wp14:anchorId="3160FE01" wp14:editId="70FD460D">
            <wp:simplePos x="0" y="0"/>
            <wp:positionH relativeFrom="margin">
              <wp:posOffset>2697215</wp:posOffset>
            </wp:positionH>
            <wp:positionV relativeFrom="margin">
              <wp:posOffset>763905</wp:posOffset>
            </wp:positionV>
            <wp:extent cx="3294380" cy="1958340"/>
            <wp:effectExtent l="0" t="0" r="1270" b="381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r>
        <w:rPr>
          <w:rFonts w:asciiTheme="majorHAnsi" w:hAnsiTheme="majorHAnsi" w:cstheme="majorHAnsi"/>
          <w:lang w:val="de-CH"/>
        </w:rPr>
        <w:t>Komuna e Mitrovicës së J</w:t>
      </w:r>
      <w:r w:rsidR="0069543C" w:rsidRPr="009F2567">
        <w:rPr>
          <w:rFonts w:asciiTheme="majorHAnsi" w:hAnsiTheme="majorHAnsi" w:cstheme="majorHAnsi"/>
          <w:lang w:val="de-CH"/>
        </w:rPr>
        <w:t>ugut nuk është kualifikuar për grantin e perf</w:t>
      </w:r>
      <w:r>
        <w:rPr>
          <w:rFonts w:asciiTheme="majorHAnsi" w:hAnsiTheme="majorHAnsi" w:cstheme="majorHAnsi"/>
          <w:lang w:val="de-CH"/>
        </w:rPr>
        <w:t>ormancës komunale për vitin 2024</w:t>
      </w:r>
      <w:r w:rsidR="0069543C" w:rsidRPr="009F2567">
        <w:rPr>
          <w:rFonts w:asciiTheme="majorHAnsi" w:hAnsiTheme="majorHAnsi" w:cstheme="majorHAnsi"/>
          <w:lang w:val="de-CH"/>
        </w:rPr>
        <w:t xml:space="preserve">. </w:t>
      </w:r>
      <w:r w:rsidR="0069543C" w:rsidRPr="009F2567">
        <w:rPr>
          <w:rFonts w:asciiTheme="majorHAnsi" w:hAnsiTheme="majorHAnsi" w:cstheme="majorHAnsi"/>
          <w:noProof/>
          <w:lang w:eastAsia="sr-Latn-RS"/>
        </w:rPr>
        <w:t xml:space="preserve"> </w:t>
      </w:r>
    </w:p>
    <w:p w:rsidR="009673CA" w:rsidRPr="009F2567" w:rsidRDefault="005958B7" w:rsidP="009673CA">
      <w:pPr>
        <w:jc w:val="both"/>
        <w:rPr>
          <w:rFonts w:asciiTheme="majorHAnsi" w:hAnsiTheme="majorHAnsi" w:cstheme="majorHAnsi"/>
          <w:lang w:val="de-CH"/>
        </w:rPr>
      </w:pPr>
      <w:r w:rsidRPr="005958B7">
        <w:rPr>
          <w:rFonts w:asciiTheme="majorHAnsi" w:hAnsiTheme="majorHAnsi" w:cstheme="majorHAnsi"/>
          <w:lang w:val="de-CH"/>
        </w:rPr>
        <w:t>Kushti minimal numër 3 (opinoni i auditimit duhet të jetë të paktën i pamodifikuar me theksim të</w:t>
      </w:r>
      <w:r>
        <w:rPr>
          <w:rFonts w:asciiTheme="majorHAnsi" w:hAnsiTheme="majorHAnsi" w:cstheme="majorHAnsi"/>
          <w:lang w:val="de-CH"/>
        </w:rPr>
        <w:t xml:space="preserve"> çështjes) nuk është përmbushur</w:t>
      </w:r>
      <w:r w:rsidR="009673CA" w:rsidRPr="009F2567">
        <w:rPr>
          <w:rFonts w:asciiTheme="majorHAnsi" w:hAnsiTheme="majorHAnsi" w:cstheme="majorHAnsi"/>
          <w:lang w:val="de-CH"/>
        </w:rPr>
        <w:t xml:space="preserve">. </w:t>
      </w:r>
    </w:p>
    <w:p w:rsidR="0069543C" w:rsidRPr="009F2567" w:rsidRDefault="0069543C" w:rsidP="0069543C">
      <w:pPr>
        <w:jc w:val="both"/>
        <w:rPr>
          <w:rFonts w:asciiTheme="majorHAnsi" w:hAnsiTheme="majorHAnsi" w:cstheme="majorHAnsi"/>
          <w:lang w:val="de-CH"/>
        </w:rPr>
      </w:pPr>
    </w:p>
    <w:p w:rsidR="0069543C" w:rsidRPr="009F2567" w:rsidRDefault="0069543C" w:rsidP="0069543C">
      <w:pPr>
        <w:jc w:val="both"/>
        <w:rPr>
          <w:lang w:val="de-CH"/>
        </w:rPr>
      </w:pPr>
    </w:p>
    <w:p w:rsidR="0069543C" w:rsidRPr="009F2567" w:rsidRDefault="0069543C" w:rsidP="0069543C">
      <w:pPr>
        <w:jc w:val="both"/>
        <w:rPr>
          <w:lang w:val="de-CH"/>
        </w:rPr>
      </w:pPr>
    </w:p>
    <w:p w:rsidR="0069543C" w:rsidRPr="009F2567" w:rsidRDefault="0069543C" w:rsidP="0069543C">
      <w:pPr>
        <w:rPr>
          <w:b/>
        </w:rPr>
      </w:pPr>
    </w:p>
    <w:p w:rsidR="005958B7" w:rsidRPr="009F2567" w:rsidRDefault="0069543C" w:rsidP="0069543C">
      <w:pPr>
        <w:rPr>
          <w:b/>
        </w:rPr>
      </w:pPr>
      <w:r w:rsidRPr="009F2567">
        <w:rPr>
          <w:b/>
        </w:rPr>
        <w:t>Vlerësimi i treguesv</w:t>
      </w:r>
      <w:r w:rsidR="005958B7">
        <w:rPr>
          <w:b/>
        </w:rPr>
        <w:t>e të performancës për vitin 2024</w:t>
      </w:r>
    </w:p>
    <w:p w:rsidR="008C791B" w:rsidRDefault="0069543C" w:rsidP="008C791B">
      <w:pPr>
        <w:rPr>
          <w:noProof/>
        </w:rPr>
      </w:pPr>
      <w:r w:rsidRPr="009F2567">
        <w:rPr>
          <w:rFonts w:cstheme="majorHAnsi"/>
        </w:rPr>
        <w:t>Performanca mesatare e Komu</w:t>
      </w:r>
      <w:r w:rsidR="005958B7">
        <w:rPr>
          <w:rFonts w:cstheme="majorHAnsi"/>
        </w:rPr>
        <w:t>nës së Mitrovicës së jugut në 29</w:t>
      </w:r>
      <w:r w:rsidRPr="009F2567">
        <w:rPr>
          <w:rFonts w:cstheme="majorHAnsi"/>
        </w:rPr>
        <w:t xml:space="preserve"> indikatorët e vlerësu</w:t>
      </w:r>
      <w:r w:rsidR="005958B7">
        <w:rPr>
          <w:rFonts w:cstheme="majorHAnsi"/>
        </w:rPr>
        <w:t>ar është 47 pikë nga gjithsej 98</w:t>
      </w:r>
      <w:r w:rsidRPr="009F2567">
        <w:rPr>
          <w:rFonts w:cstheme="majorHAnsi"/>
        </w:rPr>
        <w:t xml:space="preserve"> pikë të mundshme (</w:t>
      </w:r>
      <w:r w:rsidR="005958B7">
        <w:rPr>
          <w:rFonts w:cstheme="majorHAnsi"/>
        </w:rPr>
        <w:t>47.96</w:t>
      </w:r>
      <w:r w:rsidRPr="009F2567">
        <w:rPr>
          <w:rFonts w:cstheme="majorHAnsi"/>
        </w:rPr>
        <w:t>%).</w:t>
      </w:r>
      <w:r w:rsidRPr="009F2567">
        <w:rPr>
          <w:noProof/>
        </w:rPr>
        <w:t xml:space="preserve"> </w:t>
      </w:r>
    </w:p>
    <w:p w:rsidR="0069543C" w:rsidRPr="008C791B" w:rsidRDefault="005958B7" w:rsidP="008C791B">
      <w:pPr>
        <w:rPr>
          <w:noProof/>
        </w:rPr>
      </w:pPr>
      <w:r>
        <w:rPr>
          <w:noProof/>
          <w:lang w:val="en-GB" w:eastAsia="en-GB"/>
          <w14:ligatures w14:val="standardContextual"/>
        </w:rPr>
        <w:drawing>
          <wp:anchor distT="0" distB="0" distL="114300" distR="114300" simplePos="0" relativeHeight="251846656" behindDoc="0" locked="0" layoutInCell="1" allowOverlap="1" wp14:anchorId="7F9E5608" wp14:editId="78577AB2">
            <wp:simplePos x="0" y="0"/>
            <wp:positionH relativeFrom="margin">
              <wp:posOffset>2388282</wp:posOffset>
            </wp:positionH>
            <wp:positionV relativeFrom="margin">
              <wp:posOffset>4250690</wp:posOffset>
            </wp:positionV>
            <wp:extent cx="3464560" cy="2654300"/>
            <wp:effectExtent l="0" t="0" r="2540" b="12700"/>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r w:rsidR="006A4FD7">
        <w:rPr>
          <w:rFonts w:cstheme="majorHAnsi"/>
        </w:rPr>
        <w:t>Performanca mesatare në 13</w:t>
      </w:r>
      <w:r w:rsidR="0069543C" w:rsidRPr="009F2567">
        <w:rPr>
          <w:rFonts w:cstheme="majorHAnsi"/>
        </w:rPr>
        <w:t xml:space="preserve"> treguesit e vlerësuar në kuadër të fushës ‘Qeverisja demokratike’ është </w:t>
      </w:r>
      <w:r>
        <w:rPr>
          <w:rFonts w:cstheme="majorHAnsi"/>
        </w:rPr>
        <w:t xml:space="preserve">29 </w:t>
      </w:r>
      <w:r w:rsidR="0069543C" w:rsidRPr="009F2567">
        <w:rPr>
          <w:rFonts w:cstheme="majorHAnsi"/>
        </w:rPr>
        <w:t xml:space="preserve">pikë nga gjithsej </w:t>
      </w:r>
      <w:r w:rsidR="00486F4B">
        <w:rPr>
          <w:rFonts w:cstheme="majorHAnsi"/>
        </w:rPr>
        <w:t>40</w:t>
      </w:r>
      <w:r w:rsidR="0069543C" w:rsidRPr="009F2567">
        <w:rPr>
          <w:rFonts w:cstheme="majorHAnsi"/>
        </w:rPr>
        <w:t xml:space="preserve"> pikët të mundshme (</w:t>
      </w:r>
      <w:r>
        <w:rPr>
          <w:rFonts w:cstheme="majorHAnsi"/>
        </w:rPr>
        <w:t>72.50</w:t>
      </w:r>
      <w:r w:rsidR="0069543C" w:rsidRPr="009F2567">
        <w:rPr>
          <w:rFonts w:cstheme="majorHAnsi"/>
        </w:rPr>
        <w:t xml:space="preserve">%). </w:t>
      </w:r>
    </w:p>
    <w:p w:rsidR="0069543C" w:rsidRPr="009F2567" w:rsidRDefault="0069543C" w:rsidP="008C791B">
      <w:pPr>
        <w:rPr>
          <w:rFonts w:cstheme="majorHAnsi"/>
        </w:rPr>
      </w:pPr>
      <w:r w:rsidRPr="009F2567">
        <w:rPr>
          <w:rFonts w:cstheme="majorHAnsi"/>
        </w:rPr>
        <w:t xml:space="preserve">Performanca mesatare në </w:t>
      </w:r>
      <w:r w:rsidR="006A4FD7">
        <w:rPr>
          <w:rFonts w:cstheme="majorHAnsi"/>
        </w:rPr>
        <w:t>7</w:t>
      </w:r>
      <w:r w:rsidRPr="009F2567">
        <w:rPr>
          <w:rFonts w:cstheme="majorHAnsi"/>
        </w:rPr>
        <w:t xml:space="preserve"> treguesit e vlerësuar në kuadër të fushës ‘Menaxhimi Komunal’ është </w:t>
      </w:r>
      <w:r w:rsidR="005958B7">
        <w:rPr>
          <w:rFonts w:cstheme="majorHAnsi"/>
        </w:rPr>
        <w:t>5</w:t>
      </w:r>
      <w:r w:rsidRPr="009F2567">
        <w:rPr>
          <w:rFonts w:cstheme="majorHAnsi"/>
        </w:rPr>
        <w:t xml:space="preserve"> pikë nga gjithsej 2</w:t>
      </w:r>
      <w:r w:rsidR="00486F4B">
        <w:rPr>
          <w:rFonts w:cstheme="majorHAnsi"/>
        </w:rPr>
        <w:t>8</w:t>
      </w:r>
      <w:r w:rsidRPr="009F2567">
        <w:rPr>
          <w:rFonts w:cstheme="majorHAnsi"/>
        </w:rPr>
        <w:t xml:space="preserve"> pikë të mundshme (</w:t>
      </w:r>
      <w:r w:rsidR="005958B7">
        <w:rPr>
          <w:rFonts w:cstheme="majorHAnsi"/>
        </w:rPr>
        <w:t>17.86</w:t>
      </w:r>
      <w:r w:rsidRPr="009F2567">
        <w:rPr>
          <w:rFonts w:cstheme="majorHAnsi"/>
        </w:rPr>
        <w:t xml:space="preserve">%). </w:t>
      </w:r>
    </w:p>
    <w:p w:rsidR="0069543C" w:rsidRPr="009F2567" w:rsidRDefault="0069543C" w:rsidP="008C791B">
      <w:pPr>
        <w:rPr>
          <w:rFonts w:cstheme="majorHAnsi"/>
        </w:rPr>
      </w:pPr>
      <w:r w:rsidRPr="009F2567">
        <w:rPr>
          <w:rFonts w:cstheme="majorHAnsi"/>
        </w:rPr>
        <w:t xml:space="preserve">Performanca mesatare në </w:t>
      </w:r>
      <w:r w:rsidR="005958B7">
        <w:rPr>
          <w:rFonts w:cstheme="majorHAnsi"/>
        </w:rPr>
        <w:t>9</w:t>
      </w:r>
      <w:r w:rsidRPr="009F2567">
        <w:rPr>
          <w:rFonts w:cstheme="majorHAnsi"/>
        </w:rPr>
        <w:t xml:space="preserve"> treguesit e vlerësuar në kuadër të fushës ‘Ofrimi i shërbimeve’ është 1</w:t>
      </w:r>
      <w:r w:rsidR="005958B7">
        <w:rPr>
          <w:rFonts w:cstheme="majorHAnsi"/>
        </w:rPr>
        <w:t>3</w:t>
      </w:r>
      <w:r w:rsidRPr="009F2567">
        <w:rPr>
          <w:rFonts w:cstheme="majorHAnsi"/>
        </w:rPr>
        <w:t xml:space="preserve"> pikë nga gjithsej </w:t>
      </w:r>
      <w:r w:rsidR="00486F4B">
        <w:rPr>
          <w:rFonts w:cstheme="majorHAnsi"/>
        </w:rPr>
        <w:t xml:space="preserve">30 </w:t>
      </w:r>
      <w:r w:rsidRPr="009F2567">
        <w:rPr>
          <w:rFonts w:cstheme="majorHAnsi"/>
        </w:rPr>
        <w:t>pikë të mundshme (</w:t>
      </w:r>
      <w:r w:rsidR="005958B7">
        <w:rPr>
          <w:rFonts w:cstheme="majorHAnsi"/>
        </w:rPr>
        <w:t>43.33</w:t>
      </w:r>
      <w:r w:rsidRPr="009F2567">
        <w:rPr>
          <w:rFonts w:cstheme="majorHAnsi"/>
        </w:rPr>
        <w:t xml:space="preserve">%). </w:t>
      </w:r>
    </w:p>
    <w:p w:rsidR="0069543C" w:rsidRPr="009F2567" w:rsidRDefault="0069543C" w:rsidP="0069543C"/>
    <w:p w:rsidR="0069543C" w:rsidRPr="009F2567" w:rsidRDefault="0069543C" w:rsidP="0069543C">
      <w:pPr>
        <w:jc w:val="both"/>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eastAsiaTheme="majorEastAsia" w:cs="Calibri Light"/>
          <w:b/>
          <w:noProof/>
          <w:lang w:val="de-CH"/>
        </w:rPr>
      </w:pPr>
      <w:r w:rsidRPr="009F2567">
        <w:rPr>
          <w:rFonts w:eastAsiaTheme="majorEastAsia" w:cs="Calibri Light"/>
          <w:b/>
          <w:noProof/>
          <w:lang w:val="de-CH"/>
        </w:rPr>
        <w:lastRenderedPageBreak/>
        <w:t>Përmbled</w:t>
      </w:r>
      <w:r w:rsidR="005958B7">
        <w:rPr>
          <w:rFonts w:eastAsiaTheme="majorEastAsia" w:cs="Calibri Light"/>
          <w:b/>
          <w:noProof/>
          <w:lang w:val="de-CH"/>
        </w:rPr>
        <w:t>hje e rezultateve për vitin 2024</w:t>
      </w:r>
      <w:r w:rsidRPr="009F2567">
        <w:rPr>
          <w:rFonts w:eastAsiaTheme="majorEastAsia" w:cs="Calibri Light"/>
          <w:b/>
          <w:noProof/>
          <w:lang w:val="de-CH"/>
        </w:rPr>
        <w:t xml:space="preserve"> për grantin e performancës komunale - Komuna</w:t>
      </w:r>
      <w:r w:rsidRPr="009F2567">
        <w:rPr>
          <w:rFonts w:cs="Calibri Light"/>
        </w:rPr>
        <w:t xml:space="preserve"> </w:t>
      </w:r>
      <w:r w:rsidR="005958B7">
        <w:rPr>
          <w:rFonts w:eastAsiaTheme="majorEastAsia" w:cs="Calibri Light"/>
          <w:b/>
          <w:noProof/>
          <w:lang w:val="de-CH"/>
        </w:rPr>
        <w:t>Mitrovicë e V</w:t>
      </w:r>
      <w:r w:rsidRPr="009F2567">
        <w:rPr>
          <w:rFonts w:eastAsiaTheme="majorEastAsia" w:cs="Calibri Light"/>
          <w:b/>
          <w:noProof/>
          <w:lang w:val="de-CH"/>
        </w:rPr>
        <w:t>eriut</w:t>
      </w:r>
    </w:p>
    <w:p w:rsidR="0069543C" w:rsidRPr="009F2567" w:rsidRDefault="00E23C98" w:rsidP="0069543C">
      <w:pPr>
        <w:rPr>
          <w:b/>
        </w:rPr>
      </w:pPr>
      <w:r w:rsidRPr="009F2567">
        <w:rPr>
          <w:noProof/>
          <w:lang w:val="en-GB" w:eastAsia="en-GB"/>
        </w:rPr>
        <w:drawing>
          <wp:anchor distT="0" distB="0" distL="114300" distR="114300" simplePos="0" relativeHeight="251694080" behindDoc="0" locked="0" layoutInCell="1" allowOverlap="1" wp14:anchorId="483B003B" wp14:editId="70198711">
            <wp:simplePos x="0" y="0"/>
            <wp:positionH relativeFrom="column">
              <wp:posOffset>2885440</wp:posOffset>
            </wp:positionH>
            <wp:positionV relativeFrom="paragraph">
              <wp:posOffset>273050</wp:posOffset>
            </wp:positionV>
            <wp:extent cx="3307715" cy="2027555"/>
            <wp:effectExtent l="0" t="0" r="6985" b="10795"/>
            <wp:wrapSquare wrapText="bothSides"/>
            <wp:docPr id="55" name="Chart 5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r w:rsidR="0069543C" w:rsidRPr="009F2567">
        <w:rPr>
          <w:b/>
        </w:rPr>
        <w:t xml:space="preserve">Vlerësimi i </w:t>
      </w:r>
      <w:r w:rsidR="005958B7">
        <w:rPr>
          <w:b/>
        </w:rPr>
        <w:t>kushteve minimale për vitin 2024</w:t>
      </w:r>
    </w:p>
    <w:p w:rsidR="0069543C" w:rsidRPr="009F2567" w:rsidRDefault="005958B7" w:rsidP="0069543C">
      <w:pPr>
        <w:jc w:val="both"/>
        <w:rPr>
          <w:rFonts w:cstheme="majorHAnsi"/>
          <w:lang w:val="de-CH"/>
        </w:rPr>
      </w:pPr>
      <w:r>
        <w:rPr>
          <w:rFonts w:cstheme="majorHAnsi"/>
          <w:lang w:val="de-CH"/>
        </w:rPr>
        <w:t>Komuna e Mitrovicës së V</w:t>
      </w:r>
      <w:r w:rsidR="0069543C" w:rsidRPr="009F2567">
        <w:rPr>
          <w:rFonts w:cstheme="majorHAnsi"/>
          <w:lang w:val="de-CH"/>
        </w:rPr>
        <w:t>eriut nuk është kualifikuar për grantin e perf</w:t>
      </w:r>
      <w:r>
        <w:rPr>
          <w:rFonts w:cstheme="majorHAnsi"/>
          <w:lang w:val="de-CH"/>
        </w:rPr>
        <w:t>ormancës komunale për vitin 2024</w:t>
      </w:r>
      <w:r w:rsidR="0069543C" w:rsidRPr="009F2567">
        <w:rPr>
          <w:rFonts w:cstheme="majorHAnsi"/>
          <w:lang w:val="de-CH"/>
        </w:rPr>
        <w:t xml:space="preserve">. </w:t>
      </w:r>
    </w:p>
    <w:p w:rsidR="0069543C" w:rsidRPr="009F2567" w:rsidRDefault="0069543C" w:rsidP="0069543C">
      <w:pPr>
        <w:jc w:val="both"/>
        <w:rPr>
          <w:rFonts w:cstheme="majorHAnsi"/>
          <w:noProof/>
        </w:rPr>
      </w:pPr>
      <w:bookmarkStart w:id="46" w:name="_Hlk114235842"/>
      <w:bookmarkStart w:id="47" w:name="_Hlk114231253"/>
      <w:r w:rsidRPr="009F2567">
        <w:rPr>
          <w:rFonts w:cstheme="majorHAnsi"/>
          <w:lang w:val="de-CH"/>
        </w:rPr>
        <w:t>Kusht</w:t>
      </w:r>
      <w:r w:rsidR="00D71828" w:rsidRPr="009F2567">
        <w:rPr>
          <w:rFonts w:cstheme="majorHAnsi"/>
          <w:lang w:val="de-CH"/>
        </w:rPr>
        <w:t>i minimal</w:t>
      </w:r>
      <w:r w:rsidRPr="009F2567">
        <w:rPr>
          <w:rFonts w:cstheme="majorHAnsi"/>
          <w:lang w:val="de-CH"/>
        </w:rPr>
        <w:t xml:space="preserve"> numër 3 (opinioni i auditorit të jetë së paku i pamodifikuar me theksim të çështjes) nuk ë</w:t>
      </w:r>
      <w:r w:rsidR="00D71828" w:rsidRPr="009F2567">
        <w:rPr>
          <w:rFonts w:cstheme="majorHAnsi"/>
          <w:lang w:val="de-CH"/>
        </w:rPr>
        <w:t>shtë</w:t>
      </w:r>
      <w:r w:rsidRPr="009F2567">
        <w:rPr>
          <w:rFonts w:cstheme="majorHAnsi"/>
          <w:lang w:val="de-CH"/>
        </w:rPr>
        <w:t xml:space="preserve"> përmbushur</w:t>
      </w:r>
      <w:bookmarkEnd w:id="46"/>
      <w:r w:rsidRPr="009F2567">
        <w:rPr>
          <w:rFonts w:cstheme="majorHAnsi"/>
          <w:lang w:val="de-CH"/>
        </w:rPr>
        <w:t xml:space="preserve">. </w:t>
      </w:r>
    </w:p>
    <w:bookmarkEnd w:id="47"/>
    <w:p w:rsidR="0069543C" w:rsidRPr="009F2567" w:rsidRDefault="0069543C" w:rsidP="0069543C">
      <w:pPr>
        <w:rPr>
          <w:lang w:val="de-CH"/>
        </w:rPr>
      </w:pPr>
    </w:p>
    <w:p w:rsidR="0069543C" w:rsidRPr="009F2567" w:rsidRDefault="0069543C" w:rsidP="0069543C">
      <w:pPr>
        <w:jc w:val="both"/>
        <w:rPr>
          <w:lang w:val="de-CH"/>
        </w:rPr>
      </w:pPr>
    </w:p>
    <w:p w:rsidR="0069543C" w:rsidRPr="009F2567" w:rsidRDefault="0069543C" w:rsidP="0069543C">
      <w:pPr>
        <w:jc w:val="both"/>
        <w:rPr>
          <w:lang w:val="de-CH"/>
        </w:rPr>
      </w:pPr>
    </w:p>
    <w:p w:rsidR="0069543C" w:rsidRPr="009F2567" w:rsidRDefault="0069543C" w:rsidP="0069543C">
      <w:pPr>
        <w:rPr>
          <w:b/>
        </w:rPr>
      </w:pPr>
      <w:r w:rsidRPr="009F2567">
        <w:rPr>
          <w:b/>
        </w:rPr>
        <w:t>Vlerësimi i treguesv</w:t>
      </w:r>
      <w:r w:rsidR="00E050A6">
        <w:rPr>
          <w:b/>
        </w:rPr>
        <w:t>e të performancës për vitin 2024</w:t>
      </w:r>
    </w:p>
    <w:p w:rsidR="0069543C" w:rsidRPr="009F2567" w:rsidRDefault="00E050A6" w:rsidP="0069543C">
      <w:pPr>
        <w:jc w:val="both"/>
        <w:rPr>
          <w:rFonts w:asciiTheme="majorHAnsi" w:hAnsiTheme="majorHAnsi" w:cstheme="majorHAnsi"/>
        </w:rPr>
      </w:pPr>
      <w:r>
        <w:rPr>
          <w:noProof/>
          <w:lang w:val="en-GB" w:eastAsia="en-GB"/>
          <w14:ligatures w14:val="standardContextual"/>
        </w:rPr>
        <w:drawing>
          <wp:anchor distT="0" distB="0" distL="114300" distR="114300" simplePos="0" relativeHeight="251847680" behindDoc="0" locked="0" layoutInCell="1" allowOverlap="1" wp14:anchorId="29959353" wp14:editId="6A41B124">
            <wp:simplePos x="0" y="0"/>
            <wp:positionH relativeFrom="margin">
              <wp:posOffset>2756564</wp:posOffset>
            </wp:positionH>
            <wp:positionV relativeFrom="margin">
              <wp:posOffset>3622855</wp:posOffset>
            </wp:positionV>
            <wp:extent cx="3383280" cy="2647315"/>
            <wp:effectExtent l="0" t="0" r="7620" b="635"/>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r w:rsidR="0069543C" w:rsidRPr="009F2567">
        <w:rPr>
          <w:rFonts w:asciiTheme="majorHAnsi" w:hAnsiTheme="majorHAnsi" w:cstheme="majorHAnsi"/>
        </w:rPr>
        <w:t xml:space="preserve">Performanca mesatare e Komunës së </w:t>
      </w:r>
      <w:r>
        <w:rPr>
          <w:rFonts w:asciiTheme="majorHAnsi" w:hAnsiTheme="majorHAnsi" w:cstheme="majorHAnsi"/>
          <w:lang w:val="de-CH"/>
        </w:rPr>
        <w:t>Mitrovicës së V</w:t>
      </w:r>
      <w:r w:rsidR="0069543C" w:rsidRPr="009F2567">
        <w:rPr>
          <w:rFonts w:asciiTheme="majorHAnsi" w:hAnsiTheme="majorHAnsi" w:cstheme="majorHAnsi"/>
          <w:lang w:val="de-CH"/>
        </w:rPr>
        <w:t>eriut</w:t>
      </w:r>
      <w:r>
        <w:rPr>
          <w:rFonts w:asciiTheme="majorHAnsi" w:hAnsiTheme="majorHAnsi" w:cstheme="majorHAnsi"/>
        </w:rPr>
        <w:t xml:space="preserve"> në 29</w:t>
      </w:r>
      <w:r w:rsidR="0069543C" w:rsidRPr="009F2567">
        <w:rPr>
          <w:rFonts w:asciiTheme="majorHAnsi" w:hAnsiTheme="majorHAnsi" w:cstheme="majorHAnsi"/>
        </w:rPr>
        <w:t xml:space="preserve"> indikatorët e vlerësuar është </w:t>
      </w:r>
      <w:r>
        <w:rPr>
          <w:rFonts w:asciiTheme="majorHAnsi" w:hAnsiTheme="majorHAnsi" w:cstheme="majorHAnsi"/>
        </w:rPr>
        <w:t>13 pikë nga gjithsej 98 pikë të mundshme (13.27</w:t>
      </w:r>
      <w:r w:rsidR="0069543C" w:rsidRPr="009F2567">
        <w:rPr>
          <w:rFonts w:asciiTheme="majorHAnsi" w:hAnsiTheme="majorHAnsi" w:cstheme="majorHAnsi"/>
        </w:rPr>
        <w:t>%).</w:t>
      </w:r>
      <w:r w:rsidR="0069543C" w:rsidRPr="009F2567">
        <w:rPr>
          <w:noProof/>
        </w:rPr>
        <w:t xml:space="preserve"> </w:t>
      </w:r>
    </w:p>
    <w:p w:rsidR="0069543C" w:rsidRPr="009F2567" w:rsidRDefault="006A4FD7" w:rsidP="0069543C">
      <w:pPr>
        <w:jc w:val="both"/>
        <w:rPr>
          <w:rFonts w:asciiTheme="majorHAnsi" w:hAnsiTheme="majorHAnsi" w:cstheme="majorHAnsi"/>
        </w:rPr>
      </w:pPr>
      <w:r>
        <w:rPr>
          <w:rFonts w:asciiTheme="majorHAnsi" w:hAnsiTheme="majorHAnsi" w:cstheme="majorHAnsi"/>
        </w:rPr>
        <w:t>Performanca mesatare në 13</w:t>
      </w:r>
      <w:r w:rsidR="0069543C" w:rsidRPr="009F2567">
        <w:rPr>
          <w:rFonts w:asciiTheme="majorHAnsi" w:hAnsiTheme="majorHAnsi" w:cstheme="majorHAnsi"/>
        </w:rPr>
        <w:t xml:space="preserve"> treguesit e vlerësuar në kuadër të fushës ‘Qeverisja demokratike’ është </w:t>
      </w:r>
      <w:r w:rsidR="00E050A6">
        <w:rPr>
          <w:rFonts w:asciiTheme="majorHAnsi" w:hAnsiTheme="majorHAnsi" w:cstheme="majorHAnsi"/>
        </w:rPr>
        <w:t>4</w:t>
      </w:r>
      <w:r w:rsidR="0069543C" w:rsidRPr="009F2567">
        <w:rPr>
          <w:rFonts w:asciiTheme="majorHAnsi" w:hAnsiTheme="majorHAnsi" w:cstheme="majorHAnsi"/>
        </w:rPr>
        <w:t xml:space="preserve"> pikë nga gjithsej </w:t>
      </w:r>
      <w:r w:rsidR="00486F4B">
        <w:rPr>
          <w:rFonts w:asciiTheme="majorHAnsi" w:hAnsiTheme="majorHAnsi" w:cstheme="majorHAnsi"/>
        </w:rPr>
        <w:t>40</w:t>
      </w:r>
      <w:r w:rsidR="0069543C" w:rsidRPr="009F2567">
        <w:rPr>
          <w:rFonts w:asciiTheme="majorHAnsi" w:hAnsiTheme="majorHAnsi" w:cstheme="majorHAnsi"/>
        </w:rPr>
        <w:t xml:space="preserve"> pikët të mundshme (</w:t>
      </w:r>
      <w:r w:rsidR="00E050A6">
        <w:rPr>
          <w:rFonts w:asciiTheme="majorHAnsi" w:hAnsiTheme="majorHAnsi" w:cstheme="majorHAnsi"/>
        </w:rPr>
        <w:t>10.00</w:t>
      </w:r>
      <w:r w:rsidR="0069543C" w:rsidRPr="009F2567">
        <w:rPr>
          <w:rFonts w:asciiTheme="majorHAnsi" w:hAnsiTheme="majorHAnsi" w:cstheme="majorHAnsi"/>
        </w:rPr>
        <w:t xml:space="preserve">%). </w:t>
      </w:r>
    </w:p>
    <w:p w:rsidR="0069543C" w:rsidRPr="009F2567" w:rsidRDefault="006A4FD7" w:rsidP="0069543C">
      <w:pPr>
        <w:jc w:val="both"/>
        <w:rPr>
          <w:rFonts w:asciiTheme="majorHAnsi" w:hAnsiTheme="majorHAnsi" w:cstheme="majorHAnsi"/>
        </w:rPr>
      </w:pPr>
      <w:r>
        <w:rPr>
          <w:rFonts w:asciiTheme="majorHAnsi" w:hAnsiTheme="majorHAnsi" w:cstheme="majorHAnsi"/>
        </w:rPr>
        <w:t>Performanca mesatare në 7</w:t>
      </w:r>
      <w:r w:rsidR="0069543C" w:rsidRPr="009F2567">
        <w:rPr>
          <w:rFonts w:asciiTheme="majorHAnsi" w:hAnsiTheme="majorHAnsi" w:cstheme="majorHAnsi"/>
        </w:rPr>
        <w:t xml:space="preserve"> treguesit e vlerësuar në kuadër të fushës ‘Menaxhimi Komunal’ është  </w:t>
      </w:r>
      <w:r w:rsidR="00E050A6">
        <w:rPr>
          <w:rFonts w:asciiTheme="majorHAnsi" w:hAnsiTheme="majorHAnsi" w:cstheme="majorHAnsi"/>
        </w:rPr>
        <w:t xml:space="preserve">5 </w:t>
      </w:r>
      <w:r w:rsidR="0069543C" w:rsidRPr="009F2567">
        <w:rPr>
          <w:rFonts w:asciiTheme="majorHAnsi" w:hAnsiTheme="majorHAnsi" w:cstheme="majorHAnsi"/>
        </w:rPr>
        <w:t>pikë nga gjithsej 2</w:t>
      </w:r>
      <w:r w:rsidR="00486F4B">
        <w:rPr>
          <w:rFonts w:asciiTheme="majorHAnsi" w:hAnsiTheme="majorHAnsi" w:cstheme="majorHAnsi"/>
        </w:rPr>
        <w:t>8</w:t>
      </w:r>
      <w:r w:rsidR="0069543C" w:rsidRPr="009F2567">
        <w:rPr>
          <w:rFonts w:asciiTheme="majorHAnsi" w:hAnsiTheme="majorHAnsi" w:cstheme="majorHAnsi"/>
        </w:rPr>
        <w:t xml:space="preserve"> pikë të mundshme (</w:t>
      </w:r>
      <w:r w:rsidR="00E050A6">
        <w:rPr>
          <w:rFonts w:asciiTheme="majorHAnsi" w:hAnsiTheme="majorHAnsi" w:cstheme="majorHAnsi"/>
        </w:rPr>
        <w:t>17.86</w:t>
      </w:r>
      <w:r w:rsidR="0069543C" w:rsidRPr="009F2567">
        <w:rPr>
          <w:rFonts w:asciiTheme="majorHAnsi" w:hAnsiTheme="majorHAnsi" w:cstheme="majorHAnsi"/>
        </w:rPr>
        <w:t xml:space="preserve">%). </w:t>
      </w:r>
    </w:p>
    <w:p w:rsidR="0069543C" w:rsidRPr="009F2567" w:rsidRDefault="00E050A6" w:rsidP="0069543C">
      <w:pPr>
        <w:jc w:val="both"/>
        <w:rPr>
          <w:rFonts w:asciiTheme="majorHAnsi" w:hAnsiTheme="majorHAnsi" w:cstheme="majorHAnsi"/>
        </w:rPr>
      </w:pPr>
      <w:r>
        <w:rPr>
          <w:rFonts w:asciiTheme="majorHAnsi" w:hAnsiTheme="majorHAnsi" w:cstheme="majorHAnsi"/>
        </w:rPr>
        <w:t>Performanca mesatare në 9</w:t>
      </w:r>
      <w:r w:rsidR="0069543C" w:rsidRPr="009F2567">
        <w:rPr>
          <w:rFonts w:asciiTheme="majorHAnsi" w:hAnsiTheme="majorHAnsi" w:cstheme="majorHAnsi"/>
        </w:rPr>
        <w:t xml:space="preserve"> treguesit e vlerësuar në kuadër të fushës ‘Ofrimi i shërbimeve’ është</w:t>
      </w:r>
      <w:r>
        <w:rPr>
          <w:rFonts w:asciiTheme="majorHAnsi" w:hAnsiTheme="majorHAnsi" w:cstheme="majorHAnsi"/>
        </w:rPr>
        <w:t xml:space="preserve"> 4</w:t>
      </w:r>
      <w:r w:rsidR="0069543C" w:rsidRPr="009F2567">
        <w:rPr>
          <w:rFonts w:asciiTheme="majorHAnsi" w:hAnsiTheme="majorHAnsi" w:cstheme="majorHAnsi"/>
        </w:rPr>
        <w:t xml:space="preserve"> pikë nga gjithsej </w:t>
      </w:r>
      <w:r w:rsidR="00486F4B">
        <w:rPr>
          <w:rFonts w:asciiTheme="majorHAnsi" w:hAnsiTheme="majorHAnsi" w:cstheme="majorHAnsi"/>
        </w:rPr>
        <w:t>30</w:t>
      </w:r>
      <w:r w:rsidR="0069543C" w:rsidRPr="009F2567">
        <w:rPr>
          <w:rFonts w:asciiTheme="majorHAnsi" w:hAnsiTheme="majorHAnsi" w:cstheme="majorHAnsi"/>
        </w:rPr>
        <w:t xml:space="preserve"> pikë të mundshme (</w:t>
      </w:r>
      <w:r>
        <w:rPr>
          <w:rFonts w:asciiTheme="majorHAnsi" w:hAnsiTheme="majorHAnsi" w:cstheme="majorHAnsi"/>
        </w:rPr>
        <w:t>13.33</w:t>
      </w:r>
      <w:r w:rsidR="0069543C" w:rsidRPr="009F2567">
        <w:rPr>
          <w:rFonts w:asciiTheme="majorHAnsi" w:hAnsiTheme="majorHAnsi" w:cstheme="majorHAnsi"/>
        </w:rPr>
        <w:t xml:space="preserve">%). </w:t>
      </w:r>
    </w:p>
    <w:p w:rsidR="0069543C" w:rsidRPr="009F2567" w:rsidRDefault="0069543C" w:rsidP="0069543C"/>
    <w:p w:rsidR="0069543C" w:rsidRPr="009F2567" w:rsidRDefault="0069543C" w:rsidP="0069543C">
      <w:pPr>
        <w:jc w:val="both"/>
      </w:pPr>
    </w:p>
    <w:p w:rsidR="0069543C" w:rsidRPr="009F2567" w:rsidRDefault="0069543C" w:rsidP="0069543C">
      <w:pPr>
        <w:rPr>
          <w:rFonts w:ascii="Calibri Light" w:eastAsiaTheme="majorEastAsia" w:hAnsi="Calibri Light" w:cs="Calibri Light"/>
          <w:b/>
          <w:noProof/>
          <w:lang w:val="de-CH"/>
        </w:rPr>
      </w:pPr>
    </w:p>
    <w:p w:rsidR="0069543C" w:rsidRPr="009F2567" w:rsidRDefault="0069543C" w:rsidP="0069543C">
      <w:pPr>
        <w:rPr>
          <w:rFonts w:ascii="Calibri Light" w:eastAsiaTheme="majorEastAsia" w:hAnsi="Calibri Light" w:cs="Calibri Light"/>
          <w:b/>
          <w:noProof/>
          <w:lang w:val="de-CH"/>
        </w:rPr>
      </w:pPr>
    </w:p>
    <w:p w:rsidR="006F156C" w:rsidRPr="009F2567" w:rsidRDefault="006F156C" w:rsidP="0069543C">
      <w:pPr>
        <w:rPr>
          <w:rFonts w:ascii="Calibri Light" w:eastAsiaTheme="majorEastAsia" w:hAnsi="Calibri Light" w:cs="Calibri Light"/>
          <w:b/>
          <w:noProof/>
          <w:lang w:val="de-CH"/>
        </w:rPr>
      </w:pPr>
    </w:p>
    <w:p w:rsidR="006F156C" w:rsidRPr="009F2567" w:rsidRDefault="006F156C" w:rsidP="0069543C">
      <w:pPr>
        <w:rPr>
          <w:rFonts w:ascii="Calibri Light" w:eastAsiaTheme="majorEastAsia" w:hAnsi="Calibri Light" w:cs="Calibri Light"/>
          <w:b/>
          <w:noProof/>
          <w:lang w:val="de-CH"/>
        </w:rPr>
      </w:pPr>
    </w:p>
    <w:p w:rsidR="006F156C" w:rsidRPr="009F2567" w:rsidRDefault="006F156C" w:rsidP="0069543C">
      <w:pPr>
        <w:rPr>
          <w:rFonts w:ascii="Calibri Light" w:eastAsiaTheme="majorEastAsia" w:hAnsi="Calibri Light" w:cs="Calibri Light"/>
          <w:b/>
          <w:noProof/>
          <w:lang w:val="de-CH"/>
        </w:rPr>
      </w:pPr>
    </w:p>
    <w:p w:rsidR="0069543C" w:rsidRPr="009F2567" w:rsidRDefault="0069543C" w:rsidP="0069543C">
      <w:pPr>
        <w:rPr>
          <w:rFonts w:ascii="Calibri Light" w:eastAsiaTheme="majorEastAsia" w:hAnsi="Calibri Light" w:cs="Calibri Light"/>
          <w:b/>
          <w:noProof/>
          <w:lang w:val="de-CH"/>
        </w:rPr>
      </w:pPr>
      <w:r w:rsidRPr="009F2567">
        <w:rPr>
          <w:rFonts w:ascii="Calibri Light" w:eastAsiaTheme="majorEastAsia" w:hAnsi="Calibri Light" w:cs="Calibri Light"/>
          <w:b/>
          <w:noProof/>
          <w:lang w:val="de-CH"/>
        </w:rPr>
        <w:br/>
      </w:r>
      <w:r w:rsidRPr="009F2567">
        <w:rPr>
          <w:rFonts w:ascii="Calibri Light" w:eastAsiaTheme="majorEastAsia" w:hAnsi="Calibri Light" w:cs="Calibri Light"/>
          <w:b/>
          <w:noProof/>
          <w:lang w:val="de-CH"/>
        </w:rPr>
        <w:br/>
      </w:r>
      <w:r w:rsidRPr="009F2567">
        <w:rPr>
          <w:rFonts w:ascii="Calibri Light" w:eastAsiaTheme="majorEastAsia" w:hAnsi="Calibri Light" w:cs="Calibri Light"/>
          <w:b/>
          <w:noProof/>
          <w:lang w:val="de-CH"/>
        </w:rPr>
        <w:br/>
      </w:r>
    </w:p>
    <w:p w:rsidR="0069543C" w:rsidRPr="009F2567" w:rsidRDefault="0069543C" w:rsidP="0069543C">
      <w:pPr>
        <w:rPr>
          <w:rFonts w:eastAsiaTheme="majorEastAsia" w:cs="Calibri Light"/>
          <w:b/>
          <w:noProof/>
          <w:lang w:val="de-CH"/>
        </w:rPr>
      </w:pPr>
      <w:r w:rsidRPr="009F2567">
        <w:rPr>
          <w:rFonts w:eastAsiaTheme="majorEastAsia" w:cs="Calibri Light"/>
          <w:b/>
          <w:noProof/>
          <w:lang w:val="de-CH"/>
        </w:rPr>
        <w:lastRenderedPageBreak/>
        <w:t>Përmbledhje e rezultateve për vitin 202</w:t>
      </w:r>
      <w:r w:rsidR="00E050A6">
        <w:rPr>
          <w:rFonts w:eastAsiaTheme="majorEastAsia" w:cs="Calibri Light"/>
          <w:b/>
          <w:noProof/>
          <w:lang w:val="de-CH"/>
        </w:rPr>
        <w:t>4</w:t>
      </w:r>
      <w:r w:rsidRPr="009F2567">
        <w:rPr>
          <w:rFonts w:eastAsiaTheme="majorEastAsia" w:cs="Calibri Light"/>
          <w:b/>
          <w:noProof/>
          <w:lang w:val="de-CH"/>
        </w:rPr>
        <w:t xml:space="preserve"> për grantin e performancës komunale - Komuna Novobërdë</w:t>
      </w:r>
    </w:p>
    <w:p w:rsidR="0069543C" w:rsidRPr="009F2567" w:rsidRDefault="0069543C" w:rsidP="0069543C">
      <w:pPr>
        <w:rPr>
          <w:b/>
        </w:rPr>
      </w:pPr>
      <w:r w:rsidRPr="009F2567">
        <w:rPr>
          <w:b/>
        </w:rPr>
        <w:t xml:space="preserve">Vlerësimi i </w:t>
      </w:r>
      <w:r w:rsidR="00E050A6">
        <w:rPr>
          <w:b/>
        </w:rPr>
        <w:t>kushteve minimale për vitin 2024</w:t>
      </w:r>
    </w:p>
    <w:p w:rsidR="0069543C" w:rsidRDefault="00E050A6" w:rsidP="0069543C">
      <w:pPr>
        <w:jc w:val="both"/>
        <w:rPr>
          <w:rFonts w:asciiTheme="majorHAnsi" w:hAnsiTheme="majorHAnsi" w:cstheme="majorHAnsi"/>
          <w:lang w:val="de-CH"/>
        </w:rPr>
      </w:pPr>
      <w:r>
        <w:rPr>
          <w:noProof/>
          <w:lang w:val="en-GB" w:eastAsia="en-GB"/>
          <w14:ligatures w14:val="standardContextual"/>
        </w:rPr>
        <w:drawing>
          <wp:anchor distT="0" distB="0" distL="114300" distR="114300" simplePos="0" relativeHeight="251848704" behindDoc="0" locked="0" layoutInCell="1" allowOverlap="1" wp14:anchorId="69E679B9" wp14:editId="49D8947C">
            <wp:simplePos x="0" y="0"/>
            <wp:positionH relativeFrom="margin">
              <wp:align>right</wp:align>
            </wp:positionH>
            <wp:positionV relativeFrom="margin">
              <wp:posOffset>1235075</wp:posOffset>
            </wp:positionV>
            <wp:extent cx="3056255" cy="1998980"/>
            <wp:effectExtent l="0" t="0" r="10795" b="1270"/>
            <wp:wrapSquare wrapText="bothSides"/>
            <wp:docPr id="1708941601" name="Chart 17089416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r w:rsidR="0069543C" w:rsidRPr="009F2567">
        <w:rPr>
          <w:rFonts w:asciiTheme="majorHAnsi" w:hAnsiTheme="majorHAnsi" w:cstheme="majorHAnsi"/>
          <w:lang w:val="de-CH"/>
        </w:rPr>
        <w:t>Komuna e Novobërdës nuk është kualifikuar për grantin e perf</w:t>
      </w:r>
      <w:r>
        <w:rPr>
          <w:rFonts w:asciiTheme="majorHAnsi" w:hAnsiTheme="majorHAnsi" w:cstheme="majorHAnsi"/>
          <w:lang w:val="de-CH"/>
        </w:rPr>
        <w:t>ormancës komunale për vitin 2024</w:t>
      </w:r>
      <w:r w:rsidR="0069543C" w:rsidRPr="009F2567">
        <w:rPr>
          <w:rFonts w:asciiTheme="majorHAnsi" w:hAnsiTheme="majorHAnsi" w:cstheme="majorHAnsi"/>
          <w:lang w:val="de-CH"/>
        </w:rPr>
        <w:t>.</w:t>
      </w:r>
    </w:p>
    <w:p w:rsidR="00E050A6" w:rsidRPr="009F2567" w:rsidRDefault="00E050A6" w:rsidP="0069543C">
      <w:pPr>
        <w:jc w:val="both"/>
        <w:rPr>
          <w:rFonts w:asciiTheme="majorHAnsi" w:hAnsiTheme="majorHAnsi" w:cstheme="majorHAnsi"/>
          <w:lang w:val="de-CH"/>
        </w:rPr>
      </w:pPr>
    </w:p>
    <w:p w:rsidR="00E050A6" w:rsidRPr="009F2567" w:rsidRDefault="00E050A6" w:rsidP="00E050A6">
      <w:pPr>
        <w:jc w:val="both"/>
        <w:rPr>
          <w:rFonts w:cstheme="majorHAnsi"/>
          <w:noProof/>
        </w:rPr>
      </w:pPr>
      <w:r w:rsidRPr="009F2567">
        <w:rPr>
          <w:rFonts w:cstheme="majorHAnsi"/>
          <w:lang w:val="de-CH"/>
        </w:rPr>
        <w:t>Kushti minimal numër 3 (opinioni i auditorit të jetë së paku i pamodifikuar me theksim të çështjes) nuk është përmbushur</w:t>
      </w:r>
      <w:r>
        <w:rPr>
          <w:rFonts w:cstheme="majorHAnsi"/>
          <w:lang w:val="de-CH"/>
        </w:rPr>
        <w:t>.</w:t>
      </w:r>
    </w:p>
    <w:p w:rsidR="0069543C" w:rsidRPr="009F2567" w:rsidRDefault="0069543C" w:rsidP="0069543C">
      <w:pPr>
        <w:rPr>
          <w:b/>
        </w:rPr>
      </w:pPr>
    </w:p>
    <w:p w:rsidR="0069543C" w:rsidRDefault="0069543C" w:rsidP="0069543C">
      <w:pPr>
        <w:rPr>
          <w:b/>
        </w:rPr>
      </w:pPr>
    </w:p>
    <w:p w:rsidR="00E050A6" w:rsidRPr="009F2567" w:rsidRDefault="00E050A6" w:rsidP="0069543C">
      <w:pPr>
        <w:rPr>
          <w:b/>
        </w:rPr>
      </w:pPr>
    </w:p>
    <w:p w:rsidR="0069543C" w:rsidRPr="009F2567" w:rsidRDefault="0069543C" w:rsidP="0069543C">
      <w:pPr>
        <w:rPr>
          <w:b/>
        </w:rPr>
      </w:pPr>
      <w:r w:rsidRPr="009F2567">
        <w:rPr>
          <w:b/>
        </w:rPr>
        <w:t>Vlerësimi i treguesv</w:t>
      </w:r>
      <w:r w:rsidR="00E050A6">
        <w:rPr>
          <w:b/>
        </w:rPr>
        <w:t>e të performancës për vitin 2024</w:t>
      </w:r>
    </w:p>
    <w:p w:rsidR="0069543C" w:rsidRPr="009F2567" w:rsidRDefault="00E050A6" w:rsidP="0069543C">
      <w:pPr>
        <w:jc w:val="both"/>
        <w:rPr>
          <w:rFonts w:asciiTheme="majorHAnsi" w:hAnsiTheme="majorHAnsi" w:cstheme="majorHAnsi"/>
        </w:rPr>
      </w:pPr>
      <w:r>
        <w:rPr>
          <w:noProof/>
          <w:lang w:val="en-GB" w:eastAsia="en-GB"/>
          <w14:ligatures w14:val="standardContextual"/>
        </w:rPr>
        <w:drawing>
          <wp:anchor distT="0" distB="0" distL="114300" distR="114300" simplePos="0" relativeHeight="251849728" behindDoc="0" locked="0" layoutInCell="1" allowOverlap="1" wp14:anchorId="54F79B33" wp14:editId="3A09E5CB">
            <wp:simplePos x="0" y="0"/>
            <wp:positionH relativeFrom="margin">
              <wp:align>right</wp:align>
            </wp:positionH>
            <wp:positionV relativeFrom="margin">
              <wp:posOffset>4257703</wp:posOffset>
            </wp:positionV>
            <wp:extent cx="3089275" cy="2633980"/>
            <wp:effectExtent l="0" t="0" r="15875" b="13970"/>
            <wp:wrapSquare wrapText="bothSides"/>
            <wp:docPr id="1708941602" name="Chart 17089416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r w:rsidR="0069543C" w:rsidRPr="009F2567">
        <w:rPr>
          <w:rFonts w:asciiTheme="majorHAnsi" w:hAnsiTheme="majorHAnsi" w:cstheme="majorHAnsi"/>
        </w:rPr>
        <w:t xml:space="preserve">Performanca mesatare e Komunës së </w:t>
      </w:r>
      <w:r w:rsidR="0069543C" w:rsidRPr="009F2567">
        <w:rPr>
          <w:rFonts w:asciiTheme="majorHAnsi" w:hAnsiTheme="majorHAnsi" w:cstheme="majorHAnsi"/>
          <w:lang w:val="de-CH"/>
        </w:rPr>
        <w:t>Novobërdës</w:t>
      </w:r>
      <w:r>
        <w:rPr>
          <w:rFonts w:asciiTheme="majorHAnsi" w:hAnsiTheme="majorHAnsi" w:cstheme="majorHAnsi"/>
        </w:rPr>
        <w:t xml:space="preserve"> në 29</w:t>
      </w:r>
      <w:r w:rsidR="0069543C" w:rsidRPr="009F2567">
        <w:rPr>
          <w:rFonts w:asciiTheme="majorHAnsi" w:hAnsiTheme="majorHAnsi" w:cstheme="majorHAnsi"/>
        </w:rPr>
        <w:t xml:space="preserve"> indikatorët e vlerësuar është </w:t>
      </w:r>
      <w:r w:rsidR="00CC20B3">
        <w:rPr>
          <w:rFonts w:asciiTheme="majorHAnsi" w:hAnsiTheme="majorHAnsi" w:cstheme="majorHAnsi"/>
        </w:rPr>
        <w:t>2</w:t>
      </w:r>
      <w:r w:rsidR="0069543C" w:rsidRPr="009F2567">
        <w:rPr>
          <w:rFonts w:asciiTheme="majorHAnsi" w:hAnsiTheme="majorHAnsi" w:cstheme="majorHAnsi"/>
        </w:rPr>
        <w:t xml:space="preserve"> pikë nga gjithsej 9</w:t>
      </w:r>
      <w:r w:rsidR="00CC20B3">
        <w:rPr>
          <w:rFonts w:asciiTheme="majorHAnsi" w:hAnsiTheme="majorHAnsi" w:cstheme="majorHAnsi"/>
        </w:rPr>
        <w:t>8</w:t>
      </w:r>
      <w:r w:rsidR="0069543C" w:rsidRPr="009F2567">
        <w:rPr>
          <w:rFonts w:asciiTheme="majorHAnsi" w:hAnsiTheme="majorHAnsi" w:cstheme="majorHAnsi"/>
        </w:rPr>
        <w:t xml:space="preserve"> pikë të mundshme (</w:t>
      </w:r>
      <w:r w:rsidR="00CC20B3">
        <w:rPr>
          <w:rFonts w:asciiTheme="majorHAnsi" w:hAnsiTheme="majorHAnsi" w:cstheme="majorHAnsi"/>
        </w:rPr>
        <w:t>2.04</w:t>
      </w:r>
      <w:r w:rsidR="0069543C" w:rsidRPr="009F2567">
        <w:rPr>
          <w:rFonts w:asciiTheme="majorHAnsi" w:hAnsiTheme="majorHAnsi" w:cstheme="majorHAnsi"/>
        </w:rPr>
        <w:t>%).</w:t>
      </w:r>
      <w:r w:rsidR="0069543C" w:rsidRPr="009F2567">
        <w:rPr>
          <w:noProof/>
        </w:rPr>
        <w:t xml:space="preserve"> </w:t>
      </w:r>
    </w:p>
    <w:p w:rsidR="0069543C" w:rsidRPr="009F2567" w:rsidRDefault="006A4FD7" w:rsidP="0069543C">
      <w:pPr>
        <w:jc w:val="both"/>
        <w:rPr>
          <w:rFonts w:asciiTheme="majorHAnsi" w:hAnsiTheme="majorHAnsi" w:cstheme="majorHAnsi"/>
        </w:rPr>
      </w:pPr>
      <w:r>
        <w:rPr>
          <w:rFonts w:asciiTheme="majorHAnsi" w:hAnsiTheme="majorHAnsi" w:cstheme="majorHAnsi"/>
        </w:rPr>
        <w:t>Performanca mesatare në 13</w:t>
      </w:r>
      <w:r w:rsidR="0069543C" w:rsidRPr="009F2567">
        <w:rPr>
          <w:rFonts w:asciiTheme="majorHAnsi" w:hAnsiTheme="majorHAnsi" w:cstheme="majorHAnsi"/>
        </w:rPr>
        <w:t xml:space="preserve"> treguesit e vlerësuar në kuadër të fushës ‘Qeverisja demokratike’ është 0 pikë nga gjithsej </w:t>
      </w:r>
      <w:r w:rsidR="00486F4B">
        <w:rPr>
          <w:rFonts w:asciiTheme="majorHAnsi" w:hAnsiTheme="majorHAnsi" w:cstheme="majorHAnsi"/>
        </w:rPr>
        <w:t>40</w:t>
      </w:r>
      <w:r w:rsidR="0069543C" w:rsidRPr="009F2567">
        <w:rPr>
          <w:rFonts w:asciiTheme="majorHAnsi" w:hAnsiTheme="majorHAnsi" w:cstheme="majorHAnsi"/>
        </w:rPr>
        <w:t xml:space="preserve"> pikët të mundshme (0</w:t>
      </w:r>
      <w:r w:rsidR="00CC20B3">
        <w:rPr>
          <w:rFonts w:asciiTheme="majorHAnsi" w:hAnsiTheme="majorHAnsi" w:cstheme="majorHAnsi"/>
        </w:rPr>
        <w:t>.00</w:t>
      </w:r>
      <w:r w:rsidR="0069543C" w:rsidRPr="009F2567">
        <w:rPr>
          <w:rFonts w:asciiTheme="majorHAnsi" w:hAnsiTheme="majorHAnsi" w:cstheme="majorHAnsi"/>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w:t>
      </w:r>
      <w:r w:rsidR="006A4FD7">
        <w:rPr>
          <w:rFonts w:asciiTheme="majorHAnsi" w:hAnsiTheme="majorHAnsi" w:cstheme="majorHAnsi"/>
        </w:rPr>
        <w:t>7</w:t>
      </w:r>
      <w:r w:rsidRPr="009F2567">
        <w:rPr>
          <w:rFonts w:asciiTheme="majorHAnsi" w:hAnsiTheme="majorHAnsi" w:cstheme="majorHAnsi"/>
        </w:rPr>
        <w:t xml:space="preserve"> treguesit e vlerësuar në kuadër të fushës ‘Menaxhimi Komunal’ është</w:t>
      </w:r>
      <w:r w:rsidR="00CC20B3">
        <w:rPr>
          <w:rFonts w:asciiTheme="majorHAnsi" w:hAnsiTheme="majorHAnsi" w:cstheme="majorHAnsi"/>
        </w:rPr>
        <w:t xml:space="preserve"> 0</w:t>
      </w:r>
      <w:r w:rsidRPr="009F2567">
        <w:rPr>
          <w:rFonts w:asciiTheme="majorHAnsi" w:hAnsiTheme="majorHAnsi" w:cstheme="majorHAnsi"/>
        </w:rPr>
        <w:t xml:space="preserve"> pikë nga gjithsej 2</w:t>
      </w:r>
      <w:r w:rsidR="00486F4B">
        <w:rPr>
          <w:rFonts w:asciiTheme="majorHAnsi" w:hAnsiTheme="majorHAnsi" w:cstheme="majorHAnsi"/>
        </w:rPr>
        <w:t>8</w:t>
      </w:r>
      <w:r w:rsidRPr="009F2567">
        <w:rPr>
          <w:rFonts w:asciiTheme="majorHAnsi" w:hAnsiTheme="majorHAnsi" w:cstheme="majorHAnsi"/>
        </w:rPr>
        <w:t xml:space="preserve"> pikë të mundshme (0</w:t>
      </w:r>
      <w:r w:rsidR="00CC20B3">
        <w:rPr>
          <w:rFonts w:asciiTheme="majorHAnsi" w:hAnsiTheme="majorHAnsi" w:cstheme="majorHAnsi"/>
        </w:rPr>
        <w:t>.00</w:t>
      </w:r>
      <w:r w:rsidRPr="009F2567">
        <w:rPr>
          <w:rFonts w:asciiTheme="majorHAnsi" w:hAnsiTheme="majorHAnsi" w:cstheme="majorHAnsi"/>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w:t>
      </w:r>
      <w:r w:rsidR="00CC20B3">
        <w:rPr>
          <w:rFonts w:asciiTheme="majorHAnsi" w:hAnsiTheme="majorHAnsi" w:cstheme="majorHAnsi"/>
        </w:rPr>
        <w:t>9</w:t>
      </w:r>
      <w:r w:rsidRPr="009F2567">
        <w:rPr>
          <w:rFonts w:asciiTheme="majorHAnsi" w:hAnsiTheme="majorHAnsi" w:cstheme="majorHAnsi"/>
        </w:rPr>
        <w:t xml:space="preserve"> treguesit e vlerësuar në kuadër të fushës ‘Ofrimi i shërbimeve’ është </w:t>
      </w:r>
      <w:r w:rsidR="00CC20B3">
        <w:rPr>
          <w:rFonts w:asciiTheme="majorHAnsi" w:hAnsiTheme="majorHAnsi" w:cstheme="majorHAnsi"/>
        </w:rPr>
        <w:t>2</w:t>
      </w:r>
      <w:r w:rsidRPr="009F2567">
        <w:rPr>
          <w:rFonts w:asciiTheme="majorHAnsi" w:hAnsiTheme="majorHAnsi" w:cstheme="majorHAnsi"/>
        </w:rPr>
        <w:t xml:space="preserve"> pikë nga gjithsej </w:t>
      </w:r>
      <w:r w:rsidR="00CC20B3">
        <w:rPr>
          <w:rFonts w:asciiTheme="majorHAnsi" w:hAnsiTheme="majorHAnsi" w:cstheme="majorHAnsi"/>
        </w:rPr>
        <w:t>30</w:t>
      </w:r>
      <w:r w:rsidRPr="009F2567">
        <w:rPr>
          <w:rFonts w:asciiTheme="majorHAnsi" w:hAnsiTheme="majorHAnsi" w:cstheme="majorHAnsi"/>
        </w:rPr>
        <w:t xml:space="preserve"> pikë të mundshme (</w:t>
      </w:r>
      <w:r w:rsidR="00CC20B3">
        <w:rPr>
          <w:rFonts w:asciiTheme="majorHAnsi" w:hAnsiTheme="majorHAnsi" w:cstheme="majorHAnsi"/>
        </w:rPr>
        <w:t>6.67</w:t>
      </w:r>
      <w:r w:rsidRPr="009F2567">
        <w:rPr>
          <w:rFonts w:asciiTheme="majorHAnsi" w:hAnsiTheme="majorHAnsi" w:cstheme="majorHAnsi"/>
        </w:rPr>
        <w:t xml:space="preserve">%). </w:t>
      </w:r>
    </w:p>
    <w:p w:rsidR="0069543C" w:rsidRPr="009F2567" w:rsidRDefault="0069543C" w:rsidP="0069543C"/>
    <w:p w:rsidR="0069543C" w:rsidRPr="009F2567" w:rsidRDefault="0069543C" w:rsidP="0069543C">
      <w:pPr>
        <w:jc w:val="both"/>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eastAsiaTheme="majorEastAsia" w:cs="Calibri Light"/>
          <w:b/>
          <w:noProof/>
          <w:lang w:val="de-CH"/>
        </w:rPr>
      </w:pPr>
      <w:r w:rsidRPr="009F2567">
        <w:rPr>
          <w:rFonts w:eastAsiaTheme="majorEastAsia" w:cs="Calibri Light"/>
          <w:b/>
          <w:noProof/>
          <w:lang w:val="de-CH"/>
        </w:rPr>
        <w:lastRenderedPageBreak/>
        <w:t>Përmbledhje e rezultateve për vitin 202</w:t>
      </w:r>
      <w:r w:rsidR="00CC20B3">
        <w:rPr>
          <w:rFonts w:eastAsiaTheme="majorEastAsia" w:cs="Calibri Light"/>
          <w:b/>
          <w:noProof/>
          <w:lang w:val="de-CH"/>
        </w:rPr>
        <w:t>4</w:t>
      </w:r>
      <w:r w:rsidRPr="009F2567">
        <w:rPr>
          <w:rFonts w:eastAsiaTheme="majorEastAsia" w:cs="Calibri Light"/>
          <w:b/>
          <w:noProof/>
          <w:lang w:val="de-CH"/>
        </w:rPr>
        <w:t xml:space="preserve"> për grantin e performancës komunale - Komuna Obiliq</w:t>
      </w:r>
    </w:p>
    <w:p w:rsidR="0069543C" w:rsidRPr="009F2567" w:rsidRDefault="0069543C" w:rsidP="0069543C">
      <w:pPr>
        <w:rPr>
          <w:b/>
        </w:rPr>
      </w:pPr>
      <w:r w:rsidRPr="009F2567">
        <w:rPr>
          <w:b/>
        </w:rPr>
        <w:t>Vlerësimi i kushteve minimale për vitin 202</w:t>
      </w:r>
      <w:r w:rsidR="00CC20B3">
        <w:rPr>
          <w:b/>
        </w:rPr>
        <w:t>4</w:t>
      </w:r>
    </w:p>
    <w:p w:rsidR="0069543C" w:rsidRPr="009F2567" w:rsidRDefault="0069543C" w:rsidP="0069543C">
      <w:pPr>
        <w:jc w:val="both"/>
        <w:rPr>
          <w:lang w:val="de-CH"/>
        </w:rPr>
      </w:pPr>
      <w:r w:rsidRPr="009F2567">
        <w:rPr>
          <w:noProof/>
          <w:lang w:val="en-GB" w:eastAsia="en-GB"/>
        </w:rPr>
        <w:drawing>
          <wp:anchor distT="0" distB="0" distL="114300" distR="114300" simplePos="0" relativeHeight="251696128" behindDoc="0" locked="0" layoutInCell="1" allowOverlap="1" wp14:anchorId="47B33829" wp14:editId="5AAE7BC1">
            <wp:simplePos x="0" y="0"/>
            <wp:positionH relativeFrom="margin">
              <wp:align>right</wp:align>
            </wp:positionH>
            <wp:positionV relativeFrom="paragraph">
              <wp:posOffset>8255</wp:posOffset>
            </wp:positionV>
            <wp:extent cx="3097530" cy="2178050"/>
            <wp:effectExtent l="0" t="0" r="7620" b="12700"/>
            <wp:wrapSquare wrapText="bothSides"/>
            <wp:docPr id="58" name="Chart 5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r w:rsidRPr="009F2567">
        <w:rPr>
          <w:lang w:val="de-CH"/>
        </w:rPr>
        <w:t xml:space="preserve">Komuna e Obiliqit </w:t>
      </w:r>
      <w:r w:rsidR="005B7B1E" w:rsidRPr="009F2567">
        <w:rPr>
          <w:lang w:val="de-CH"/>
        </w:rPr>
        <w:t xml:space="preserve">nuk </w:t>
      </w:r>
      <w:r w:rsidRPr="009F2567">
        <w:rPr>
          <w:lang w:val="de-CH"/>
        </w:rPr>
        <w:t>është kualifikuar për grantin e perf</w:t>
      </w:r>
      <w:r w:rsidR="00CC20B3">
        <w:rPr>
          <w:lang w:val="de-CH"/>
        </w:rPr>
        <w:t>ormancës komunale për vitin 2024</w:t>
      </w:r>
      <w:r w:rsidRPr="009F2567">
        <w:rPr>
          <w:lang w:val="de-CH"/>
        </w:rPr>
        <w:t xml:space="preserve">. </w:t>
      </w:r>
    </w:p>
    <w:p w:rsidR="0069543C" w:rsidRPr="009F2567" w:rsidRDefault="0069543C" w:rsidP="0069543C"/>
    <w:p w:rsidR="00300E83" w:rsidRPr="009F2567" w:rsidRDefault="00300E83" w:rsidP="0069543C">
      <w:pPr>
        <w:jc w:val="both"/>
        <w:rPr>
          <w:lang w:val="de-CH"/>
        </w:rPr>
      </w:pPr>
      <w:r w:rsidRPr="009F2567">
        <w:rPr>
          <w:lang w:val="de-CH"/>
        </w:rPr>
        <w:t>Kushti minimal numër 3 (opinioni i auditorit të jetë së paku i pamodifikuar me theksim të çështjes) nuk është përmbushur.</w:t>
      </w:r>
    </w:p>
    <w:p w:rsidR="0069543C" w:rsidRPr="009F2567" w:rsidRDefault="0069543C" w:rsidP="0069543C"/>
    <w:p w:rsidR="0069543C" w:rsidRPr="009F2567" w:rsidRDefault="0069543C" w:rsidP="0069543C"/>
    <w:p w:rsidR="0069543C" w:rsidRPr="009F2567" w:rsidRDefault="0069543C" w:rsidP="0069543C"/>
    <w:p w:rsidR="0069543C" w:rsidRPr="009F2567" w:rsidRDefault="0069543C" w:rsidP="0069543C"/>
    <w:p w:rsidR="0069543C" w:rsidRPr="009F2567" w:rsidRDefault="0069543C" w:rsidP="0069543C">
      <w:pPr>
        <w:rPr>
          <w:b/>
        </w:rPr>
      </w:pPr>
      <w:r w:rsidRPr="009F2567">
        <w:rPr>
          <w:b/>
        </w:rPr>
        <w:t>Vlerësimi i treguesve të performancës për vitin 202</w:t>
      </w:r>
      <w:r w:rsidR="00CC20B3">
        <w:rPr>
          <w:b/>
        </w:rPr>
        <w:t>4</w:t>
      </w:r>
    </w:p>
    <w:p w:rsidR="0069543C" w:rsidRPr="009F2567" w:rsidRDefault="00CC20B3" w:rsidP="0069543C">
      <w:pPr>
        <w:jc w:val="both"/>
        <w:rPr>
          <w:rFonts w:asciiTheme="majorHAnsi" w:hAnsiTheme="majorHAnsi" w:cstheme="majorHAnsi"/>
        </w:rPr>
      </w:pPr>
      <w:r>
        <w:rPr>
          <w:noProof/>
          <w:lang w:val="en-GB" w:eastAsia="en-GB"/>
          <w14:ligatures w14:val="standardContextual"/>
        </w:rPr>
        <w:drawing>
          <wp:anchor distT="0" distB="0" distL="114300" distR="114300" simplePos="0" relativeHeight="251850752" behindDoc="0" locked="0" layoutInCell="1" allowOverlap="1" wp14:anchorId="73932963" wp14:editId="6FA7B193">
            <wp:simplePos x="0" y="0"/>
            <wp:positionH relativeFrom="margin">
              <wp:posOffset>2558415</wp:posOffset>
            </wp:positionH>
            <wp:positionV relativeFrom="margin">
              <wp:posOffset>3964305</wp:posOffset>
            </wp:positionV>
            <wp:extent cx="3397885" cy="2694940"/>
            <wp:effectExtent l="0" t="0" r="12065" b="10160"/>
            <wp:wrapSquare wrapText="bothSides"/>
            <wp:docPr id="1708941603" name="Chart 17089416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r w:rsidR="0055487D">
        <w:rPr>
          <w:rFonts w:asciiTheme="majorHAnsi" w:hAnsiTheme="majorHAnsi" w:cstheme="majorHAnsi"/>
        </w:rPr>
        <w:t>P</w:t>
      </w:r>
      <w:r w:rsidR="0069543C" w:rsidRPr="009F2567">
        <w:rPr>
          <w:rFonts w:asciiTheme="majorHAnsi" w:hAnsiTheme="majorHAnsi" w:cstheme="majorHAnsi"/>
        </w:rPr>
        <w:t>erformanca mesatare e Komunës së Obiliq në 2</w:t>
      </w:r>
      <w:r>
        <w:rPr>
          <w:rFonts w:asciiTheme="majorHAnsi" w:hAnsiTheme="majorHAnsi" w:cstheme="majorHAnsi"/>
        </w:rPr>
        <w:t>9</w:t>
      </w:r>
      <w:r w:rsidR="0069543C" w:rsidRPr="009F2567">
        <w:rPr>
          <w:rFonts w:asciiTheme="majorHAnsi" w:hAnsiTheme="majorHAnsi" w:cstheme="majorHAnsi"/>
        </w:rPr>
        <w:t xml:space="preserve"> indikatorët e vlerësuar është </w:t>
      </w:r>
      <w:r>
        <w:rPr>
          <w:rFonts w:asciiTheme="majorHAnsi" w:hAnsiTheme="majorHAnsi" w:cstheme="majorHAnsi"/>
        </w:rPr>
        <w:t>72</w:t>
      </w:r>
      <w:r w:rsidR="0069543C" w:rsidRPr="009F2567">
        <w:rPr>
          <w:rFonts w:asciiTheme="majorHAnsi" w:hAnsiTheme="majorHAnsi" w:cstheme="majorHAnsi"/>
        </w:rPr>
        <w:t xml:space="preserve"> pikë nga gjithsej 9</w:t>
      </w:r>
      <w:r>
        <w:rPr>
          <w:rFonts w:asciiTheme="majorHAnsi" w:hAnsiTheme="majorHAnsi" w:cstheme="majorHAnsi"/>
        </w:rPr>
        <w:t>8</w:t>
      </w:r>
      <w:r w:rsidR="0069543C" w:rsidRPr="009F2567">
        <w:rPr>
          <w:rFonts w:asciiTheme="majorHAnsi" w:hAnsiTheme="majorHAnsi" w:cstheme="majorHAnsi"/>
        </w:rPr>
        <w:t xml:space="preserve"> pikë të mundshme (7</w:t>
      </w:r>
      <w:r>
        <w:rPr>
          <w:rFonts w:asciiTheme="majorHAnsi" w:hAnsiTheme="majorHAnsi" w:cstheme="majorHAnsi"/>
        </w:rPr>
        <w:t>3.47</w:t>
      </w:r>
      <w:r w:rsidR="0069543C" w:rsidRPr="009F2567">
        <w:rPr>
          <w:rFonts w:asciiTheme="majorHAnsi" w:hAnsiTheme="majorHAnsi" w:cstheme="majorHAnsi"/>
        </w:rPr>
        <w:t>%).</w:t>
      </w:r>
      <w:r w:rsidR="0069543C" w:rsidRPr="009F2567">
        <w:rPr>
          <w:noProof/>
        </w:rPr>
        <w:t xml:space="preserve"> </w:t>
      </w:r>
    </w:p>
    <w:p w:rsidR="0069543C" w:rsidRPr="009F2567" w:rsidRDefault="006A4FD7" w:rsidP="0069543C">
      <w:pPr>
        <w:jc w:val="both"/>
        <w:rPr>
          <w:rFonts w:asciiTheme="majorHAnsi" w:hAnsiTheme="majorHAnsi" w:cstheme="majorHAnsi"/>
        </w:rPr>
      </w:pPr>
      <w:r>
        <w:rPr>
          <w:rFonts w:asciiTheme="majorHAnsi" w:hAnsiTheme="majorHAnsi" w:cstheme="majorHAnsi"/>
        </w:rPr>
        <w:t>Performanca mesatare në 13</w:t>
      </w:r>
      <w:r w:rsidR="0069543C" w:rsidRPr="009F2567">
        <w:rPr>
          <w:rFonts w:asciiTheme="majorHAnsi" w:hAnsiTheme="majorHAnsi" w:cstheme="majorHAnsi"/>
        </w:rPr>
        <w:t xml:space="preserve"> treguesit e vlerësuar në kuadër të fushës ‘Qeverisja demokratike’ është 3</w:t>
      </w:r>
      <w:r w:rsidR="00CC20B3">
        <w:rPr>
          <w:rFonts w:asciiTheme="majorHAnsi" w:hAnsiTheme="majorHAnsi" w:cstheme="majorHAnsi"/>
        </w:rPr>
        <w:t>9</w:t>
      </w:r>
      <w:r w:rsidR="0069543C" w:rsidRPr="009F2567">
        <w:rPr>
          <w:rFonts w:asciiTheme="majorHAnsi" w:hAnsiTheme="majorHAnsi" w:cstheme="majorHAnsi"/>
        </w:rPr>
        <w:t xml:space="preserve"> pikë nga gjithsej </w:t>
      </w:r>
      <w:r w:rsidR="00486F4B">
        <w:rPr>
          <w:rFonts w:asciiTheme="majorHAnsi" w:hAnsiTheme="majorHAnsi" w:cstheme="majorHAnsi"/>
        </w:rPr>
        <w:t>40</w:t>
      </w:r>
      <w:r w:rsidR="0069543C" w:rsidRPr="009F2567">
        <w:rPr>
          <w:rFonts w:asciiTheme="majorHAnsi" w:hAnsiTheme="majorHAnsi" w:cstheme="majorHAnsi"/>
        </w:rPr>
        <w:t xml:space="preserve"> pikët të mundshme (</w:t>
      </w:r>
      <w:r w:rsidR="00CC20B3">
        <w:rPr>
          <w:rFonts w:asciiTheme="majorHAnsi" w:hAnsiTheme="majorHAnsi" w:cstheme="majorHAnsi"/>
        </w:rPr>
        <w:t>97.50</w:t>
      </w:r>
      <w:r w:rsidR="0069543C" w:rsidRPr="009F2567">
        <w:rPr>
          <w:rFonts w:asciiTheme="majorHAnsi" w:hAnsiTheme="majorHAnsi" w:cstheme="majorHAnsi"/>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w:t>
      </w:r>
      <w:r w:rsidR="006A4FD7">
        <w:rPr>
          <w:rFonts w:asciiTheme="majorHAnsi" w:hAnsiTheme="majorHAnsi" w:cstheme="majorHAnsi"/>
        </w:rPr>
        <w:t>7</w:t>
      </w:r>
      <w:r w:rsidRPr="009F2567">
        <w:rPr>
          <w:rFonts w:asciiTheme="majorHAnsi" w:hAnsiTheme="majorHAnsi" w:cstheme="majorHAnsi"/>
        </w:rPr>
        <w:t xml:space="preserve"> treguesit e vlerësuar në kuadër të fushës ‘Menaxhimi Komunal’ është 18 pikë nga gjithsej </w:t>
      </w:r>
      <w:r w:rsidR="00486F4B">
        <w:rPr>
          <w:rFonts w:asciiTheme="majorHAnsi" w:hAnsiTheme="majorHAnsi" w:cstheme="majorHAnsi"/>
        </w:rPr>
        <w:t>28</w:t>
      </w:r>
      <w:r w:rsidRPr="009F2567">
        <w:rPr>
          <w:rFonts w:asciiTheme="majorHAnsi" w:hAnsiTheme="majorHAnsi" w:cstheme="majorHAnsi"/>
        </w:rPr>
        <w:t xml:space="preserve"> pikë të mundshme (</w:t>
      </w:r>
      <w:r w:rsidR="00CC20B3">
        <w:rPr>
          <w:rFonts w:asciiTheme="majorHAnsi" w:hAnsiTheme="majorHAnsi" w:cstheme="majorHAnsi"/>
        </w:rPr>
        <w:t>64.29</w:t>
      </w:r>
      <w:r w:rsidRPr="009F2567">
        <w:rPr>
          <w:rFonts w:asciiTheme="majorHAnsi" w:hAnsiTheme="majorHAnsi" w:cstheme="majorHAnsi"/>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w:t>
      </w:r>
      <w:r w:rsidR="00CC20B3">
        <w:rPr>
          <w:rFonts w:asciiTheme="majorHAnsi" w:hAnsiTheme="majorHAnsi" w:cstheme="majorHAnsi"/>
        </w:rPr>
        <w:t>9</w:t>
      </w:r>
      <w:r w:rsidRPr="009F2567">
        <w:rPr>
          <w:rFonts w:asciiTheme="majorHAnsi" w:hAnsiTheme="majorHAnsi" w:cstheme="majorHAnsi"/>
        </w:rPr>
        <w:t xml:space="preserve"> treguesit e vlerësuar në kuadër të fushës ‘Ofrimi i shërbimeve’ është 1</w:t>
      </w:r>
      <w:r w:rsidR="00CC20B3">
        <w:rPr>
          <w:rFonts w:asciiTheme="majorHAnsi" w:hAnsiTheme="majorHAnsi" w:cstheme="majorHAnsi"/>
        </w:rPr>
        <w:t>5</w:t>
      </w:r>
      <w:r w:rsidRPr="009F2567">
        <w:rPr>
          <w:rFonts w:asciiTheme="majorHAnsi" w:hAnsiTheme="majorHAnsi" w:cstheme="majorHAnsi"/>
        </w:rPr>
        <w:t xml:space="preserve"> pikë nga gjithsej </w:t>
      </w:r>
      <w:r w:rsidR="00486F4B">
        <w:rPr>
          <w:rFonts w:asciiTheme="majorHAnsi" w:hAnsiTheme="majorHAnsi" w:cstheme="majorHAnsi"/>
        </w:rPr>
        <w:t>30</w:t>
      </w:r>
      <w:r w:rsidRPr="009F2567">
        <w:rPr>
          <w:rFonts w:asciiTheme="majorHAnsi" w:hAnsiTheme="majorHAnsi" w:cstheme="majorHAnsi"/>
        </w:rPr>
        <w:t xml:space="preserve"> pikë të mundshme (</w:t>
      </w:r>
      <w:r w:rsidR="00CC20B3">
        <w:rPr>
          <w:rFonts w:asciiTheme="majorHAnsi" w:hAnsiTheme="majorHAnsi" w:cstheme="majorHAnsi"/>
        </w:rPr>
        <w:t>50.00</w:t>
      </w:r>
      <w:r w:rsidRPr="009F2567">
        <w:rPr>
          <w:rFonts w:asciiTheme="majorHAnsi" w:hAnsiTheme="majorHAnsi" w:cstheme="majorHAnsi"/>
        </w:rPr>
        <w:t xml:space="preserve">%). </w:t>
      </w:r>
    </w:p>
    <w:p w:rsidR="0069543C" w:rsidRPr="009F2567" w:rsidRDefault="0069543C" w:rsidP="0069543C"/>
    <w:p w:rsidR="0069543C" w:rsidRPr="009F2567" w:rsidRDefault="0069543C" w:rsidP="0069543C">
      <w:pPr>
        <w:jc w:val="both"/>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eastAsiaTheme="majorEastAsia" w:cs="Calibri Light"/>
          <w:b/>
          <w:noProof/>
          <w:lang w:val="de-CH"/>
        </w:rPr>
      </w:pPr>
      <w:r w:rsidRPr="009F2567">
        <w:rPr>
          <w:rFonts w:eastAsiaTheme="majorEastAsia" w:cs="Calibri Light"/>
          <w:b/>
          <w:noProof/>
          <w:lang w:val="de-CH"/>
        </w:rPr>
        <w:lastRenderedPageBreak/>
        <w:t>Përmbled</w:t>
      </w:r>
      <w:r w:rsidR="005C57AB">
        <w:rPr>
          <w:rFonts w:eastAsiaTheme="majorEastAsia" w:cs="Calibri Light"/>
          <w:b/>
          <w:noProof/>
          <w:lang w:val="de-CH"/>
        </w:rPr>
        <w:t>hje e rezultateve për vitin 2024</w:t>
      </w:r>
      <w:r w:rsidRPr="009F2567">
        <w:rPr>
          <w:rFonts w:eastAsiaTheme="majorEastAsia" w:cs="Calibri Light"/>
          <w:b/>
          <w:noProof/>
          <w:lang w:val="de-CH"/>
        </w:rPr>
        <w:t xml:space="preserve"> për grantin e performancës komunale - Komuna Partesh</w:t>
      </w:r>
    </w:p>
    <w:p w:rsidR="0069543C" w:rsidRPr="009F2567" w:rsidRDefault="0069543C" w:rsidP="0069543C">
      <w:pPr>
        <w:rPr>
          <w:b/>
        </w:rPr>
      </w:pPr>
      <w:r w:rsidRPr="009F2567">
        <w:rPr>
          <w:b/>
        </w:rPr>
        <w:t xml:space="preserve">Vlerësimi i </w:t>
      </w:r>
      <w:r w:rsidR="005C57AB">
        <w:rPr>
          <w:b/>
        </w:rPr>
        <w:t>kushteve minimale për vitin 2024</w:t>
      </w:r>
    </w:p>
    <w:p w:rsidR="0069543C" w:rsidRPr="009F2567" w:rsidRDefault="00CC5F35" w:rsidP="0069543C">
      <w:pPr>
        <w:jc w:val="both"/>
        <w:rPr>
          <w:rFonts w:asciiTheme="majorHAnsi" w:hAnsiTheme="majorHAnsi" w:cstheme="majorHAnsi"/>
          <w:lang w:val="de-CH"/>
        </w:rPr>
      </w:pPr>
      <w:r w:rsidRPr="009F2567">
        <w:rPr>
          <w:noProof/>
          <w:lang w:val="en-GB" w:eastAsia="en-GB"/>
        </w:rPr>
        <w:drawing>
          <wp:anchor distT="0" distB="0" distL="114300" distR="114300" simplePos="0" relativeHeight="251697152" behindDoc="0" locked="0" layoutInCell="1" allowOverlap="1" wp14:anchorId="4F090FBE" wp14:editId="3CE3C631">
            <wp:simplePos x="0" y="0"/>
            <wp:positionH relativeFrom="margin">
              <wp:posOffset>2848667</wp:posOffset>
            </wp:positionH>
            <wp:positionV relativeFrom="paragraph">
              <wp:posOffset>71120</wp:posOffset>
            </wp:positionV>
            <wp:extent cx="3243580" cy="1987550"/>
            <wp:effectExtent l="0" t="0" r="13970" b="12700"/>
            <wp:wrapSquare wrapText="bothSides"/>
            <wp:docPr id="61" name="Chart 6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r w:rsidR="0069543C" w:rsidRPr="009F2567">
        <w:rPr>
          <w:rFonts w:asciiTheme="majorHAnsi" w:hAnsiTheme="majorHAnsi" w:cstheme="majorHAnsi"/>
          <w:lang w:val="de-CH"/>
        </w:rPr>
        <w:t>Komuna e Parteshit</w:t>
      </w:r>
      <w:r w:rsidR="00310C69" w:rsidRPr="009F2567">
        <w:rPr>
          <w:rFonts w:asciiTheme="majorHAnsi" w:hAnsiTheme="majorHAnsi" w:cstheme="majorHAnsi"/>
          <w:lang w:val="de-CH"/>
        </w:rPr>
        <w:t xml:space="preserve"> </w:t>
      </w:r>
      <w:r w:rsidR="0069543C" w:rsidRPr="009F2567">
        <w:rPr>
          <w:rFonts w:asciiTheme="majorHAnsi" w:hAnsiTheme="majorHAnsi" w:cstheme="majorHAnsi"/>
          <w:lang w:val="de-CH"/>
        </w:rPr>
        <w:t>është kualifikuar për grantin e perf</w:t>
      </w:r>
      <w:r w:rsidR="005C57AB">
        <w:rPr>
          <w:rFonts w:asciiTheme="majorHAnsi" w:hAnsiTheme="majorHAnsi" w:cstheme="majorHAnsi"/>
          <w:lang w:val="de-CH"/>
        </w:rPr>
        <w:t>ormancës komunale për vitin 2024</w:t>
      </w:r>
      <w:r w:rsidR="0069543C" w:rsidRPr="009F2567">
        <w:rPr>
          <w:rFonts w:asciiTheme="majorHAnsi" w:hAnsiTheme="majorHAnsi" w:cstheme="majorHAnsi"/>
          <w:lang w:val="de-CH"/>
        </w:rPr>
        <w:t xml:space="preserve">. </w:t>
      </w:r>
    </w:p>
    <w:p w:rsidR="00310C69" w:rsidRPr="009F2567" w:rsidRDefault="00310C69" w:rsidP="0069543C">
      <w:pPr>
        <w:jc w:val="both"/>
        <w:rPr>
          <w:rFonts w:asciiTheme="majorHAnsi" w:hAnsiTheme="majorHAnsi" w:cstheme="majorHAnsi"/>
          <w:lang w:val="de-CH"/>
        </w:rPr>
      </w:pPr>
      <w:r w:rsidRPr="009F2567">
        <w:rPr>
          <w:rFonts w:asciiTheme="majorHAnsi" w:hAnsiTheme="majorHAnsi" w:cstheme="majorHAnsi"/>
          <w:lang w:val="de-CH"/>
        </w:rPr>
        <w:t>Komuna ka përmbushur të katër kushtet minimale.</w:t>
      </w:r>
    </w:p>
    <w:p w:rsidR="0069543C" w:rsidRPr="009F2567" w:rsidRDefault="0069543C" w:rsidP="0069543C">
      <w:pPr>
        <w:rPr>
          <w:rFonts w:asciiTheme="majorHAnsi" w:hAnsiTheme="majorHAnsi" w:cstheme="majorHAnsi"/>
          <w:lang w:val="de-CH"/>
        </w:rPr>
      </w:pPr>
    </w:p>
    <w:p w:rsidR="0069543C" w:rsidRPr="009F2567" w:rsidRDefault="0069543C" w:rsidP="0069543C">
      <w:pPr>
        <w:rPr>
          <w:rFonts w:asciiTheme="majorHAnsi" w:hAnsiTheme="majorHAnsi" w:cstheme="majorHAnsi"/>
          <w:lang w:val="de-CH"/>
        </w:rPr>
      </w:pPr>
    </w:p>
    <w:p w:rsidR="0069543C" w:rsidRPr="009F2567" w:rsidRDefault="0069543C" w:rsidP="0069543C">
      <w:pPr>
        <w:rPr>
          <w:rFonts w:asciiTheme="majorHAnsi" w:hAnsiTheme="majorHAnsi" w:cstheme="majorHAnsi"/>
          <w:lang w:val="de-CH"/>
        </w:rPr>
      </w:pPr>
    </w:p>
    <w:p w:rsidR="0069543C" w:rsidRPr="009F2567" w:rsidRDefault="0069543C" w:rsidP="0069543C">
      <w:pPr>
        <w:rPr>
          <w:rFonts w:asciiTheme="majorHAnsi" w:hAnsiTheme="majorHAnsi" w:cstheme="majorHAnsi"/>
          <w:lang w:val="de-CH"/>
        </w:rPr>
      </w:pPr>
    </w:p>
    <w:p w:rsidR="0069543C" w:rsidRPr="009F2567" w:rsidRDefault="0069543C" w:rsidP="0069543C">
      <w:pPr>
        <w:rPr>
          <w:lang w:val="de-CH"/>
        </w:rPr>
      </w:pPr>
    </w:p>
    <w:p w:rsidR="0069543C" w:rsidRPr="009F2567" w:rsidRDefault="0069543C" w:rsidP="0069543C">
      <w:pPr>
        <w:rPr>
          <w:b/>
        </w:rPr>
      </w:pPr>
      <w:r w:rsidRPr="009F2567">
        <w:rPr>
          <w:b/>
        </w:rPr>
        <w:t>Vlerësimi i treguesv</w:t>
      </w:r>
      <w:r w:rsidR="00134883">
        <w:rPr>
          <w:b/>
        </w:rPr>
        <w:t>e të performancës për vitin 2024</w:t>
      </w:r>
    </w:p>
    <w:p w:rsidR="0069543C" w:rsidRPr="009F2567" w:rsidRDefault="005C57AB" w:rsidP="0069543C">
      <w:pPr>
        <w:jc w:val="both"/>
        <w:rPr>
          <w:rFonts w:cstheme="majorHAnsi"/>
        </w:rPr>
      </w:pPr>
      <w:r>
        <w:rPr>
          <w:noProof/>
          <w:lang w:val="en-GB" w:eastAsia="en-GB"/>
          <w14:ligatures w14:val="standardContextual"/>
        </w:rPr>
        <w:drawing>
          <wp:anchor distT="0" distB="0" distL="114300" distR="114300" simplePos="0" relativeHeight="251851776" behindDoc="0" locked="0" layoutInCell="1" allowOverlap="1" wp14:anchorId="49ED7363" wp14:editId="357083C4">
            <wp:simplePos x="0" y="0"/>
            <wp:positionH relativeFrom="margin">
              <wp:posOffset>2503805</wp:posOffset>
            </wp:positionH>
            <wp:positionV relativeFrom="margin">
              <wp:posOffset>3554939</wp:posOffset>
            </wp:positionV>
            <wp:extent cx="3383280" cy="2743200"/>
            <wp:effectExtent l="0" t="0" r="7620" b="0"/>
            <wp:wrapSquare wrapText="bothSides"/>
            <wp:docPr id="1708941604" name="Chart 17089416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r w:rsidR="0069543C" w:rsidRPr="009F2567">
        <w:rPr>
          <w:rFonts w:cstheme="majorHAnsi"/>
        </w:rPr>
        <w:t>Performanca mesatare e Komunës së Parteshit në 2</w:t>
      </w:r>
      <w:r>
        <w:rPr>
          <w:rFonts w:cstheme="majorHAnsi"/>
        </w:rPr>
        <w:t>9</w:t>
      </w:r>
      <w:r w:rsidR="0069543C" w:rsidRPr="009F2567">
        <w:rPr>
          <w:rFonts w:cstheme="majorHAnsi"/>
        </w:rPr>
        <w:t xml:space="preserve"> indikatorët e vlerës</w:t>
      </w:r>
      <w:r>
        <w:rPr>
          <w:rFonts w:cstheme="majorHAnsi"/>
        </w:rPr>
        <w:t>uar është 11 pikë nga gjithsej 98</w:t>
      </w:r>
      <w:r w:rsidR="0069543C" w:rsidRPr="009F2567">
        <w:rPr>
          <w:rFonts w:cstheme="majorHAnsi"/>
        </w:rPr>
        <w:t xml:space="preserve"> pikë të mundshme (</w:t>
      </w:r>
      <w:r>
        <w:rPr>
          <w:rFonts w:cstheme="majorHAnsi"/>
        </w:rPr>
        <w:t>11.22</w:t>
      </w:r>
      <w:r w:rsidR="0069543C" w:rsidRPr="009F2567">
        <w:rPr>
          <w:rFonts w:cstheme="majorHAnsi"/>
        </w:rPr>
        <w:t>%).</w:t>
      </w:r>
      <w:r w:rsidR="0069543C" w:rsidRPr="009F2567">
        <w:rPr>
          <w:noProof/>
        </w:rPr>
        <w:t xml:space="preserve"> </w:t>
      </w:r>
    </w:p>
    <w:p w:rsidR="0069543C" w:rsidRPr="009F2567" w:rsidRDefault="006A4FD7" w:rsidP="0069543C">
      <w:pPr>
        <w:jc w:val="both"/>
        <w:rPr>
          <w:rFonts w:cstheme="majorHAnsi"/>
        </w:rPr>
      </w:pPr>
      <w:r>
        <w:rPr>
          <w:rFonts w:cstheme="majorHAnsi"/>
        </w:rPr>
        <w:t>Performanca mesatare në 13</w:t>
      </w:r>
      <w:r w:rsidR="0069543C" w:rsidRPr="009F2567">
        <w:rPr>
          <w:rFonts w:cstheme="majorHAnsi"/>
        </w:rPr>
        <w:t xml:space="preserve"> treguesit e vlerësuar në kuadër të fushës</w:t>
      </w:r>
      <w:r w:rsidR="00807291">
        <w:rPr>
          <w:rFonts w:cstheme="majorHAnsi"/>
        </w:rPr>
        <w:t xml:space="preserve"> ‘Qeverisja demokratike’ është 7</w:t>
      </w:r>
      <w:r w:rsidR="0069543C" w:rsidRPr="009F2567">
        <w:rPr>
          <w:rFonts w:cstheme="majorHAnsi"/>
        </w:rPr>
        <w:t xml:space="preserve"> pikë nga gjithsej </w:t>
      </w:r>
      <w:r w:rsidR="00486F4B">
        <w:rPr>
          <w:rFonts w:cstheme="majorHAnsi"/>
        </w:rPr>
        <w:t>40</w:t>
      </w:r>
      <w:r w:rsidR="0069543C" w:rsidRPr="009F2567">
        <w:rPr>
          <w:rFonts w:cstheme="majorHAnsi"/>
        </w:rPr>
        <w:t xml:space="preserve"> pikët të mundshme (0%). </w:t>
      </w:r>
    </w:p>
    <w:p w:rsidR="0069543C" w:rsidRPr="009F2567" w:rsidRDefault="0069543C" w:rsidP="0069543C">
      <w:pPr>
        <w:jc w:val="both"/>
        <w:rPr>
          <w:rFonts w:cstheme="majorHAnsi"/>
        </w:rPr>
      </w:pPr>
      <w:r w:rsidRPr="009F2567">
        <w:rPr>
          <w:rFonts w:cstheme="majorHAnsi"/>
        </w:rPr>
        <w:t xml:space="preserve">Performanca mesatare në </w:t>
      </w:r>
      <w:r w:rsidR="006A4FD7">
        <w:rPr>
          <w:rFonts w:cstheme="majorHAnsi"/>
        </w:rPr>
        <w:t>7</w:t>
      </w:r>
      <w:r w:rsidRPr="009F2567">
        <w:rPr>
          <w:rFonts w:cstheme="majorHAnsi"/>
        </w:rPr>
        <w:t xml:space="preserve"> treguesit e vlerësuar në kuadër të fushës ‘Menaxhimi Komunal’ është 2 pikë nga gjithsej 2</w:t>
      </w:r>
      <w:r w:rsidR="00486F4B">
        <w:rPr>
          <w:rFonts w:cstheme="majorHAnsi"/>
        </w:rPr>
        <w:t>8</w:t>
      </w:r>
      <w:r w:rsidRPr="009F2567">
        <w:rPr>
          <w:rFonts w:cstheme="majorHAnsi"/>
        </w:rPr>
        <w:t xml:space="preserve"> pikë të mundshme (7.</w:t>
      </w:r>
      <w:r w:rsidR="00134883">
        <w:rPr>
          <w:rFonts w:cstheme="majorHAnsi"/>
        </w:rPr>
        <w:t>14</w:t>
      </w:r>
      <w:r w:rsidRPr="009F2567">
        <w:rPr>
          <w:rFonts w:cstheme="majorHAnsi"/>
        </w:rPr>
        <w:t xml:space="preserve">%). </w:t>
      </w:r>
    </w:p>
    <w:p w:rsidR="0069543C" w:rsidRPr="009F2567" w:rsidRDefault="005C57AB" w:rsidP="0069543C">
      <w:pPr>
        <w:jc w:val="both"/>
        <w:rPr>
          <w:rFonts w:cstheme="majorHAnsi"/>
        </w:rPr>
      </w:pPr>
      <w:r>
        <w:rPr>
          <w:rFonts w:cstheme="majorHAnsi"/>
        </w:rPr>
        <w:t>Performanca mesatare në 9</w:t>
      </w:r>
      <w:r w:rsidR="0069543C" w:rsidRPr="009F2567">
        <w:rPr>
          <w:rFonts w:cstheme="majorHAnsi"/>
        </w:rPr>
        <w:t xml:space="preserve"> treguesit e vlerësuar në kuadër të fushës ‘Ofrimi i shërbimeve’ është 2 pikë nga gjithsej </w:t>
      </w:r>
      <w:r w:rsidR="00486F4B">
        <w:rPr>
          <w:rFonts w:cstheme="majorHAnsi"/>
        </w:rPr>
        <w:t>30</w:t>
      </w:r>
      <w:r w:rsidR="0069543C" w:rsidRPr="009F2567">
        <w:rPr>
          <w:rFonts w:cstheme="majorHAnsi"/>
        </w:rPr>
        <w:t xml:space="preserve"> pikë të mundshme (</w:t>
      </w:r>
      <w:r>
        <w:rPr>
          <w:rFonts w:cstheme="majorHAnsi"/>
        </w:rPr>
        <w:t>6.67</w:t>
      </w:r>
      <w:r w:rsidR="0069543C" w:rsidRPr="009F2567">
        <w:rPr>
          <w:rFonts w:cstheme="majorHAnsi"/>
        </w:rPr>
        <w:t xml:space="preserve">%). </w:t>
      </w:r>
    </w:p>
    <w:p w:rsidR="0069543C" w:rsidRPr="009F2567" w:rsidRDefault="0069543C" w:rsidP="0069543C"/>
    <w:p w:rsidR="0069543C" w:rsidRPr="009F2567" w:rsidRDefault="0069543C" w:rsidP="0069543C">
      <w:pPr>
        <w:jc w:val="both"/>
        <w:rPr>
          <w:rFonts w:asciiTheme="majorHAnsi" w:hAnsiTheme="majorHAnsi" w:cstheme="majorHAnsi"/>
        </w:rPr>
      </w:pPr>
    </w:p>
    <w:p w:rsidR="0069543C" w:rsidRPr="009F2567" w:rsidRDefault="0069543C" w:rsidP="0069543C">
      <w:pPr>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asciiTheme="majorHAnsi" w:eastAsiaTheme="majorEastAsia" w:hAnsiTheme="majorHAnsi" w:cstheme="majorBidi"/>
          <w:b/>
          <w:noProof/>
          <w:lang w:val="de-CH"/>
        </w:rPr>
      </w:pPr>
      <w:r w:rsidRPr="009F2567">
        <w:rPr>
          <w:rFonts w:asciiTheme="majorHAnsi" w:eastAsiaTheme="majorEastAsia" w:hAnsiTheme="majorHAnsi" w:cstheme="majorBidi"/>
          <w:b/>
          <w:noProof/>
          <w:lang w:val="de-CH"/>
        </w:rPr>
        <w:lastRenderedPageBreak/>
        <w:t>Përmbled</w:t>
      </w:r>
      <w:r w:rsidR="00134883">
        <w:rPr>
          <w:rFonts w:asciiTheme="majorHAnsi" w:eastAsiaTheme="majorEastAsia" w:hAnsiTheme="majorHAnsi" w:cstheme="majorBidi"/>
          <w:b/>
          <w:noProof/>
          <w:lang w:val="de-CH"/>
        </w:rPr>
        <w:t>hje e rezultateve për vitin 2024</w:t>
      </w:r>
      <w:r w:rsidRPr="009F2567">
        <w:rPr>
          <w:rFonts w:asciiTheme="majorHAnsi" w:eastAsiaTheme="majorEastAsia" w:hAnsiTheme="majorHAnsi" w:cstheme="majorBidi"/>
          <w:b/>
          <w:noProof/>
          <w:lang w:val="de-CH"/>
        </w:rPr>
        <w:t xml:space="preserve"> për grantin e performancës komunale - Komuna Pejë</w:t>
      </w:r>
    </w:p>
    <w:p w:rsidR="0069543C" w:rsidRPr="009F2567" w:rsidRDefault="0069543C" w:rsidP="0069543C">
      <w:r w:rsidRPr="009F2567">
        <w:rPr>
          <w:rFonts w:asciiTheme="majorHAnsi" w:eastAsiaTheme="majorEastAsia" w:hAnsiTheme="majorHAnsi" w:cstheme="majorBidi"/>
          <w:b/>
          <w:noProof/>
        </w:rPr>
        <w:t xml:space="preserve">Vlerësimi i </w:t>
      </w:r>
      <w:r w:rsidR="00134883">
        <w:rPr>
          <w:rFonts w:asciiTheme="majorHAnsi" w:eastAsiaTheme="majorEastAsia" w:hAnsiTheme="majorHAnsi" w:cstheme="majorBidi"/>
          <w:b/>
          <w:noProof/>
        </w:rPr>
        <w:t>kushteve minimale për vitin 2024</w:t>
      </w:r>
    </w:p>
    <w:p w:rsidR="0069543C" w:rsidRPr="009F2567" w:rsidRDefault="0069543C" w:rsidP="0069543C">
      <w:pPr>
        <w:jc w:val="both"/>
        <w:rPr>
          <w:rFonts w:cstheme="majorHAnsi"/>
          <w:lang w:val="de-CH"/>
        </w:rPr>
      </w:pPr>
      <w:r w:rsidRPr="009F2567">
        <w:rPr>
          <w:rFonts w:cstheme="majorHAnsi"/>
          <w:noProof/>
          <w:lang w:val="en-GB" w:eastAsia="en-GB"/>
        </w:rPr>
        <w:drawing>
          <wp:anchor distT="0" distB="0" distL="114300" distR="114300" simplePos="0" relativeHeight="251698176" behindDoc="0" locked="0" layoutInCell="1" allowOverlap="1" wp14:anchorId="087A23C2" wp14:editId="6E40FE1D">
            <wp:simplePos x="0" y="0"/>
            <wp:positionH relativeFrom="margin">
              <wp:align>right</wp:align>
            </wp:positionH>
            <wp:positionV relativeFrom="paragraph">
              <wp:posOffset>6350</wp:posOffset>
            </wp:positionV>
            <wp:extent cx="3194050" cy="2226310"/>
            <wp:effectExtent l="0" t="0" r="6350" b="2540"/>
            <wp:wrapSquare wrapText="bothSides"/>
            <wp:docPr id="197" name="Chart 19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r w:rsidRPr="009F2567">
        <w:rPr>
          <w:rFonts w:cstheme="majorHAnsi"/>
          <w:lang w:val="de-CH"/>
        </w:rPr>
        <w:t>Komuna e Pejës nuk është kualifikuar për grantin e performancë</w:t>
      </w:r>
      <w:r w:rsidR="00134883">
        <w:rPr>
          <w:rFonts w:cstheme="majorHAnsi"/>
          <w:lang w:val="de-CH"/>
        </w:rPr>
        <w:t>s komunale për vitin 2024</w:t>
      </w:r>
      <w:r w:rsidRPr="009F2567">
        <w:rPr>
          <w:rFonts w:cstheme="majorHAnsi"/>
          <w:lang w:val="de-CH"/>
        </w:rPr>
        <w:t xml:space="preserve">. </w:t>
      </w:r>
    </w:p>
    <w:p w:rsidR="0069543C" w:rsidRPr="009F2567" w:rsidRDefault="00521E8E" w:rsidP="0069543C">
      <w:pPr>
        <w:jc w:val="both"/>
        <w:rPr>
          <w:rFonts w:cstheme="majorHAnsi"/>
          <w:lang w:val="de-CH"/>
        </w:rPr>
      </w:pPr>
      <w:bookmarkStart w:id="48" w:name="_Hlk114231459"/>
      <w:r w:rsidRPr="00521E8E">
        <w:rPr>
          <w:rFonts w:cstheme="majorHAnsi"/>
          <w:lang w:val="de-CH"/>
        </w:rPr>
        <w:t>Kushti minimal numër 3 (opinioni i auditorit të jetë së paku i pamodifikuar me theksim të çështjes) nuk është përmbushur</w:t>
      </w:r>
      <w:r w:rsidR="0069543C" w:rsidRPr="009F2567">
        <w:rPr>
          <w:rFonts w:cstheme="majorHAnsi"/>
          <w:lang w:val="de-CH"/>
        </w:rPr>
        <w:t xml:space="preserve">. </w:t>
      </w:r>
    </w:p>
    <w:bookmarkEnd w:id="48"/>
    <w:p w:rsidR="0069543C" w:rsidRPr="009F2567" w:rsidRDefault="0069543C" w:rsidP="0069543C">
      <w:pPr>
        <w:jc w:val="both"/>
        <w:rPr>
          <w:lang w:val="de-CH"/>
        </w:rPr>
      </w:pPr>
    </w:p>
    <w:p w:rsidR="0069543C" w:rsidRPr="009F2567" w:rsidRDefault="0069543C" w:rsidP="0069543C">
      <w:pPr>
        <w:tabs>
          <w:tab w:val="left" w:pos="1190"/>
        </w:tabs>
      </w:pPr>
      <w:r w:rsidRPr="009F2567">
        <w:rPr>
          <w:b/>
        </w:rPr>
        <w:tab/>
      </w:r>
    </w:p>
    <w:p w:rsidR="0069543C" w:rsidRPr="009F2567" w:rsidRDefault="0069543C" w:rsidP="0069543C"/>
    <w:p w:rsidR="0069543C" w:rsidRPr="009F2567" w:rsidRDefault="0069543C" w:rsidP="0069543C"/>
    <w:p w:rsidR="0069543C" w:rsidRPr="009F2567" w:rsidRDefault="0069543C" w:rsidP="0069543C">
      <w:pPr>
        <w:rPr>
          <w:b/>
        </w:rPr>
      </w:pPr>
      <w:r w:rsidRPr="009F2567">
        <w:rPr>
          <w:b/>
        </w:rPr>
        <w:t>Vlerësimi i treguesve të performancës për vitin 202</w:t>
      </w:r>
      <w:r w:rsidR="00134883">
        <w:rPr>
          <w:b/>
        </w:rPr>
        <w:t>4</w:t>
      </w:r>
    </w:p>
    <w:p w:rsidR="0069543C" w:rsidRPr="009F2567" w:rsidRDefault="00134883" w:rsidP="0069543C">
      <w:pPr>
        <w:jc w:val="both"/>
        <w:rPr>
          <w:rFonts w:cstheme="majorHAnsi"/>
        </w:rPr>
      </w:pPr>
      <w:r>
        <w:rPr>
          <w:noProof/>
          <w:lang w:val="en-GB" w:eastAsia="en-GB"/>
          <w14:ligatures w14:val="standardContextual"/>
        </w:rPr>
        <w:drawing>
          <wp:anchor distT="0" distB="0" distL="114300" distR="114300" simplePos="0" relativeHeight="251852800" behindDoc="0" locked="0" layoutInCell="1" allowOverlap="1" wp14:anchorId="5FACE1EA" wp14:editId="0663A8F9">
            <wp:simplePos x="0" y="0"/>
            <wp:positionH relativeFrom="margin">
              <wp:posOffset>2790825</wp:posOffset>
            </wp:positionH>
            <wp:positionV relativeFrom="margin">
              <wp:posOffset>3793490</wp:posOffset>
            </wp:positionV>
            <wp:extent cx="3390900" cy="2640330"/>
            <wp:effectExtent l="0" t="0" r="0" b="7620"/>
            <wp:wrapSquare wrapText="bothSides"/>
            <wp:docPr id="1708941605" name="Chart 1708941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r w:rsidR="0069543C" w:rsidRPr="009F2567">
        <w:rPr>
          <w:rFonts w:cstheme="majorHAnsi"/>
        </w:rPr>
        <w:t>Performanca mesatare e Komunës së Pejës në 2</w:t>
      </w:r>
      <w:r>
        <w:rPr>
          <w:rFonts w:cstheme="majorHAnsi"/>
        </w:rPr>
        <w:t>9</w:t>
      </w:r>
      <w:r w:rsidR="0069543C" w:rsidRPr="009F2567">
        <w:rPr>
          <w:rFonts w:cstheme="majorHAnsi"/>
        </w:rPr>
        <w:t xml:space="preserve"> indikatorët e vlerësuar është </w:t>
      </w:r>
      <w:r>
        <w:rPr>
          <w:rFonts w:cstheme="majorHAnsi"/>
        </w:rPr>
        <w:t>4</w:t>
      </w:r>
      <w:r w:rsidR="0069543C" w:rsidRPr="009F2567">
        <w:rPr>
          <w:rFonts w:cstheme="majorHAnsi"/>
        </w:rPr>
        <w:t>5 pikë nga gjithsej 9</w:t>
      </w:r>
      <w:r>
        <w:rPr>
          <w:rFonts w:cstheme="majorHAnsi"/>
        </w:rPr>
        <w:t>8</w:t>
      </w:r>
      <w:r w:rsidR="0069543C" w:rsidRPr="009F2567">
        <w:rPr>
          <w:rFonts w:cstheme="majorHAnsi"/>
        </w:rPr>
        <w:t xml:space="preserve"> pikë të mundshme (</w:t>
      </w:r>
      <w:r>
        <w:rPr>
          <w:rFonts w:cstheme="majorHAnsi"/>
        </w:rPr>
        <w:t>45.92</w:t>
      </w:r>
      <w:r w:rsidR="0069543C" w:rsidRPr="009F2567">
        <w:rPr>
          <w:rFonts w:cstheme="majorHAnsi"/>
        </w:rPr>
        <w:t>%).</w:t>
      </w:r>
      <w:r w:rsidR="0069543C" w:rsidRPr="009F2567">
        <w:rPr>
          <w:noProof/>
        </w:rPr>
        <w:t xml:space="preserve"> </w:t>
      </w:r>
    </w:p>
    <w:p w:rsidR="0069543C" w:rsidRPr="009F2567" w:rsidRDefault="006A4FD7" w:rsidP="0069543C">
      <w:pPr>
        <w:jc w:val="both"/>
        <w:rPr>
          <w:rFonts w:cstheme="majorHAnsi"/>
        </w:rPr>
      </w:pPr>
      <w:r>
        <w:rPr>
          <w:rFonts w:cstheme="majorHAnsi"/>
        </w:rPr>
        <w:t>Performanca mesatare në 13</w:t>
      </w:r>
      <w:r w:rsidR="0069543C" w:rsidRPr="009F2567">
        <w:rPr>
          <w:rFonts w:cstheme="majorHAnsi"/>
        </w:rPr>
        <w:t xml:space="preserve"> treguesit e vlerësuar në kuadër të fushës ‘Qeverisja demokratike’ është </w:t>
      </w:r>
      <w:r w:rsidR="00134883">
        <w:rPr>
          <w:rFonts w:cstheme="majorHAnsi"/>
        </w:rPr>
        <w:t>18</w:t>
      </w:r>
      <w:r w:rsidR="0069543C" w:rsidRPr="009F2567">
        <w:rPr>
          <w:rFonts w:cstheme="majorHAnsi"/>
        </w:rPr>
        <w:t xml:space="preserve"> pikë nga gjithsej </w:t>
      </w:r>
      <w:r w:rsidR="00486F4B">
        <w:rPr>
          <w:rFonts w:cstheme="majorHAnsi"/>
        </w:rPr>
        <w:t>40</w:t>
      </w:r>
      <w:r w:rsidR="0069543C" w:rsidRPr="009F2567">
        <w:rPr>
          <w:rFonts w:cstheme="majorHAnsi"/>
        </w:rPr>
        <w:t xml:space="preserve"> pikët të mundshme (</w:t>
      </w:r>
      <w:r w:rsidR="00134883">
        <w:rPr>
          <w:rFonts w:cstheme="majorHAnsi"/>
        </w:rPr>
        <w:t>45.00</w:t>
      </w:r>
      <w:r w:rsidR="0069543C" w:rsidRPr="009F2567">
        <w:rPr>
          <w:rFonts w:cstheme="majorHAnsi"/>
        </w:rPr>
        <w:t xml:space="preserve">%). </w:t>
      </w:r>
    </w:p>
    <w:p w:rsidR="0069543C" w:rsidRPr="009F2567" w:rsidRDefault="0069543C" w:rsidP="0069543C">
      <w:pPr>
        <w:jc w:val="both"/>
        <w:rPr>
          <w:rFonts w:cstheme="majorHAnsi"/>
        </w:rPr>
      </w:pPr>
      <w:r w:rsidRPr="009F2567">
        <w:rPr>
          <w:rFonts w:cstheme="majorHAnsi"/>
        </w:rPr>
        <w:t xml:space="preserve">Performanca mesatare në </w:t>
      </w:r>
      <w:r w:rsidR="006A4FD7">
        <w:rPr>
          <w:rFonts w:cstheme="majorHAnsi"/>
        </w:rPr>
        <w:t>7</w:t>
      </w:r>
      <w:r w:rsidRPr="009F2567">
        <w:rPr>
          <w:rFonts w:cstheme="majorHAnsi"/>
        </w:rPr>
        <w:t xml:space="preserve"> treguesit e vlerësuar në kuadër të fushës ‘Menaxhimi Komunal’ është 1</w:t>
      </w:r>
      <w:r w:rsidR="00134883">
        <w:rPr>
          <w:rFonts w:cstheme="majorHAnsi"/>
        </w:rPr>
        <w:t>1</w:t>
      </w:r>
      <w:r w:rsidRPr="009F2567">
        <w:rPr>
          <w:rFonts w:cstheme="majorHAnsi"/>
        </w:rPr>
        <w:t xml:space="preserve"> pikë nga gjithsej 2</w:t>
      </w:r>
      <w:r w:rsidR="00486F4B">
        <w:rPr>
          <w:rFonts w:cstheme="majorHAnsi"/>
        </w:rPr>
        <w:t>8</w:t>
      </w:r>
      <w:r w:rsidRPr="009F2567">
        <w:rPr>
          <w:rFonts w:cstheme="majorHAnsi"/>
        </w:rPr>
        <w:t xml:space="preserve"> pikë të mundshme (</w:t>
      </w:r>
      <w:r w:rsidR="00134883">
        <w:rPr>
          <w:rFonts w:cstheme="majorHAnsi"/>
        </w:rPr>
        <w:t>39.29</w:t>
      </w:r>
      <w:r w:rsidRPr="009F2567">
        <w:rPr>
          <w:rFonts w:cstheme="majorHAnsi"/>
        </w:rPr>
        <w:t xml:space="preserve">%). </w:t>
      </w:r>
    </w:p>
    <w:p w:rsidR="0069543C" w:rsidRPr="009F2567" w:rsidRDefault="0069543C" w:rsidP="0069543C">
      <w:pPr>
        <w:jc w:val="both"/>
        <w:rPr>
          <w:rFonts w:cstheme="majorHAnsi"/>
        </w:rPr>
      </w:pPr>
      <w:r w:rsidRPr="009F2567">
        <w:rPr>
          <w:rFonts w:cstheme="majorHAnsi"/>
        </w:rPr>
        <w:t xml:space="preserve">Performanca mesatare në </w:t>
      </w:r>
      <w:r w:rsidR="00134883">
        <w:rPr>
          <w:rFonts w:cstheme="majorHAnsi"/>
        </w:rPr>
        <w:t>9</w:t>
      </w:r>
      <w:r w:rsidRPr="009F2567">
        <w:rPr>
          <w:rFonts w:cstheme="majorHAnsi"/>
        </w:rPr>
        <w:t xml:space="preserve"> treguesit e vlerësuar në kuadër të fushës ‘Ofrimi i shërbimeve’ është 1</w:t>
      </w:r>
      <w:r w:rsidR="00134883">
        <w:rPr>
          <w:rFonts w:cstheme="majorHAnsi"/>
        </w:rPr>
        <w:t>6</w:t>
      </w:r>
      <w:r w:rsidRPr="009F2567">
        <w:rPr>
          <w:rFonts w:cstheme="majorHAnsi"/>
        </w:rPr>
        <w:t xml:space="preserve"> pikë nga gjithsej </w:t>
      </w:r>
      <w:r w:rsidR="00486F4B">
        <w:rPr>
          <w:rFonts w:cstheme="majorHAnsi"/>
        </w:rPr>
        <w:t>30</w:t>
      </w:r>
      <w:r w:rsidRPr="009F2567">
        <w:rPr>
          <w:rFonts w:cstheme="majorHAnsi"/>
        </w:rPr>
        <w:t xml:space="preserve"> pikë të mundshme (</w:t>
      </w:r>
      <w:r w:rsidR="00134883">
        <w:rPr>
          <w:rFonts w:cstheme="majorHAnsi"/>
        </w:rPr>
        <w:t>53.33</w:t>
      </w:r>
      <w:r w:rsidRPr="009F2567">
        <w:rPr>
          <w:rFonts w:cstheme="majorHAnsi"/>
        </w:rPr>
        <w:t xml:space="preserve">%). </w:t>
      </w:r>
    </w:p>
    <w:p w:rsidR="0069543C" w:rsidRPr="009F2567" w:rsidRDefault="0069543C" w:rsidP="0069543C"/>
    <w:p w:rsidR="0069543C" w:rsidRPr="009F2567" w:rsidRDefault="0069543C" w:rsidP="0069543C">
      <w:pPr>
        <w:jc w:val="both"/>
      </w:pPr>
    </w:p>
    <w:p w:rsidR="0069543C" w:rsidRPr="009F2567" w:rsidRDefault="0069543C" w:rsidP="0069543C">
      <w:pPr>
        <w:sectPr w:rsidR="0069543C" w:rsidRPr="009F2567" w:rsidSect="0069543C">
          <w:pgSz w:w="11906" w:h="16838"/>
          <w:pgMar w:top="1440" w:right="1440" w:bottom="1440" w:left="1440" w:header="708" w:footer="708" w:gutter="0"/>
          <w:cols w:space="708"/>
          <w:docGrid w:linePitch="360"/>
        </w:sectPr>
      </w:pPr>
    </w:p>
    <w:p w:rsidR="00677D98" w:rsidRPr="009F2567" w:rsidRDefault="0069543C" w:rsidP="0069543C">
      <w:pPr>
        <w:jc w:val="both"/>
        <w:rPr>
          <w:b/>
          <w:bCs/>
        </w:rPr>
      </w:pPr>
      <w:bookmarkStart w:id="49" w:name="_Toc99363475"/>
      <w:r w:rsidRPr="009F2567">
        <w:rPr>
          <w:b/>
          <w:bCs/>
        </w:rPr>
        <w:lastRenderedPageBreak/>
        <w:t>Përmbledhje e rezultateve për vitin 202</w:t>
      </w:r>
      <w:r w:rsidR="00134883">
        <w:rPr>
          <w:b/>
          <w:bCs/>
        </w:rPr>
        <w:t>4</w:t>
      </w:r>
      <w:r w:rsidRPr="009F2567">
        <w:rPr>
          <w:b/>
          <w:bCs/>
        </w:rPr>
        <w:t xml:space="preserve"> për grantin e performancës komunale - Komuna Podujevë</w:t>
      </w:r>
      <w:bookmarkEnd w:id="49"/>
      <w:r w:rsidRPr="009F2567">
        <w:rPr>
          <w:b/>
          <w:bCs/>
        </w:rPr>
        <w:br/>
      </w:r>
    </w:p>
    <w:p w:rsidR="0069543C" w:rsidRPr="009F2567" w:rsidRDefault="0069543C" w:rsidP="0069543C">
      <w:pPr>
        <w:rPr>
          <w:rFonts w:asciiTheme="majorHAnsi" w:eastAsiaTheme="majorEastAsia" w:hAnsiTheme="majorHAnsi" w:cstheme="majorBidi"/>
          <w:b/>
          <w:noProof/>
        </w:rPr>
      </w:pPr>
      <w:r w:rsidRPr="009F2567">
        <w:rPr>
          <w:rFonts w:asciiTheme="majorHAnsi" w:eastAsiaTheme="majorEastAsia" w:hAnsiTheme="majorHAnsi" w:cstheme="majorBidi"/>
          <w:b/>
          <w:noProof/>
        </w:rPr>
        <w:t>Vlerësimi i kushteve minimale për vitin 202</w:t>
      </w:r>
      <w:r w:rsidR="00134883">
        <w:rPr>
          <w:rFonts w:asciiTheme="majorHAnsi" w:eastAsiaTheme="majorEastAsia" w:hAnsiTheme="majorHAnsi" w:cstheme="majorBidi"/>
          <w:b/>
          <w:noProof/>
        </w:rPr>
        <w:t>4</w:t>
      </w:r>
    </w:p>
    <w:p w:rsidR="0069543C" w:rsidRPr="009F2567" w:rsidRDefault="00134883" w:rsidP="0069543C">
      <w:pPr>
        <w:jc w:val="both"/>
        <w:rPr>
          <w:rFonts w:asciiTheme="majorHAnsi" w:hAnsiTheme="majorHAnsi" w:cstheme="majorHAnsi"/>
          <w:lang w:val="de-CH"/>
        </w:rPr>
      </w:pPr>
      <w:r>
        <w:rPr>
          <w:noProof/>
          <w:lang w:val="en-GB" w:eastAsia="en-GB"/>
          <w14:ligatures w14:val="standardContextual"/>
        </w:rPr>
        <w:drawing>
          <wp:anchor distT="0" distB="0" distL="114300" distR="114300" simplePos="0" relativeHeight="251853824" behindDoc="0" locked="0" layoutInCell="1" allowOverlap="1" wp14:anchorId="1DF3E028" wp14:editId="2FEB1442">
            <wp:simplePos x="0" y="0"/>
            <wp:positionH relativeFrom="margin">
              <wp:posOffset>2539640</wp:posOffset>
            </wp:positionH>
            <wp:positionV relativeFrom="margin">
              <wp:posOffset>763905</wp:posOffset>
            </wp:positionV>
            <wp:extent cx="3307715" cy="2155825"/>
            <wp:effectExtent l="0" t="0" r="6985" b="15875"/>
            <wp:wrapSquare wrapText="bothSides"/>
            <wp:docPr id="1708941606" name="Chart 170894160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r w:rsidR="0069543C" w:rsidRPr="009F2567">
        <w:rPr>
          <w:rFonts w:asciiTheme="majorHAnsi" w:hAnsiTheme="majorHAnsi" w:cstheme="majorHAnsi"/>
          <w:lang w:val="de-CH"/>
        </w:rPr>
        <w:t>Komuna e Podujevës nuk është kualifikuar për grantin e performancës komunale për vitin 202</w:t>
      </w:r>
      <w:r>
        <w:rPr>
          <w:rFonts w:asciiTheme="majorHAnsi" w:hAnsiTheme="majorHAnsi" w:cstheme="majorHAnsi"/>
          <w:lang w:val="de-CH"/>
        </w:rPr>
        <w:t>4</w:t>
      </w:r>
      <w:r w:rsidR="0069543C" w:rsidRPr="009F2567">
        <w:rPr>
          <w:rFonts w:asciiTheme="majorHAnsi" w:hAnsiTheme="majorHAnsi" w:cstheme="majorHAnsi"/>
          <w:lang w:val="de-CH"/>
        </w:rPr>
        <w:t xml:space="preserve">. </w:t>
      </w:r>
    </w:p>
    <w:p w:rsidR="00134883" w:rsidRPr="009F2567" w:rsidRDefault="00134883" w:rsidP="00134883">
      <w:pPr>
        <w:jc w:val="both"/>
        <w:rPr>
          <w:rFonts w:cstheme="majorHAnsi"/>
          <w:lang w:val="de-CH"/>
        </w:rPr>
      </w:pPr>
      <w:r w:rsidRPr="00521E8E">
        <w:rPr>
          <w:rFonts w:cstheme="majorHAnsi"/>
          <w:lang w:val="de-CH"/>
        </w:rPr>
        <w:t>Kushti minimal numër 3 (opinioni i auditorit të jetë së paku i pamodifikuar me theksim të çështjes) nuk është përmbushur</w:t>
      </w:r>
      <w:r w:rsidRPr="009F2567">
        <w:rPr>
          <w:rFonts w:cstheme="majorHAnsi"/>
          <w:lang w:val="de-CH"/>
        </w:rPr>
        <w:t xml:space="preserve">. </w:t>
      </w:r>
    </w:p>
    <w:p w:rsidR="0069543C" w:rsidRPr="009F2567" w:rsidRDefault="0069543C" w:rsidP="0069543C">
      <w:pPr>
        <w:tabs>
          <w:tab w:val="left" w:pos="1190"/>
        </w:tabs>
      </w:pPr>
    </w:p>
    <w:p w:rsidR="0069543C" w:rsidRDefault="0069543C" w:rsidP="0069543C">
      <w:pPr>
        <w:rPr>
          <w:b/>
        </w:rPr>
      </w:pPr>
    </w:p>
    <w:p w:rsidR="00C44D68" w:rsidRPr="009F2567" w:rsidRDefault="00C44D68" w:rsidP="0069543C">
      <w:pPr>
        <w:rPr>
          <w:b/>
        </w:rPr>
      </w:pPr>
    </w:p>
    <w:p w:rsidR="0069543C" w:rsidRPr="009F2567" w:rsidRDefault="0069543C" w:rsidP="0069543C">
      <w:pPr>
        <w:rPr>
          <w:b/>
        </w:rPr>
      </w:pPr>
      <w:r w:rsidRPr="009F2567">
        <w:rPr>
          <w:b/>
        </w:rPr>
        <w:t>Vlerësimi i treguesve të perform</w:t>
      </w:r>
      <w:r w:rsidR="00134883">
        <w:rPr>
          <w:b/>
        </w:rPr>
        <w:t>ancës për vitin 2024</w:t>
      </w:r>
    </w:p>
    <w:p w:rsidR="0069543C" w:rsidRPr="009F2567" w:rsidRDefault="00134883" w:rsidP="0069543C">
      <w:pPr>
        <w:jc w:val="both"/>
        <w:rPr>
          <w:rFonts w:cstheme="majorHAnsi"/>
        </w:rPr>
      </w:pPr>
      <w:r>
        <w:rPr>
          <w:noProof/>
          <w:lang w:val="en-GB" w:eastAsia="en-GB"/>
          <w14:ligatures w14:val="standardContextual"/>
        </w:rPr>
        <w:drawing>
          <wp:anchor distT="0" distB="0" distL="114300" distR="114300" simplePos="0" relativeHeight="251854848" behindDoc="0" locked="0" layoutInCell="1" allowOverlap="1" wp14:anchorId="4E33B3EB" wp14:editId="308A2E04">
            <wp:simplePos x="0" y="0"/>
            <wp:positionH relativeFrom="margin">
              <wp:posOffset>2538095</wp:posOffset>
            </wp:positionH>
            <wp:positionV relativeFrom="margin">
              <wp:posOffset>3636645</wp:posOffset>
            </wp:positionV>
            <wp:extent cx="3390900" cy="2654300"/>
            <wp:effectExtent l="0" t="0" r="0" b="12700"/>
            <wp:wrapSquare wrapText="bothSides"/>
            <wp:docPr id="1708941607" name="Chart 17089416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14:sizeRelV relativeFrom="margin">
              <wp14:pctHeight>0</wp14:pctHeight>
            </wp14:sizeRelV>
          </wp:anchor>
        </w:drawing>
      </w:r>
      <w:r w:rsidR="0069543C" w:rsidRPr="009F2567">
        <w:rPr>
          <w:rFonts w:cstheme="majorHAnsi"/>
        </w:rPr>
        <w:t>Performanca mesatare e Komunës së Podujevë në 2</w:t>
      </w:r>
      <w:r>
        <w:rPr>
          <w:rFonts w:cstheme="majorHAnsi"/>
        </w:rPr>
        <w:t>9</w:t>
      </w:r>
      <w:r w:rsidR="0069543C" w:rsidRPr="009F2567">
        <w:rPr>
          <w:rFonts w:cstheme="majorHAnsi"/>
        </w:rPr>
        <w:t xml:space="preserve"> indikatorët e vlerësuar është 48 pikë nga gjithsej 9</w:t>
      </w:r>
      <w:r>
        <w:rPr>
          <w:rFonts w:cstheme="majorHAnsi"/>
        </w:rPr>
        <w:t>8</w:t>
      </w:r>
      <w:r w:rsidR="0069543C" w:rsidRPr="009F2567">
        <w:rPr>
          <w:rFonts w:cstheme="majorHAnsi"/>
        </w:rPr>
        <w:t xml:space="preserve"> pikë të mundshme (</w:t>
      </w:r>
      <w:r>
        <w:rPr>
          <w:rFonts w:cstheme="majorHAnsi"/>
        </w:rPr>
        <w:t>52.04</w:t>
      </w:r>
      <w:r w:rsidR="0069543C" w:rsidRPr="009F2567">
        <w:rPr>
          <w:rFonts w:cstheme="majorHAnsi"/>
        </w:rPr>
        <w:t>%).</w:t>
      </w:r>
      <w:r w:rsidR="0069543C" w:rsidRPr="009F2567">
        <w:rPr>
          <w:noProof/>
        </w:rPr>
        <w:t xml:space="preserve"> </w:t>
      </w:r>
    </w:p>
    <w:p w:rsidR="0069543C" w:rsidRPr="009F2567" w:rsidRDefault="006A4FD7" w:rsidP="0069543C">
      <w:pPr>
        <w:jc w:val="both"/>
        <w:rPr>
          <w:rFonts w:cstheme="majorHAnsi"/>
        </w:rPr>
      </w:pPr>
      <w:r>
        <w:rPr>
          <w:rFonts w:cstheme="majorHAnsi"/>
        </w:rPr>
        <w:t>Performanca mesatare në 13</w:t>
      </w:r>
      <w:r w:rsidR="0069543C" w:rsidRPr="009F2567">
        <w:rPr>
          <w:rFonts w:cstheme="majorHAnsi"/>
        </w:rPr>
        <w:t xml:space="preserve"> treguesit e vlerësuar në kuadër të fushës ‘Qeverisja demokratike’ është </w:t>
      </w:r>
      <w:r w:rsidR="008E1FB0">
        <w:rPr>
          <w:rFonts w:cstheme="majorHAnsi"/>
        </w:rPr>
        <w:t>26</w:t>
      </w:r>
      <w:r w:rsidR="0069543C" w:rsidRPr="009F2567">
        <w:rPr>
          <w:rFonts w:cstheme="majorHAnsi"/>
        </w:rPr>
        <w:t xml:space="preserve"> pikë nga gjithsej </w:t>
      </w:r>
      <w:r w:rsidR="00486F4B">
        <w:rPr>
          <w:rFonts w:cstheme="majorHAnsi"/>
        </w:rPr>
        <w:t>40</w:t>
      </w:r>
      <w:r w:rsidR="0069543C" w:rsidRPr="009F2567">
        <w:rPr>
          <w:rFonts w:cstheme="majorHAnsi"/>
        </w:rPr>
        <w:t xml:space="preserve"> pikët të mundshme (</w:t>
      </w:r>
      <w:r w:rsidR="008E1FB0">
        <w:rPr>
          <w:rFonts w:cstheme="majorHAnsi"/>
        </w:rPr>
        <w:t>65.00</w:t>
      </w:r>
      <w:r w:rsidR="0069543C" w:rsidRPr="009F2567">
        <w:rPr>
          <w:rFonts w:cstheme="majorHAnsi"/>
        </w:rPr>
        <w:t xml:space="preserve">%). </w:t>
      </w:r>
    </w:p>
    <w:p w:rsidR="0069543C" w:rsidRPr="009F2567" w:rsidRDefault="0069543C" w:rsidP="0069543C">
      <w:pPr>
        <w:jc w:val="both"/>
        <w:rPr>
          <w:rFonts w:cstheme="majorHAnsi"/>
        </w:rPr>
      </w:pPr>
      <w:r w:rsidRPr="009F2567">
        <w:rPr>
          <w:rFonts w:cstheme="majorHAnsi"/>
        </w:rPr>
        <w:t xml:space="preserve">Performanca mesatare në </w:t>
      </w:r>
      <w:r w:rsidR="006A4FD7">
        <w:rPr>
          <w:rFonts w:cstheme="majorHAnsi"/>
        </w:rPr>
        <w:t>7</w:t>
      </w:r>
      <w:r w:rsidRPr="009F2567">
        <w:rPr>
          <w:rFonts w:cstheme="majorHAnsi"/>
        </w:rPr>
        <w:t xml:space="preserve"> treguesit e vlerësuar në kuadër të fushës ‘Menaxhimi Komunal’ është </w:t>
      </w:r>
      <w:r w:rsidR="008E1FB0">
        <w:rPr>
          <w:rFonts w:cstheme="majorHAnsi"/>
        </w:rPr>
        <w:t>13</w:t>
      </w:r>
      <w:r w:rsidRPr="009F2567">
        <w:rPr>
          <w:rFonts w:cstheme="majorHAnsi"/>
        </w:rPr>
        <w:t xml:space="preserve"> pikë nga gjithsej 2</w:t>
      </w:r>
      <w:r w:rsidR="00486F4B">
        <w:rPr>
          <w:rFonts w:cstheme="majorHAnsi"/>
        </w:rPr>
        <w:t>8</w:t>
      </w:r>
      <w:r w:rsidRPr="009F2567">
        <w:rPr>
          <w:rFonts w:cstheme="majorHAnsi"/>
        </w:rPr>
        <w:t xml:space="preserve"> pikë të mundshme (</w:t>
      </w:r>
      <w:r w:rsidR="008E1FB0">
        <w:rPr>
          <w:rFonts w:cstheme="majorHAnsi"/>
        </w:rPr>
        <w:t>46.43</w:t>
      </w:r>
      <w:r w:rsidRPr="009F2567">
        <w:rPr>
          <w:rFonts w:cstheme="majorHAnsi"/>
        </w:rPr>
        <w:t xml:space="preserve">%). </w:t>
      </w:r>
    </w:p>
    <w:p w:rsidR="0069543C" w:rsidRPr="009F2567" w:rsidRDefault="0069543C" w:rsidP="0069543C">
      <w:pPr>
        <w:jc w:val="both"/>
        <w:rPr>
          <w:rFonts w:cstheme="majorHAnsi"/>
        </w:rPr>
      </w:pPr>
      <w:r w:rsidRPr="009F2567">
        <w:rPr>
          <w:rFonts w:cstheme="majorHAnsi"/>
        </w:rPr>
        <w:t xml:space="preserve">Performanca mesatare në </w:t>
      </w:r>
      <w:r w:rsidR="00134883">
        <w:rPr>
          <w:rFonts w:cstheme="majorHAnsi"/>
        </w:rPr>
        <w:t>9</w:t>
      </w:r>
      <w:r w:rsidRPr="009F2567">
        <w:rPr>
          <w:rFonts w:cstheme="majorHAnsi"/>
        </w:rPr>
        <w:t xml:space="preserve"> treguesit e vlerësuar në kuadër të fushës ‘Ofrimi i shërbimeve’ është </w:t>
      </w:r>
      <w:r w:rsidR="008E1FB0">
        <w:rPr>
          <w:rFonts w:cstheme="majorHAnsi"/>
        </w:rPr>
        <w:t>12</w:t>
      </w:r>
      <w:r w:rsidRPr="009F2567">
        <w:rPr>
          <w:rFonts w:cstheme="majorHAnsi"/>
        </w:rPr>
        <w:t xml:space="preserve"> pikë nga gjithsej </w:t>
      </w:r>
      <w:r w:rsidR="00486F4B">
        <w:rPr>
          <w:rFonts w:cstheme="majorHAnsi"/>
        </w:rPr>
        <w:t>30</w:t>
      </w:r>
      <w:r w:rsidRPr="009F2567">
        <w:rPr>
          <w:rFonts w:cstheme="majorHAnsi"/>
        </w:rPr>
        <w:t xml:space="preserve"> pikë të mundshme (</w:t>
      </w:r>
      <w:r w:rsidR="008E1FB0">
        <w:rPr>
          <w:rFonts w:cstheme="majorHAnsi"/>
        </w:rPr>
        <w:t>40.00</w:t>
      </w:r>
      <w:r w:rsidRPr="009F2567">
        <w:rPr>
          <w:rFonts w:cstheme="majorHAnsi"/>
        </w:rPr>
        <w:t xml:space="preserve">%). </w:t>
      </w:r>
    </w:p>
    <w:p w:rsidR="0069543C" w:rsidRPr="009F2567" w:rsidRDefault="0069543C" w:rsidP="0069543C"/>
    <w:p w:rsidR="0069543C" w:rsidRPr="009F2567" w:rsidRDefault="0069543C" w:rsidP="0069543C">
      <w:pPr>
        <w:jc w:val="both"/>
        <w:rPr>
          <w:lang w:val="en-GB"/>
        </w:rPr>
      </w:pPr>
    </w:p>
    <w:p w:rsidR="0069543C" w:rsidRPr="009F2567" w:rsidRDefault="0069543C" w:rsidP="0069543C"/>
    <w:p w:rsidR="0069543C" w:rsidRPr="009F2567" w:rsidRDefault="0069543C" w:rsidP="0069543C">
      <w:pPr>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jc w:val="both"/>
        <w:rPr>
          <w:b/>
          <w:bCs/>
        </w:rPr>
      </w:pPr>
      <w:bookmarkStart w:id="50" w:name="_Toc99363476"/>
      <w:r w:rsidRPr="009F2567">
        <w:rPr>
          <w:b/>
          <w:bCs/>
        </w:rPr>
        <w:lastRenderedPageBreak/>
        <w:t>Përmbledhje e rezultateve për vitin 202</w:t>
      </w:r>
      <w:r w:rsidR="00C44D68">
        <w:rPr>
          <w:b/>
          <w:bCs/>
        </w:rPr>
        <w:t>4</w:t>
      </w:r>
      <w:r w:rsidRPr="009F2567">
        <w:rPr>
          <w:b/>
          <w:bCs/>
        </w:rPr>
        <w:t xml:space="preserve"> për grantin e performancës komunale - Komuna Prishtinë</w:t>
      </w:r>
      <w:bookmarkEnd w:id="50"/>
      <w:r w:rsidRPr="009F2567">
        <w:rPr>
          <w:b/>
          <w:bCs/>
        </w:rPr>
        <w:br/>
      </w:r>
    </w:p>
    <w:p w:rsidR="0069543C" w:rsidRPr="009F2567" w:rsidRDefault="0069543C" w:rsidP="0069543C">
      <w:pPr>
        <w:rPr>
          <w:rFonts w:asciiTheme="majorHAnsi" w:eastAsiaTheme="majorEastAsia" w:hAnsiTheme="majorHAnsi" w:cstheme="majorBidi"/>
          <w:b/>
          <w:noProof/>
        </w:rPr>
      </w:pPr>
      <w:r w:rsidRPr="009F2567">
        <w:rPr>
          <w:rFonts w:asciiTheme="majorHAnsi" w:eastAsiaTheme="majorEastAsia" w:hAnsiTheme="majorHAnsi" w:cstheme="majorBidi"/>
          <w:b/>
          <w:noProof/>
        </w:rPr>
        <w:t>Vlerësimi i kushteve minimale për vitin 202</w:t>
      </w:r>
      <w:r w:rsidR="00C44D68">
        <w:rPr>
          <w:rFonts w:asciiTheme="majorHAnsi" w:eastAsiaTheme="majorEastAsia" w:hAnsiTheme="majorHAnsi" w:cstheme="majorBidi"/>
          <w:b/>
          <w:noProof/>
        </w:rPr>
        <w:t>4</w:t>
      </w:r>
    </w:p>
    <w:p w:rsidR="0069543C" w:rsidRPr="009F2567" w:rsidRDefault="0069543C" w:rsidP="0069543C">
      <w:pPr>
        <w:jc w:val="both"/>
        <w:rPr>
          <w:rFonts w:cstheme="majorHAnsi"/>
          <w:lang w:val="de-CH"/>
        </w:rPr>
      </w:pPr>
      <w:r w:rsidRPr="009F2567">
        <w:rPr>
          <w:noProof/>
          <w:lang w:val="en-GB" w:eastAsia="en-GB"/>
        </w:rPr>
        <w:drawing>
          <wp:anchor distT="0" distB="0" distL="114300" distR="114300" simplePos="0" relativeHeight="251700224" behindDoc="0" locked="0" layoutInCell="1" allowOverlap="1" wp14:anchorId="44B1F5BC" wp14:editId="785EE1DD">
            <wp:simplePos x="0" y="0"/>
            <wp:positionH relativeFrom="margin">
              <wp:align>right</wp:align>
            </wp:positionH>
            <wp:positionV relativeFrom="paragraph">
              <wp:posOffset>4445</wp:posOffset>
            </wp:positionV>
            <wp:extent cx="2965450" cy="2324100"/>
            <wp:effectExtent l="0" t="0" r="6350" b="0"/>
            <wp:wrapSquare wrapText="bothSides"/>
            <wp:docPr id="202" name="Chart 20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margin">
              <wp14:pctWidth>0</wp14:pctWidth>
            </wp14:sizeRelH>
            <wp14:sizeRelV relativeFrom="margin">
              <wp14:pctHeight>0</wp14:pctHeight>
            </wp14:sizeRelV>
          </wp:anchor>
        </w:drawing>
      </w:r>
      <w:r w:rsidRPr="009F2567">
        <w:rPr>
          <w:rFonts w:cstheme="majorHAnsi"/>
          <w:lang w:val="de-CH"/>
        </w:rPr>
        <w:t xml:space="preserve">Komuna e Prishtinës nuk është kualifikuar për grantin e performancës komunale për vitin </w:t>
      </w:r>
      <w:r w:rsidR="00C44D68">
        <w:rPr>
          <w:rFonts w:cstheme="majorHAnsi"/>
          <w:lang w:val="de-CH"/>
        </w:rPr>
        <w:t>2024.</w:t>
      </w:r>
      <w:r w:rsidRPr="009F2567">
        <w:rPr>
          <w:rFonts w:cstheme="majorHAnsi"/>
          <w:lang w:val="de-CH"/>
        </w:rPr>
        <w:t xml:space="preserve"> </w:t>
      </w:r>
    </w:p>
    <w:p w:rsidR="0069543C" w:rsidRPr="009F2567" w:rsidRDefault="0069543C" w:rsidP="0069543C">
      <w:pPr>
        <w:jc w:val="both"/>
        <w:rPr>
          <w:rFonts w:cstheme="majorHAnsi"/>
          <w:noProof/>
        </w:rPr>
      </w:pPr>
      <w:r w:rsidRPr="009F2567">
        <w:rPr>
          <w:rFonts w:cstheme="majorHAnsi"/>
          <w:lang w:val="de-CH"/>
        </w:rPr>
        <w:t xml:space="preserve">Kushtet minimale: numër 2 (komunat duhet t’i kenë rishqyrtuar të gjitha aktet komunale të vlerësuara si të kundërligjshme nga organet mbikqyrëse sipas kërkesave ligjore) dhe numër 3 (opinioni i auditorit të jetë së paku i pamodifikuar me theksim të çështjes); numër 4 (Komunat duhet të kenë shpenzuar 75% ose më tepër të buxhetit final për investime kapitale) nuk janë përmbushur. </w:t>
      </w:r>
    </w:p>
    <w:p w:rsidR="0069543C" w:rsidRPr="009F2567" w:rsidRDefault="0069543C" w:rsidP="0069543C">
      <w:pPr>
        <w:tabs>
          <w:tab w:val="left" w:pos="1190"/>
        </w:tabs>
      </w:pPr>
    </w:p>
    <w:p w:rsidR="0069543C" w:rsidRPr="009F2567" w:rsidRDefault="0069543C" w:rsidP="0069543C">
      <w:pPr>
        <w:rPr>
          <w:b/>
        </w:rPr>
      </w:pPr>
      <w:r w:rsidRPr="009F2567">
        <w:rPr>
          <w:b/>
        </w:rPr>
        <w:t>Vlerësimi i treguesve të performancës për vitin 202</w:t>
      </w:r>
      <w:r w:rsidR="00C44D68">
        <w:rPr>
          <w:b/>
        </w:rPr>
        <w:t>4</w:t>
      </w:r>
    </w:p>
    <w:p w:rsidR="0069543C" w:rsidRPr="009F2567" w:rsidRDefault="0069543C" w:rsidP="0069543C">
      <w:pPr>
        <w:jc w:val="both"/>
        <w:rPr>
          <w:rFonts w:cstheme="majorHAnsi"/>
        </w:rPr>
      </w:pPr>
      <w:r w:rsidRPr="009F2567">
        <w:rPr>
          <w:rFonts w:cstheme="majorHAnsi"/>
        </w:rPr>
        <w:t>Performanca mesatare e Komunës së Prishtinë në 2</w:t>
      </w:r>
      <w:r w:rsidR="00C44D68">
        <w:rPr>
          <w:rFonts w:cstheme="majorHAnsi"/>
        </w:rPr>
        <w:t>9</w:t>
      </w:r>
      <w:r w:rsidRPr="009F2567">
        <w:rPr>
          <w:rFonts w:cstheme="majorHAnsi"/>
        </w:rPr>
        <w:t xml:space="preserve"> indikatorët e vlerësuar është </w:t>
      </w:r>
      <w:r w:rsidR="00C44D68">
        <w:rPr>
          <w:rFonts w:cstheme="majorHAnsi"/>
        </w:rPr>
        <w:t>29</w:t>
      </w:r>
      <w:r w:rsidRPr="009F2567">
        <w:rPr>
          <w:rFonts w:cstheme="majorHAnsi"/>
        </w:rPr>
        <w:t xml:space="preserve"> pikë nga gjithsej 9</w:t>
      </w:r>
      <w:r w:rsidR="00C44D68">
        <w:rPr>
          <w:rFonts w:cstheme="majorHAnsi"/>
        </w:rPr>
        <w:t>8</w:t>
      </w:r>
      <w:r w:rsidRPr="009F2567">
        <w:rPr>
          <w:rFonts w:cstheme="majorHAnsi"/>
        </w:rPr>
        <w:t xml:space="preserve"> pikë të mundshme (</w:t>
      </w:r>
      <w:r w:rsidR="00C44D68">
        <w:rPr>
          <w:rFonts w:cstheme="majorHAnsi"/>
        </w:rPr>
        <w:t>29.59</w:t>
      </w:r>
      <w:r w:rsidRPr="009F2567">
        <w:rPr>
          <w:rFonts w:cstheme="majorHAnsi"/>
        </w:rPr>
        <w:t>%).</w:t>
      </w:r>
      <w:r w:rsidRPr="009F2567">
        <w:rPr>
          <w:noProof/>
        </w:rPr>
        <w:t xml:space="preserve"> </w:t>
      </w:r>
    </w:p>
    <w:p w:rsidR="0069543C" w:rsidRPr="009F2567" w:rsidRDefault="00C44D68" w:rsidP="0069543C">
      <w:pPr>
        <w:jc w:val="both"/>
        <w:rPr>
          <w:rFonts w:cstheme="majorHAnsi"/>
        </w:rPr>
      </w:pPr>
      <w:r>
        <w:rPr>
          <w:noProof/>
          <w:lang w:val="en-GB" w:eastAsia="en-GB"/>
          <w14:ligatures w14:val="standardContextual"/>
        </w:rPr>
        <w:drawing>
          <wp:anchor distT="0" distB="0" distL="114300" distR="114300" simplePos="0" relativeHeight="251855872" behindDoc="0" locked="0" layoutInCell="1" allowOverlap="1" wp14:anchorId="5A0DCE56" wp14:editId="5EB1AF41">
            <wp:simplePos x="0" y="0"/>
            <wp:positionH relativeFrom="margin">
              <wp:posOffset>2517623</wp:posOffset>
            </wp:positionH>
            <wp:positionV relativeFrom="margin">
              <wp:posOffset>4216987</wp:posOffset>
            </wp:positionV>
            <wp:extent cx="3409950" cy="2421890"/>
            <wp:effectExtent l="0" t="0" r="0" b="16510"/>
            <wp:wrapSquare wrapText="bothSides"/>
            <wp:docPr id="1708941608" name="Chart 17089416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margin">
              <wp14:pctWidth>0</wp14:pctWidth>
            </wp14:sizeRelH>
            <wp14:sizeRelV relativeFrom="margin">
              <wp14:pctHeight>0</wp14:pctHeight>
            </wp14:sizeRelV>
          </wp:anchor>
        </w:drawing>
      </w:r>
      <w:r w:rsidR="006A4FD7">
        <w:rPr>
          <w:rFonts w:cstheme="majorHAnsi"/>
        </w:rPr>
        <w:t>Performanca mesatare në 13</w:t>
      </w:r>
      <w:r w:rsidR="0069543C" w:rsidRPr="009F2567">
        <w:rPr>
          <w:rFonts w:cstheme="majorHAnsi"/>
        </w:rPr>
        <w:t xml:space="preserve"> treguesit e vlerësuar në kuadër të fushës ‘Qeverisja demokratike’ është 8 pikë nga gjithsej </w:t>
      </w:r>
      <w:r w:rsidR="00486F4B">
        <w:rPr>
          <w:rFonts w:cstheme="majorHAnsi"/>
        </w:rPr>
        <w:t>40</w:t>
      </w:r>
      <w:r w:rsidR="0069543C" w:rsidRPr="009F2567">
        <w:rPr>
          <w:rFonts w:cstheme="majorHAnsi"/>
        </w:rPr>
        <w:t xml:space="preserve"> pikët të mundshme (</w:t>
      </w:r>
      <w:r>
        <w:rPr>
          <w:rFonts w:cstheme="majorHAnsi"/>
        </w:rPr>
        <w:t>12.50</w:t>
      </w:r>
      <w:r w:rsidR="0069543C" w:rsidRPr="009F2567">
        <w:rPr>
          <w:rFonts w:cstheme="majorHAnsi"/>
        </w:rPr>
        <w:t xml:space="preserve">%). </w:t>
      </w:r>
    </w:p>
    <w:p w:rsidR="0069543C" w:rsidRPr="009F2567" w:rsidRDefault="0069543C" w:rsidP="0069543C">
      <w:pPr>
        <w:jc w:val="both"/>
        <w:rPr>
          <w:rFonts w:cstheme="majorHAnsi"/>
        </w:rPr>
      </w:pPr>
      <w:r w:rsidRPr="009F2567">
        <w:rPr>
          <w:rFonts w:cstheme="majorHAnsi"/>
        </w:rPr>
        <w:t xml:space="preserve">Performanca mesatare në </w:t>
      </w:r>
      <w:r w:rsidR="006A4FD7">
        <w:rPr>
          <w:rFonts w:cstheme="majorHAnsi"/>
        </w:rPr>
        <w:t>7</w:t>
      </w:r>
      <w:r w:rsidRPr="009F2567">
        <w:rPr>
          <w:rFonts w:cstheme="majorHAnsi"/>
        </w:rPr>
        <w:t xml:space="preserve"> treguesit e vlerësuar në kuadër të fushës ‘Menaxhimi Komun</w:t>
      </w:r>
      <w:r w:rsidR="00486F4B">
        <w:rPr>
          <w:rFonts w:cstheme="majorHAnsi"/>
        </w:rPr>
        <w:t>al’ është 9 pikë nga gjithsej 28</w:t>
      </w:r>
      <w:r w:rsidRPr="009F2567">
        <w:rPr>
          <w:rFonts w:cstheme="majorHAnsi"/>
        </w:rPr>
        <w:t xml:space="preserve"> pikë të mundshme (</w:t>
      </w:r>
      <w:r w:rsidR="00C44D68">
        <w:rPr>
          <w:rFonts w:cstheme="majorHAnsi"/>
        </w:rPr>
        <w:t>57.14</w:t>
      </w:r>
      <w:r w:rsidRPr="009F2567">
        <w:rPr>
          <w:rFonts w:cstheme="majorHAnsi"/>
        </w:rPr>
        <w:t xml:space="preserve">%). </w:t>
      </w:r>
    </w:p>
    <w:p w:rsidR="0069543C" w:rsidRPr="009F2567" w:rsidRDefault="0069543C" w:rsidP="0069543C">
      <w:pPr>
        <w:jc w:val="both"/>
        <w:rPr>
          <w:rFonts w:cstheme="majorHAnsi"/>
        </w:rPr>
      </w:pPr>
      <w:r w:rsidRPr="009F2567">
        <w:rPr>
          <w:rFonts w:cstheme="majorHAnsi"/>
        </w:rPr>
        <w:t xml:space="preserve">Performanca mesatare në </w:t>
      </w:r>
      <w:r w:rsidR="00C44D68">
        <w:rPr>
          <w:rFonts w:cstheme="majorHAnsi"/>
        </w:rPr>
        <w:t>9</w:t>
      </w:r>
      <w:r w:rsidRPr="009F2567">
        <w:rPr>
          <w:rFonts w:cstheme="majorHAnsi"/>
        </w:rPr>
        <w:t xml:space="preserve"> treguesit e vlerësuar në kuadër të fushës ‘Ofrimi i shërbimeve’ është 15 pikë nga gjithsej </w:t>
      </w:r>
      <w:r w:rsidR="00486F4B">
        <w:rPr>
          <w:rFonts w:cstheme="majorHAnsi"/>
        </w:rPr>
        <w:t>30</w:t>
      </w:r>
      <w:r w:rsidRPr="009F2567">
        <w:rPr>
          <w:rFonts w:cstheme="majorHAnsi"/>
        </w:rPr>
        <w:t xml:space="preserve"> pikë të mundshme (</w:t>
      </w:r>
      <w:r w:rsidR="00C44D68">
        <w:rPr>
          <w:rFonts w:cstheme="majorHAnsi"/>
        </w:rPr>
        <w:t>26.67</w:t>
      </w:r>
      <w:r w:rsidRPr="009F2567">
        <w:rPr>
          <w:rFonts w:cstheme="majorHAnsi"/>
        </w:rPr>
        <w:t xml:space="preserve">%). </w:t>
      </w:r>
    </w:p>
    <w:p w:rsidR="0069543C" w:rsidRPr="009F2567" w:rsidRDefault="0069543C" w:rsidP="0069543C"/>
    <w:p w:rsidR="0069543C" w:rsidRPr="009F2567" w:rsidRDefault="0069543C" w:rsidP="0069543C">
      <w:pPr>
        <w:jc w:val="both"/>
      </w:pPr>
    </w:p>
    <w:p w:rsidR="0069543C" w:rsidRPr="009F2567" w:rsidRDefault="0069543C" w:rsidP="0069543C">
      <w:pPr>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jc w:val="both"/>
        <w:rPr>
          <w:b/>
          <w:bCs/>
        </w:rPr>
      </w:pPr>
      <w:bookmarkStart w:id="51" w:name="_Toc99363477"/>
      <w:r w:rsidRPr="009F2567">
        <w:rPr>
          <w:b/>
          <w:bCs/>
        </w:rPr>
        <w:lastRenderedPageBreak/>
        <w:t>Përmbledhje e rezultateve për vitin 202</w:t>
      </w:r>
      <w:r w:rsidR="00C44D68">
        <w:rPr>
          <w:b/>
          <w:bCs/>
        </w:rPr>
        <w:t>4</w:t>
      </w:r>
      <w:r w:rsidRPr="009F2567">
        <w:rPr>
          <w:b/>
          <w:bCs/>
        </w:rPr>
        <w:t xml:space="preserve"> për grantin e performancës komunale - Komuna Prizren</w:t>
      </w:r>
      <w:bookmarkEnd w:id="51"/>
    </w:p>
    <w:p w:rsidR="0069543C" w:rsidRPr="009F2567" w:rsidRDefault="0069543C" w:rsidP="0069543C">
      <w:pPr>
        <w:rPr>
          <w:rFonts w:eastAsiaTheme="majorEastAsia" w:cstheme="majorBidi"/>
          <w:b/>
          <w:noProof/>
        </w:rPr>
      </w:pPr>
      <w:r w:rsidRPr="009F2567">
        <w:rPr>
          <w:rFonts w:eastAsiaTheme="majorEastAsia" w:cstheme="majorBidi"/>
          <w:b/>
          <w:noProof/>
        </w:rPr>
        <w:t>Vlerësimi i kushteve minimale për vitin 202</w:t>
      </w:r>
      <w:r w:rsidR="00C44D68">
        <w:rPr>
          <w:rFonts w:eastAsiaTheme="majorEastAsia" w:cstheme="majorBidi"/>
          <w:b/>
          <w:noProof/>
        </w:rPr>
        <w:t>4</w:t>
      </w:r>
    </w:p>
    <w:p w:rsidR="0069543C" w:rsidRPr="009F2567" w:rsidRDefault="00C44D68" w:rsidP="0069543C">
      <w:pPr>
        <w:jc w:val="both"/>
        <w:rPr>
          <w:rFonts w:eastAsiaTheme="majorEastAsia" w:cstheme="majorHAnsi"/>
          <w:noProof/>
        </w:rPr>
      </w:pPr>
      <w:r>
        <w:rPr>
          <w:noProof/>
          <w:lang w:val="en-GB" w:eastAsia="en-GB"/>
          <w14:ligatures w14:val="standardContextual"/>
        </w:rPr>
        <w:drawing>
          <wp:anchor distT="0" distB="0" distL="114300" distR="114300" simplePos="0" relativeHeight="251856896" behindDoc="0" locked="0" layoutInCell="1" allowOverlap="1" wp14:anchorId="6BB78059" wp14:editId="79C3CA2B">
            <wp:simplePos x="0" y="0"/>
            <wp:positionH relativeFrom="margin">
              <wp:posOffset>2667521</wp:posOffset>
            </wp:positionH>
            <wp:positionV relativeFrom="margin">
              <wp:posOffset>579660</wp:posOffset>
            </wp:positionV>
            <wp:extent cx="3198495" cy="2005965"/>
            <wp:effectExtent l="0" t="0" r="1905" b="13335"/>
            <wp:wrapSquare wrapText="bothSides"/>
            <wp:docPr id="1708941609" name="Chart 1708941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r w:rsidR="0069543C" w:rsidRPr="009F2567">
        <w:rPr>
          <w:rFonts w:eastAsiaTheme="majorEastAsia" w:cstheme="majorHAnsi"/>
          <w:noProof/>
        </w:rPr>
        <w:t>Komuna e Prizrenit</w:t>
      </w:r>
      <w:r>
        <w:rPr>
          <w:rFonts w:eastAsiaTheme="majorEastAsia" w:cstheme="majorHAnsi"/>
          <w:noProof/>
        </w:rPr>
        <w:t xml:space="preserve"> nuk</w:t>
      </w:r>
      <w:r w:rsidR="0069543C" w:rsidRPr="009F2567">
        <w:rPr>
          <w:rFonts w:eastAsiaTheme="majorEastAsia" w:cstheme="majorHAnsi"/>
          <w:noProof/>
        </w:rPr>
        <w:t xml:space="preserve"> është kualifikuar për grantin e performancës komunale për vitin 202</w:t>
      </w:r>
      <w:r>
        <w:rPr>
          <w:rFonts w:eastAsiaTheme="majorEastAsia" w:cstheme="majorHAnsi"/>
          <w:noProof/>
        </w:rPr>
        <w:t>4</w:t>
      </w:r>
      <w:r w:rsidR="0069543C" w:rsidRPr="009F2567">
        <w:rPr>
          <w:rFonts w:eastAsiaTheme="majorEastAsia" w:cstheme="majorHAnsi"/>
          <w:noProof/>
        </w:rPr>
        <w:t xml:space="preserve">. </w:t>
      </w:r>
    </w:p>
    <w:p w:rsidR="005B3F75" w:rsidRPr="009F2567" w:rsidRDefault="00C44D68" w:rsidP="0069543C">
      <w:pPr>
        <w:jc w:val="both"/>
        <w:rPr>
          <w:rFonts w:eastAsiaTheme="majorEastAsia" w:cstheme="majorHAnsi"/>
          <w:noProof/>
        </w:rPr>
      </w:pPr>
      <w:r w:rsidRPr="00C44D68">
        <w:rPr>
          <w:rFonts w:asciiTheme="majorHAnsi" w:hAnsiTheme="majorHAnsi" w:cstheme="majorHAnsi"/>
          <w:lang w:val="de-CH"/>
        </w:rPr>
        <w:t>Kushti minimal numër 3 (opinioni i auditorit të jetë së paku i pamodifikuar me theksim të çështjes) nuk është përmbushur.</w:t>
      </w:r>
    </w:p>
    <w:p w:rsidR="0069543C" w:rsidRPr="009F2567" w:rsidRDefault="0069543C" w:rsidP="0069543C">
      <w:pPr>
        <w:rPr>
          <w:b/>
        </w:rPr>
      </w:pPr>
    </w:p>
    <w:p w:rsidR="00DB11F6" w:rsidRPr="009F2567" w:rsidRDefault="00DB11F6" w:rsidP="0069543C">
      <w:pPr>
        <w:rPr>
          <w:b/>
        </w:rPr>
      </w:pPr>
    </w:p>
    <w:p w:rsidR="003B12ED" w:rsidRPr="009F2567" w:rsidRDefault="003B12ED" w:rsidP="0069543C">
      <w:pPr>
        <w:rPr>
          <w:b/>
        </w:rPr>
      </w:pPr>
    </w:p>
    <w:p w:rsidR="0069543C" w:rsidRPr="009F2567" w:rsidRDefault="0069543C" w:rsidP="0069543C">
      <w:pPr>
        <w:rPr>
          <w:b/>
        </w:rPr>
      </w:pPr>
    </w:p>
    <w:p w:rsidR="0069543C" w:rsidRPr="009F2567" w:rsidRDefault="0069543C" w:rsidP="0069543C">
      <w:pPr>
        <w:rPr>
          <w:b/>
        </w:rPr>
      </w:pPr>
      <w:r w:rsidRPr="009F2567">
        <w:rPr>
          <w:b/>
        </w:rPr>
        <w:t>Vlerësimi i treguesve të performancës për vitin 202</w:t>
      </w:r>
      <w:r w:rsidR="00C44D68">
        <w:rPr>
          <w:b/>
        </w:rPr>
        <w:t>4</w:t>
      </w:r>
    </w:p>
    <w:p w:rsidR="0069543C" w:rsidRPr="009F2567" w:rsidRDefault="00C44D68" w:rsidP="0069543C">
      <w:pPr>
        <w:jc w:val="both"/>
        <w:rPr>
          <w:rFonts w:cstheme="majorHAnsi"/>
        </w:rPr>
      </w:pPr>
      <w:bookmarkStart w:id="52" w:name="_Toc99363478"/>
      <w:r>
        <w:rPr>
          <w:noProof/>
          <w:lang w:val="en-GB" w:eastAsia="en-GB"/>
          <w14:ligatures w14:val="standardContextual"/>
        </w:rPr>
        <w:drawing>
          <wp:anchor distT="0" distB="0" distL="114300" distR="114300" simplePos="0" relativeHeight="251857920" behindDoc="0" locked="0" layoutInCell="1" allowOverlap="1" wp14:anchorId="70911505" wp14:editId="08E04227">
            <wp:simplePos x="0" y="0"/>
            <wp:positionH relativeFrom="margin">
              <wp:posOffset>2572385</wp:posOffset>
            </wp:positionH>
            <wp:positionV relativeFrom="margin">
              <wp:posOffset>3705016</wp:posOffset>
            </wp:positionV>
            <wp:extent cx="3308985" cy="2503805"/>
            <wp:effectExtent l="0" t="0" r="5715" b="10795"/>
            <wp:wrapSquare wrapText="bothSides"/>
            <wp:docPr id="1708941610" name="Chart 1708941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r w:rsidR="0069543C" w:rsidRPr="009F2567">
        <w:rPr>
          <w:rFonts w:cstheme="majorHAnsi"/>
        </w:rPr>
        <w:t xml:space="preserve">Performanca mesatare e Komunës së Prizrenit </w:t>
      </w:r>
      <w:bookmarkEnd w:id="52"/>
      <w:r w:rsidR="0069543C" w:rsidRPr="009F2567">
        <w:rPr>
          <w:rFonts w:cstheme="majorHAnsi"/>
        </w:rPr>
        <w:t>në 2</w:t>
      </w:r>
      <w:r>
        <w:rPr>
          <w:rFonts w:cstheme="majorHAnsi"/>
        </w:rPr>
        <w:t>9</w:t>
      </w:r>
      <w:r w:rsidR="0069543C" w:rsidRPr="009F2567">
        <w:rPr>
          <w:rFonts w:cstheme="majorHAnsi"/>
        </w:rPr>
        <w:t xml:space="preserve"> indikatorët e vlerësuar është </w:t>
      </w:r>
      <w:r>
        <w:rPr>
          <w:rFonts w:cstheme="majorHAnsi"/>
        </w:rPr>
        <w:t>71</w:t>
      </w:r>
      <w:r w:rsidR="0069543C" w:rsidRPr="009F2567">
        <w:rPr>
          <w:rFonts w:cstheme="majorHAnsi"/>
        </w:rPr>
        <w:t xml:space="preserve"> pikë nga gjithsej 9</w:t>
      </w:r>
      <w:r>
        <w:rPr>
          <w:rFonts w:cstheme="majorHAnsi"/>
        </w:rPr>
        <w:t>8</w:t>
      </w:r>
      <w:r w:rsidR="0069543C" w:rsidRPr="009F2567">
        <w:rPr>
          <w:rFonts w:cstheme="majorHAnsi"/>
        </w:rPr>
        <w:t xml:space="preserve"> pikë të mundshme (</w:t>
      </w:r>
      <w:r>
        <w:rPr>
          <w:rFonts w:cstheme="majorHAnsi"/>
        </w:rPr>
        <w:t>72.45</w:t>
      </w:r>
      <w:r w:rsidR="0069543C" w:rsidRPr="009F2567">
        <w:rPr>
          <w:rFonts w:cstheme="majorHAnsi"/>
        </w:rPr>
        <w:t>%).</w:t>
      </w:r>
      <w:r w:rsidR="0069543C" w:rsidRPr="009F2567">
        <w:rPr>
          <w:noProof/>
        </w:rPr>
        <w:t xml:space="preserve"> </w:t>
      </w:r>
    </w:p>
    <w:p w:rsidR="0069543C" w:rsidRPr="009F2567" w:rsidRDefault="006A4FD7" w:rsidP="0069543C">
      <w:pPr>
        <w:jc w:val="both"/>
        <w:rPr>
          <w:rFonts w:cstheme="majorHAnsi"/>
        </w:rPr>
      </w:pPr>
      <w:r>
        <w:rPr>
          <w:rFonts w:cstheme="majorHAnsi"/>
        </w:rPr>
        <w:t>Performanca mesatare në 13</w:t>
      </w:r>
      <w:r w:rsidR="0069543C" w:rsidRPr="009F2567">
        <w:rPr>
          <w:rFonts w:cstheme="majorHAnsi"/>
        </w:rPr>
        <w:t xml:space="preserve"> treguesit e vlerësuar në kuadër të fushës ‘Qeverisja demokratike’ është </w:t>
      </w:r>
      <w:r w:rsidR="00C44D68">
        <w:rPr>
          <w:rFonts w:cstheme="majorHAnsi"/>
        </w:rPr>
        <w:t>3</w:t>
      </w:r>
      <w:r w:rsidR="0069543C" w:rsidRPr="009F2567">
        <w:rPr>
          <w:rFonts w:cstheme="majorHAnsi"/>
        </w:rPr>
        <w:t xml:space="preserve">1 pikë nga gjithsej </w:t>
      </w:r>
      <w:r w:rsidR="00486F4B">
        <w:rPr>
          <w:rFonts w:cstheme="majorHAnsi"/>
        </w:rPr>
        <w:t>40</w:t>
      </w:r>
      <w:r w:rsidR="0069543C" w:rsidRPr="009F2567">
        <w:rPr>
          <w:rFonts w:cstheme="majorHAnsi"/>
        </w:rPr>
        <w:t xml:space="preserve"> pikët të mundshme (</w:t>
      </w:r>
      <w:r w:rsidR="00C44D68">
        <w:rPr>
          <w:rFonts w:cstheme="majorHAnsi"/>
        </w:rPr>
        <w:t>77.50</w:t>
      </w:r>
      <w:r w:rsidR="0069543C" w:rsidRPr="009F2567">
        <w:rPr>
          <w:rFonts w:cstheme="majorHAnsi"/>
        </w:rPr>
        <w:t xml:space="preserve">%). </w:t>
      </w:r>
    </w:p>
    <w:p w:rsidR="0069543C" w:rsidRPr="009F2567" w:rsidRDefault="0069543C" w:rsidP="0069543C">
      <w:pPr>
        <w:jc w:val="both"/>
        <w:rPr>
          <w:rFonts w:cstheme="majorHAnsi"/>
        </w:rPr>
      </w:pPr>
      <w:r w:rsidRPr="009F2567">
        <w:rPr>
          <w:rFonts w:cstheme="majorHAnsi"/>
        </w:rPr>
        <w:t xml:space="preserve">Performanca mesatare në </w:t>
      </w:r>
      <w:r w:rsidR="006A4FD7">
        <w:rPr>
          <w:rFonts w:cstheme="majorHAnsi"/>
        </w:rPr>
        <w:t>7</w:t>
      </w:r>
      <w:r w:rsidRPr="009F2567">
        <w:rPr>
          <w:rFonts w:cstheme="majorHAnsi"/>
        </w:rPr>
        <w:t xml:space="preserve"> treguesit e vlerësuar në kuadër të fushës ‘Menaxhimi Komunal’ është </w:t>
      </w:r>
      <w:r w:rsidR="00C44D68">
        <w:rPr>
          <w:rFonts w:cstheme="majorHAnsi"/>
        </w:rPr>
        <w:t>22</w:t>
      </w:r>
      <w:r w:rsidRPr="009F2567">
        <w:rPr>
          <w:rFonts w:cstheme="majorHAnsi"/>
        </w:rPr>
        <w:t xml:space="preserve"> pikë nga gjithsej 2</w:t>
      </w:r>
      <w:r w:rsidR="00486F4B">
        <w:rPr>
          <w:rFonts w:cstheme="majorHAnsi"/>
        </w:rPr>
        <w:t>8</w:t>
      </w:r>
      <w:r w:rsidRPr="009F2567">
        <w:rPr>
          <w:rFonts w:cstheme="majorHAnsi"/>
        </w:rPr>
        <w:t xml:space="preserve"> pikë të mundshme (</w:t>
      </w:r>
      <w:r w:rsidR="00C44D68">
        <w:rPr>
          <w:rFonts w:cstheme="majorHAnsi"/>
        </w:rPr>
        <w:t>78.57</w:t>
      </w:r>
      <w:r w:rsidRPr="009F2567">
        <w:rPr>
          <w:rFonts w:cstheme="majorHAnsi"/>
        </w:rPr>
        <w:t xml:space="preserve">%). </w:t>
      </w:r>
    </w:p>
    <w:p w:rsidR="0069543C" w:rsidRPr="009F2567" w:rsidRDefault="0069543C" w:rsidP="0069543C">
      <w:pPr>
        <w:jc w:val="both"/>
        <w:rPr>
          <w:rFonts w:cstheme="majorHAnsi"/>
        </w:rPr>
      </w:pPr>
      <w:r w:rsidRPr="009F2567">
        <w:rPr>
          <w:rFonts w:cstheme="majorHAnsi"/>
        </w:rPr>
        <w:t xml:space="preserve">Performanca mesatare në </w:t>
      </w:r>
      <w:r w:rsidR="00C44D68">
        <w:rPr>
          <w:rFonts w:cstheme="majorHAnsi"/>
        </w:rPr>
        <w:t>9</w:t>
      </w:r>
      <w:r w:rsidRPr="009F2567">
        <w:rPr>
          <w:rFonts w:cstheme="majorHAnsi"/>
        </w:rPr>
        <w:t xml:space="preserve"> treguesit e vlerësuar në kuadër të fushës ‘Ofrimi i shërbimeve’ është </w:t>
      </w:r>
      <w:r w:rsidR="00C44D68">
        <w:rPr>
          <w:rFonts w:cstheme="majorHAnsi"/>
        </w:rPr>
        <w:t>18</w:t>
      </w:r>
      <w:r w:rsidRPr="009F2567">
        <w:rPr>
          <w:rFonts w:cstheme="majorHAnsi"/>
        </w:rPr>
        <w:t xml:space="preserve"> pikë nga gjithsej </w:t>
      </w:r>
      <w:r w:rsidR="00486F4B">
        <w:rPr>
          <w:rFonts w:cstheme="majorHAnsi"/>
        </w:rPr>
        <w:t>30</w:t>
      </w:r>
      <w:r w:rsidRPr="009F2567">
        <w:rPr>
          <w:rFonts w:cstheme="majorHAnsi"/>
        </w:rPr>
        <w:t xml:space="preserve"> pikë të mundshme (</w:t>
      </w:r>
      <w:r w:rsidR="00C44D68">
        <w:rPr>
          <w:rFonts w:cstheme="majorHAnsi"/>
        </w:rPr>
        <w:t>60.00</w:t>
      </w:r>
      <w:r w:rsidRPr="009F2567">
        <w:rPr>
          <w:rFonts w:cstheme="majorHAnsi"/>
        </w:rPr>
        <w:t xml:space="preserve">%). </w:t>
      </w:r>
    </w:p>
    <w:p w:rsidR="0069543C" w:rsidRPr="009F2567" w:rsidRDefault="0069543C" w:rsidP="0069543C"/>
    <w:p w:rsidR="0069543C" w:rsidRPr="009F2567" w:rsidRDefault="0069543C" w:rsidP="0069543C">
      <w:pPr>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asciiTheme="majorHAnsi" w:eastAsiaTheme="majorEastAsia" w:hAnsiTheme="majorHAnsi" w:cstheme="majorBidi"/>
          <w:b/>
          <w:noProof/>
          <w:lang w:val="de-CH"/>
        </w:rPr>
      </w:pPr>
      <w:r w:rsidRPr="009F2567">
        <w:rPr>
          <w:rFonts w:asciiTheme="majorHAnsi" w:eastAsiaTheme="majorEastAsia" w:hAnsiTheme="majorHAnsi" w:cstheme="majorBidi"/>
          <w:b/>
          <w:noProof/>
          <w:lang w:val="de-CH"/>
        </w:rPr>
        <w:lastRenderedPageBreak/>
        <w:t>Përmbledhje e rezultateve për vitin 202</w:t>
      </w:r>
      <w:r w:rsidR="00C44D68">
        <w:rPr>
          <w:rFonts w:asciiTheme="majorHAnsi" w:eastAsiaTheme="majorEastAsia" w:hAnsiTheme="majorHAnsi" w:cstheme="majorBidi"/>
          <w:b/>
          <w:noProof/>
          <w:lang w:val="de-CH"/>
        </w:rPr>
        <w:t>4</w:t>
      </w:r>
      <w:r w:rsidRPr="009F2567">
        <w:rPr>
          <w:rFonts w:asciiTheme="majorHAnsi" w:eastAsiaTheme="majorEastAsia" w:hAnsiTheme="majorHAnsi" w:cstheme="majorBidi"/>
          <w:b/>
          <w:noProof/>
          <w:lang w:val="de-CH"/>
        </w:rPr>
        <w:t xml:space="preserve"> për grantin e performancës komunale </w:t>
      </w:r>
      <w:r w:rsidR="00B419A2" w:rsidRPr="009F2567">
        <w:rPr>
          <w:rFonts w:asciiTheme="majorHAnsi" w:eastAsiaTheme="majorEastAsia" w:hAnsiTheme="majorHAnsi" w:cstheme="majorBidi"/>
          <w:b/>
          <w:noProof/>
          <w:lang w:val="de-CH"/>
        </w:rPr>
        <w:t>–</w:t>
      </w:r>
      <w:r w:rsidRPr="009F2567">
        <w:rPr>
          <w:rFonts w:asciiTheme="majorHAnsi" w:eastAsiaTheme="majorEastAsia" w:hAnsiTheme="majorHAnsi" w:cstheme="majorBidi"/>
          <w:b/>
          <w:noProof/>
          <w:lang w:val="de-CH"/>
        </w:rPr>
        <w:t xml:space="preserve"> Komuna Rahovec</w:t>
      </w:r>
    </w:p>
    <w:p w:rsidR="0069543C" w:rsidRPr="009F2567" w:rsidRDefault="0069543C" w:rsidP="0069543C">
      <w:pPr>
        <w:rPr>
          <w:rFonts w:asciiTheme="majorHAnsi" w:eastAsiaTheme="majorEastAsia" w:hAnsiTheme="majorHAnsi" w:cstheme="majorBidi"/>
          <w:b/>
          <w:noProof/>
        </w:rPr>
      </w:pPr>
      <w:r w:rsidRPr="009F2567">
        <w:rPr>
          <w:rFonts w:asciiTheme="majorHAnsi" w:eastAsiaTheme="majorEastAsia" w:hAnsiTheme="majorHAnsi" w:cstheme="majorBidi"/>
          <w:b/>
          <w:noProof/>
        </w:rPr>
        <w:t>Vlerësimi i kushteve minimale për vitin 202</w:t>
      </w:r>
      <w:r w:rsidR="00C44D68">
        <w:rPr>
          <w:rFonts w:asciiTheme="majorHAnsi" w:eastAsiaTheme="majorEastAsia" w:hAnsiTheme="majorHAnsi" w:cstheme="majorBidi"/>
          <w:b/>
          <w:noProof/>
        </w:rPr>
        <w:t>4</w:t>
      </w:r>
    </w:p>
    <w:p w:rsidR="0069543C" w:rsidRPr="009F2567" w:rsidRDefault="0069543C" w:rsidP="0069543C">
      <w:pPr>
        <w:jc w:val="both"/>
        <w:rPr>
          <w:rFonts w:cstheme="majorHAnsi"/>
          <w:lang w:val="de-CH"/>
        </w:rPr>
      </w:pPr>
      <w:r w:rsidRPr="009F2567">
        <w:rPr>
          <w:rFonts w:cstheme="majorHAnsi"/>
          <w:noProof/>
          <w:lang w:val="en-GB" w:eastAsia="en-GB"/>
        </w:rPr>
        <w:drawing>
          <wp:anchor distT="0" distB="0" distL="114300" distR="114300" simplePos="0" relativeHeight="251702272" behindDoc="0" locked="0" layoutInCell="1" allowOverlap="1" wp14:anchorId="4D54FA0F" wp14:editId="1F96F4BD">
            <wp:simplePos x="0" y="0"/>
            <wp:positionH relativeFrom="margin">
              <wp:posOffset>2647950</wp:posOffset>
            </wp:positionH>
            <wp:positionV relativeFrom="paragraph">
              <wp:posOffset>6350</wp:posOffset>
            </wp:positionV>
            <wp:extent cx="3086100" cy="2355850"/>
            <wp:effectExtent l="0" t="0" r="0" b="6350"/>
            <wp:wrapSquare wrapText="bothSides"/>
            <wp:docPr id="206" name="Chart 20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r w:rsidR="00C44D68">
        <w:rPr>
          <w:rFonts w:cstheme="majorHAnsi"/>
          <w:lang w:val="de-CH"/>
        </w:rPr>
        <w:t xml:space="preserve">Komuna e Rahovecit </w:t>
      </w:r>
      <w:r w:rsidRPr="009F2567">
        <w:rPr>
          <w:rFonts w:cstheme="majorHAnsi"/>
          <w:lang w:val="de-CH"/>
        </w:rPr>
        <w:t>është kualifikuar për grantin e performancës komunale për vitin 202</w:t>
      </w:r>
      <w:r w:rsidR="00C44D68">
        <w:rPr>
          <w:rFonts w:cstheme="majorHAnsi"/>
          <w:lang w:val="de-CH"/>
        </w:rPr>
        <w:t>4</w:t>
      </w:r>
      <w:r w:rsidRPr="009F2567">
        <w:rPr>
          <w:rFonts w:cstheme="majorHAnsi"/>
          <w:lang w:val="de-CH"/>
        </w:rPr>
        <w:t>.</w:t>
      </w:r>
    </w:p>
    <w:p w:rsidR="0069543C" w:rsidRPr="009F2567" w:rsidRDefault="00C44D68" w:rsidP="0069543C">
      <w:pPr>
        <w:tabs>
          <w:tab w:val="left" w:pos="1190"/>
        </w:tabs>
      </w:pPr>
      <w:r w:rsidRPr="00C44D68">
        <w:rPr>
          <w:rFonts w:cstheme="majorHAnsi"/>
          <w:lang w:val="de-CH"/>
        </w:rPr>
        <w:t>Komuna ka përmbushur të katër kushtet minimale.</w:t>
      </w:r>
    </w:p>
    <w:p w:rsidR="0069543C" w:rsidRPr="009F2567" w:rsidRDefault="0069543C" w:rsidP="0069543C"/>
    <w:p w:rsidR="0069543C" w:rsidRPr="009F2567" w:rsidRDefault="0069543C" w:rsidP="0069543C"/>
    <w:p w:rsidR="0069543C" w:rsidRPr="009F2567" w:rsidRDefault="0069543C" w:rsidP="0069543C"/>
    <w:p w:rsidR="0069543C" w:rsidRPr="009F2567" w:rsidRDefault="0069543C" w:rsidP="0069543C"/>
    <w:p w:rsidR="0069543C" w:rsidRPr="009F2567" w:rsidRDefault="0069543C" w:rsidP="0069543C">
      <w:pPr>
        <w:rPr>
          <w:b/>
        </w:rPr>
      </w:pPr>
      <w:r w:rsidRPr="009F2567">
        <w:rPr>
          <w:b/>
        </w:rPr>
        <w:t>Vlerësimi i treguesve të performancës për vitin 202</w:t>
      </w:r>
      <w:r w:rsidR="0031520A">
        <w:rPr>
          <w:b/>
        </w:rPr>
        <w:t>4</w:t>
      </w:r>
    </w:p>
    <w:p w:rsidR="0069543C" w:rsidRPr="009F2567" w:rsidRDefault="0069543C" w:rsidP="0069543C">
      <w:pPr>
        <w:jc w:val="both"/>
        <w:rPr>
          <w:rFonts w:cstheme="majorHAnsi"/>
        </w:rPr>
      </w:pPr>
      <w:r w:rsidRPr="009F2567">
        <w:rPr>
          <w:rFonts w:cstheme="majorHAnsi"/>
        </w:rPr>
        <w:t>Performanca mesatare e Komunës së Rahovec në 2</w:t>
      </w:r>
      <w:r w:rsidR="0031520A">
        <w:rPr>
          <w:rFonts w:cstheme="majorHAnsi"/>
        </w:rPr>
        <w:t xml:space="preserve">9 </w:t>
      </w:r>
      <w:r w:rsidRPr="009F2567">
        <w:rPr>
          <w:rFonts w:cstheme="majorHAnsi"/>
        </w:rPr>
        <w:t>indikatorët e vlerësuar është 7</w:t>
      </w:r>
      <w:r w:rsidR="0031520A">
        <w:rPr>
          <w:rFonts w:cstheme="majorHAnsi"/>
        </w:rPr>
        <w:t>2</w:t>
      </w:r>
      <w:r w:rsidRPr="009F2567">
        <w:rPr>
          <w:rFonts w:cstheme="majorHAnsi"/>
        </w:rPr>
        <w:t xml:space="preserve"> pikë nga gjithsej 9</w:t>
      </w:r>
      <w:r w:rsidR="0031520A">
        <w:rPr>
          <w:rFonts w:cstheme="majorHAnsi"/>
        </w:rPr>
        <w:t>8</w:t>
      </w:r>
      <w:r w:rsidRPr="009F2567">
        <w:rPr>
          <w:rFonts w:cstheme="majorHAnsi"/>
        </w:rPr>
        <w:t xml:space="preserve"> pikë të mundshme (</w:t>
      </w:r>
      <w:r w:rsidR="0031520A">
        <w:rPr>
          <w:rFonts w:cstheme="majorHAnsi"/>
        </w:rPr>
        <w:t>73.47</w:t>
      </w:r>
      <w:r w:rsidRPr="009F2567">
        <w:rPr>
          <w:rFonts w:cstheme="majorHAnsi"/>
        </w:rPr>
        <w:t>%).</w:t>
      </w:r>
      <w:r w:rsidRPr="009F2567">
        <w:rPr>
          <w:noProof/>
        </w:rPr>
        <w:t xml:space="preserve"> </w:t>
      </w:r>
    </w:p>
    <w:p w:rsidR="0069543C" w:rsidRPr="009F2567" w:rsidRDefault="0031520A" w:rsidP="0069543C">
      <w:pPr>
        <w:jc w:val="both"/>
        <w:rPr>
          <w:rFonts w:cstheme="majorHAnsi"/>
        </w:rPr>
      </w:pPr>
      <w:r>
        <w:rPr>
          <w:noProof/>
          <w:lang w:val="en-GB" w:eastAsia="en-GB"/>
          <w14:ligatures w14:val="standardContextual"/>
        </w:rPr>
        <w:drawing>
          <wp:anchor distT="0" distB="0" distL="114300" distR="114300" simplePos="0" relativeHeight="251858944" behindDoc="0" locked="0" layoutInCell="1" allowOverlap="1" wp14:anchorId="0A2BA620" wp14:editId="4790BEDD">
            <wp:simplePos x="0" y="0"/>
            <wp:positionH relativeFrom="margin">
              <wp:posOffset>2531110</wp:posOffset>
            </wp:positionH>
            <wp:positionV relativeFrom="margin">
              <wp:posOffset>3971290</wp:posOffset>
            </wp:positionV>
            <wp:extent cx="3342640" cy="2620010"/>
            <wp:effectExtent l="0" t="0" r="10160" b="8890"/>
            <wp:wrapSquare wrapText="bothSides"/>
            <wp:docPr id="1708941611" name="Chart 17089416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margin">
              <wp14:pctWidth>0</wp14:pctWidth>
            </wp14:sizeRelH>
            <wp14:sizeRelV relativeFrom="margin">
              <wp14:pctHeight>0</wp14:pctHeight>
            </wp14:sizeRelV>
          </wp:anchor>
        </w:drawing>
      </w:r>
      <w:r w:rsidR="006A4FD7">
        <w:rPr>
          <w:rFonts w:cstheme="majorHAnsi"/>
        </w:rPr>
        <w:t>Performanca mesatare në 13</w:t>
      </w:r>
      <w:r w:rsidR="0069543C" w:rsidRPr="009F2567">
        <w:rPr>
          <w:rFonts w:cstheme="majorHAnsi"/>
        </w:rPr>
        <w:t xml:space="preserve"> treguesit e vlerësuar në kuadër të fushës ‘Qeverisja demokratike’ është 3</w:t>
      </w:r>
      <w:r>
        <w:rPr>
          <w:rFonts w:cstheme="majorHAnsi"/>
        </w:rPr>
        <w:t>8</w:t>
      </w:r>
      <w:r w:rsidR="0069543C" w:rsidRPr="009F2567">
        <w:rPr>
          <w:rFonts w:cstheme="majorHAnsi"/>
        </w:rPr>
        <w:t xml:space="preserve"> pikë nga gjithsej </w:t>
      </w:r>
      <w:r w:rsidR="00486F4B">
        <w:rPr>
          <w:rFonts w:cstheme="majorHAnsi"/>
        </w:rPr>
        <w:t>40</w:t>
      </w:r>
      <w:r w:rsidR="0069543C" w:rsidRPr="009F2567">
        <w:rPr>
          <w:rFonts w:cstheme="majorHAnsi"/>
        </w:rPr>
        <w:t xml:space="preserve"> pikët të mundshme (</w:t>
      </w:r>
      <w:r>
        <w:rPr>
          <w:rFonts w:cstheme="majorHAnsi"/>
        </w:rPr>
        <w:t>95.00</w:t>
      </w:r>
      <w:r w:rsidR="0069543C" w:rsidRPr="009F2567">
        <w:rPr>
          <w:rFonts w:cstheme="majorHAnsi"/>
        </w:rPr>
        <w:t xml:space="preserve">%). </w:t>
      </w:r>
    </w:p>
    <w:p w:rsidR="0069543C" w:rsidRPr="009F2567" w:rsidRDefault="0069543C" w:rsidP="0069543C">
      <w:pPr>
        <w:jc w:val="both"/>
        <w:rPr>
          <w:rFonts w:cstheme="majorHAnsi"/>
        </w:rPr>
      </w:pPr>
      <w:r w:rsidRPr="009F2567">
        <w:rPr>
          <w:rFonts w:cstheme="majorHAnsi"/>
        </w:rPr>
        <w:t xml:space="preserve">Performanca mesatare në </w:t>
      </w:r>
      <w:r w:rsidR="006A4FD7">
        <w:rPr>
          <w:rFonts w:cstheme="majorHAnsi"/>
        </w:rPr>
        <w:t>7</w:t>
      </w:r>
      <w:r w:rsidRPr="009F2567">
        <w:rPr>
          <w:rFonts w:cstheme="majorHAnsi"/>
        </w:rPr>
        <w:t xml:space="preserve"> treguesit e vlerësuar në kuadër të fushës ‘Menaxhimi Komunal’ është 1</w:t>
      </w:r>
      <w:r w:rsidR="0031520A">
        <w:rPr>
          <w:rFonts w:cstheme="majorHAnsi"/>
        </w:rPr>
        <w:t>7</w:t>
      </w:r>
      <w:r w:rsidR="002F78AB">
        <w:rPr>
          <w:rFonts w:cstheme="majorHAnsi"/>
        </w:rPr>
        <w:t xml:space="preserve"> </w:t>
      </w:r>
      <w:r w:rsidRPr="009F2567">
        <w:rPr>
          <w:rFonts w:cstheme="majorHAnsi"/>
        </w:rPr>
        <w:t>pikë nga gjithsej 2</w:t>
      </w:r>
      <w:r w:rsidR="00486F4B">
        <w:rPr>
          <w:rFonts w:cstheme="majorHAnsi"/>
        </w:rPr>
        <w:t>8</w:t>
      </w:r>
      <w:r w:rsidRPr="009F2567">
        <w:rPr>
          <w:rFonts w:cstheme="majorHAnsi"/>
        </w:rPr>
        <w:t xml:space="preserve"> pikë të mundshme (</w:t>
      </w:r>
      <w:r w:rsidR="0031520A">
        <w:rPr>
          <w:rFonts w:cstheme="majorHAnsi"/>
        </w:rPr>
        <w:t>60.71</w:t>
      </w:r>
      <w:r w:rsidRPr="009F2567">
        <w:rPr>
          <w:rFonts w:cstheme="majorHAnsi"/>
        </w:rPr>
        <w:t xml:space="preserve">%). </w:t>
      </w:r>
    </w:p>
    <w:p w:rsidR="0069543C" w:rsidRPr="009F2567" w:rsidRDefault="0069543C" w:rsidP="0069543C">
      <w:pPr>
        <w:jc w:val="both"/>
        <w:rPr>
          <w:rFonts w:cstheme="majorHAnsi"/>
        </w:rPr>
      </w:pPr>
      <w:r w:rsidRPr="009F2567">
        <w:rPr>
          <w:rFonts w:cstheme="majorHAnsi"/>
        </w:rPr>
        <w:t xml:space="preserve">Performanca mesatare në </w:t>
      </w:r>
      <w:r w:rsidR="0031520A">
        <w:rPr>
          <w:rFonts w:cstheme="majorHAnsi"/>
        </w:rPr>
        <w:t>9</w:t>
      </w:r>
      <w:r w:rsidRPr="009F2567">
        <w:rPr>
          <w:rFonts w:cstheme="majorHAnsi"/>
        </w:rPr>
        <w:t xml:space="preserve"> treguesit e vlerësuar në kuadër të fushës ‘Ofrimi i shërbimeve’ është 1</w:t>
      </w:r>
      <w:r w:rsidR="0031520A">
        <w:rPr>
          <w:rFonts w:cstheme="majorHAnsi"/>
        </w:rPr>
        <w:t>7</w:t>
      </w:r>
      <w:r w:rsidRPr="009F2567">
        <w:rPr>
          <w:rFonts w:cstheme="majorHAnsi"/>
        </w:rPr>
        <w:t xml:space="preserve"> pikë nga gjithsej </w:t>
      </w:r>
      <w:r w:rsidR="00486F4B">
        <w:rPr>
          <w:rFonts w:cstheme="majorHAnsi"/>
        </w:rPr>
        <w:t>30</w:t>
      </w:r>
      <w:r w:rsidRPr="009F2567">
        <w:rPr>
          <w:rFonts w:cstheme="majorHAnsi"/>
        </w:rPr>
        <w:t xml:space="preserve"> pikë të mundshme (</w:t>
      </w:r>
      <w:r w:rsidR="0031520A">
        <w:rPr>
          <w:rFonts w:cstheme="majorHAnsi"/>
        </w:rPr>
        <w:t>56.67</w:t>
      </w:r>
      <w:r w:rsidRPr="009F2567">
        <w:rPr>
          <w:rFonts w:cstheme="majorHAnsi"/>
        </w:rPr>
        <w:t xml:space="preserve">%). </w:t>
      </w:r>
    </w:p>
    <w:p w:rsidR="0069543C" w:rsidRPr="009F2567" w:rsidRDefault="0069543C" w:rsidP="0069543C"/>
    <w:p w:rsidR="0069543C" w:rsidRPr="009F2567" w:rsidRDefault="0069543C" w:rsidP="0069543C">
      <w:pPr>
        <w:jc w:val="both"/>
      </w:pPr>
    </w:p>
    <w:p w:rsidR="0069543C" w:rsidRPr="009F2567" w:rsidRDefault="0069543C" w:rsidP="0069543C"/>
    <w:p w:rsidR="0069543C" w:rsidRPr="009F2567" w:rsidRDefault="0069543C" w:rsidP="0069543C"/>
    <w:p w:rsidR="0069543C" w:rsidRPr="009F2567" w:rsidRDefault="0069543C" w:rsidP="0069543C"/>
    <w:p w:rsidR="0069543C" w:rsidRPr="009F2567" w:rsidRDefault="0069543C" w:rsidP="0069543C">
      <w:pPr>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asciiTheme="majorHAnsi" w:eastAsiaTheme="majorEastAsia" w:hAnsiTheme="majorHAnsi" w:cstheme="majorBidi"/>
          <w:b/>
          <w:noProof/>
          <w:lang w:val="de-CH"/>
        </w:rPr>
      </w:pPr>
      <w:r w:rsidRPr="009F2567">
        <w:rPr>
          <w:rFonts w:asciiTheme="majorHAnsi" w:eastAsiaTheme="majorEastAsia" w:hAnsiTheme="majorHAnsi" w:cstheme="majorBidi"/>
          <w:b/>
          <w:noProof/>
          <w:lang w:val="de-CH"/>
        </w:rPr>
        <w:lastRenderedPageBreak/>
        <w:t>Përmbledhje e rezultateve për vitin 202</w:t>
      </w:r>
      <w:r w:rsidR="00156F0A">
        <w:rPr>
          <w:rFonts w:asciiTheme="majorHAnsi" w:eastAsiaTheme="majorEastAsia" w:hAnsiTheme="majorHAnsi" w:cstheme="majorBidi"/>
          <w:b/>
          <w:noProof/>
          <w:lang w:val="de-CH"/>
        </w:rPr>
        <w:t>4</w:t>
      </w:r>
      <w:r w:rsidRPr="009F2567">
        <w:rPr>
          <w:rFonts w:asciiTheme="majorHAnsi" w:eastAsiaTheme="majorEastAsia" w:hAnsiTheme="majorHAnsi" w:cstheme="majorBidi"/>
          <w:b/>
          <w:noProof/>
          <w:lang w:val="de-CH"/>
        </w:rPr>
        <w:t xml:space="preserve"> për grantin e performancës komunale - Komuna Ranillug</w:t>
      </w:r>
    </w:p>
    <w:p w:rsidR="0069543C" w:rsidRPr="009F2567" w:rsidRDefault="0069543C" w:rsidP="0069543C">
      <w:r w:rsidRPr="009F2567">
        <w:rPr>
          <w:rFonts w:asciiTheme="majorHAnsi" w:eastAsiaTheme="majorEastAsia" w:hAnsiTheme="majorHAnsi" w:cstheme="majorBidi"/>
          <w:b/>
          <w:noProof/>
        </w:rPr>
        <w:t>Vlerësimi i kushteve minimale për vitin 202</w:t>
      </w:r>
      <w:r w:rsidR="00156F0A">
        <w:rPr>
          <w:rFonts w:asciiTheme="majorHAnsi" w:eastAsiaTheme="majorEastAsia" w:hAnsiTheme="majorHAnsi" w:cstheme="majorBidi"/>
          <w:b/>
          <w:noProof/>
        </w:rPr>
        <w:t>4</w:t>
      </w:r>
    </w:p>
    <w:p w:rsidR="0069543C" w:rsidRPr="009F2567" w:rsidRDefault="0069543C" w:rsidP="0069543C">
      <w:pPr>
        <w:jc w:val="both"/>
        <w:rPr>
          <w:rFonts w:cstheme="majorHAnsi"/>
          <w:lang w:val="de-CH"/>
        </w:rPr>
      </w:pPr>
      <w:r w:rsidRPr="009F2567">
        <w:rPr>
          <w:rFonts w:cstheme="majorHAnsi"/>
          <w:noProof/>
          <w:lang w:val="en-GB" w:eastAsia="en-GB"/>
        </w:rPr>
        <w:drawing>
          <wp:anchor distT="0" distB="0" distL="114300" distR="114300" simplePos="0" relativeHeight="251703296" behindDoc="0" locked="0" layoutInCell="1" allowOverlap="1" wp14:anchorId="632F3922" wp14:editId="7E728A94">
            <wp:simplePos x="0" y="0"/>
            <wp:positionH relativeFrom="margin">
              <wp:align>right</wp:align>
            </wp:positionH>
            <wp:positionV relativeFrom="paragraph">
              <wp:posOffset>38100</wp:posOffset>
            </wp:positionV>
            <wp:extent cx="3155950" cy="2114550"/>
            <wp:effectExtent l="0" t="0" r="6350" b="0"/>
            <wp:wrapSquare wrapText="bothSides"/>
            <wp:docPr id="208" name="Chart 20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margin">
              <wp14:pctWidth>0</wp14:pctWidth>
            </wp14:sizeRelH>
            <wp14:sizeRelV relativeFrom="margin">
              <wp14:pctHeight>0</wp14:pctHeight>
            </wp14:sizeRelV>
          </wp:anchor>
        </w:drawing>
      </w:r>
      <w:r w:rsidR="00156F0A">
        <w:rPr>
          <w:rFonts w:cstheme="majorHAnsi"/>
          <w:lang w:val="de-CH"/>
        </w:rPr>
        <w:t xml:space="preserve">Komuna e Ranillugut nuk </w:t>
      </w:r>
      <w:r w:rsidRPr="009F2567">
        <w:rPr>
          <w:rFonts w:cstheme="majorHAnsi"/>
          <w:lang w:val="de-CH"/>
        </w:rPr>
        <w:t xml:space="preserve"> është kualifikuar për grantin e performancës komunale për vitin 202</w:t>
      </w:r>
      <w:r w:rsidR="00156F0A">
        <w:rPr>
          <w:rFonts w:cstheme="majorHAnsi"/>
          <w:lang w:val="de-CH"/>
        </w:rPr>
        <w:t>4</w:t>
      </w:r>
      <w:r w:rsidRPr="009F2567">
        <w:rPr>
          <w:rFonts w:cstheme="majorHAnsi"/>
          <w:lang w:val="de-CH"/>
        </w:rPr>
        <w:t>.</w:t>
      </w:r>
    </w:p>
    <w:p w:rsidR="0069543C" w:rsidRPr="009F2567" w:rsidRDefault="0069543C" w:rsidP="0069543C">
      <w:pPr>
        <w:tabs>
          <w:tab w:val="left" w:pos="1190"/>
        </w:tabs>
        <w:jc w:val="both"/>
        <w:rPr>
          <w:rFonts w:eastAsiaTheme="majorEastAsia" w:cstheme="majorHAnsi"/>
          <w:noProof/>
        </w:rPr>
      </w:pPr>
      <w:r w:rsidRPr="009F2567">
        <w:rPr>
          <w:rFonts w:eastAsiaTheme="majorEastAsia" w:cstheme="majorHAnsi"/>
          <w:noProof/>
        </w:rPr>
        <w:t>Kushti minimal numër</w:t>
      </w:r>
      <w:r w:rsidR="008A755A" w:rsidRPr="009F2567">
        <w:rPr>
          <w:rFonts w:eastAsiaTheme="majorEastAsia" w:cstheme="majorHAnsi"/>
          <w:noProof/>
        </w:rPr>
        <w:t xml:space="preserve"> 3</w:t>
      </w:r>
      <w:r w:rsidR="009C725E" w:rsidRPr="009F2567">
        <w:rPr>
          <w:rFonts w:eastAsiaTheme="majorEastAsia" w:cstheme="majorHAnsi"/>
          <w:noProof/>
        </w:rPr>
        <w:t xml:space="preserve"> </w:t>
      </w:r>
      <w:r w:rsidR="008A755A" w:rsidRPr="009F2567">
        <w:rPr>
          <w:rFonts w:cstheme="majorHAnsi"/>
          <w:lang w:val="de-CH"/>
        </w:rPr>
        <w:t xml:space="preserve">(Opinioni i auditimit duhet të jetë të paktën i pamodifikuar me theksim të çështjes) </w:t>
      </w:r>
      <w:r w:rsidRPr="009F2567">
        <w:rPr>
          <w:rFonts w:eastAsiaTheme="majorEastAsia" w:cstheme="majorHAnsi"/>
          <w:noProof/>
        </w:rPr>
        <w:t xml:space="preserve"> </w:t>
      </w:r>
      <w:r w:rsidR="008A755A" w:rsidRPr="009F2567">
        <w:rPr>
          <w:rFonts w:eastAsiaTheme="majorEastAsia" w:cstheme="majorHAnsi"/>
          <w:noProof/>
        </w:rPr>
        <w:t xml:space="preserve"> dhe numër </w:t>
      </w:r>
      <w:r w:rsidRPr="009F2567">
        <w:rPr>
          <w:rFonts w:eastAsiaTheme="majorEastAsia" w:cstheme="majorHAnsi"/>
          <w:noProof/>
        </w:rPr>
        <w:t>4 (shkalla e shpenzimit të buxhetit për investime kapitale për vitin 202</w:t>
      </w:r>
      <w:r w:rsidR="00156F0A">
        <w:rPr>
          <w:rFonts w:eastAsiaTheme="majorEastAsia" w:cstheme="majorHAnsi"/>
          <w:noProof/>
        </w:rPr>
        <w:t>4</w:t>
      </w:r>
      <w:r w:rsidRPr="009F2567">
        <w:rPr>
          <w:rFonts w:eastAsiaTheme="majorEastAsia" w:cstheme="majorHAnsi"/>
          <w:noProof/>
        </w:rPr>
        <w:t xml:space="preserve"> së paku 75%) nuk </w:t>
      </w:r>
      <w:r w:rsidR="008A755A" w:rsidRPr="009F2567">
        <w:rPr>
          <w:rFonts w:eastAsiaTheme="majorEastAsia" w:cstheme="majorHAnsi"/>
          <w:noProof/>
        </w:rPr>
        <w:t>janë</w:t>
      </w:r>
      <w:r w:rsidRPr="009F2567">
        <w:rPr>
          <w:rFonts w:eastAsiaTheme="majorEastAsia" w:cstheme="majorHAnsi"/>
          <w:noProof/>
        </w:rPr>
        <w:t xml:space="preserve"> përmbushur. </w:t>
      </w:r>
    </w:p>
    <w:p w:rsidR="0069543C" w:rsidRPr="009F2567" w:rsidRDefault="0069543C" w:rsidP="0069543C">
      <w:pPr>
        <w:tabs>
          <w:tab w:val="left" w:pos="1190"/>
        </w:tabs>
        <w:jc w:val="both"/>
        <w:rPr>
          <w:rFonts w:asciiTheme="majorHAnsi" w:eastAsiaTheme="majorEastAsia" w:hAnsiTheme="majorHAnsi" w:cstheme="majorHAnsi"/>
          <w:noProof/>
        </w:rPr>
      </w:pPr>
    </w:p>
    <w:p w:rsidR="0069543C" w:rsidRPr="009F2567" w:rsidRDefault="0069543C" w:rsidP="0069543C">
      <w:pPr>
        <w:tabs>
          <w:tab w:val="left" w:pos="1190"/>
        </w:tabs>
        <w:jc w:val="both"/>
        <w:rPr>
          <w:rFonts w:asciiTheme="majorHAnsi" w:eastAsiaTheme="majorEastAsia" w:hAnsiTheme="majorHAnsi" w:cstheme="majorHAnsi"/>
          <w:noProof/>
        </w:rPr>
      </w:pPr>
    </w:p>
    <w:p w:rsidR="0069543C" w:rsidRPr="009F2567" w:rsidRDefault="0069543C" w:rsidP="0069543C">
      <w:pPr>
        <w:tabs>
          <w:tab w:val="left" w:pos="1190"/>
        </w:tabs>
        <w:jc w:val="both"/>
        <w:rPr>
          <w:rFonts w:asciiTheme="majorHAnsi" w:eastAsiaTheme="majorEastAsia" w:hAnsiTheme="majorHAnsi" w:cstheme="majorHAnsi"/>
          <w:noProof/>
        </w:rPr>
      </w:pPr>
    </w:p>
    <w:p w:rsidR="0069543C" w:rsidRPr="009F2567" w:rsidRDefault="0069543C" w:rsidP="0069543C">
      <w:pPr>
        <w:tabs>
          <w:tab w:val="left" w:pos="1190"/>
        </w:tabs>
        <w:jc w:val="both"/>
        <w:rPr>
          <w:rFonts w:asciiTheme="majorHAnsi" w:eastAsiaTheme="majorEastAsia" w:hAnsiTheme="majorHAnsi" w:cstheme="majorHAnsi"/>
          <w:noProof/>
        </w:rPr>
      </w:pPr>
    </w:p>
    <w:p w:rsidR="0069543C" w:rsidRPr="009F2567" w:rsidRDefault="0069543C" w:rsidP="0069543C">
      <w:pPr>
        <w:rPr>
          <w:b/>
        </w:rPr>
      </w:pPr>
      <w:r w:rsidRPr="009F2567">
        <w:rPr>
          <w:b/>
        </w:rPr>
        <w:t>Vlerësimi i treguesve të performancës për vitin 202</w:t>
      </w:r>
      <w:r w:rsidR="00156F0A">
        <w:rPr>
          <w:b/>
        </w:rPr>
        <w:t>4</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Performanca mesatare e Komunës së Ranillugut në 2</w:t>
      </w:r>
      <w:r w:rsidR="00156F0A">
        <w:rPr>
          <w:rFonts w:asciiTheme="majorHAnsi" w:hAnsiTheme="majorHAnsi" w:cstheme="majorHAnsi"/>
        </w:rPr>
        <w:t>9</w:t>
      </w:r>
      <w:r w:rsidRPr="009F2567">
        <w:rPr>
          <w:rFonts w:asciiTheme="majorHAnsi" w:hAnsiTheme="majorHAnsi" w:cstheme="majorHAnsi"/>
        </w:rPr>
        <w:t xml:space="preserve"> indikatorët e vlerësuar është 1</w:t>
      </w:r>
      <w:r w:rsidR="00D27AF8">
        <w:rPr>
          <w:rFonts w:asciiTheme="majorHAnsi" w:hAnsiTheme="majorHAnsi" w:cstheme="majorHAnsi"/>
        </w:rPr>
        <w:t>6</w:t>
      </w:r>
      <w:r w:rsidRPr="009F2567">
        <w:rPr>
          <w:rFonts w:asciiTheme="majorHAnsi" w:hAnsiTheme="majorHAnsi" w:cstheme="majorHAnsi"/>
        </w:rPr>
        <w:t xml:space="preserve"> pikë nga gjithsej </w:t>
      </w:r>
      <w:r w:rsidR="00D27AF8">
        <w:rPr>
          <w:rFonts w:asciiTheme="majorHAnsi" w:hAnsiTheme="majorHAnsi" w:cstheme="majorHAnsi"/>
        </w:rPr>
        <w:t xml:space="preserve"> </w:t>
      </w:r>
      <w:r w:rsidRPr="009F2567">
        <w:rPr>
          <w:rFonts w:asciiTheme="majorHAnsi" w:hAnsiTheme="majorHAnsi" w:cstheme="majorHAnsi"/>
        </w:rPr>
        <w:t>9</w:t>
      </w:r>
      <w:r w:rsidR="00D27AF8">
        <w:rPr>
          <w:rFonts w:asciiTheme="majorHAnsi" w:hAnsiTheme="majorHAnsi" w:cstheme="majorHAnsi"/>
        </w:rPr>
        <w:t>8</w:t>
      </w:r>
      <w:r w:rsidRPr="009F2567">
        <w:rPr>
          <w:rFonts w:asciiTheme="majorHAnsi" w:hAnsiTheme="majorHAnsi" w:cstheme="majorHAnsi"/>
        </w:rPr>
        <w:t xml:space="preserve"> pikë të mundshme (</w:t>
      </w:r>
      <w:r w:rsidR="00D27AF8">
        <w:rPr>
          <w:rFonts w:asciiTheme="majorHAnsi" w:hAnsiTheme="majorHAnsi" w:cstheme="majorHAnsi"/>
        </w:rPr>
        <w:t>16.33</w:t>
      </w:r>
      <w:r w:rsidRPr="009F2567">
        <w:rPr>
          <w:rFonts w:asciiTheme="majorHAnsi" w:hAnsiTheme="majorHAnsi" w:cstheme="majorHAnsi"/>
        </w:rPr>
        <w:t>%).</w:t>
      </w:r>
      <w:r w:rsidRPr="009F2567">
        <w:rPr>
          <w:noProof/>
        </w:rPr>
        <w:t xml:space="preserve"> </w:t>
      </w:r>
    </w:p>
    <w:p w:rsidR="0069543C" w:rsidRPr="009F2567" w:rsidRDefault="00156F0A" w:rsidP="0069543C">
      <w:pPr>
        <w:jc w:val="both"/>
        <w:rPr>
          <w:rFonts w:asciiTheme="majorHAnsi" w:hAnsiTheme="majorHAnsi" w:cstheme="majorHAnsi"/>
        </w:rPr>
      </w:pPr>
      <w:r>
        <w:rPr>
          <w:noProof/>
          <w:lang w:val="en-GB" w:eastAsia="en-GB"/>
          <w14:ligatures w14:val="standardContextual"/>
        </w:rPr>
        <w:drawing>
          <wp:anchor distT="0" distB="0" distL="114300" distR="114300" simplePos="0" relativeHeight="251859968" behindDoc="0" locked="0" layoutInCell="1" allowOverlap="1" wp14:anchorId="6E8E1C61" wp14:editId="5CE395AB">
            <wp:simplePos x="0" y="0"/>
            <wp:positionH relativeFrom="margin">
              <wp:posOffset>2367280</wp:posOffset>
            </wp:positionH>
            <wp:positionV relativeFrom="margin">
              <wp:posOffset>4332605</wp:posOffset>
            </wp:positionV>
            <wp:extent cx="3471545" cy="2743200"/>
            <wp:effectExtent l="0" t="0" r="14605" b="0"/>
            <wp:wrapSquare wrapText="bothSides"/>
            <wp:docPr id="1708941612" name="Chart 17089416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anchor>
        </w:drawing>
      </w:r>
      <w:r w:rsidR="006A4FD7">
        <w:rPr>
          <w:rFonts w:asciiTheme="majorHAnsi" w:hAnsiTheme="majorHAnsi" w:cstheme="majorHAnsi"/>
        </w:rPr>
        <w:t>Performanca mesatare në 13</w:t>
      </w:r>
      <w:r w:rsidR="0069543C" w:rsidRPr="009F2567">
        <w:rPr>
          <w:rFonts w:asciiTheme="majorHAnsi" w:hAnsiTheme="majorHAnsi" w:cstheme="majorHAnsi"/>
        </w:rPr>
        <w:t xml:space="preserve"> treguesit e vlerësuar në kuadër të fushës ‘Qeverisja demokratike’ është </w:t>
      </w:r>
      <w:r w:rsidR="00D27AF8">
        <w:rPr>
          <w:rFonts w:asciiTheme="majorHAnsi" w:hAnsiTheme="majorHAnsi" w:cstheme="majorHAnsi"/>
        </w:rPr>
        <w:t>9</w:t>
      </w:r>
      <w:r w:rsidR="0069543C" w:rsidRPr="009F2567">
        <w:rPr>
          <w:rFonts w:asciiTheme="majorHAnsi" w:hAnsiTheme="majorHAnsi" w:cstheme="majorHAnsi"/>
        </w:rPr>
        <w:t xml:space="preserve"> pikë nga gjithsej </w:t>
      </w:r>
      <w:r w:rsidR="00486F4B">
        <w:rPr>
          <w:rFonts w:asciiTheme="majorHAnsi" w:hAnsiTheme="majorHAnsi" w:cstheme="majorHAnsi"/>
        </w:rPr>
        <w:t>40</w:t>
      </w:r>
      <w:r w:rsidR="0069543C" w:rsidRPr="009F2567">
        <w:rPr>
          <w:rFonts w:asciiTheme="majorHAnsi" w:hAnsiTheme="majorHAnsi" w:cstheme="majorHAnsi"/>
        </w:rPr>
        <w:t xml:space="preserve"> pikët të mundshme (</w:t>
      </w:r>
      <w:r w:rsidR="00D27AF8">
        <w:rPr>
          <w:rFonts w:asciiTheme="majorHAnsi" w:hAnsiTheme="majorHAnsi" w:cstheme="majorHAnsi"/>
        </w:rPr>
        <w:t>22.50</w:t>
      </w:r>
      <w:r w:rsidR="0069543C" w:rsidRPr="009F2567">
        <w:rPr>
          <w:rFonts w:asciiTheme="majorHAnsi" w:hAnsiTheme="majorHAnsi" w:cstheme="majorHAnsi"/>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7 treguesit e vlerësuar në kuadër të fushës ‘Menaxhimi Komunal’ është </w:t>
      </w:r>
      <w:r w:rsidR="00D27AF8">
        <w:rPr>
          <w:rFonts w:asciiTheme="majorHAnsi" w:hAnsiTheme="majorHAnsi" w:cstheme="majorHAnsi"/>
        </w:rPr>
        <w:t>5</w:t>
      </w:r>
      <w:r w:rsidRPr="009F2567">
        <w:rPr>
          <w:rFonts w:asciiTheme="majorHAnsi" w:hAnsiTheme="majorHAnsi" w:cstheme="majorHAnsi"/>
        </w:rPr>
        <w:t xml:space="preserve"> pikë nga gjithsej 2</w:t>
      </w:r>
      <w:r w:rsidR="00486F4B">
        <w:rPr>
          <w:rFonts w:asciiTheme="majorHAnsi" w:hAnsiTheme="majorHAnsi" w:cstheme="majorHAnsi"/>
        </w:rPr>
        <w:t>8</w:t>
      </w:r>
      <w:r w:rsidRPr="009F2567">
        <w:rPr>
          <w:rFonts w:asciiTheme="majorHAnsi" w:hAnsiTheme="majorHAnsi" w:cstheme="majorHAnsi"/>
        </w:rPr>
        <w:t xml:space="preserve"> pikë të mundshme (</w:t>
      </w:r>
      <w:r w:rsidR="00D27AF8">
        <w:rPr>
          <w:rFonts w:asciiTheme="majorHAnsi" w:hAnsiTheme="majorHAnsi" w:cstheme="majorHAnsi"/>
        </w:rPr>
        <w:t>17.86</w:t>
      </w:r>
      <w:r w:rsidRPr="009F2567">
        <w:rPr>
          <w:rFonts w:asciiTheme="majorHAnsi" w:hAnsiTheme="majorHAnsi" w:cstheme="majorHAnsi"/>
        </w:rPr>
        <w:t xml:space="preserve">%). </w:t>
      </w:r>
    </w:p>
    <w:p w:rsidR="0069543C" w:rsidRPr="009F2567" w:rsidRDefault="006A4FD7" w:rsidP="0069543C">
      <w:pPr>
        <w:jc w:val="both"/>
        <w:rPr>
          <w:rFonts w:asciiTheme="majorHAnsi" w:hAnsiTheme="majorHAnsi" w:cstheme="majorHAnsi"/>
        </w:rPr>
      </w:pPr>
      <w:r>
        <w:rPr>
          <w:rFonts w:asciiTheme="majorHAnsi" w:hAnsiTheme="majorHAnsi" w:cstheme="majorHAnsi"/>
        </w:rPr>
        <w:t>Performanca mesatare në 9</w:t>
      </w:r>
      <w:r w:rsidR="0069543C" w:rsidRPr="009F2567">
        <w:rPr>
          <w:rFonts w:asciiTheme="majorHAnsi" w:hAnsiTheme="majorHAnsi" w:cstheme="majorHAnsi"/>
        </w:rPr>
        <w:t xml:space="preserve"> treguesit e vlerësuar në kuadër të fushës ‘Ofrimi i shërbimeve’ është 2 pikë nga gjithsej </w:t>
      </w:r>
      <w:r w:rsidR="00486F4B">
        <w:rPr>
          <w:rFonts w:asciiTheme="majorHAnsi" w:hAnsiTheme="majorHAnsi" w:cstheme="majorHAnsi"/>
        </w:rPr>
        <w:t>30</w:t>
      </w:r>
      <w:r w:rsidR="00D27AF8">
        <w:rPr>
          <w:rFonts w:asciiTheme="majorHAnsi" w:hAnsiTheme="majorHAnsi" w:cstheme="majorHAnsi"/>
        </w:rPr>
        <w:t xml:space="preserve"> pikë të mundshme (6.67</w:t>
      </w:r>
      <w:r w:rsidR="0069543C" w:rsidRPr="009F2567">
        <w:rPr>
          <w:rFonts w:asciiTheme="majorHAnsi" w:hAnsiTheme="majorHAnsi" w:cstheme="majorHAnsi"/>
        </w:rPr>
        <w:t xml:space="preserve">%). </w:t>
      </w:r>
    </w:p>
    <w:p w:rsidR="0069543C" w:rsidRPr="009F2567" w:rsidRDefault="0069543C" w:rsidP="0069543C"/>
    <w:p w:rsidR="0069543C" w:rsidRPr="009F2567" w:rsidRDefault="0069543C" w:rsidP="0069543C">
      <w:pPr>
        <w:jc w:val="both"/>
      </w:pPr>
    </w:p>
    <w:p w:rsidR="0069543C" w:rsidRPr="009F2567" w:rsidRDefault="0069543C" w:rsidP="0069543C">
      <w:pPr>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asciiTheme="majorHAnsi" w:eastAsiaTheme="majorEastAsia" w:hAnsiTheme="majorHAnsi" w:cstheme="majorBidi"/>
          <w:b/>
          <w:noProof/>
          <w:lang w:val="de-CH"/>
        </w:rPr>
      </w:pPr>
      <w:r w:rsidRPr="009F2567">
        <w:rPr>
          <w:rFonts w:asciiTheme="majorHAnsi" w:eastAsiaTheme="majorEastAsia" w:hAnsiTheme="majorHAnsi" w:cstheme="majorBidi"/>
          <w:b/>
          <w:noProof/>
          <w:lang w:val="de-CH"/>
        </w:rPr>
        <w:lastRenderedPageBreak/>
        <w:t>Përmbledhje e rezultateve për vitin 202</w:t>
      </w:r>
      <w:r w:rsidR="00C50F2A">
        <w:rPr>
          <w:rFonts w:asciiTheme="majorHAnsi" w:eastAsiaTheme="majorEastAsia" w:hAnsiTheme="majorHAnsi" w:cstheme="majorBidi"/>
          <w:b/>
          <w:noProof/>
          <w:lang w:val="de-CH"/>
        </w:rPr>
        <w:t>4</w:t>
      </w:r>
      <w:r w:rsidRPr="009F2567">
        <w:rPr>
          <w:rFonts w:asciiTheme="majorHAnsi" w:eastAsiaTheme="majorEastAsia" w:hAnsiTheme="majorHAnsi" w:cstheme="majorBidi"/>
          <w:b/>
          <w:noProof/>
          <w:lang w:val="de-CH"/>
        </w:rPr>
        <w:t xml:space="preserve"> për grantin e performancës komunale - Komuna Shtrepcë</w:t>
      </w:r>
    </w:p>
    <w:p w:rsidR="0069543C" w:rsidRPr="009F2567" w:rsidRDefault="0069543C" w:rsidP="0069543C">
      <w:r w:rsidRPr="009F2567">
        <w:rPr>
          <w:rFonts w:asciiTheme="majorHAnsi" w:eastAsiaTheme="majorEastAsia" w:hAnsiTheme="majorHAnsi" w:cstheme="majorBidi"/>
          <w:b/>
          <w:noProof/>
        </w:rPr>
        <w:t>Vlerësimi i kushteve minimale për vitin 202</w:t>
      </w:r>
      <w:r w:rsidR="00C50F2A">
        <w:rPr>
          <w:rFonts w:asciiTheme="majorHAnsi" w:eastAsiaTheme="majorEastAsia" w:hAnsiTheme="majorHAnsi" w:cstheme="majorBidi"/>
          <w:b/>
          <w:noProof/>
        </w:rPr>
        <w:t>4</w:t>
      </w:r>
    </w:p>
    <w:p w:rsidR="0069543C" w:rsidRPr="009F2567" w:rsidRDefault="0069543C" w:rsidP="0069543C">
      <w:pPr>
        <w:jc w:val="both"/>
        <w:rPr>
          <w:rFonts w:asciiTheme="majorHAnsi" w:hAnsiTheme="majorHAnsi" w:cstheme="majorHAnsi"/>
          <w:noProof/>
          <w:lang w:eastAsia="sr-Latn-RS"/>
        </w:rPr>
      </w:pPr>
      <w:r w:rsidRPr="009F2567">
        <w:rPr>
          <w:rFonts w:asciiTheme="majorHAnsi" w:hAnsiTheme="majorHAnsi" w:cstheme="majorHAnsi"/>
          <w:noProof/>
          <w:color w:val="FF0000"/>
          <w:lang w:val="en-GB" w:eastAsia="en-GB"/>
        </w:rPr>
        <w:drawing>
          <wp:anchor distT="0" distB="0" distL="114300" distR="114300" simplePos="0" relativeHeight="251704320" behindDoc="0" locked="0" layoutInCell="1" allowOverlap="1" wp14:anchorId="77BA907A" wp14:editId="2EDDB684">
            <wp:simplePos x="0" y="0"/>
            <wp:positionH relativeFrom="margin">
              <wp:align>right</wp:align>
            </wp:positionH>
            <wp:positionV relativeFrom="paragraph">
              <wp:posOffset>6350</wp:posOffset>
            </wp:positionV>
            <wp:extent cx="3321050" cy="1979295"/>
            <wp:effectExtent l="0" t="0" r="12700" b="1905"/>
            <wp:wrapSquare wrapText="bothSides"/>
            <wp:docPr id="210" name="Chart 2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margin">
              <wp14:pctWidth>0</wp14:pctWidth>
            </wp14:sizeRelH>
            <wp14:sizeRelV relativeFrom="margin">
              <wp14:pctHeight>0</wp14:pctHeight>
            </wp14:sizeRelV>
          </wp:anchor>
        </w:drawing>
      </w:r>
      <w:r w:rsidRPr="009F2567">
        <w:rPr>
          <w:rFonts w:asciiTheme="majorHAnsi" w:hAnsiTheme="majorHAnsi" w:cstheme="majorHAnsi"/>
          <w:lang w:val="de-CH"/>
        </w:rPr>
        <w:t>Komuna e Shtrpcës nuk është kualifikuar për grantin e performancës komunale për vitin 202</w:t>
      </w:r>
      <w:r w:rsidR="00C50F2A">
        <w:rPr>
          <w:rFonts w:asciiTheme="majorHAnsi" w:hAnsiTheme="majorHAnsi" w:cstheme="majorHAnsi"/>
          <w:lang w:val="de-CH"/>
        </w:rPr>
        <w:t>4</w:t>
      </w:r>
      <w:r w:rsidRPr="009F2567">
        <w:rPr>
          <w:rFonts w:asciiTheme="majorHAnsi" w:hAnsiTheme="majorHAnsi" w:cstheme="majorHAnsi"/>
          <w:lang w:val="de-CH"/>
        </w:rPr>
        <w:t xml:space="preserve">. </w:t>
      </w:r>
      <w:r w:rsidRPr="009F2567">
        <w:rPr>
          <w:rFonts w:asciiTheme="majorHAnsi" w:hAnsiTheme="majorHAnsi" w:cstheme="majorHAnsi"/>
          <w:noProof/>
          <w:lang w:eastAsia="sr-Latn-RS"/>
        </w:rPr>
        <w:t xml:space="preserve"> </w:t>
      </w:r>
    </w:p>
    <w:p w:rsidR="0069543C" w:rsidRPr="009F2567" w:rsidRDefault="00C50F2A" w:rsidP="0069543C">
      <w:pPr>
        <w:tabs>
          <w:tab w:val="left" w:pos="1190"/>
        </w:tabs>
        <w:jc w:val="both"/>
        <w:rPr>
          <w:rFonts w:asciiTheme="majorHAnsi" w:hAnsiTheme="majorHAnsi" w:cstheme="majorHAnsi"/>
        </w:rPr>
      </w:pPr>
      <w:r>
        <w:rPr>
          <w:rFonts w:asciiTheme="majorHAnsi" w:hAnsiTheme="majorHAnsi" w:cstheme="majorHAnsi"/>
          <w:lang w:val="de-CH"/>
        </w:rPr>
        <w:t>Komuna nuk ka plotësuar asnjë nga kushtet minimale.</w:t>
      </w:r>
    </w:p>
    <w:p w:rsidR="0069543C" w:rsidRPr="009F2567" w:rsidRDefault="0069543C" w:rsidP="0069543C">
      <w:pPr>
        <w:tabs>
          <w:tab w:val="left" w:pos="1190"/>
        </w:tabs>
      </w:pPr>
      <w:r w:rsidRPr="009F2567">
        <w:rPr>
          <w:b/>
        </w:rPr>
        <w:tab/>
      </w:r>
    </w:p>
    <w:p w:rsidR="0069543C" w:rsidRPr="009F2567" w:rsidRDefault="0069543C" w:rsidP="0069543C">
      <w:pPr>
        <w:tabs>
          <w:tab w:val="left" w:pos="1190"/>
        </w:tabs>
      </w:pPr>
    </w:p>
    <w:p w:rsidR="0069543C" w:rsidRPr="009F2567" w:rsidRDefault="0069543C" w:rsidP="0069543C">
      <w:pPr>
        <w:rPr>
          <w:b/>
        </w:rPr>
      </w:pPr>
    </w:p>
    <w:p w:rsidR="0069543C" w:rsidRPr="009F2567" w:rsidRDefault="0069543C" w:rsidP="0069543C">
      <w:pPr>
        <w:rPr>
          <w:b/>
        </w:rPr>
      </w:pPr>
    </w:p>
    <w:p w:rsidR="0069543C" w:rsidRPr="009F2567" w:rsidRDefault="0069543C" w:rsidP="0069543C">
      <w:pPr>
        <w:rPr>
          <w:b/>
        </w:rPr>
      </w:pPr>
      <w:r w:rsidRPr="009F2567">
        <w:rPr>
          <w:b/>
        </w:rPr>
        <w:t>Vlerësimi i treguesve të performancës për vitin 202</w:t>
      </w:r>
      <w:r w:rsidR="00C50F2A">
        <w:rPr>
          <w:b/>
        </w:rPr>
        <w:t>4</w:t>
      </w:r>
    </w:p>
    <w:p w:rsidR="0069543C" w:rsidRPr="009F2567" w:rsidRDefault="00C50F2A" w:rsidP="0069543C">
      <w:pPr>
        <w:jc w:val="both"/>
        <w:rPr>
          <w:rFonts w:cstheme="majorHAnsi"/>
        </w:rPr>
      </w:pPr>
      <w:r>
        <w:rPr>
          <w:noProof/>
          <w:lang w:val="en-GB" w:eastAsia="en-GB"/>
          <w14:ligatures w14:val="standardContextual"/>
        </w:rPr>
        <w:drawing>
          <wp:anchor distT="0" distB="0" distL="114300" distR="114300" simplePos="0" relativeHeight="251862016" behindDoc="0" locked="0" layoutInCell="1" allowOverlap="1" wp14:anchorId="74ACCC51" wp14:editId="2427275A">
            <wp:simplePos x="0" y="0"/>
            <wp:positionH relativeFrom="margin">
              <wp:posOffset>2450929</wp:posOffset>
            </wp:positionH>
            <wp:positionV relativeFrom="margin">
              <wp:posOffset>3522383</wp:posOffset>
            </wp:positionV>
            <wp:extent cx="3314700" cy="2505075"/>
            <wp:effectExtent l="0" t="0" r="0" b="9525"/>
            <wp:wrapSquare wrapText="bothSides"/>
            <wp:docPr id="1708941613"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9265A3E-DB16-4EDE-B375-6CA11C9530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V relativeFrom="margin">
              <wp14:pctHeight>0</wp14:pctHeight>
            </wp14:sizeRelV>
          </wp:anchor>
        </w:drawing>
      </w:r>
      <w:r w:rsidR="0069543C" w:rsidRPr="009F2567">
        <w:rPr>
          <w:rFonts w:cstheme="majorHAnsi"/>
        </w:rPr>
        <w:t>Performanca mesatare e Komunës së Shtrëpcës  në 2</w:t>
      </w:r>
      <w:r>
        <w:rPr>
          <w:rFonts w:cstheme="majorHAnsi"/>
        </w:rPr>
        <w:t>9</w:t>
      </w:r>
      <w:r w:rsidR="0069543C" w:rsidRPr="009F2567">
        <w:rPr>
          <w:rFonts w:cstheme="majorHAnsi"/>
        </w:rPr>
        <w:t xml:space="preserve"> indikatorët e vlerësuar është </w:t>
      </w:r>
      <w:r>
        <w:rPr>
          <w:rFonts w:cstheme="majorHAnsi"/>
        </w:rPr>
        <w:t>0</w:t>
      </w:r>
      <w:r w:rsidR="0069543C" w:rsidRPr="009F2567">
        <w:rPr>
          <w:rFonts w:cstheme="majorHAnsi"/>
        </w:rPr>
        <w:t xml:space="preserve"> pikë nga gjithsej 9</w:t>
      </w:r>
      <w:r>
        <w:rPr>
          <w:rFonts w:cstheme="majorHAnsi"/>
        </w:rPr>
        <w:t>8</w:t>
      </w:r>
      <w:r w:rsidR="0069543C" w:rsidRPr="009F2567">
        <w:rPr>
          <w:rFonts w:cstheme="majorHAnsi"/>
        </w:rPr>
        <w:t xml:space="preserve"> pikë të mundshme (</w:t>
      </w:r>
      <w:r>
        <w:rPr>
          <w:rFonts w:cstheme="majorHAnsi"/>
        </w:rPr>
        <w:t>0.00</w:t>
      </w:r>
      <w:r w:rsidR="0069543C" w:rsidRPr="009F2567">
        <w:rPr>
          <w:rFonts w:cstheme="majorHAnsi"/>
        </w:rPr>
        <w:t>%).</w:t>
      </w:r>
      <w:r w:rsidR="0069543C" w:rsidRPr="009F2567">
        <w:rPr>
          <w:noProof/>
        </w:rPr>
        <w:t xml:space="preserve"> </w:t>
      </w:r>
      <w:r w:rsidR="006F0031">
        <w:rPr>
          <w:noProof/>
        </w:rPr>
        <w:t xml:space="preserve"> </w:t>
      </w:r>
    </w:p>
    <w:p w:rsidR="0069543C" w:rsidRPr="009F2567" w:rsidRDefault="006A4FD7" w:rsidP="0069543C">
      <w:pPr>
        <w:jc w:val="both"/>
        <w:rPr>
          <w:rFonts w:cstheme="majorHAnsi"/>
        </w:rPr>
      </w:pPr>
      <w:r>
        <w:rPr>
          <w:rFonts w:cstheme="majorHAnsi"/>
        </w:rPr>
        <w:t>Performanca mesatare në 13</w:t>
      </w:r>
      <w:r w:rsidR="0069543C" w:rsidRPr="009F2567">
        <w:rPr>
          <w:rFonts w:cstheme="majorHAnsi"/>
        </w:rPr>
        <w:t xml:space="preserve"> treguesit e vlerësuar në kuadër të fushës ‘Qeverisja demokratike’ është </w:t>
      </w:r>
      <w:r w:rsidR="00C50F2A">
        <w:rPr>
          <w:rFonts w:cstheme="majorHAnsi"/>
        </w:rPr>
        <w:t>0</w:t>
      </w:r>
      <w:r w:rsidR="0069543C" w:rsidRPr="009F2567">
        <w:rPr>
          <w:rFonts w:cstheme="majorHAnsi"/>
        </w:rPr>
        <w:t xml:space="preserve"> pikë nga gjithsej </w:t>
      </w:r>
      <w:r w:rsidR="00486F4B">
        <w:rPr>
          <w:rFonts w:cstheme="majorHAnsi"/>
        </w:rPr>
        <w:t>40</w:t>
      </w:r>
      <w:r w:rsidR="0069543C" w:rsidRPr="009F2567">
        <w:rPr>
          <w:rFonts w:cstheme="majorHAnsi"/>
        </w:rPr>
        <w:t xml:space="preserve"> pikët të mundshme (</w:t>
      </w:r>
      <w:r w:rsidR="00C50F2A">
        <w:rPr>
          <w:rFonts w:cstheme="majorHAnsi"/>
        </w:rPr>
        <w:t>0.00</w:t>
      </w:r>
      <w:r w:rsidR="0069543C" w:rsidRPr="009F2567">
        <w:rPr>
          <w:rFonts w:cstheme="majorHAnsi"/>
        </w:rPr>
        <w:t xml:space="preserve">%). </w:t>
      </w:r>
    </w:p>
    <w:p w:rsidR="0069543C" w:rsidRPr="009F2567" w:rsidRDefault="0069543C" w:rsidP="0069543C">
      <w:pPr>
        <w:jc w:val="both"/>
        <w:rPr>
          <w:rFonts w:cstheme="majorHAnsi"/>
        </w:rPr>
      </w:pPr>
      <w:r w:rsidRPr="009F2567">
        <w:rPr>
          <w:rFonts w:cstheme="majorHAnsi"/>
        </w:rPr>
        <w:t xml:space="preserve">Performanca mesatare në </w:t>
      </w:r>
      <w:r w:rsidR="006A4FD7">
        <w:rPr>
          <w:rFonts w:cstheme="majorHAnsi"/>
        </w:rPr>
        <w:t>7</w:t>
      </w:r>
      <w:r w:rsidRPr="009F2567">
        <w:rPr>
          <w:rFonts w:cstheme="majorHAnsi"/>
        </w:rPr>
        <w:t xml:space="preserve"> treguesit e vlerësuar në kuadër të fushës ‘Menaxhimi Komunal’ është </w:t>
      </w:r>
      <w:r w:rsidR="00C50F2A">
        <w:rPr>
          <w:rFonts w:cstheme="majorHAnsi"/>
        </w:rPr>
        <w:t>0</w:t>
      </w:r>
      <w:r w:rsidRPr="009F2567">
        <w:rPr>
          <w:rFonts w:cstheme="majorHAnsi"/>
        </w:rPr>
        <w:t xml:space="preserve"> pikë nga gjithsej 2</w:t>
      </w:r>
      <w:r w:rsidR="00486F4B">
        <w:rPr>
          <w:rFonts w:cstheme="majorHAnsi"/>
        </w:rPr>
        <w:t>8</w:t>
      </w:r>
      <w:r w:rsidRPr="009F2567">
        <w:rPr>
          <w:rFonts w:cstheme="majorHAnsi"/>
        </w:rPr>
        <w:t xml:space="preserve"> pikë të mundshme (</w:t>
      </w:r>
      <w:r w:rsidR="00C50F2A">
        <w:rPr>
          <w:rFonts w:cstheme="majorHAnsi"/>
        </w:rPr>
        <w:t>0.00</w:t>
      </w:r>
      <w:r w:rsidRPr="009F2567">
        <w:rPr>
          <w:rFonts w:cstheme="majorHAnsi"/>
        </w:rPr>
        <w:t xml:space="preserve">%). </w:t>
      </w:r>
    </w:p>
    <w:p w:rsidR="0069543C" w:rsidRPr="009F2567" w:rsidRDefault="0069543C" w:rsidP="0069543C">
      <w:pPr>
        <w:jc w:val="both"/>
        <w:rPr>
          <w:rFonts w:cstheme="majorHAnsi"/>
        </w:rPr>
      </w:pPr>
      <w:r w:rsidRPr="009F2567">
        <w:rPr>
          <w:rFonts w:cstheme="majorHAnsi"/>
        </w:rPr>
        <w:t xml:space="preserve">Performanca mesatare në </w:t>
      </w:r>
      <w:r w:rsidR="00C50F2A">
        <w:rPr>
          <w:rFonts w:cstheme="majorHAnsi"/>
        </w:rPr>
        <w:t>9</w:t>
      </w:r>
      <w:r w:rsidRPr="009F2567">
        <w:rPr>
          <w:rFonts w:cstheme="majorHAnsi"/>
        </w:rPr>
        <w:t xml:space="preserve"> treguesit e vlerësuar në kuadër të fush</w:t>
      </w:r>
      <w:r w:rsidR="00C50F2A">
        <w:rPr>
          <w:rFonts w:cstheme="majorHAnsi"/>
        </w:rPr>
        <w:t xml:space="preserve">ës ‘Ofrimi i shërbimeve’ është 0 </w:t>
      </w:r>
      <w:r w:rsidRPr="009F2567">
        <w:rPr>
          <w:rFonts w:cstheme="majorHAnsi"/>
        </w:rPr>
        <w:t xml:space="preserve">pikë nga gjithsej </w:t>
      </w:r>
      <w:r w:rsidR="00486F4B">
        <w:rPr>
          <w:rFonts w:cstheme="majorHAnsi"/>
        </w:rPr>
        <w:t>30</w:t>
      </w:r>
      <w:r w:rsidRPr="009F2567">
        <w:rPr>
          <w:rFonts w:cstheme="majorHAnsi"/>
        </w:rPr>
        <w:t xml:space="preserve"> pikë të mundshme (</w:t>
      </w:r>
      <w:r w:rsidR="00C50F2A">
        <w:rPr>
          <w:rFonts w:cstheme="majorHAnsi"/>
        </w:rPr>
        <w:t>0.00</w:t>
      </w:r>
      <w:r w:rsidRPr="009F2567">
        <w:rPr>
          <w:rFonts w:cstheme="majorHAnsi"/>
        </w:rPr>
        <w:t xml:space="preserve">%). </w:t>
      </w:r>
    </w:p>
    <w:p w:rsidR="0069543C" w:rsidRPr="009F2567" w:rsidRDefault="0069543C" w:rsidP="0069543C"/>
    <w:p w:rsidR="0069543C" w:rsidRPr="009F2567" w:rsidRDefault="0069543C" w:rsidP="0069543C">
      <w:pPr>
        <w:tabs>
          <w:tab w:val="left" w:pos="1190"/>
        </w:tabs>
        <w:jc w:val="both"/>
      </w:pPr>
    </w:p>
    <w:p w:rsidR="0069543C" w:rsidRPr="009F2567" w:rsidRDefault="0069543C" w:rsidP="0069543C">
      <w:pPr>
        <w:tabs>
          <w:tab w:val="left" w:pos="1190"/>
        </w:tabs>
        <w:jc w:val="both"/>
      </w:pPr>
    </w:p>
    <w:p w:rsidR="0069543C" w:rsidRPr="009F2567" w:rsidRDefault="0069543C" w:rsidP="0069543C">
      <w:pPr>
        <w:jc w:val="both"/>
      </w:pPr>
    </w:p>
    <w:p w:rsidR="0069543C" w:rsidRPr="009F2567" w:rsidRDefault="0069543C" w:rsidP="0069543C">
      <w:pPr>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asciiTheme="majorHAnsi" w:eastAsiaTheme="majorEastAsia" w:hAnsiTheme="majorHAnsi" w:cstheme="majorBidi"/>
          <w:b/>
          <w:noProof/>
          <w:lang w:val="de-CH"/>
        </w:rPr>
      </w:pPr>
      <w:r w:rsidRPr="009F2567">
        <w:rPr>
          <w:rFonts w:asciiTheme="majorHAnsi" w:eastAsiaTheme="majorEastAsia" w:hAnsiTheme="majorHAnsi" w:cstheme="majorBidi"/>
          <w:b/>
          <w:noProof/>
          <w:lang w:val="de-CH"/>
        </w:rPr>
        <w:lastRenderedPageBreak/>
        <w:t>Përmbledhje e rezultateve për vitin 202</w:t>
      </w:r>
      <w:r w:rsidR="00C50F2A">
        <w:rPr>
          <w:rFonts w:asciiTheme="majorHAnsi" w:eastAsiaTheme="majorEastAsia" w:hAnsiTheme="majorHAnsi" w:cstheme="majorBidi"/>
          <w:b/>
          <w:noProof/>
          <w:lang w:val="de-CH"/>
        </w:rPr>
        <w:t xml:space="preserve">4 </w:t>
      </w:r>
      <w:r w:rsidRPr="009F2567">
        <w:rPr>
          <w:rFonts w:asciiTheme="majorHAnsi" w:eastAsiaTheme="majorEastAsia" w:hAnsiTheme="majorHAnsi" w:cstheme="majorBidi"/>
          <w:b/>
          <w:noProof/>
          <w:lang w:val="de-CH"/>
        </w:rPr>
        <w:t>për grantin e performancës komunale - Komuna Shtime</w:t>
      </w:r>
    </w:p>
    <w:p w:rsidR="0069543C" w:rsidRPr="009F2567" w:rsidRDefault="0069543C" w:rsidP="0069543C">
      <w:r w:rsidRPr="009F2567">
        <w:rPr>
          <w:rFonts w:asciiTheme="majorHAnsi" w:eastAsiaTheme="majorEastAsia" w:hAnsiTheme="majorHAnsi" w:cstheme="majorBidi"/>
          <w:b/>
          <w:noProof/>
        </w:rPr>
        <w:t>Vlerësimi i kushteve minimale për vitin 202</w:t>
      </w:r>
      <w:r w:rsidR="00C50F2A">
        <w:rPr>
          <w:rFonts w:asciiTheme="majorHAnsi" w:eastAsiaTheme="majorEastAsia" w:hAnsiTheme="majorHAnsi" w:cstheme="majorBidi"/>
          <w:b/>
          <w:noProof/>
        </w:rPr>
        <w:t>4</w:t>
      </w:r>
    </w:p>
    <w:p w:rsidR="0069543C" w:rsidRPr="009F2567" w:rsidRDefault="0069543C" w:rsidP="0069543C">
      <w:pPr>
        <w:jc w:val="both"/>
        <w:rPr>
          <w:rFonts w:asciiTheme="majorHAnsi" w:hAnsiTheme="majorHAnsi" w:cstheme="majorHAnsi"/>
          <w:lang w:val="de-CH"/>
        </w:rPr>
      </w:pPr>
      <w:r w:rsidRPr="009F2567">
        <w:rPr>
          <w:noProof/>
          <w:lang w:val="en-GB" w:eastAsia="en-GB"/>
        </w:rPr>
        <w:drawing>
          <wp:anchor distT="0" distB="0" distL="114300" distR="114300" simplePos="0" relativeHeight="251705344" behindDoc="0" locked="0" layoutInCell="1" allowOverlap="1" wp14:anchorId="6C6925EE" wp14:editId="11EC71D2">
            <wp:simplePos x="0" y="0"/>
            <wp:positionH relativeFrom="margin">
              <wp:align>right</wp:align>
            </wp:positionH>
            <wp:positionV relativeFrom="paragraph">
              <wp:posOffset>8945</wp:posOffset>
            </wp:positionV>
            <wp:extent cx="3426460" cy="2154555"/>
            <wp:effectExtent l="0" t="0" r="2540" b="17145"/>
            <wp:wrapSquare wrapText="bothSides"/>
            <wp:docPr id="212" name="Chart 2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margin">
              <wp14:pctWidth>0</wp14:pctWidth>
            </wp14:sizeRelH>
            <wp14:sizeRelV relativeFrom="margin">
              <wp14:pctHeight>0</wp14:pctHeight>
            </wp14:sizeRelV>
          </wp:anchor>
        </w:drawing>
      </w:r>
      <w:r w:rsidRPr="009F2567">
        <w:rPr>
          <w:rFonts w:asciiTheme="majorHAnsi" w:hAnsiTheme="majorHAnsi" w:cstheme="majorHAnsi"/>
          <w:lang w:val="de-CH"/>
        </w:rPr>
        <w:t>Komuna e Shtimes nuk është kualifikuar për grantin e performancës komunale për vitin 202</w:t>
      </w:r>
      <w:r w:rsidR="00C50F2A">
        <w:rPr>
          <w:rFonts w:asciiTheme="majorHAnsi" w:hAnsiTheme="majorHAnsi" w:cstheme="majorHAnsi"/>
          <w:lang w:val="de-CH"/>
        </w:rPr>
        <w:t>4</w:t>
      </w:r>
      <w:r w:rsidRPr="009F2567">
        <w:rPr>
          <w:rFonts w:asciiTheme="majorHAnsi" w:hAnsiTheme="majorHAnsi" w:cstheme="majorHAnsi"/>
          <w:lang w:val="de-CH"/>
        </w:rPr>
        <w:t>.</w:t>
      </w:r>
    </w:p>
    <w:p w:rsidR="0069543C" w:rsidRPr="009F2567" w:rsidRDefault="00C50F2A" w:rsidP="0069543C">
      <w:pPr>
        <w:tabs>
          <w:tab w:val="left" w:pos="1190"/>
        </w:tabs>
        <w:jc w:val="both"/>
      </w:pPr>
      <w:r w:rsidRPr="00C50F2A">
        <w:rPr>
          <w:rFonts w:asciiTheme="majorHAnsi" w:hAnsiTheme="majorHAnsi" w:cstheme="majorHAnsi"/>
          <w:lang w:val="de-CH"/>
        </w:rPr>
        <w:t>Kushti minimal numër 3 (opinioni i auditorit të jetë së paku i pamodifikuar me theksim të çështjes) nuk është përmbushur.</w:t>
      </w:r>
      <w:r w:rsidR="0069543C" w:rsidRPr="009F2567">
        <w:rPr>
          <w:b/>
        </w:rPr>
        <w:tab/>
      </w:r>
    </w:p>
    <w:p w:rsidR="007E39BC" w:rsidRDefault="007E39BC" w:rsidP="0069543C"/>
    <w:p w:rsidR="00C50F2A" w:rsidRDefault="00C50F2A" w:rsidP="0069543C"/>
    <w:p w:rsidR="00C50F2A" w:rsidRDefault="00C50F2A" w:rsidP="0069543C"/>
    <w:p w:rsidR="00C50F2A" w:rsidRPr="009F2567" w:rsidRDefault="00C50F2A" w:rsidP="0069543C"/>
    <w:p w:rsidR="0069543C" w:rsidRPr="009F2567" w:rsidRDefault="0069543C" w:rsidP="0069543C">
      <w:pPr>
        <w:rPr>
          <w:b/>
        </w:rPr>
      </w:pPr>
      <w:r w:rsidRPr="009F2567">
        <w:rPr>
          <w:b/>
        </w:rPr>
        <w:t>Vlerësimi i treguesve të performancës për vitin 202</w:t>
      </w:r>
      <w:r w:rsidR="00C50F2A">
        <w:rPr>
          <w:b/>
        </w:rPr>
        <w:t>4</w:t>
      </w:r>
    </w:p>
    <w:p w:rsidR="0069543C" w:rsidRPr="009F2567" w:rsidRDefault="00C50F2A" w:rsidP="0069543C">
      <w:pPr>
        <w:jc w:val="both"/>
        <w:rPr>
          <w:rFonts w:asciiTheme="majorHAnsi" w:hAnsiTheme="majorHAnsi" w:cstheme="majorHAnsi"/>
        </w:rPr>
      </w:pPr>
      <w:r>
        <w:rPr>
          <w:noProof/>
          <w:lang w:val="en-GB" w:eastAsia="en-GB"/>
          <w14:ligatures w14:val="standardContextual"/>
        </w:rPr>
        <w:drawing>
          <wp:anchor distT="0" distB="0" distL="114300" distR="114300" simplePos="0" relativeHeight="251863040" behindDoc="0" locked="0" layoutInCell="1" allowOverlap="1" wp14:anchorId="052C3ACA" wp14:editId="0CD7F97B">
            <wp:simplePos x="0" y="0"/>
            <wp:positionH relativeFrom="margin">
              <wp:posOffset>2565400</wp:posOffset>
            </wp:positionH>
            <wp:positionV relativeFrom="margin">
              <wp:posOffset>3834765</wp:posOffset>
            </wp:positionV>
            <wp:extent cx="3363595" cy="2483485"/>
            <wp:effectExtent l="0" t="0" r="8255" b="12065"/>
            <wp:wrapSquare wrapText="bothSides"/>
            <wp:docPr id="1708941614" name="Chart 17089416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margin">
              <wp14:pctWidth>0</wp14:pctWidth>
            </wp14:sizeRelH>
            <wp14:sizeRelV relativeFrom="margin">
              <wp14:pctHeight>0</wp14:pctHeight>
            </wp14:sizeRelV>
          </wp:anchor>
        </w:drawing>
      </w:r>
      <w:r w:rsidR="0069543C" w:rsidRPr="009F2567">
        <w:rPr>
          <w:rFonts w:asciiTheme="majorHAnsi" w:hAnsiTheme="majorHAnsi" w:cstheme="majorHAnsi"/>
        </w:rPr>
        <w:t>Performanca mesatare e Komunës së Shtime</w:t>
      </w:r>
      <w:r>
        <w:rPr>
          <w:rFonts w:asciiTheme="majorHAnsi" w:hAnsiTheme="majorHAnsi" w:cstheme="majorHAnsi"/>
        </w:rPr>
        <w:t>s</w:t>
      </w:r>
      <w:r w:rsidR="0069543C" w:rsidRPr="009F2567">
        <w:rPr>
          <w:rFonts w:asciiTheme="majorHAnsi" w:hAnsiTheme="majorHAnsi" w:cstheme="majorHAnsi"/>
        </w:rPr>
        <w:t xml:space="preserve">  në 2</w:t>
      </w:r>
      <w:r>
        <w:rPr>
          <w:rFonts w:asciiTheme="majorHAnsi" w:hAnsiTheme="majorHAnsi" w:cstheme="majorHAnsi"/>
        </w:rPr>
        <w:t>9</w:t>
      </w:r>
      <w:r w:rsidR="0069543C" w:rsidRPr="009F2567">
        <w:rPr>
          <w:rFonts w:asciiTheme="majorHAnsi" w:hAnsiTheme="majorHAnsi" w:cstheme="majorHAnsi"/>
        </w:rPr>
        <w:t xml:space="preserve"> indikatorët e vlerësuar është 4</w:t>
      </w:r>
      <w:r>
        <w:rPr>
          <w:rFonts w:asciiTheme="majorHAnsi" w:hAnsiTheme="majorHAnsi" w:cstheme="majorHAnsi"/>
        </w:rPr>
        <w:t>8</w:t>
      </w:r>
      <w:r w:rsidR="0069543C" w:rsidRPr="009F2567">
        <w:rPr>
          <w:rFonts w:asciiTheme="majorHAnsi" w:hAnsiTheme="majorHAnsi" w:cstheme="majorHAnsi"/>
        </w:rPr>
        <w:t xml:space="preserve"> pikë nga gjithsej 9</w:t>
      </w:r>
      <w:r>
        <w:rPr>
          <w:rFonts w:asciiTheme="majorHAnsi" w:hAnsiTheme="majorHAnsi" w:cstheme="majorHAnsi"/>
        </w:rPr>
        <w:t>8</w:t>
      </w:r>
      <w:r w:rsidR="0069543C" w:rsidRPr="009F2567">
        <w:rPr>
          <w:rFonts w:asciiTheme="majorHAnsi" w:hAnsiTheme="majorHAnsi" w:cstheme="majorHAnsi"/>
        </w:rPr>
        <w:t xml:space="preserve"> pikë të mundshme (</w:t>
      </w:r>
      <w:r>
        <w:rPr>
          <w:rFonts w:asciiTheme="majorHAnsi" w:hAnsiTheme="majorHAnsi" w:cstheme="majorHAnsi"/>
        </w:rPr>
        <w:t>48.98</w:t>
      </w:r>
      <w:r w:rsidR="0069543C" w:rsidRPr="009F2567">
        <w:rPr>
          <w:rFonts w:asciiTheme="majorHAnsi" w:hAnsiTheme="majorHAnsi" w:cstheme="majorHAnsi"/>
        </w:rPr>
        <w:t>%).</w:t>
      </w:r>
      <w:r w:rsidR="0069543C" w:rsidRPr="009F2567">
        <w:rPr>
          <w:noProof/>
        </w:rPr>
        <w:t xml:space="preserve"> </w:t>
      </w:r>
    </w:p>
    <w:p w:rsidR="0069543C" w:rsidRPr="009F2567" w:rsidRDefault="006A4FD7" w:rsidP="0069543C">
      <w:pPr>
        <w:jc w:val="both"/>
        <w:rPr>
          <w:rFonts w:asciiTheme="majorHAnsi" w:hAnsiTheme="majorHAnsi" w:cstheme="majorHAnsi"/>
        </w:rPr>
      </w:pPr>
      <w:r>
        <w:rPr>
          <w:rFonts w:asciiTheme="majorHAnsi" w:hAnsiTheme="majorHAnsi" w:cstheme="majorHAnsi"/>
        </w:rPr>
        <w:t>Performanca mesatare në 13</w:t>
      </w:r>
      <w:r w:rsidR="0069543C" w:rsidRPr="009F2567">
        <w:rPr>
          <w:rFonts w:asciiTheme="majorHAnsi" w:hAnsiTheme="majorHAnsi" w:cstheme="majorHAnsi"/>
        </w:rPr>
        <w:t xml:space="preserve"> treguesit e vlerësuar në kuadër të fushës ‘Qeverisja demokratike’ është </w:t>
      </w:r>
      <w:r w:rsidR="00C50F2A">
        <w:rPr>
          <w:rFonts w:asciiTheme="majorHAnsi" w:hAnsiTheme="majorHAnsi" w:cstheme="majorHAnsi"/>
        </w:rPr>
        <w:t>25</w:t>
      </w:r>
      <w:r w:rsidR="0069543C" w:rsidRPr="009F2567">
        <w:rPr>
          <w:rFonts w:asciiTheme="majorHAnsi" w:hAnsiTheme="majorHAnsi" w:cstheme="majorHAnsi"/>
        </w:rPr>
        <w:t xml:space="preserve"> pikë nga gjithsej </w:t>
      </w:r>
      <w:r w:rsidR="00486F4B">
        <w:rPr>
          <w:rFonts w:asciiTheme="majorHAnsi" w:hAnsiTheme="majorHAnsi" w:cstheme="majorHAnsi"/>
        </w:rPr>
        <w:t>40</w:t>
      </w:r>
      <w:r w:rsidR="0069543C" w:rsidRPr="009F2567">
        <w:rPr>
          <w:rFonts w:asciiTheme="majorHAnsi" w:hAnsiTheme="majorHAnsi" w:cstheme="majorHAnsi"/>
        </w:rPr>
        <w:t xml:space="preserve"> pikët të mundshme (</w:t>
      </w:r>
      <w:r w:rsidR="00C50F2A">
        <w:rPr>
          <w:rFonts w:asciiTheme="majorHAnsi" w:hAnsiTheme="majorHAnsi" w:cstheme="majorHAnsi"/>
        </w:rPr>
        <w:t>62.50</w:t>
      </w:r>
      <w:r w:rsidR="0069543C" w:rsidRPr="009F2567">
        <w:rPr>
          <w:rFonts w:asciiTheme="majorHAnsi" w:hAnsiTheme="majorHAnsi" w:cstheme="majorHAnsi"/>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w:t>
      </w:r>
      <w:r w:rsidR="006A4FD7">
        <w:rPr>
          <w:rFonts w:asciiTheme="majorHAnsi" w:hAnsiTheme="majorHAnsi" w:cstheme="majorHAnsi"/>
        </w:rPr>
        <w:t>7</w:t>
      </w:r>
      <w:r w:rsidRPr="009F2567">
        <w:rPr>
          <w:rFonts w:asciiTheme="majorHAnsi" w:hAnsiTheme="majorHAnsi" w:cstheme="majorHAnsi"/>
        </w:rPr>
        <w:t xml:space="preserve"> treguesit e vlerësuar në kuadër të fushës ‘Menaxhimi Komunal’ është 1</w:t>
      </w:r>
      <w:r w:rsidR="00C50F2A">
        <w:rPr>
          <w:rFonts w:asciiTheme="majorHAnsi" w:hAnsiTheme="majorHAnsi" w:cstheme="majorHAnsi"/>
        </w:rPr>
        <w:t>4</w:t>
      </w:r>
      <w:r w:rsidRPr="009F2567">
        <w:rPr>
          <w:rFonts w:asciiTheme="majorHAnsi" w:hAnsiTheme="majorHAnsi" w:cstheme="majorHAnsi"/>
        </w:rPr>
        <w:t xml:space="preserve"> pikë nga gjithsej 2</w:t>
      </w:r>
      <w:r w:rsidR="00486F4B">
        <w:rPr>
          <w:rFonts w:asciiTheme="majorHAnsi" w:hAnsiTheme="majorHAnsi" w:cstheme="majorHAnsi"/>
        </w:rPr>
        <w:t>8</w:t>
      </w:r>
      <w:r w:rsidRPr="009F2567">
        <w:rPr>
          <w:rFonts w:asciiTheme="majorHAnsi" w:hAnsiTheme="majorHAnsi" w:cstheme="majorHAnsi"/>
        </w:rPr>
        <w:t xml:space="preserve"> pikë të mundshme (</w:t>
      </w:r>
      <w:r w:rsidR="00C50F2A">
        <w:rPr>
          <w:rFonts w:asciiTheme="majorHAnsi" w:hAnsiTheme="majorHAnsi" w:cstheme="majorHAnsi"/>
        </w:rPr>
        <w:t>50.00</w:t>
      </w:r>
      <w:r w:rsidRPr="009F2567">
        <w:rPr>
          <w:rFonts w:asciiTheme="majorHAnsi" w:hAnsiTheme="majorHAnsi" w:cstheme="majorHAnsi"/>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w:t>
      </w:r>
      <w:r w:rsidR="00C50F2A">
        <w:rPr>
          <w:rFonts w:asciiTheme="majorHAnsi" w:hAnsiTheme="majorHAnsi" w:cstheme="majorHAnsi"/>
        </w:rPr>
        <w:t>9</w:t>
      </w:r>
      <w:r w:rsidRPr="009F2567">
        <w:rPr>
          <w:rFonts w:asciiTheme="majorHAnsi" w:hAnsiTheme="majorHAnsi" w:cstheme="majorHAnsi"/>
        </w:rPr>
        <w:t xml:space="preserve"> treguesit e vlerësuar në kuadër të fushës ‘Ofrimi i shërbimeve’ është </w:t>
      </w:r>
      <w:r w:rsidR="00C50F2A">
        <w:rPr>
          <w:rFonts w:asciiTheme="majorHAnsi" w:hAnsiTheme="majorHAnsi" w:cstheme="majorHAnsi"/>
        </w:rPr>
        <w:t>9</w:t>
      </w:r>
      <w:r w:rsidRPr="009F2567">
        <w:rPr>
          <w:rFonts w:asciiTheme="majorHAnsi" w:hAnsiTheme="majorHAnsi" w:cstheme="majorHAnsi"/>
        </w:rPr>
        <w:t xml:space="preserve"> pikë nga gjithsej </w:t>
      </w:r>
      <w:r w:rsidR="00486F4B">
        <w:rPr>
          <w:rFonts w:asciiTheme="majorHAnsi" w:hAnsiTheme="majorHAnsi" w:cstheme="majorHAnsi"/>
        </w:rPr>
        <w:t>30</w:t>
      </w:r>
      <w:r w:rsidRPr="009F2567">
        <w:rPr>
          <w:rFonts w:asciiTheme="majorHAnsi" w:hAnsiTheme="majorHAnsi" w:cstheme="majorHAnsi"/>
        </w:rPr>
        <w:t xml:space="preserve"> pikë të mundshme (</w:t>
      </w:r>
      <w:r w:rsidR="00C50F2A">
        <w:rPr>
          <w:rFonts w:asciiTheme="majorHAnsi" w:hAnsiTheme="majorHAnsi" w:cstheme="majorHAnsi"/>
        </w:rPr>
        <w:t>30.00</w:t>
      </w:r>
      <w:r w:rsidRPr="009F2567">
        <w:rPr>
          <w:rFonts w:asciiTheme="majorHAnsi" w:hAnsiTheme="majorHAnsi" w:cstheme="majorHAnsi"/>
        </w:rPr>
        <w:t xml:space="preserve">%). </w:t>
      </w:r>
    </w:p>
    <w:p w:rsidR="0069543C" w:rsidRPr="009F2567" w:rsidRDefault="0069543C" w:rsidP="0069543C"/>
    <w:p w:rsidR="0069543C" w:rsidRPr="009F2567" w:rsidRDefault="0069543C" w:rsidP="0069543C">
      <w:pPr>
        <w:jc w:val="both"/>
      </w:pPr>
    </w:p>
    <w:p w:rsidR="0069543C" w:rsidRPr="009F2567" w:rsidRDefault="0069543C" w:rsidP="0069543C"/>
    <w:p w:rsidR="0069543C" w:rsidRPr="009F2567" w:rsidRDefault="0069543C" w:rsidP="0069543C">
      <w:pPr>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asciiTheme="majorHAnsi" w:eastAsiaTheme="majorEastAsia" w:hAnsiTheme="majorHAnsi" w:cstheme="majorBidi"/>
          <w:b/>
          <w:noProof/>
          <w:lang w:val="de-CH"/>
        </w:rPr>
      </w:pPr>
      <w:r w:rsidRPr="009F2567">
        <w:rPr>
          <w:rFonts w:asciiTheme="majorHAnsi" w:eastAsiaTheme="majorEastAsia" w:hAnsiTheme="majorHAnsi" w:cstheme="majorBidi"/>
          <w:b/>
          <w:noProof/>
          <w:lang w:val="de-CH"/>
        </w:rPr>
        <w:lastRenderedPageBreak/>
        <w:t>Përmbledhje e rezultateve për vitin 202</w:t>
      </w:r>
      <w:r w:rsidR="00D37DEA">
        <w:rPr>
          <w:rFonts w:asciiTheme="majorHAnsi" w:eastAsiaTheme="majorEastAsia" w:hAnsiTheme="majorHAnsi" w:cstheme="majorBidi"/>
          <w:b/>
          <w:noProof/>
          <w:lang w:val="de-CH"/>
        </w:rPr>
        <w:t>4</w:t>
      </w:r>
      <w:r w:rsidRPr="009F2567">
        <w:rPr>
          <w:rFonts w:asciiTheme="majorHAnsi" w:eastAsiaTheme="majorEastAsia" w:hAnsiTheme="majorHAnsi" w:cstheme="majorBidi"/>
          <w:b/>
          <w:noProof/>
          <w:lang w:val="de-CH"/>
        </w:rPr>
        <w:t xml:space="preserve"> për grantin e performancës komunale - Komuna Skenderaj</w:t>
      </w:r>
    </w:p>
    <w:p w:rsidR="0069543C" w:rsidRPr="009F2567" w:rsidRDefault="0069543C" w:rsidP="0069543C">
      <w:r w:rsidRPr="009F2567">
        <w:rPr>
          <w:noProof/>
          <w:lang w:val="en-GB" w:eastAsia="en-GB"/>
        </w:rPr>
        <w:drawing>
          <wp:anchor distT="0" distB="0" distL="114300" distR="114300" simplePos="0" relativeHeight="251706368" behindDoc="0" locked="0" layoutInCell="1" allowOverlap="1" wp14:anchorId="380F4A8C" wp14:editId="41EA179B">
            <wp:simplePos x="0" y="0"/>
            <wp:positionH relativeFrom="margin">
              <wp:align>right</wp:align>
            </wp:positionH>
            <wp:positionV relativeFrom="paragraph">
              <wp:posOffset>245717</wp:posOffset>
            </wp:positionV>
            <wp:extent cx="3101008" cy="1936750"/>
            <wp:effectExtent l="0" t="0" r="4445" b="6350"/>
            <wp:wrapSquare wrapText="bothSides"/>
            <wp:docPr id="214" name="Chart 2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margin">
              <wp14:pctWidth>0</wp14:pctWidth>
            </wp14:sizeRelH>
            <wp14:sizeRelV relativeFrom="margin">
              <wp14:pctHeight>0</wp14:pctHeight>
            </wp14:sizeRelV>
          </wp:anchor>
        </w:drawing>
      </w:r>
      <w:r w:rsidRPr="009F2567">
        <w:rPr>
          <w:rFonts w:asciiTheme="majorHAnsi" w:eastAsiaTheme="majorEastAsia" w:hAnsiTheme="majorHAnsi" w:cstheme="majorBidi"/>
          <w:b/>
          <w:noProof/>
        </w:rPr>
        <w:t>Vlerësimi i kushteve minimale për vitin 202</w:t>
      </w:r>
      <w:r w:rsidR="00D37DEA">
        <w:rPr>
          <w:rFonts w:asciiTheme="majorHAnsi" w:eastAsiaTheme="majorEastAsia" w:hAnsiTheme="majorHAnsi" w:cstheme="majorBidi"/>
          <w:b/>
          <w:noProof/>
        </w:rPr>
        <w:t>4</w:t>
      </w:r>
    </w:p>
    <w:p w:rsidR="0069543C" w:rsidRPr="009F2567" w:rsidRDefault="0069543C" w:rsidP="0069543C">
      <w:pPr>
        <w:jc w:val="both"/>
        <w:rPr>
          <w:rFonts w:asciiTheme="majorHAnsi" w:hAnsiTheme="majorHAnsi" w:cstheme="majorHAnsi"/>
          <w:lang w:val="de-CH"/>
        </w:rPr>
      </w:pPr>
      <w:r w:rsidRPr="009F2567">
        <w:rPr>
          <w:rFonts w:asciiTheme="majorHAnsi" w:hAnsiTheme="majorHAnsi" w:cstheme="majorHAnsi"/>
          <w:lang w:val="de-CH"/>
        </w:rPr>
        <w:t>Komuna e Skenderajt nuk është kualifikuar për grantin e performancës komunale për vitin 202</w:t>
      </w:r>
      <w:r w:rsidR="00D37DEA">
        <w:rPr>
          <w:rFonts w:asciiTheme="majorHAnsi" w:hAnsiTheme="majorHAnsi" w:cstheme="majorHAnsi"/>
          <w:lang w:val="de-CH"/>
        </w:rPr>
        <w:t>4</w:t>
      </w:r>
      <w:r w:rsidRPr="009F2567">
        <w:rPr>
          <w:rFonts w:asciiTheme="majorHAnsi" w:hAnsiTheme="majorHAnsi" w:cstheme="majorHAnsi"/>
          <w:lang w:val="de-CH"/>
        </w:rPr>
        <w:t xml:space="preserve">. </w:t>
      </w:r>
    </w:p>
    <w:p w:rsidR="0069543C" w:rsidRPr="009F2567" w:rsidRDefault="00D37DEA" w:rsidP="0069543C">
      <w:r w:rsidRPr="00D37DEA">
        <w:rPr>
          <w:rFonts w:asciiTheme="majorHAnsi" w:hAnsiTheme="majorHAnsi" w:cstheme="majorHAnsi"/>
          <w:lang w:val="de-CH"/>
        </w:rPr>
        <w:t>Kushti minimal numër 3 (opinioni i auditorit të jetë së paku i pamodifikuar me theksim të çështjes) nuk është përmbushur.</w:t>
      </w:r>
      <w:r w:rsidRPr="00D37DEA">
        <w:rPr>
          <w:rFonts w:asciiTheme="majorHAnsi" w:hAnsiTheme="majorHAnsi" w:cstheme="majorHAnsi"/>
          <w:lang w:val="de-CH"/>
        </w:rPr>
        <w:tab/>
      </w:r>
    </w:p>
    <w:p w:rsidR="0069543C" w:rsidRPr="009F2567" w:rsidRDefault="0069543C" w:rsidP="0069543C"/>
    <w:p w:rsidR="0069543C" w:rsidRDefault="0069543C" w:rsidP="0069543C"/>
    <w:p w:rsidR="00D37DEA" w:rsidRPr="009F2567" w:rsidRDefault="00D37DEA" w:rsidP="0069543C"/>
    <w:p w:rsidR="0069543C" w:rsidRPr="009F2567" w:rsidRDefault="0069543C" w:rsidP="0069543C">
      <w:pPr>
        <w:rPr>
          <w:b/>
        </w:rPr>
      </w:pPr>
      <w:r w:rsidRPr="009F2567">
        <w:rPr>
          <w:b/>
        </w:rPr>
        <w:t xml:space="preserve">Vlerësimi i treguesve të performancës për vitin </w:t>
      </w:r>
      <w:r w:rsidR="00D37DEA">
        <w:rPr>
          <w:b/>
        </w:rPr>
        <w:t>2024</w:t>
      </w:r>
    </w:p>
    <w:p w:rsidR="0069543C" w:rsidRPr="009F2567" w:rsidRDefault="00D37DEA" w:rsidP="0069543C">
      <w:pPr>
        <w:jc w:val="both"/>
        <w:rPr>
          <w:rFonts w:asciiTheme="majorHAnsi" w:hAnsiTheme="majorHAnsi" w:cstheme="majorHAnsi"/>
        </w:rPr>
      </w:pPr>
      <w:r>
        <w:rPr>
          <w:noProof/>
          <w:lang w:val="en-GB" w:eastAsia="en-GB"/>
          <w14:ligatures w14:val="standardContextual"/>
        </w:rPr>
        <w:drawing>
          <wp:anchor distT="0" distB="0" distL="114300" distR="114300" simplePos="0" relativeHeight="251864064" behindDoc="0" locked="0" layoutInCell="1" allowOverlap="1" wp14:anchorId="0542C1CB" wp14:editId="6D1148E2">
            <wp:simplePos x="0" y="0"/>
            <wp:positionH relativeFrom="margin">
              <wp:posOffset>2592705</wp:posOffset>
            </wp:positionH>
            <wp:positionV relativeFrom="margin">
              <wp:posOffset>3541395</wp:posOffset>
            </wp:positionV>
            <wp:extent cx="3336290" cy="2708910"/>
            <wp:effectExtent l="0" t="0" r="16510" b="15240"/>
            <wp:wrapSquare wrapText="bothSides"/>
            <wp:docPr id="1708941615" name="Chart 17089416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margin">
              <wp14:pctWidth>0</wp14:pctWidth>
            </wp14:sizeRelH>
            <wp14:sizeRelV relativeFrom="margin">
              <wp14:pctHeight>0</wp14:pctHeight>
            </wp14:sizeRelV>
          </wp:anchor>
        </w:drawing>
      </w:r>
      <w:r w:rsidR="0069543C" w:rsidRPr="009F2567">
        <w:rPr>
          <w:rFonts w:asciiTheme="majorHAnsi" w:hAnsiTheme="majorHAnsi" w:cstheme="majorHAnsi"/>
        </w:rPr>
        <w:t>Performanca mesatare e Komunës së Skenderaj  në 2</w:t>
      </w:r>
      <w:r>
        <w:rPr>
          <w:rFonts w:asciiTheme="majorHAnsi" w:hAnsiTheme="majorHAnsi" w:cstheme="majorHAnsi"/>
        </w:rPr>
        <w:t>9</w:t>
      </w:r>
      <w:r w:rsidR="0069543C" w:rsidRPr="009F2567">
        <w:rPr>
          <w:rFonts w:asciiTheme="majorHAnsi" w:hAnsiTheme="majorHAnsi" w:cstheme="majorHAnsi"/>
        </w:rPr>
        <w:t xml:space="preserve"> indikatorët e vlerësuar është 64 pikë nga gjithsej 9</w:t>
      </w:r>
      <w:r>
        <w:rPr>
          <w:rFonts w:asciiTheme="majorHAnsi" w:hAnsiTheme="majorHAnsi" w:cstheme="majorHAnsi"/>
        </w:rPr>
        <w:t>8</w:t>
      </w:r>
      <w:r w:rsidR="0069543C" w:rsidRPr="009F2567">
        <w:rPr>
          <w:rFonts w:asciiTheme="majorHAnsi" w:hAnsiTheme="majorHAnsi" w:cstheme="majorHAnsi"/>
        </w:rPr>
        <w:t xml:space="preserve"> pikë të mundshme (</w:t>
      </w:r>
      <w:r>
        <w:rPr>
          <w:rFonts w:asciiTheme="majorHAnsi" w:hAnsiTheme="majorHAnsi" w:cstheme="majorHAnsi"/>
        </w:rPr>
        <w:t>73.47</w:t>
      </w:r>
      <w:r w:rsidR="0069543C" w:rsidRPr="009F2567">
        <w:rPr>
          <w:rFonts w:asciiTheme="majorHAnsi" w:hAnsiTheme="majorHAnsi" w:cstheme="majorHAnsi"/>
        </w:rPr>
        <w:t>%).</w:t>
      </w:r>
      <w:r w:rsidR="0069543C" w:rsidRPr="009F2567">
        <w:rPr>
          <w:noProof/>
        </w:rPr>
        <w:t xml:space="preserve"> </w:t>
      </w:r>
    </w:p>
    <w:p w:rsidR="0069543C" w:rsidRPr="009F2567" w:rsidRDefault="006A4FD7" w:rsidP="0069543C">
      <w:pPr>
        <w:jc w:val="both"/>
        <w:rPr>
          <w:rFonts w:asciiTheme="majorHAnsi" w:hAnsiTheme="majorHAnsi" w:cstheme="majorHAnsi"/>
        </w:rPr>
      </w:pPr>
      <w:r>
        <w:rPr>
          <w:rFonts w:asciiTheme="majorHAnsi" w:hAnsiTheme="majorHAnsi" w:cstheme="majorHAnsi"/>
        </w:rPr>
        <w:t>Performanca mesatare në 13</w:t>
      </w:r>
      <w:r w:rsidR="0069543C" w:rsidRPr="009F2567">
        <w:rPr>
          <w:rFonts w:asciiTheme="majorHAnsi" w:hAnsiTheme="majorHAnsi" w:cstheme="majorHAnsi"/>
        </w:rPr>
        <w:t xml:space="preserve"> treguesit e vlerësuar në kuadër të fushës ‘Qeverisja demokratike’ është 3</w:t>
      </w:r>
      <w:r w:rsidR="00D37DEA">
        <w:rPr>
          <w:rFonts w:asciiTheme="majorHAnsi" w:hAnsiTheme="majorHAnsi" w:cstheme="majorHAnsi"/>
        </w:rPr>
        <w:t>7</w:t>
      </w:r>
      <w:r w:rsidR="0069543C" w:rsidRPr="009F2567">
        <w:rPr>
          <w:rFonts w:asciiTheme="majorHAnsi" w:hAnsiTheme="majorHAnsi" w:cstheme="majorHAnsi"/>
        </w:rPr>
        <w:t xml:space="preserve"> pikë nga gjithsej </w:t>
      </w:r>
      <w:r w:rsidR="00486F4B">
        <w:rPr>
          <w:rFonts w:asciiTheme="majorHAnsi" w:hAnsiTheme="majorHAnsi" w:cstheme="majorHAnsi"/>
        </w:rPr>
        <w:t>40</w:t>
      </w:r>
      <w:r w:rsidR="0069543C" w:rsidRPr="009F2567">
        <w:rPr>
          <w:rFonts w:asciiTheme="majorHAnsi" w:hAnsiTheme="majorHAnsi" w:cstheme="majorHAnsi"/>
        </w:rPr>
        <w:t xml:space="preserve"> pikët të mundshme (</w:t>
      </w:r>
      <w:r w:rsidR="00D37DEA">
        <w:rPr>
          <w:rFonts w:asciiTheme="majorHAnsi" w:hAnsiTheme="majorHAnsi" w:cstheme="majorHAnsi"/>
        </w:rPr>
        <w:t>92.50</w:t>
      </w:r>
      <w:r w:rsidR="0069543C" w:rsidRPr="009F2567">
        <w:rPr>
          <w:rFonts w:asciiTheme="majorHAnsi" w:hAnsiTheme="majorHAnsi" w:cstheme="majorHAnsi"/>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w:t>
      </w:r>
      <w:r w:rsidR="006A4FD7">
        <w:rPr>
          <w:rFonts w:asciiTheme="majorHAnsi" w:hAnsiTheme="majorHAnsi" w:cstheme="majorHAnsi"/>
        </w:rPr>
        <w:t>7</w:t>
      </w:r>
      <w:r w:rsidRPr="009F2567">
        <w:rPr>
          <w:rFonts w:asciiTheme="majorHAnsi" w:hAnsiTheme="majorHAnsi" w:cstheme="majorHAnsi"/>
        </w:rPr>
        <w:t xml:space="preserve"> treguesit e vlerësuar në kuadër të fushës ‘Menaxhimi Komunal’ është 1</w:t>
      </w:r>
      <w:r w:rsidR="00D37DEA">
        <w:rPr>
          <w:rFonts w:asciiTheme="majorHAnsi" w:hAnsiTheme="majorHAnsi" w:cstheme="majorHAnsi"/>
        </w:rPr>
        <w:t>5</w:t>
      </w:r>
      <w:r w:rsidRPr="009F2567">
        <w:rPr>
          <w:rFonts w:asciiTheme="majorHAnsi" w:hAnsiTheme="majorHAnsi" w:cstheme="majorHAnsi"/>
        </w:rPr>
        <w:t xml:space="preserve"> pikë nga gjithsej 2</w:t>
      </w:r>
      <w:r w:rsidR="00486F4B">
        <w:rPr>
          <w:rFonts w:asciiTheme="majorHAnsi" w:hAnsiTheme="majorHAnsi" w:cstheme="majorHAnsi"/>
        </w:rPr>
        <w:t>8</w:t>
      </w:r>
      <w:r w:rsidRPr="009F2567">
        <w:rPr>
          <w:rFonts w:asciiTheme="majorHAnsi" w:hAnsiTheme="majorHAnsi" w:cstheme="majorHAnsi"/>
        </w:rPr>
        <w:t xml:space="preserve"> pikë të mundshme (</w:t>
      </w:r>
      <w:r w:rsidR="00D37DEA">
        <w:rPr>
          <w:rFonts w:asciiTheme="majorHAnsi" w:hAnsiTheme="majorHAnsi" w:cstheme="majorHAnsi"/>
        </w:rPr>
        <w:t>53.57</w:t>
      </w:r>
      <w:r w:rsidRPr="009F2567">
        <w:rPr>
          <w:rFonts w:asciiTheme="majorHAnsi" w:hAnsiTheme="majorHAnsi" w:cstheme="majorHAnsi"/>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w:t>
      </w:r>
      <w:r w:rsidR="00D37DEA">
        <w:rPr>
          <w:rFonts w:asciiTheme="majorHAnsi" w:hAnsiTheme="majorHAnsi" w:cstheme="majorHAnsi"/>
        </w:rPr>
        <w:t>9</w:t>
      </w:r>
      <w:r w:rsidRPr="009F2567">
        <w:rPr>
          <w:rFonts w:asciiTheme="majorHAnsi" w:hAnsiTheme="majorHAnsi" w:cstheme="majorHAnsi"/>
        </w:rPr>
        <w:t xml:space="preserve"> treguesit e vlerësuar në kuadër të fushës ‘Ofrimi i shërbimeve’ është </w:t>
      </w:r>
      <w:r w:rsidR="00D37DEA">
        <w:rPr>
          <w:rFonts w:asciiTheme="majorHAnsi" w:hAnsiTheme="majorHAnsi" w:cstheme="majorHAnsi"/>
        </w:rPr>
        <w:t>20</w:t>
      </w:r>
      <w:r w:rsidRPr="009F2567">
        <w:rPr>
          <w:rFonts w:asciiTheme="majorHAnsi" w:hAnsiTheme="majorHAnsi" w:cstheme="majorHAnsi"/>
        </w:rPr>
        <w:t xml:space="preserve"> pikë nga gjithsej </w:t>
      </w:r>
      <w:r w:rsidR="00486F4B">
        <w:rPr>
          <w:rFonts w:asciiTheme="majorHAnsi" w:hAnsiTheme="majorHAnsi" w:cstheme="majorHAnsi"/>
        </w:rPr>
        <w:t>30</w:t>
      </w:r>
      <w:r w:rsidRPr="009F2567">
        <w:rPr>
          <w:rFonts w:asciiTheme="majorHAnsi" w:hAnsiTheme="majorHAnsi" w:cstheme="majorHAnsi"/>
        </w:rPr>
        <w:t xml:space="preserve"> pikë të mundshme (</w:t>
      </w:r>
      <w:r w:rsidR="00D37DEA">
        <w:rPr>
          <w:rFonts w:asciiTheme="majorHAnsi" w:hAnsiTheme="majorHAnsi" w:cstheme="majorHAnsi"/>
        </w:rPr>
        <w:t>66.67</w:t>
      </w:r>
      <w:r w:rsidRPr="009F2567">
        <w:rPr>
          <w:rFonts w:asciiTheme="majorHAnsi" w:hAnsiTheme="majorHAnsi" w:cstheme="majorHAnsi"/>
        </w:rPr>
        <w:t xml:space="preserve">%). </w:t>
      </w:r>
    </w:p>
    <w:p w:rsidR="0069543C" w:rsidRPr="009F2567" w:rsidRDefault="0069543C" w:rsidP="0069543C"/>
    <w:p w:rsidR="0069543C" w:rsidRPr="009F2567" w:rsidRDefault="0069543C" w:rsidP="0069543C">
      <w:pPr>
        <w:jc w:val="both"/>
      </w:pPr>
    </w:p>
    <w:p w:rsidR="0069543C" w:rsidRPr="009F2567" w:rsidRDefault="0069543C" w:rsidP="0069543C"/>
    <w:p w:rsidR="0069543C" w:rsidRPr="009F2567" w:rsidRDefault="0069543C" w:rsidP="0069543C">
      <w:pPr>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asciiTheme="majorHAnsi" w:eastAsiaTheme="majorEastAsia" w:hAnsiTheme="majorHAnsi" w:cstheme="majorBidi"/>
          <w:b/>
          <w:noProof/>
          <w:lang w:val="de-CH"/>
        </w:rPr>
      </w:pPr>
      <w:r w:rsidRPr="009F2567">
        <w:rPr>
          <w:rFonts w:asciiTheme="majorHAnsi" w:eastAsiaTheme="majorEastAsia" w:hAnsiTheme="majorHAnsi" w:cstheme="majorBidi"/>
          <w:b/>
          <w:noProof/>
          <w:lang w:val="de-CH"/>
        </w:rPr>
        <w:lastRenderedPageBreak/>
        <w:t>Përmbledhje e rezultateve për vitin 202</w:t>
      </w:r>
      <w:r w:rsidR="00D37DEA">
        <w:rPr>
          <w:rFonts w:asciiTheme="majorHAnsi" w:eastAsiaTheme="majorEastAsia" w:hAnsiTheme="majorHAnsi" w:cstheme="majorBidi"/>
          <w:b/>
          <w:noProof/>
          <w:lang w:val="de-CH"/>
        </w:rPr>
        <w:t>4</w:t>
      </w:r>
      <w:r w:rsidRPr="009F2567">
        <w:rPr>
          <w:rFonts w:asciiTheme="majorHAnsi" w:eastAsiaTheme="majorEastAsia" w:hAnsiTheme="majorHAnsi" w:cstheme="majorBidi"/>
          <w:b/>
          <w:noProof/>
          <w:lang w:val="de-CH"/>
        </w:rPr>
        <w:t xml:space="preserve"> për grantin e performancës komunale - Komuna Suharekë</w:t>
      </w:r>
    </w:p>
    <w:p w:rsidR="0069543C" w:rsidRPr="009F2567" w:rsidRDefault="0069543C" w:rsidP="0069543C">
      <w:r w:rsidRPr="009F2567">
        <w:rPr>
          <w:rFonts w:asciiTheme="majorHAnsi" w:eastAsiaTheme="majorEastAsia" w:hAnsiTheme="majorHAnsi" w:cstheme="majorBidi"/>
          <w:b/>
          <w:noProof/>
        </w:rPr>
        <w:t>Vlerësimi i kushteve minimale për vitin 202</w:t>
      </w:r>
      <w:r w:rsidR="00D37DEA">
        <w:rPr>
          <w:rFonts w:asciiTheme="majorHAnsi" w:eastAsiaTheme="majorEastAsia" w:hAnsiTheme="majorHAnsi" w:cstheme="majorBidi"/>
          <w:b/>
          <w:noProof/>
        </w:rPr>
        <w:t>4</w:t>
      </w:r>
      <w:r w:rsidRPr="009F2567">
        <w:rPr>
          <w:rFonts w:asciiTheme="majorHAnsi" w:eastAsiaTheme="majorEastAsia" w:hAnsiTheme="majorHAnsi" w:cstheme="majorBidi"/>
          <w:b/>
          <w:noProof/>
        </w:rPr>
        <w:br/>
      </w:r>
    </w:p>
    <w:p w:rsidR="0069543C" w:rsidRPr="009F2567" w:rsidRDefault="0069543C" w:rsidP="0069543C">
      <w:pPr>
        <w:jc w:val="both"/>
        <w:rPr>
          <w:rFonts w:asciiTheme="majorHAnsi" w:hAnsiTheme="majorHAnsi" w:cstheme="majorHAnsi"/>
          <w:lang w:val="de-CH"/>
        </w:rPr>
      </w:pPr>
      <w:r w:rsidRPr="009F2567">
        <w:rPr>
          <w:noProof/>
          <w:lang w:val="en-GB" w:eastAsia="en-GB"/>
        </w:rPr>
        <w:drawing>
          <wp:anchor distT="0" distB="0" distL="114300" distR="114300" simplePos="0" relativeHeight="251707392" behindDoc="0" locked="0" layoutInCell="1" allowOverlap="1" wp14:anchorId="55ACB7E2" wp14:editId="43C638A5">
            <wp:simplePos x="0" y="0"/>
            <wp:positionH relativeFrom="margin">
              <wp:align>right</wp:align>
            </wp:positionH>
            <wp:positionV relativeFrom="paragraph">
              <wp:posOffset>6985</wp:posOffset>
            </wp:positionV>
            <wp:extent cx="3187700" cy="1971675"/>
            <wp:effectExtent l="0" t="0" r="12700" b="9525"/>
            <wp:wrapSquare wrapText="bothSides"/>
            <wp:docPr id="216" name="Chart 2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margin">
              <wp14:pctWidth>0</wp14:pctWidth>
            </wp14:sizeRelH>
            <wp14:sizeRelV relativeFrom="margin">
              <wp14:pctHeight>0</wp14:pctHeight>
            </wp14:sizeRelV>
          </wp:anchor>
        </w:drawing>
      </w:r>
      <w:r w:rsidRPr="009F2567">
        <w:rPr>
          <w:rFonts w:asciiTheme="majorHAnsi" w:hAnsiTheme="majorHAnsi" w:cstheme="majorHAnsi"/>
          <w:lang w:val="de-CH"/>
        </w:rPr>
        <w:t>Komuna e Suharekës</w:t>
      </w:r>
      <w:r w:rsidR="00D37DEA">
        <w:rPr>
          <w:rFonts w:asciiTheme="majorHAnsi" w:hAnsiTheme="majorHAnsi" w:cstheme="majorHAnsi"/>
          <w:lang w:val="de-CH"/>
        </w:rPr>
        <w:t xml:space="preserve"> nuk</w:t>
      </w:r>
      <w:r w:rsidRPr="009F2567">
        <w:rPr>
          <w:rFonts w:asciiTheme="majorHAnsi" w:hAnsiTheme="majorHAnsi" w:cstheme="majorHAnsi"/>
          <w:lang w:val="de-CH"/>
        </w:rPr>
        <w:t xml:space="preserve"> është kualifikuar për grantin e performancës komunale për vitin 202</w:t>
      </w:r>
      <w:r w:rsidR="00D37DEA">
        <w:rPr>
          <w:rFonts w:asciiTheme="majorHAnsi" w:hAnsiTheme="majorHAnsi" w:cstheme="majorHAnsi"/>
          <w:lang w:val="de-CH"/>
        </w:rPr>
        <w:t>4</w:t>
      </w:r>
      <w:r w:rsidRPr="009F2567">
        <w:rPr>
          <w:rFonts w:asciiTheme="majorHAnsi" w:hAnsiTheme="majorHAnsi" w:cstheme="majorHAnsi"/>
          <w:lang w:val="de-CH"/>
        </w:rPr>
        <w:t>.</w:t>
      </w:r>
    </w:p>
    <w:p w:rsidR="0069543C" w:rsidRPr="009F2567" w:rsidRDefault="00D37DEA" w:rsidP="0069543C">
      <w:pPr>
        <w:tabs>
          <w:tab w:val="left" w:pos="1190"/>
        </w:tabs>
      </w:pPr>
      <w:r w:rsidRPr="00D37DEA">
        <w:rPr>
          <w:rFonts w:asciiTheme="majorHAnsi" w:hAnsiTheme="majorHAnsi" w:cstheme="majorHAnsi"/>
          <w:lang w:val="de-CH"/>
        </w:rPr>
        <w:t>Kushti minimal numër 3 (opinioni i auditorit të jetë së paku i pamodifikuar me theksim të çështjes) nuk është përmbushur.</w:t>
      </w:r>
      <w:r w:rsidR="0069543C" w:rsidRPr="009F2567">
        <w:rPr>
          <w:b/>
        </w:rPr>
        <w:tab/>
      </w:r>
    </w:p>
    <w:p w:rsidR="0069543C" w:rsidRPr="009F2567" w:rsidRDefault="0069543C" w:rsidP="0069543C">
      <w:pPr>
        <w:rPr>
          <w:b/>
        </w:rPr>
      </w:pPr>
    </w:p>
    <w:p w:rsidR="0069543C" w:rsidRPr="009F2567" w:rsidRDefault="0069543C" w:rsidP="0069543C">
      <w:pPr>
        <w:rPr>
          <w:b/>
        </w:rPr>
      </w:pPr>
    </w:p>
    <w:p w:rsidR="005368B1" w:rsidRDefault="005368B1" w:rsidP="0069543C">
      <w:pPr>
        <w:rPr>
          <w:b/>
        </w:rPr>
      </w:pPr>
    </w:p>
    <w:p w:rsidR="005368B1" w:rsidRPr="009F2567" w:rsidRDefault="005368B1" w:rsidP="0069543C">
      <w:pPr>
        <w:rPr>
          <w:b/>
        </w:rPr>
      </w:pPr>
    </w:p>
    <w:p w:rsidR="0069543C" w:rsidRPr="009F2567" w:rsidRDefault="0069543C" w:rsidP="0069543C">
      <w:pPr>
        <w:rPr>
          <w:b/>
        </w:rPr>
      </w:pPr>
      <w:r w:rsidRPr="009F2567">
        <w:rPr>
          <w:b/>
        </w:rPr>
        <w:t>Vlerësimi i treguesve të performancës për vitin 202</w:t>
      </w:r>
      <w:r w:rsidR="00D37DEA">
        <w:rPr>
          <w:b/>
        </w:rPr>
        <w:t>4</w:t>
      </w:r>
    </w:p>
    <w:p w:rsidR="0069543C" w:rsidRPr="009F2567" w:rsidRDefault="00D37DEA" w:rsidP="0069543C">
      <w:pPr>
        <w:jc w:val="both"/>
        <w:rPr>
          <w:rFonts w:asciiTheme="majorHAnsi" w:hAnsiTheme="majorHAnsi" w:cstheme="majorHAnsi"/>
        </w:rPr>
      </w:pPr>
      <w:r>
        <w:rPr>
          <w:noProof/>
          <w:lang w:val="en-GB" w:eastAsia="en-GB"/>
          <w14:ligatures w14:val="standardContextual"/>
        </w:rPr>
        <w:drawing>
          <wp:anchor distT="0" distB="0" distL="114300" distR="114300" simplePos="0" relativeHeight="251865088" behindDoc="0" locked="0" layoutInCell="1" allowOverlap="1" wp14:anchorId="049E93DA" wp14:editId="529AC9F1">
            <wp:simplePos x="0" y="0"/>
            <wp:positionH relativeFrom="margin">
              <wp:align>right</wp:align>
            </wp:positionH>
            <wp:positionV relativeFrom="margin">
              <wp:posOffset>4292069</wp:posOffset>
            </wp:positionV>
            <wp:extent cx="3376295" cy="2456180"/>
            <wp:effectExtent l="0" t="0" r="14605" b="1270"/>
            <wp:wrapSquare wrapText="bothSides"/>
            <wp:docPr id="1708941616" name="Chart 17089416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margin">
              <wp14:pctWidth>0</wp14:pctWidth>
            </wp14:sizeRelH>
            <wp14:sizeRelV relativeFrom="margin">
              <wp14:pctHeight>0</wp14:pctHeight>
            </wp14:sizeRelV>
          </wp:anchor>
        </w:drawing>
      </w:r>
      <w:r w:rsidR="0069543C" w:rsidRPr="009F2567">
        <w:rPr>
          <w:rFonts w:asciiTheme="majorHAnsi" w:hAnsiTheme="majorHAnsi" w:cstheme="majorHAnsi"/>
        </w:rPr>
        <w:t>Performanca mesatare e Komunës së Suharekës  në 2</w:t>
      </w:r>
      <w:r>
        <w:rPr>
          <w:rFonts w:asciiTheme="majorHAnsi" w:hAnsiTheme="majorHAnsi" w:cstheme="majorHAnsi"/>
        </w:rPr>
        <w:t>9</w:t>
      </w:r>
      <w:r w:rsidR="0069543C" w:rsidRPr="009F2567">
        <w:rPr>
          <w:rFonts w:asciiTheme="majorHAnsi" w:hAnsiTheme="majorHAnsi" w:cstheme="majorHAnsi"/>
        </w:rPr>
        <w:t xml:space="preserve"> indikatorët e vlerësuar është </w:t>
      </w:r>
      <w:r>
        <w:rPr>
          <w:rFonts w:asciiTheme="majorHAnsi" w:hAnsiTheme="majorHAnsi" w:cstheme="majorHAnsi"/>
        </w:rPr>
        <w:t>58</w:t>
      </w:r>
      <w:r w:rsidR="0069543C" w:rsidRPr="009F2567">
        <w:rPr>
          <w:rFonts w:asciiTheme="majorHAnsi" w:hAnsiTheme="majorHAnsi" w:cstheme="majorHAnsi"/>
        </w:rPr>
        <w:t xml:space="preserve"> pikë nga gjithsej 9</w:t>
      </w:r>
      <w:r>
        <w:rPr>
          <w:rFonts w:asciiTheme="majorHAnsi" w:hAnsiTheme="majorHAnsi" w:cstheme="majorHAnsi"/>
        </w:rPr>
        <w:t>8</w:t>
      </w:r>
      <w:r w:rsidR="0069543C" w:rsidRPr="009F2567">
        <w:rPr>
          <w:rFonts w:asciiTheme="majorHAnsi" w:hAnsiTheme="majorHAnsi" w:cstheme="majorHAnsi"/>
        </w:rPr>
        <w:t xml:space="preserve"> pikë të mundshme (</w:t>
      </w:r>
      <w:r>
        <w:rPr>
          <w:rFonts w:asciiTheme="majorHAnsi" w:hAnsiTheme="majorHAnsi" w:cstheme="majorHAnsi"/>
        </w:rPr>
        <w:t>59.18</w:t>
      </w:r>
      <w:r w:rsidR="0069543C" w:rsidRPr="009F2567">
        <w:rPr>
          <w:rFonts w:asciiTheme="majorHAnsi" w:hAnsiTheme="majorHAnsi" w:cstheme="majorHAnsi"/>
        </w:rPr>
        <w:t>%).</w:t>
      </w:r>
      <w:r w:rsidR="0069543C" w:rsidRPr="009F2567">
        <w:rPr>
          <w:noProof/>
        </w:rPr>
        <w:t xml:space="preserve"> </w:t>
      </w:r>
    </w:p>
    <w:p w:rsidR="0069543C" w:rsidRPr="009F2567" w:rsidRDefault="006A4FD7" w:rsidP="0069543C">
      <w:pPr>
        <w:jc w:val="both"/>
        <w:rPr>
          <w:rFonts w:asciiTheme="majorHAnsi" w:hAnsiTheme="majorHAnsi" w:cstheme="majorHAnsi"/>
        </w:rPr>
      </w:pPr>
      <w:r>
        <w:rPr>
          <w:rFonts w:asciiTheme="majorHAnsi" w:hAnsiTheme="majorHAnsi" w:cstheme="majorHAnsi"/>
        </w:rPr>
        <w:t>Performanca mesatare në 13</w:t>
      </w:r>
      <w:r w:rsidR="0069543C" w:rsidRPr="009F2567">
        <w:rPr>
          <w:rFonts w:asciiTheme="majorHAnsi" w:hAnsiTheme="majorHAnsi" w:cstheme="majorHAnsi"/>
        </w:rPr>
        <w:t xml:space="preserve"> treguesit e vlerësuar në kuadër të fushës ‘Qeverisja demokratike’ është 33 pikë nga gjithsej </w:t>
      </w:r>
      <w:r w:rsidR="00486F4B">
        <w:rPr>
          <w:rFonts w:asciiTheme="majorHAnsi" w:hAnsiTheme="majorHAnsi" w:cstheme="majorHAnsi"/>
        </w:rPr>
        <w:t>40</w:t>
      </w:r>
      <w:r w:rsidR="0069543C" w:rsidRPr="009F2567">
        <w:rPr>
          <w:rFonts w:asciiTheme="majorHAnsi" w:hAnsiTheme="majorHAnsi" w:cstheme="majorHAnsi"/>
        </w:rPr>
        <w:t xml:space="preserve"> pikët të mundshme (</w:t>
      </w:r>
      <w:r w:rsidR="00D37DEA">
        <w:rPr>
          <w:rFonts w:asciiTheme="majorHAnsi" w:hAnsiTheme="majorHAnsi" w:cstheme="majorHAnsi"/>
        </w:rPr>
        <w:t>82.50</w:t>
      </w:r>
      <w:r w:rsidR="0069543C" w:rsidRPr="009F2567">
        <w:rPr>
          <w:rFonts w:asciiTheme="majorHAnsi" w:hAnsiTheme="majorHAnsi" w:cstheme="majorHAnsi"/>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w:t>
      </w:r>
      <w:r w:rsidR="006A4FD7">
        <w:rPr>
          <w:rFonts w:asciiTheme="majorHAnsi" w:hAnsiTheme="majorHAnsi" w:cstheme="majorHAnsi"/>
        </w:rPr>
        <w:t xml:space="preserve">7 </w:t>
      </w:r>
      <w:r w:rsidRPr="009F2567">
        <w:rPr>
          <w:rFonts w:asciiTheme="majorHAnsi" w:hAnsiTheme="majorHAnsi" w:cstheme="majorHAnsi"/>
        </w:rPr>
        <w:t>treguesit e vlerësuar në kuadër të fushës ‘Menaxhimi Komunal’ është 1</w:t>
      </w:r>
      <w:r w:rsidR="00D37DEA">
        <w:rPr>
          <w:rFonts w:asciiTheme="majorHAnsi" w:hAnsiTheme="majorHAnsi" w:cstheme="majorHAnsi"/>
        </w:rPr>
        <w:t>3</w:t>
      </w:r>
      <w:r w:rsidRPr="009F2567">
        <w:rPr>
          <w:rFonts w:asciiTheme="majorHAnsi" w:hAnsiTheme="majorHAnsi" w:cstheme="majorHAnsi"/>
        </w:rPr>
        <w:t xml:space="preserve"> pikë nga gjithsej 2</w:t>
      </w:r>
      <w:r w:rsidR="00486F4B">
        <w:rPr>
          <w:rFonts w:asciiTheme="majorHAnsi" w:hAnsiTheme="majorHAnsi" w:cstheme="majorHAnsi"/>
        </w:rPr>
        <w:t>8</w:t>
      </w:r>
      <w:r w:rsidRPr="009F2567">
        <w:rPr>
          <w:rFonts w:asciiTheme="majorHAnsi" w:hAnsiTheme="majorHAnsi" w:cstheme="majorHAnsi"/>
        </w:rPr>
        <w:t xml:space="preserve"> pikë të mundshme (</w:t>
      </w:r>
      <w:r w:rsidR="00D37DEA">
        <w:rPr>
          <w:rFonts w:asciiTheme="majorHAnsi" w:hAnsiTheme="majorHAnsi" w:cstheme="majorHAnsi"/>
        </w:rPr>
        <w:t>46.43</w:t>
      </w:r>
      <w:r w:rsidRPr="009F2567">
        <w:rPr>
          <w:rFonts w:asciiTheme="majorHAnsi" w:hAnsiTheme="majorHAnsi" w:cstheme="majorHAnsi"/>
        </w:rPr>
        <w:t xml:space="preserve">%). </w:t>
      </w:r>
    </w:p>
    <w:p w:rsidR="0069543C" w:rsidRPr="009F2567" w:rsidRDefault="006A4FD7" w:rsidP="0069543C">
      <w:pPr>
        <w:jc w:val="both"/>
        <w:rPr>
          <w:rFonts w:asciiTheme="majorHAnsi" w:hAnsiTheme="majorHAnsi" w:cstheme="majorHAnsi"/>
        </w:rPr>
      </w:pPr>
      <w:r>
        <w:rPr>
          <w:rFonts w:asciiTheme="majorHAnsi" w:hAnsiTheme="majorHAnsi" w:cstheme="majorHAnsi"/>
        </w:rPr>
        <w:t>Performanca mesatare në 9</w:t>
      </w:r>
      <w:r w:rsidR="0069543C" w:rsidRPr="009F2567">
        <w:rPr>
          <w:rFonts w:asciiTheme="majorHAnsi" w:hAnsiTheme="majorHAnsi" w:cstheme="majorHAnsi"/>
        </w:rPr>
        <w:t xml:space="preserve"> treguesit e vlerësuar në kuadër të fushës ‘Ofrimi i shërbimeve’ është </w:t>
      </w:r>
      <w:r w:rsidR="00D37DEA">
        <w:rPr>
          <w:rFonts w:asciiTheme="majorHAnsi" w:hAnsiTheme="majorHAnsi" w:cstheme="majorHAnsi"/>
        </w:rPr>
        <w:t>12</w:t>
      </w:r>
      <w:r w:rsidR="0069543C" w:rsidRPr="009F2567">
        <w:rPr>
          <w:rFonts w:asciiTheme="majorHAnsi" w:hAnsiTheme="majorHAnsi" w:cstheme="majorHAnsi"/>
        </w:rPr>
        <w:t xml:space="preserve"> pikë nga gjithsej </w:t>
      </w:r>
      <w:r w:rsidR="00486F4B">
        <w:rPr>
          <w:rFonts w:asciiTheme="majorHAnsi" w:hAnsiTheme="majorHAnsi" w:cstheme="majorHAnsi"/>
        </w:rPr>
        <w:t>30</w:t>
      </w:r>
      <w:r w:rsidR="0069543C" w:rsidRPr="009F2567">
        <w:rPr>
          <w:rFonts w:asciiTheme="majorHAnsi" w:hAnsiTheme="majorHAnsi" w:cstheme="majorHAnsi"/>
        </w:rPr>
        <w:t xml:space="preserve"> pikë të mundshme (</w:t>
      </w:r>
      <w:r w:rsidR="00D37DEA">
        <w:rPr>
          <w:rFonts w:asciiTheme="majorHAnsi" w:hAnsiTheme="majorHAnsi" w:cstheme="majorHAnsi"/>
        </w:rPr>
        <w:t>40.00</w:t>
      </w:r>
      <w:r w:rsidR="0069543C" w:rsidRPr="009F2567">
        <w:rPr>
          <w:rFonts w:asciiTheme="majorHAnsi" w:hAnsiTheme="majorHAnsi" w:cstheme="majorHAnsi"/>
        </w:rPr>
        <w:t xml:space="preserve">%). </w:t>
      </w:r>
    </w:p>
    <w:p w:rsidR="0069543C" w:rsidRPr="009F2567" w:rsidRDefault="0069543C" w:rsidP="0069543C"/>
    <w:p w:rsidR="0069543C" w:rsidRPr="009F2567" w:rsidRDefault="0069543C" w:rsidP="0069543C">
      <w:pPr>
        <w:jc w:val="both"/>
        <w:rPr>
          <w:rFonts w:asciiTheme="majorHAnsi" w:hAnsiTheme="majorHAnsi" w:cstheme="majorHAnsi"/>
        </w:rPr>
      </w:pPr>
    </w:p>
    <w:p w:rsidR="0069543C" w:rsidRPr="009F2567" w:rsidRDefault="0069543C" w:rsidP="0069543C">
      <w:pPr>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asciiTheme="majorHAnsi" w:eastAsiaTheme="majorEastAsia" w:hAnsiTheme="majorHAnsi" w:cstheme="majorBidi"/>
          <w:b/>
          <w:noProof/>
          <w:lang w:val="de-CH"/>
        </w:rPr>
      </w:pPr>
      <w:r w:rsidRPr="009F2567">
        <w:rPr>
          <w:rFonts w:asciiTheme="majorHAnsi" w:eastAsiaTheme="majorEastAsia" w:hAnsiTheme="majorHAnsi" w:cstheme="majorBidi"/>
          <w:b/>
          <w:noProof/>
          <w:lang w:val="de-CH"/>
        </w:rPr>
        <w:lastRenderedPageBreak/>
        <w:t>Përmbledhje e rezultateve për vitin 202</w:t>
      </w:r>
      <w:r w:rsidR="00D37DEA">
        <w:rPr>
          <w:rFonts w:asciiTheme="majorHAnsi" w:eastAsiaTheme="majorEastAsia" w:hAnsiTheme="majorHAnsi" w:cstheme="majorBidi"/>
          <w:b/>
          <w:noProof/>
          <w:lang w:val="de-CH"/>
        </w:rPr>
        <w:t xml:space="preserve">4 </w:t>
      </w:r>
      <w:r w:rsidRPr="009F2567">
        <w:rPr>
          <w:rFonts w:asciiTheme="majorHAnsi" w:eastAsiaTheme="majorEastAsia" w:hAnsiTheme="majorHAnsi" w:cstheme="majorBidi"/>
          <w:b/>
          <w:noProof/>
          <w:lang w:val="de-CH"/>
        </w:rPr>
        <w:t>për grantin e performancës komunale - Komuna Viti</w:t>
      </w:r>
    </w:p>
    <w:p w:rsidR="0069543C" w:rsidRPr="009F2567" w:rsidRDefault="0069543C" w:rsidP="0069543C">
      <w:r w:rsidRPr="009F2567">
        <w:rPr>
          <w:noProof/>
          <w:lang w:val="en-GB" w:eastAsia="en-GB"/>
        </w:rPr>
        <w:drawing>
          <wp:anchor distT="0" distB="0" distL="114300" distR="114300" simplePos="0" relativeHeight="251708416" behindDoc="0" locked="0" layoutInCell="1" allowOverlap="1" wp14:anchorId="4B412E08" wp14:editId="5202950E">
            <wp:simplePos x="0" y="0"/>
            <wp:positionH relativeFrom="margin">
              <wp:align>right</wp:align>
            </wp:positionH>
            <wp:positionV relativeFrom="paragraph">
              <wp:posOffset>246987</wp:posOffset>
            </wp:positionV>
            <wp:extent cx="3037398" cy="2216150"/>
            <wp:effectExtent l="0" t="0" r="10795" b="12700"/>
            <wp:wrapSquare wrapText="bothSides"/>
            <wp:docPr id="218" name="Chart 2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2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margin">
              <wp14:pctWidth>0</wp14:pctWidth>
            </wp14:sizeRelH>
            <wp14:sizeRelV relativeFrom="margin">
              <wp14:pctHeight>0</wp14:pctHeight>
            </wp14:sizeRelV>
          </wp:anchor>
        </w:drawing>
      </w:r>
      <w:r w:rsidRPr="009F2567">
        <w:rPr>
          <w:rFonts w:asciiTheme="majorHAnsi" w:eastAsiaTheme="majorEastAsia" w:hAnsiTheme="majorHAnsi" w:cstheme="majorBidi"/>
          <w:b/>
          <w:noProof/>
        </w:rPr>
        <w:t>Vlerësimi i kushteve minimale për vitin 202</w:t>
      </w:r>
      <w:r w:rsidR="00D37DEA">
        <w:rPr>
          <w:rFonts w:asciiTheme="majorHAnsi" w:eastAsiaTheme="majorEastAsia" w:hAnsiTheme="majorHAnsi" w:cstheme="majorBidi"/>
          <w:b/>
          <w:noProof/>
        </w:rPr>
        <w:t>4</w:t>
      </w:r>
    </w:p>
    <w:p w:rsidR="0069543C" w:rsidRPr="009F2567" w:rsidRDefault="0069543C" w:rsidP="0069543C">
      <w:pPr>
        <w:jc w:val="both"/>
        <w:rPr>
          <w:rFonts w:asciiTheme="majorHAnsi" w:hAnsiTheme="majorHAnsi" w:cstheme="majorHAnsi"/>
          <w:noProof/>
          <w:lang w:eastAsia="sr-Latn-RS"/>
        </w:rPr>
      </w:pPr>
      <w:r w:rsidRPr="009F2567">
        <w:rPr>
          <w:rFonts w:asciiTheme="majorHAnsi" w:hAnsiTheme="majorHAnsi" w:cstheme="majorHAnsi"/>
          <w:lang w:val="de-CH"/>
        </w:rPr>
        <w:t>Komuna e Vitis</w:t>
      </w:r>
      <w:r w:rsidRPr="009F2567">
        <w:rPr>
          <w:rFonts w:asciiTheme="majorHAnsi" w:hAnsiTheme="majorHAnsi" w:cstheme="majorHAnsi"/>
        </w:rPr>
        <w:t>ë</w:t>
      </w:r>
      <w:r w:rsidR="002333AC" w:rsidRPr="009F2567">
        <w:rPr>
          <w:rFonts w:asciiTheme="majorHAnsi" w:hAnsiTheme="majorHAnsi" w:cstheme="majorHAnsi"/>
        </w:rPr>
        <w:t xml:space="preserve"> nuk</w:t>
      </w:r>
      <w:r w:rsidRPr="009F2567">
        <w:rPr>
          <w:rFonts w:asciiTheme="majorHAnsi" w:hAnsiTheme="majorHAnsi" w:cstheme="majorHAnsi"/>
          <w:lang w:val="de-CH"/>
        </w:rPr>
        <w:t xml:space="preserve"> është kualifikuar për grantin e performancës komunale për vitin 202</w:t>
      </w:r>
      <w:r w:rsidR="00D37DEA">
        <w:rPr>
          <w:rFonts w:asciiTheme="majorHAnsi" w:hAnsiTheme="majorHAnsi" w:cstheme="majorHAnsi"/>
          <w:lang w:val="de-CH"/>
        </w:rPr>
        <w:t>4</w:t>
      </w:r>
      <w:r w:rsidRPr="009F2567">
        <w:rPr>
          <w:rFonts w:asciiTheme="majorHAnsi" w:hAnsiTheme="majorHAnsi" w:cstheme="majorHAnsi"/>
          <w:lang w:val="de-CH"/>
        </w:rPr>
        <w:t xml:space="preserve">. </w:t>
      </w:r>
      <w:r w:rsidRPr="009F2567">
        <w:rPr>
          <w:rFonts w:asciiTheme="majorHAnsi" w:hAnsiTheme="majorHAnsi" w:cstheme="majorHAnsi"/>
          <w:noProof/>
          <w:lang w:eastAsia="sr-Latn-RS"/>
        </w:rPr>
        <w:t xml:space="preserve"> </w:t>
      </w:r>
    </w:p>
    <w:p w:rsidR="0069543C" w:rsidRPr="009F2567" w:rsidRDefault="0069543C" w:rsidP="0069543C">
      <w:pPr>
        <w:rPr>
          <w:rFonts w:asciiTheme="majorHAnsi" w:hAnsiTheme="majorHAnsi" w:cstheme="majorHAnsi"/>
          <w:lang w:val="de-CH"/>
        </w:rPr>
      </w:pPr>
    </w:p>
    <w:p w:rsidR="0069543C" w:rsidRPr="009F2567" w:rsidRDefault="002333AC" w:rsidP="0069543C">
      <w:pPr>
        <w:tabs>
          <w:tab w:val="left" w:pos="1190"/>
        </w:tabs>
        <w:jc w:val="both"/>
        <w:rPr>
          <w:b/>
        </w:rPr>
      </w:pPr>
      <w:r w:rsidRPr="009F2567">
        <w:rPr>
          <w:rFonts w:asciiTheme="majorHAnsi" w:hAnsiTheme="majorHAnsi" w:cstheme="majorHAnsi"/>
          <w:lang w:val="de-CH"/>
        </w:rPr>
        <w:t xml:space="preserve">Kushti minimal numër 3 (Opinioni i auditimit duhet të jetë të paktën i pamodifikuar me theksim të çështjes) nuk është përmbushur. </w:t>
      </w:r>
    </w:p>
    <w:p w:rsidR="0069543C" w:rsidRPr="009F2567" w:rsidRDefault="0069543C" w:rsidP="0069543C">
      <w:pPr>
        <w:tabs>
          <w:tab w:val="left" w:pos="1190"/>
        </w:tabs>
        <w:jc w:val="both"/>
      </w:pPr>
      <w:r w:rsidRPr="009F2567">
        <w:rPr>
          <w:b/>
        </w:rPr>
        <w:tab/>
      </w:r>
    </w:p>
    <w:p w:rsidR="0069543C" w:rsidRPr="009F2567" w:rsidRDefault="0069543C" w:rsidP="0069543C">
      <w:pPr>
        <w:jc w:val="both"/>
      </w:pPr>
    </w:p>
    <w:p w:rsidR="0069543C" w:rsidRPr="009F2567" w:rsidRDefault="0069543C" w:rsidP="0069543C">
      <w:pPr>
        <w:rPr>
          <w:b/>
        </w:rPr>
      </w:pPr>
    </w:p>
    <w:p w:rsidR="0069543C" w:rsidRPr="009F2567" w:rsidRDefault="0069543C" w:rsidP="0069543C">
      <w:pPr>
        <w:rPr>
          <w:b/>
        </w:rPr>
      </w:pPr>
    </w:p>
    <w:p w:rsidR="0069543C" w:rsidRPr="009F2567" w:rsidRDefault="0069543C" w:rsidP="0069543C">
      <w:pPr>
        <w:rPr>
          <w:b/>
        </w:rPr>
      </w:pPr>
    </w:p>
    <w:p w:rsidR="0069543C" w:rsidRPr="009F2567" w:rsidRDefault="0069543C" w:rsidP="0069543C">
      <w:pPr>
        <w:rPr>
          <w:b/>
        </w:rPr>
      </w:pPr>
      <w:r w:rsidRPr="009F2567">
        <w:rPr>
          <w:b/>
        </w:rPr>
        <w:t>Vlerësimi i treguesve të performancës për vitin 202</w:t>
      </w:r>
      <w:r w:rsidR="00D37DEA">
        <w:rPr>
          <w:b/>
        </w:rPr>
        <w:t>4</w:t>
      </w:r>
    </w:p>
    <w:p w:rsidR="00295692" w:rsidRPr="00E87C74" w:rsidRDefault="0069543C" w:rsidP="0069543C">
      <w:pPr>
        <w:jc w:val="both"/>
        <w:rPr>
          <w:noProof/>
        </w:rPr>
      </w:pPr>
      <w:r w:rsidRPr="009F2567">
        <w:rPr>
          <w:rFonts w:asciiTheme="majorHAnsi" w:hAnsiTheme="majorHAnsi" w:cstheme="majorHAnsi"/>
        </w:rPr>
        <w:t>Performanca mesatare e Komunës së Vitisë  në 2</w:t>
      </w:r>
      <w:r w:rsidR="00D37DEA">
        <w:rPr>
          <w:rFonts w:asciiTheme="majorHAnsi" w:hAnsiTheme="majorHAnsi" w:cstheme="majorHAnsi"/>
        </w:rPr>
        <w:t>9</w:t>
      </w:r>
      <w:r w:rsidRPr="009F2567">
        <w:rPr>
          <w:rFonts w:asciiTheme="majorHAnsi" w:hAnsiTheme="majorHAnsi" w:cstheme="majorHAnsi"/>
        </w:rPr>
        <w:t xml:space="preserve"> indikatorët e vlerësuar është </w:t>
      </w:r>
      <w:r w:rsidR="000E2C74">
        <w:rPr>
          <w:rFonts w:asciiTheme="majorHAnsi" w:hAnsiTheme="majorHAnsi" w:cstheme="majorHAnsi"/>
        </w:rPr>
        <w:t>31</w:t>
      </w:r>
      <w:r w:rsidRPr="009F2567">
        <w:rPr>
          <w:rFonts w:asciiTheme="majorHAnsi" w:hAnsiTheme="majorHAnsi" w:cstheme="majorHAnsi"/>
        </w:rPr>
        <w:t xml:space="preserve"> pikë nga gjithsej 9</w:t>
      </w:r>
      <w:r w:rsidR="00D37DEA">
        <w:rPr>
          <w:rFonts w:asciiTheme="majorHAnsi" w:hAnsiTheme="majorHAnsi" w:cstheme="majorHAnsi"/>
        </w:rPr>
        <w:t>8</w:t>
      </w:r>
      <w:r w:rsidRPr="009F2567">
        <w:rPr>
          <w:rFonts w:asciiTheme="majorHAnsi" w:hAnsiTheme="majorHAnsi" w:cstheme="majorHAnsi"/>
        </w:rPr>
        <w:t xml:space="preserve"> pikë të mundshme (</w:t>
      </w:r>
      <w:r w:rsidR="00295692">
        <w:rPr>
          <w:rFonts w:asciiTheme="majorHAnsi" w:hAnsiTheme="majorHAnsi" w:cstheme="majorHAnsi"/>
        </w:rPr>
        <w:t>52.2</w:t>
      </w:r>
      <w:r w:rsidRPr="009F2567">
        <w:rPr>
          <w:rFonts w:asciiTheme="majorHAnsi" w:hAnsiTheme="majorHAnsi" w:cstheme="majorHAnsi"/>
        </w:rPr>
        <w:t>%).</w:t>
      </w:r>
      <w:r w:rsidRPr="009F2567">
        <w:rPr>
          <w:noProof/>
        </w:rPr>
        <w:t xml:space="preserve"> </w:t>
      </w:r>
    </w:p>
    <w:p w:rsidR="0069543C" w:rsidRPr="009F2567" w:rsidRDefault="00D37DEA" w:rsidP="0069543C">
      <w:pPr>
        <w:jc w:val="both"/>
        <w:rPr>
          <w:rFonts w:asciiTheme="majorHAnsi" w:hAnsiTheme="majorHAnsi" w:cstheme="majorHAnsi"/>
        </w:rPr>
      </w:pPr>
      <w:r>
        <w:rPr>
          <w:noProof/>
          <w:lang w:val="en-GB" w:eastAsia="en-GB"/>
          <w14:ligatures w14:val="standardContextual"/>
        </w:rPr>
        <w:drawing>
          <wp:anchor distT="0" distB="0" distL="114300" distR="114300" simplePos="0" relativeHeight="251866112" behindDoc="0" locked="0" layoutInCell="1" allowOverlap="1" wp14:anchorId="37BDE533" wp14:editId="0B0EB224">
            <wp:simplePos x="0" y="0"/>
            <wp:positionH relativeFrom="margin">
              <wp:posOffset>2081008</wp:posOffset>
            </wp:positionH>
            <wp:positionV relativeFrom="margin">
              <wp:posOffset>4356584</wp:posOffset>
            </wp:positionV>
            <wp:extent cx="3840480" cy="2743200"/>
            <wp:effectExtent l="0" t="0" r="7620" b="0"/>
            <wp:wrapSquare wrapText="bothSides"/>
            <wp:docPr id="1708941617" name="Chart 1708941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anchor>
        </w:drawing>
      </w:r>
      <w:r w:rsidR="0069543C" w:rsidRPr="009F2567">
        <w:rPr>
          <w:rFonts w:asciiTheme="majorHAnsi" w:hAnsiTheme="majorHAnsi" w:cstheme="majorHAnsi"/>
        </w:rPr>
        <w:t>Performanca mesatare në 1</w:t>
      </w:r>
      <w:r w:rsidR="006A4FD7">
        <w:rPr>
          <w:rFonts w:asciiTheme="majorHAnsi" w:hAnsiTheme="majorHAnsi" w:cstheme="majorHAnsi"/>
        </w:rPr>
        <w:t>3</w:t>
      </w:r>
      <w:r w:rsidR="0069543C" w:rsidRPr="009F2567">
        <w:rPr>
          <w:rFonts w:asciiTheme="majorHAnsi" w:hAnsiTheme="majorHAnsi" w:cstheme="majorHAnsi"/>
        </w:rPr>
        <w:t xml:space="preserve"> treguesit e vlerësuar në kuadër të fushës ‘Qeverisja demokratike’ është 19 pikë nga gjithsej </w:t>
      </w:r>
      <w:r w:rsidR="00486F4B">
        <w:rPr>
          <w:rFonts w:asciiTheme="majorHAnsi" w:hAnsiTheme="majorHAnsi" w:cstheme="majorHAnsi"/>
        </w:rPr>
        <w:t>40</w:t>
      </w:r>
      <w:r w:rsidR="0069543C" w:rsidRPr="009F2567">
        <w:rPr>
          <w:rFonts w:asciiTheme="majorHAnsi" w:hAnsiTheme="majorHAnsi" w:cstheme="majorHAnsi"/>
        </w:rPr>
        <w:t xml:space="preserve"> pikët të mundshme (</w:t>
      </w:r>
      <w:r w:rsidR="000E2C74">
        <w:rPr>
          <w:rFonts w:asciiTheme="majorHAnsi" w:hAnsiTheme="majorHAnsi" w:cstheme="majorHAnsi"/>
        </w:rPr>
        <w:t>47.50</w:t>
      </w:r>
      <w:r w:rsidR="0069543C" w:rsidRPr="009F2567">
        <w:rPr>
          <w:rFonts w:asciiTheme="majorHAnsi" w:hAnsiTheme="majorHAnsi" w:cstheme="majorHAnsi"/>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w:t>
      </w:r>
      <w:r w:rsidR="006A4FD7">
        <w:rPr>
          <w:rFonts w:asciiTheme="majorHAnsi" w:hAnsiTheme="majorHAnsi" w:cstheme="majorHAnsi"/>
        </w:rPr>
        <w:t>7</w:t>
      </w:r>
      <w:r w:rsidRPr="009F2567">
        <w:rPr>
          <w:rFonts w:asciiTheme="majorHAnsi" w:hAnsiTheme="majorHAnsi" w:cstheme="majorHAnsi"/>
        </w:rPr>
        <w:t xml:space="preserve"> treguesit e vlerësuar në kuadër të fushës ‘Menaxhimi Komunal’ është </w:t>
      </w:r>
      <w:r w:rsidR="000E2C74">
        <w:rPr>
          <w:rFonts w:asciiTheme="majorHAnsi" w:hAnsiTheme="majorHAnsi" w:cstheme="majorHAnsi"/>
        </w:rPr>
        <w:t>6</w:t>
      </w:r>
      <w:r w:rsidRPr="009F2567">
        <w:rPr>
          <w:rFonts w:asciiTheme="majorHAnsi" w:hAnsiTheme="majorHAnsi" w:cstheme="majorHAnsi"/>
        </w:rPr>
        <w:t xml:space="preserve"> pikë nga gjithsej </w:t>
      </w:r>
      <w:r w:rsidR="00486F4B">
        <w:rPr>
          <w:rFonts w:asciiTheme="majorHAnsi" w:hAnsiTheme="majorHAnsi" w:cstheme="majorHAnsi"/>
        </w:rPr>
        <w:t>28</w:t>
      </w:r>
      <w:r w:rsidRPr="009F2567">
        <w:rPr>
          <w:rFonts w:asciiTheme="majorHAnsi" w:hAnsiTheme="majorHAnsi" w:cstheme="majorHAnsi"/>
        </w:rPr>
        <w:t xml:space="preserve"> pikë të mundshme (</w:t>
      </w:r>
      <w:r w:rsidR="000E2C74">
        <w:rPr>
          <w:rFonts w:asciiTheme="majorHAnsi" w:hAnsiTheme="majorHAnsi" w:cstheme="majorHAnsi"/>
        </w:rPr>
        <w:t>21.43</w:t>
      </w:r>
      <w:r w:rsidRPr="009F2567">
        <w:rPr>
          <w:rFonts w:asciiTheme="majorHAnsi" w:hAnsiTheme="majorHAnsi" w:cstheme="majorHAnsi"/>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w:t>
      </w:r>
      <w:r w:rsidR="00D37DEA">
        <w:rPr>
          <w:rFonts w:asciiTheme="majorHAnsi" w:hAnsiTheme="majorHAnsi" w:cstheme="majorHAnsi"/>
        </w:rPr>
        <w:t>9</w:t>
      </w:r>
      <w:r w:rsidRPr="009F2567">
        <w:rPr>
          <w:rFonts w:asciiTheme="majorHAnsi" w:hAnsiTheme="majorHAnsi" w:cstheme="majorHAnsi"/>
        </w:rPr>
        <w:t xml:space="preserve"> treguesit e vlerësuar në kuadër të fushës ‘Ofrimi i shërbimeve’ është </w:t>
      </w:r>
      <w:r w:rsidR="000E2C74">
        <w:rPr>
          <w:rFonts w:asciiTheme="majorHAnsi" w:hAnsiTheme="majorHAnsi" w:cstheme="majorHAnsi"/>
        </w:rPr>
        <w:t>6</w:t>
      </w:r>
      <w:r w:rsidRPr="009F2567">
        <w:rPr>
          <w:rFonts w:asciiTheme="majorHAnsi" w:hAnsiTheme="majorHAnsi" w:cstheme="majorHAnsi"/>
        </w:rPr>
        <w:t xml:space="preserve"> pikë nga gjithsej </w:t>
      </w:r>
      <w:r w:rsidR="00486F4B">
        <w:rPr>
          <w:rFonts w:asciiTheme="majorHAnsi" w:hAnsiTheme="majorHAnsi" w:cstheme="majorHAnsi"/>
        </w:rPr>
        <w:t>30</w:t>
      </w:r>
      <w:r w:rsidRPr="009F2567">
        <w:rPr>
          <w:rFonts w:asciiTheme="majorHAnsi" w:hAnsiTheme="majorHAnsi" w:cstheme="majorHAnsi"/>
        </w:rPr>
        <w:t xml:space="preserve"> pikë të mundshme (</w:t>
      </w:r>
      <w:r w:rsidR="000E2C74">
        <w:rPr>
          <w:rFonts w:asciiTheme="majorHAnsi" w:hAnsiTheme="majorHAnsi" w:cstheme="majorHAnsi"/>
        </w:rPr>
        <w:t>20.00</w:t>
      </w:r>
      <w:r w:rsidRPr="009F2567">
        <w:rPr>
          <w:rFonts w:asciiTheme="majorHAnsi" w:hAnsiTheme="majorHAnsi" w:cstheme="majorHAnsi"/>
        </w:rPr>
        <w:t xml:space="preserve">%). </w:t>
      </w:r>
    </w:p>
    <w:p w:rsidR="0069543C" w:rsidRPr="009F2567" w:rsidRDefault="0069543C" w:rsidP="0069543C"/>
    <w:p w:rsidR="0069543C" w:rsidRPr="009F2567" w:rsidRDefault="0069543C" w:rsidP="0069543C">
      <w:pPr>
        <w:jc w:val="both"/>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rPr>
          <w:rFonts w:asciiTheme="majorHAnsi" w:eastAsiaTheme="majorEastAsia" w:hAnsiTheme="majorHAnsi" w:cstheme="majorBidi"/>
          <w:b/>
          <w:noProof/>
          <w:lang w:val="de-CH"/>
        </w:rPr>
      </w:pPr>
      <w:r w:rsidRPr="009F2567">
        <w:rPr>
          <w:rFonts w:asciiTheme="majorHAnsi" w:eastAsiaTheme="majorEastAsia" w:hAnsiTheme="majorHAnsi" w:cstheme="majorBidi"/>
          <w:b/>
          <w:noProof/>
          <w:lang w:val="de-CH"/>
        </w:rPr>
        <w:lastRenderedPageBreak/>
        <w:t>Përmbledhje e rezultateve për vitin 202</w:t>
      </w:r>
      <w:r w:rsidR="000E2C74">
        <w:rPr>
          <w:rFonts w:asciiTheme="majorHAnsi" w:eastAsiaTheme="majorEastAsia" w:hAnsiTheme="majorHAnsi" w:cstheme="majorBidi"/>
          <w:b/>
          <w:noProof/>
          <w:lang w:val="de-CH"/>
        </w:rPr>
        <w:t>4</w:t>
      </w:r>
      <w:r w:rsidRPr="009F2567">
        <w:rPr>
          <w:rFonts w:asciiTheme="majorHAnsi" w:eastAsiaTheme="majorEastAsia" w:hAnsiTheme="majorHAnsi" w:cstheme="majorBidi"/>
          <w:b/>
          <w:noProof/>
          <w:lang w:val="de-CH"/>
        </w:rPr>
        <w:t xml:space="preserve"> për grantin e performancës komunale - Komuna Vushtrri</w:t>
      </w:r>
    </w:p>
    <w:p w:rsidR="002F4BE4" w:rsidRPr="000E2C74" w:rsidRDefault="0069543C" w:rsidP="000E2C74">
      <w:r w:rsidRPr="009F2567">
        <w:rPr>
          <w:rFonts w:asciiTheme="majorHAnsi" w:eastAsiaTheme="majorEastAsia" w:hAnsiTheme="majorHAnsi" w:cstheme="majorBidi"/>
          <w:b/>
          <w:noProof/>
        </w:rPr>
        <w:t>Vlerësimi i kushteve minimale për vitin 202</w:t>
      </w:r>
      <w:r w:rsidR="000E2C74">
        <w:rPr>
          <w:rFonts w:asciiTheme="majorHAnsi" w:eastAsiaTheme="majorEastAsia" w:hAnsiTheme="majorHAnsi" w:cstheme="majorBidi"/>
          <w:b/>
          <w:noProof/>
        </w:rPr>
        <w:t>4</w:t>
      </w:r>
    </w:p>
    <w:p w:rsidR="0069543C" w:rsidRPr="009F2567" w:rsidRDefault="000E2C74" w:rsidP="0069543C">
      <w:pPr>
        <w:jc w:val="both"/>
        <w:rPr>
          <w:rFonts w:asciiTheme="majorHAnsi" w:hAnsiTheme="majorHAnsi" w:cstheme="majorHAnsi"/>
          <w:lang w:val="de-CH"/>
        </w:rPr>
      </w:pPr>
      <w:r>
        <w:rPr>
          <w:noProof/>
          <w:lang w:val="en-GB" w:eastAsia="en-GB"/>
          <w14:ligatures w14:val="standardContextual"/>
        </w:rPr>
        <w:drawing>
          <wp:anchor distT="0" distB="0" distL="114300" distR="114300" simplePos="0" relativeHeight="251867136" behindDoc="0" locked="0" layoutInCell="1" allowOverlap="1" wp14:anchorId="21F9F7BF" wp14:editId="0DA20ED7">
            <wp:simplePos x="0" y="0"/>
            <wp:positionH relativeFrom="margin">
              <wp:align>right</wp:align>
            </wp:positionH>
            <wp:positionV relativeFrom="margin">
              <wp:posOffset>668371</wp:posOffset>
            </wp:positionV>
            <wp:extent cx="3444240" cy="2094865"/>
            <wp:effectExtent l="0" t="0" r="3810" b="635"/>
            <wp:wrapSquare wrapText="bothSides"/>
            <wp:docPr id="1708941618" name="Chart 1708941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H relativeFrom="margin">
              <wp14:pctWidth>0</wp14:pctWidth>
            </wp14:sizeRelH>
            <wp14:sizeRelV relativeFrom="margin">
              <wp14:pctHeight>0</wp14:pctHeight>
            </wp14:sizeRelV>
          </wp:anchor>
        </w:drawing>
      </w:r>
      <w:r w:rsidR="0069543C" w:rsidRPr="009F2567">
        <w:rPr>
          <w:rFonts w:asciiTheme="majorHAnsi" w:hAnsiTheme="majorHAnsi" w:cstheme="majorHAnsi"/>
          <w:lang w:val="de-CH"/>
        </w:rPr>
        <w:t>Komuna e Vushtrrisë nuk është kualifikuar për grantin e performancës komunale për vitin 202</w:t>
      </w:r>
      <w:r>
        <w:rPr>
          <w:rFonts w:asciiTheme="majorHAnsi" w:hAnsiTheme="majorHAnsi" w:cstheme="majorHAnsi"/>
          <w:lang w:val="de-CH"/>
        </w:rPr>
        <w:t>4</w:t>
      </w:r>
      <w:r w:rsidR="0069543C" w:rsidRPr="009F2567">
        <w:rPr>
          <w:rFonts w:asciiTheme="majorHAnsi" w:hAnsiTheme="majorHAnsi" w:cstheme="majorHAnsi"/>
          <w:lang w:val="de-CH"/>
        </w:rPr>
        <w:t xml:space="preserve">. </w:t>
      </w:r>
    </w:p>
    <w:p w:rsidR="0069543C" w:rsidRPr="009F2567" w:rsidRDefault="000E2C74" w:rsidP="0069543C">
      <w:pPr>
        <w:jc w:val="both"/>
      </w:pPr>
      <w:r w:rsidRPr="000E2C74">
        <w:rPr>
          <w:rFonts w:asciiTheme="majorHAnsi" w:hAnsiTheme="majorHAnsi" w:cstheme="majorHAnsi"/>
          <w:lang w:val="de-CH"/>
        </w:rPr>
        <w:t>Kushtet minimal numër 2 (komunat duhet të kenë respektuar obligimin ligjor për t’i rishqyrtuar aktet komunale të vlerësuara si të kundërligjshme nga autoriteti mbikëqyrës) dhe numër 3 (opinioni i auditimit duhet të jetë të paktën i pamodifikua me theksim të çështjes) nuk janë përmbushur.</w:t>
      </w:r>
    </w:p>
    <w:p w:rsidR="00184C0A" w:rsidRDefault="00184C0A" w:rsidP="0069543C">
      <w:pPr>
        <w:rPr>
          <w:b/>
        </w:rPr>
      </w:pPr>
    </w:p>
    <w:p w:rsidR="00184C0A" w:rsidRDefault="00184C0A" w:rsidP="0069543C">
      <w:pPr>
        <w:rPr>
          <w:b/>
        </w:rPr>
      </w:pPr>
    </w:p>
    <w:p w:rsidR="0069543C" w:rsidRPr="009F2567" w:rsidRDefault="0069543C" w:rsidP="0069543C">
      <w:pPr>
        <w:rPr>
          <w:b/>
        </w:rPr>
      </w:pPr>
      <w:r w:rsidRPr="009F2567">
        <w:rPr>
          <w:b/>
        </w:rPr>
        <w:t>Vlerësimi i treguesve të performancës për vitin 202</w:t>
      </w:r>
      <w:r w:rsidR="000E2C74">
        <w:rPr>
          <w:b/>
        </w:rPr>
        <w:t>4</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Performanca mesatare e Komunës së Vushtrri në 2</w:t>
      </w:r>
      <w:r w:rsidR="00FE1E99">
        <w:rPr>
          <w:rFonts w:asciiTheme="majorHAnsi" w:hAnsiTheme="majorHAnsi" w:cstheme="majorHAnsi"/>
        </w:rPr>
        <w:t>9</w:t>
      </w:r>
      <w:r w:rsidRPr="009F2567">
        <w:rPr>
          <w:rFonts w:asciiTheme="majorHAnsi" w:hAnsiTheme="majorHAnsi" w:cstheme="majorHAnsi"/>
        </w:rPr>
        <w:t xml:space="preserve"> indikatorët e vlerësuar është 6</w:t>
      </w:r>
      <w:r w:rsidR="00FE1E99">
        <w:rPr>
          <w:rFonts w:asciiTheme="majorHAnsi" w:hAnsiTheme="majorHAnsi" w:cstheme="majorHAnsi"/>
        </w:rPr>
        <w:t>3</w:t>
      </w:r>
      <w:r w:rsidRPr="009F2567">
        <w:rPr>
          <w:rFonts w:asciiTheme="majorHAnsi" w:hAnsiTheme="majorHAnsi" w:cstheme="majorHAnsi"/>
        </w:rPr>
        <w:t xml:space="preserve"> pikë nga gjithsej 9</w:t>
      </w:r>
      <w:r w:rsidR="00FE1E99">
        <w:rPr>
          <w:rFonts w:asciiTheme="majorHAnsi" w:hAnsiTheme="majorHAnsi" w:cstheme="majorHAnsi"/>
        </w:rPr>
        <w:t>8</w:t>
      </w:r>
      <w:r w:rsidRPr="009F2567">
        <w:rPr>
          <w:rFonts w:asciiTheme="majorHAnsi" w:hAnsiTheme="majorHAnsi" w:cstheme="majorHAnsi"/>
        </w:rPr>
        <w:t xml:space="preserve"> pikë të mundshme (</w:t>
      </w:r>
      <w:r w:rsidR="00FE1E99">
        <w:rPr>
          <w:rFonts w:asciiTheme="majorHAnsi" w:hAnsiTheme="majorHAnsi" w:cstheme="majorHAnsi"/>
        </w:rPr>
        <w:t>64.29</w:t>
      </w:r>
      <w:r w:rsidRPr="009F2567">
        <w:rPr>
          <w:rFonts w:asciiTheme="majorHAnsi" w:hAnsiTheme="majorHAnsi" w:cstheme="majorHAnsi"/>
        </w:rPr>
        <w:t>%).</w:t>
      </w:r>
      <w:r w:rsidRPr="009F2567">
        <w:rPr>
          <w:noProof/>
        </w:rPr>
        <w:t xml:space="preserve"> </w:t>
      </w:r>
    </w:p>
    <w:p w:rsidR="0069543C" w:rsidRPr="009F2567" w:rsidRDefault="000E2C74" w:rsidP="0069543C">
      <w:pPr>
        <w:jc w:val="both"/>
        <w:rPr>
          <w:rFonts w:asciiTheme="majorHAnsi" w:hAnsiTheme="majorHAnsi" w:cstheme="majorHAnsi"/>
        </w:rPr>
      </w:pPr>
      <w:r>
        <w:rPr>
          <w:noProof/>
          <w:lang w:val="en-GB" w:eastAsia="en-GB"/>
          <w14:ligatures w14:val="standardContextual"/>
        </w:rPr>
        <w:drawing>
          <wp:anchor distT="0" distB="0" distL="114300" distR="114300" simplePos="0" relativeHeight="251868160" behindDoc="0" locked="0" layoutInCell="1" allowOverlap="1" wp14:anchorId="42C95162" wp14:editId="4043F64B">
            <wp:simplePos x="0" y="0"/>
            <wp:positionH relativeFrom="margin">
              <wp:posOffset>2305846</wp:posOffset>
            </wp:positionH>
            <wp:positionV relativeFrom="margin">
              <wp:posOffset>4408160</wp:posOffset>
            </wp:positionV>
            <wp:extent cx="3464560" cy="2681605"/>
            <wp:effectExtent l="0" t="0" r="2540" b="4445"/>
            <wp:wrapSquare wrapText="bothSides"/>
            <wp:docPr id="1708941619" name="Chart 17089416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H relativeFrom="margin">
              <wp14:pctWidth>0</wp14:pctWidth>
            </wp14:sizeRelH>
            <wp14:sizeRelV relativeFrom="margin">
              <wp14:pctHeight>0</wp14:pctHeight>
            </wp14:sizeRelV>
          </wp:anchor>
        </w:drawing>
      </w:r>
      <w:r w:rsidR="0069543C" w:rsidRPr="009F2567">
        <w:rPr>
          <w:rFonts w:asciiTheme="majorHAnsi" w:hAnsiTheme="majorHAnsi" w:cstheme="majorHAnsi"/>
        </w:rPr>
        <w:t>Performanca mesatare në 1</w:t>
      </w:r>
      <w:r w:rsidR="006A4FD7">
        <w:rPr>
          <w:rFonts w:asciiTheme="majorHAnsi" w:hAnsiTheme="majorHAnsi" w:cstheme="majorHAnsi"/>
        </w:rPr>
        <w:t>3</w:t>
      </w:r>
      <w:r w:rsidR="0069543C" w:rsidRPr="009F2567">
        <w:rPr>
          <w:rFonts w:asciiTheme="majorHAnsi" w:hAnsiTheme="majorHAnsi" w:cstheme="majorHAnsi"/>
        </w:rPr>
        <w:t xml:space="preserve"> treguesit e vlerësuar në kuadër të fushës ‘Qeverisja demokratike’ është </w:t>
      </w:r>
      <w:r w:rsidR="00FE1E99">
        <w:rPr>
          <w:rFonts w:asciiTheme="majorHAnsi" w:hAnsiTheme="majorHAnsi" w:cstheme="majorHAnsi"/>
        </w:rPr>
        <w:t>34</w:t>
      </w:r>
      <w:r w:rsidR="0069543C" w:rsidRPr="009F2567">
        <w:rPr>
          <w:rFonts w:asciiTheme="majorHAnsi" w:hAnsiTheme="majorHAnsi" w:cstheme="majorHAnsi"/>
        </w:rPr>
        <w:t xml:space="preserve"> pikë nga gjithsej </w:t>
      </w:r>
      <w:r w:rsidR="00486F4B">
        <w:rPr>
          <w:rFonts w:asciiTheme="majorHAnsi" w:hAnsiTheme="majorHAnsi" w:cstheme="majorHAnsi"/>
        </w:rPr>
        <w:t>40</w:t>
      </w:r>
      <w:r w:rsidR="0069543C" w:rsidRPr="009F2567">
        <w:rPr>
          <w:rFonts w:asciiTheme="majorHAnsi" w:hAnsiTheme="majorHAnsi" w:cstheme="majorHAnsi"/>
        </w:rPr>
        <w:t xml:space="preserve"> pikët të mundshme (</w:t>
      </w:r>
      <w:r w:rsidR="00FE1E99">
        <w:rPr>
          <w:rFonts w:asciiTheme="majorHAnsi" w:hAnsiTheme="majorHAnsi" w:cstheme="majorHAnsi"/>
        </w:rPr>
        <w:t>85.00</w:t>
      </w:r>
      <w:r w:rsidR="0069543C" w:rsidRPr="009F2567">
        <w:rPr>
          <w:rFonts w:asciiTheme="majorHAnsi" w:hAnsiTheme="majorHAnsi" w:cstheme="majorHAnsi"/>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w:t>
      </w:r>
      <w:r w:rsidR="006A4FD7">
        <w:rPr>
          <w:rFonts w:asciiTheme="majorHAnsi" w:hAnsiTheme="majorHAnsi" w:cstheme="majorHAnsi"/>
        </w:rPr>
        <w:t>7</w:t>
      </w:r>
      <w:r w:rsidRPr="009F2567">
        <w:rPr>
          <w:rFonts w:asciiTheme="majorHAnsi" w:hAnsiTheme="majorHAnsi" w:cstheme="majorHAnsi"/>
        </w:rPr>
        <w:t xml:space="preserve"> treguesit e vlerësuar në kuadër të fushës ‘Menaxhimi Komunal’ është 1</w:t>
      </w:r>
      <w:r w:rsidR="00FE1E99">
        <w:rPr>
          <w:rFonts w:asciiTheme="majorHAnsi" w:hAnsiTheme="majorHAnsi" w:cstheme="majorHAnsi"/>
        </w:rPr>
        <w:t>0</w:t>
      </w:r>
      <w:r w:rsidRPr="009F2567">
        <w:rPr>
          <w:rFonts w:asciiTheme="majorHAnsi" w:hAnsiTheme="majorHAnsi" w:cstheme="majorHAnsi"/>
        </w:rPr>
        <w:t xml:space="preserve"> pikë nga gjithsej 2</w:t>
      </w:r>
      <w:r w:rsidR="00486F4B">
        <w:rPr>
          <w:rFonts w:asciiTheme="majorHAnsi" w:hAnsiTheme="majorHAnsi" w:cstheme="majorHAnsi"/>
        </w:rPr>
        <w:t>8</w:t>
      </w:r>
      <w:r w:rsidRPr="009F2567">
        <w:rPr>
          <w:rFonts w:asciiTheme="majorHAnsi" w:hAnsiTheme="majorHAnsi" w:cstheme="majorHAnsi"/>
        </w:rPr>
        <w:t xml:space="preserve"> pikë të mundshme (</w:t>
      </w:r>
      <w:r w:rsidR="00FE1E99">
        <w:rPr>
          <w:rFonts w:asciiTheme="majorHAnsi" w:hAnsiTheme="majorHAnsi" w:cstheme="majorHAnsi"/>
        </w:rPr>
        <w:t>35.71</w:t>
      </w:r>
      <w:r w:rsidRPr="009F2567">
        <w:rPr>
          <w:rFonts w:asciiTheme="majorHAnsi" w:hAnsiTheme="majorHAnsi" w:cstheme="majorHAnsi"/>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w:t>
      </w:r>
      <w:r w:rsidR="00FE1E99">
        <w:rPr>
          <w:rFonts w:asciiTheme="majorHAnsi" w:hAnsiTheme="majorHAnsi" w:cstheme="majorHAnsi"/>
        </w:rPr>
        <w:t>9</w:t>
      </w:r>
      <w:r w:rsidRPr="009F2567">
        <w:rPr>
          <w:rFonts w:asciiTheme="majorHAnsi" w:hAnsiTheme="majorHAnsi" w:cstheme="majorHAnsi"/>
        </w:rPr>
        <w:t xml:space="preserve"> treguesit e vlerësuar në kuadër të fushës ‘Ofrimi i shërbimeve’ është </w:t>
      </w:r>
      <w:r w:rsidR="00FE1E99">
        <w:rPr>
          <w:rFonts w:asciiTheme="majorHAnsi" w:hAnsiTheme="majorHAnsi" w:cstheme="majorHAnsi"/>
        </w:rPr>
        <w:t>19</w:t>
      </w:r>
      <w:r w:rsidRPr="009F2567">
        <w:rPr>
          <w:rFonts w:asciiTheme="majorHAnsi" w:hAnsiTheme="majorHAnsi" w:cstheme="majorHAnsi"/>
        </w:rPr>
        <w:t xml:space="preserve"> pikë nga gjithsej </w:t>
      </w:r>
      <w:r w:rsidR="00486F4B">
        <w:rPr>
          <w:rFonts w:asciiTheme="majorHAnsi" w:hAnsiTheme="majorHAnsi" w:cstheme="majorHAnsi"/>
        </w:rPr>
        <w:t>30</w:t>
      </w:r>
      <w:r w:rsidRPr="009F2567">
        <w:rPr>
          <w:rFonts w:asciiTheme="majorHAnsi" w:hAnsiTheme="majorHAnsi" w:cstheme="majorHAnsi"/>
        </w:rPr>
        <w:t xml:space="preserve"> pikë të mundshme (</w:t>
      </w:r>
      <w:r w:rsidR="00FE1E99">
        <w:rPr>
          <w:rFonts w:asciiTheme="majorHAnsi" w:hAnsiTheme="majorHAnsi" w:cstheme="majorHAnsi"/>
        </w:rPr>
        <w:t>63.33</w:t>
      </w:r>
      <w:r w:rsidRPr="009F2567">
        <w:rPr>
          <w:rFonts w:asciiTheme="majorHAnsi" w:hAnsiTheme="majorHAnsi" w:cstheme="majorHAnsi"/>
        </w:rPr>
        <w:t xml:space="preserve">%). </w:t>
      </w:r>
    </w:p>
    <w:p w:rsidR="0069543C" w:rsidRPr="009F2567" w:rsidRDefault="0069543C" w:rsidP="0069543C"/>
    <w:p w:rsidR="0069543C" w:rsidRPr="009F2567" w:rsidRDefault="0069543C" w:rsidP="0069543C">
      <w:pPr>
        <w:jc w:val="both"/>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jc w:val="both"/>
        <w:rPr>
          <w:b/>
          <w:bCs/>
        </w:rPr>
      </w:pPr>
      <w:bookmarkStart w:id="53" w:name="_Toc99363480"/>
      <w:r w:rsidRPr="009F2567">
        <w:rPr>
          <w:b/>
          <w:bCs/>
        </w:rPr>
        <w:lastRenderedPageBreak/>
        <w:t>Përmbledhje e rezultateve për vitin 202</w:t>
      </w:r>
      <w:r w:rsidR="00FE1E99">
        <w:rPr>
          <w:b/>
          <w:bCs/>
        </w:rPr>
        <w:t>4</w:t>
      </w:r>
      <w:r w:rsidRPr="009F2567">
        <w:rPr>
          <w:b/>
          <w:bCs/>
        </w:rPr>
        <w:t xml:space="preserve"> për grantin e performancës komunale - Komuna Zubin Potok</w:t>
      </w:r>
      <w:bookmarkEnd w:id="53"/>
    </w:p>
    <w:p w:rsidR="0069543C" w:rsidRPr="009F2567" w:rsidRDefault="0069543C" w:rsidP="0069543C">
      <w:pPr>
        <w:jc w:val="both"/>
        <w:rPr>
          <w:b/>
          <w:bCs/>
        </w:rPr>
      </w:pPr>
    </w:p>
    <w:p w:rsidR="0069543C" w:rsidRPr="009F2567" w:rsidRDefault="0069543C" w:rsidP="0069543C">
      <w:pPr>
        <w:rPr>
          <w:rFonts w:asciiTheme="majorHAnsi" w:eastAsiaTheme="majorEastAsia" w:hAnsiTheme="majorHAnsi" w:cstheme="majorBidi"/>
          <w:b/>
          <w:noProof/>
        </w:rPr>
      </w:pPr>
      <w:r w:rsidRPr="009F2567">
        <w:rPr>
          <w:rFonts w:asciiTheme="majorHAnsi" w:eastAsiaTheme="majorEastAsia" w:hAnsiTheme="majorHAnsi" w:cstheme="majorBidi"/>
          <w:b/>
          <w:noProof/>
        </w:rPr>
        <w:t>Vlerësimi i kushteve minimale për vitin 202</w:t>
      </w:r>
      <w:r w:rsidR="00FE1E99">
        <w:rPr>
          <w:rFonts w:asciiTheme="majorHAnsi" w:eastAsiaTheme="majorEastAsia" w:hAnsiTheme="majorHAnsi" w:cstheme="majorBidi"/>
          <w:b/>
          <w:noProof/>
        </w:rPr>
        <w:t>4</w:t>
      </w:r>
    </w:p>
    <w:p w:rsidR="0069543C" w:rsidRPr="009F2567" w:rsidRDefault="0069543C" w:rsidP="0069543C">
      <w:pPr>
        <w:jc w:val="both"/>
        <w:rPr>
          <w:rFonts w:asciiTheme="majorHAnsi" w:hAnsiTheme="majorHAnsi" w:cstheme="majorHAnsi"/>
          <w:lang w:val="de-CH"/>
        </w:rPr>
      </w:pPr>
      <w:r w:rsidRPr="009F2567">
        <w:rPr>
          <w:rFonts w:asciiTheme="majorHAnsi" w:hAnsiTheme="majorHAnsi" w:cstheme="majorHAnsi"/>
          <w:noProof/>
          <w:lang w:val="en-GB" w:eastAsia="en-GB"/>
        </w:rPr>
        <w:drawing>
          <wp:anchor distT="0" distB="0" distL="114300" distR="114300" simplePos="0" relativeHeight="251710464" behindDoc="0" locked="0" layoutInCell="1" allowOverlap="1" wp14:anchorId="77B9A97E" wp14:editId="444A866A">
            <wp:simplePos x="0" y="0"/>
            <wp:positionH relativeFrom="margin">
              <wp:align>right</wp:align>
            </wp:positionH>
            <wp:positionV relativeFrom="paragraph">
              <wp:posOffset>48564</wp:posOffset>
            </wp:positionV>
            <wp:extent cx="3108960" cy="2258060"/>
            <wp:effectExtent l="0" t="0" r="15240" b="8890"/>
            <wp:wrapSquare wrapText="bothSides"/>
            <wp:docPr id="222" name="Chart 2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2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margin">
              <wp14:pctWidth>0</wp14:pctWidth>
            </wp14:sizeRelH>
            <wp14:sizeRelV relativeFrom="margin">
              <wp14:pctHeight>0</wp14:pctHeight>
            </wp14:sizeRelV>
          </wp:anchor>
        </w:drawing>
      </w:r>
      <w:r w:rsidRPr="009F2567">
        <w:rPr>
          <w:rFonts w:asciiTheme="majorHAnsi" w:hAnsiTheme="majorHAnsi" w:cstheme="majorHAnsi"/>
          <w:lang w:val="de-CH"/>
        </w:rPr>
        <w:t xml:space="preserve">Komuna e Zubin Potokut nuk është kualifikuar për grantin e performancës komunale për vitin 2023.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lang w:val="de-CH"/>
        </w:rPr>
        <w:t>Kusht</w:t>
      </w:r>
      <w:r w:rsidR="009E0512" w:rsidRPr="009F2567">
        <w:rPr>
          <w:rFonts w:asciiTheme="majorHAnsi" w:hAnsiTheme="majorHAnsi" w:cstheme="majorHAnsi"/>
          <w:lang w:val="de-CH"/>
        </w:rPr>
        <w:t>et</w:t>
      </w:r>
      <w:r w:rsidRPr="009F2567">
        <w:rPr>
          <w:rFonts w:asciiTheme="majorHAnsi" w:hAnsiTheme="majorHAnsi" w:cstheme="majorHAnsi"/>
          <w:lang w:val="de-CH"/>
        </w:rPr>
        <w:t xml:space="preserve"> minimal</w:t>
      </w:r>
      <w:r w:rsidR="009E0512" w:rsidRPr="009F2567">
        <w:rPr>
          <w:rFonts w:asciiTheme="majorHAnsi" w:hAnsiTheme="majorHAnsi" w:cstheme="majorHAnsi"/>
          <w:lang w:val="de-CH"/>
        </w:rPr>
        <w:t>e</w:t>
      </w:r>
      <w:r w:rsidRPr="009F2567">
        <w:rPr>
          <w:rFonts w:asciiTheme="majorHAnsi" w:hAnsiTheme="majorHAnsi" w:cstheme="majorHAnsi"/>
          <w:lang w:val="de-CH"/>
        </w:rPr>
        <w:t xml:space="preserve"> numër</w:t>
      </w:r>
      <w:r w:rsidR="009E0512" w:rsidRPr="009F2567">
        <w:rPr>
          <w:rFonts w:asciiTheme="majorHAnsi" w:hAnsiTheme="majorHAnsi" w:cstheme="majorHAnsi"/>
          <w:lang w:val="de-CH"/>
        </w:rPr>
        <w:t xml:space="preserve"> 1(</w:t>
      </w:r>
      <w:r w:rsidR="003A0099" w:rsidRPr="009F2567">
        <w:rPr>
          <w:rFonts w:asciiTheme="majorHAnsi" w:hAnsiTheme="majorHAnsi" w:cstheme="majorHAnsi"/>
          <w:lang w:val="de-CH"/>
        </w:rPr>
        <w:t>k</w:t>
      </w:r>
      <w:r w:rsidR="009E0512" w:rsidRPr="009F2567">
        <w:rPr>
          <w:rFonts w:asciiTheme="majorHAnsi" w:hAnsiTheme="majorHAnsi" w:cstheme="majorHAnsi"/>
          <w:lang w:val="de-CH"/>
        </w:rPr>
        <w:t>omunat duhet të kenë raportuar të dhënat në SMPK sipas afatit të përcaktuar);</w:t>
      </w:r>
      <w:r w:rsidRPr="009F2567">
        <w:rPr>
          <w:rFonts w:asciiTheme="majorHAnsi" w:hAnsiTheme="majorHAnsi" w:cstheme="majorHAnsi"/>
          <w:lang w:val="de-CH"/>
        </w:rPr>
        <w:t xml:space="preserve"> 3 (opinioni i auditorit të jetë të paktën i pamodifikuar me theksim të çështjes) dhe numër 4 (shkalla e shpenzimit të buxhetit për investime kapitale për vitin 202</w:t>
      </w:r>
      <w:r w:rsidR="00FE1E99">
        <w:rPr>
          <w:rFonts w:asciiTheme="majorHAnsi" w:hAnsiTheme="majorHAnsi" w:cstheme="majorHAnsi"/>
          <w:lang w:val="de-CH"/>
        </w:rPr>
        <w:t>4</w:t>
      </w:r>
      <w:r w:rsidRPr="009F2567">
        <w:rPr>
          <w:rFonts w:asciiTheme="majorHAnsi" w:hAnsiTheme="majorHAnsi" w:cstheme="majorHAnsi"/>
          <w:lang w:val="de-CH"/>
        </w:rPr>
        <w:t xml:space="preserve"> të jetë së paku 75%) nuk janë përmbushur.</w:t>
      </w:r>
    </w:p>
    <w:p w:rsidR="0069543C" w:rsidRPr="009F2567" w:rsidRDefault="0069543C" w:rsidP="0069543C"/>
    <w:p w:rsidR="0069543C" w:rsidRPr="009F2567" w:rsidRDefault="0069543C" w:rsidP="0069543C"/>
    <w:p w:rsidR="0069543C" w:rsidRPr="009F2567" w:rsidRDefault="0069543C" w:rsidP="0069543C"/>
    <w:p w:rsidR="0069543C" w:rsidRPr="009F2567" w:rsidRDefault="0069543C" w:rsidP="0069543C">
      <w:pPr>
        <w:rPr>
          <w:b/>
        </w:rPr>
      </w:pPr>
      <w:r w:rsidRPr="009F2567">
        <w:rPr>
          <w:b/>
        </w:rPr>
        <w:t>Vlerësimi i treguesve të performancës për vitin 202</w:t>
      </w:r>
      <w:r w:rsidR="00FE1E99">
        <w:rPr>
          <w:b/>
        </w:rPr>
        <w:t>4</w:t>
      </w:r>
    </w:p>
    <w:p w:rsidR="0069543C" w:rsidRPr="009F2567" w:rsidRDefault="00FE1E99" w:rsidP="00D04CC0">
      <w:pPr>
        <w:rPr>
          <w:rFonts w:asciiTheme="majorHAnsi" w:hAnsiTheme="majorHAnsi" w:cstheme="majorHAnsi"/>
        </w:rPr>
      </w:pPr>
      <w:r>
        <w:rPr>
          <w:noProof/>
          <w:lang w:val="en-GB" w:eastAsia="en-GB"/>
          <w14:ligatures w14:val="standardContextual"/>
        </w:rPr>
        <w:drawing>
          <wp:anchor distT="0" distB="0" distL="114300" distR="114300" simplePos="0" relativeHeight="251810816" behindDoc="0" locked="0" layoutInCell="1" allowOverlap="1" wp14:anchorId="2C5B9105" wp14:editId="4FD74874">
            <wp:simplePos x="0" y="0"/>
            <wp:positionH relativeFrom="column">
              <wp:posOffset>2486148</wp:posOffset>
            </wp:positionH>
            <wp:positionV relativeFrom="paragraph">
              <wp:posOffset>435364</wp:posOffset>
            </wp:positionV>
            <wp:extent cx="3336290" cy="3048000"/>
            <wp:effectExtent l="0" t="0" r="16510" b="0"/>
            <wp:wrapSquare wrapText="bothSides"/>
            <wp:docPr id="189184299"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F4AA536-896D-426F-84A3-20834BBC9D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anchor>
        </w:drawing>
      </w:r>
      <w:r w:rsidR="0069543C" w:rsidRPr="009F2567">
        <w:rPr>
          <w:rFonts w:asciiTheme="majorHAnsi" w:hAnsiTheme="majorHAnsi" w:cstheme="majorHAnsi"/>
        </w:rPr>
        <w:t>Performanca mesatare e Komunës së Zubin Potokut në 2</w:t>
      </w:r>
      <w:r>
        <w:rPr>
          <w:rFonts w:asciiTheme="majorHAnsi" w:hAnsiTheme="majorHAnsi" w:cstheme="majorHAnsi"/>
        </w:rPr>
        <w:t>9</w:t>
      </w:r>
      <w:r w:rsidR="0069543C" w:rsidRPr="009F2567">
        <w:rPr>
          <w:rFonts w:asciiTheme="majorHAnsi" w:hAnsiTheme="majorHAnsi" w:cstheme="majorHAnsi"/>
        </w:rPr>
        <w:t xml:space="preserve"> indikatorët e vlerësuar është 0 pikë nga gjithsej 9</w:t>
      </w:r>
      <w:r>
        <w:rPr>
          <w:rFonts w:asciiTheme="majorHAnsi" w:hAnsiTheme="majorHAnsi" w:cstheme="majorHAnsi"/>
        </w:rPr>
        <w:t>8</w:t>
      </w:r>
      <w:r w:rsidR="0069543C" w:rsidRPr="009F2567">
        <w:rPr>
          <w:rFonts w:asciiTheme="majorHAnsi" w:hAnsiTheme="majorHAnsi" w:cstheme="majorHAnsi"/>
        </w:rPr>
        <w:t xml:space="preserve"> pikë të mundshme (0%).</w:t>
      </w:r>
      <w:r w:rsidR="0069543C" w:rsidRPr="009F2567">
        <w:rPr>
          <w:noProof/>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Performanca mesatare në 1</w:t>
      </w:r>
      <w:r w:rsidR="006A4FD7">
        <w:rPr>
          <w:rFonts w:asciiTheme="majorHAnsi" w:hAnsiTheme="majorHAnsi" w:cstheme="majorHAnsi"/>
        </w:rPr>
        <w:t>3</w:t>
      </w:r>
      <w:r w:rsidRPr="009F2567">
        <w:rPr>
          <w:rFonts w:asciiTheme="majorHAnsi" w:hAnsiTheme="majorHAnsi" w:cstheme="majorHAnsi"/>
        </w:rPr>
        <w:t xml:space="preserve"> treguesit e vlerësuar në kuadër të fushës ‘Qeverisja demokratike’ është 0 pikë nga gjithsej </w:t>
      </w:r>
      <w:r w:rsidR="00486F4B">
        <w:rPr>
          <w:rFonts w:asciiTheme="majorHAnsi" w:hAnsiTheme="majorHAnsi" w:cstheme="majorHAnsi"/>
        </w:rPr>
        <w:t>40</w:t>
      </w:r>
      <w:r w:rsidRPr="009F2567">
        <w:rPr>
          <w:rFonts w:asciiTheme="majorHAnsi" w:hAnsiTheme="majorHAnsi" w:cstheme="majorHAnsi"/>
        </w:rPr>
        <w:t xml:space="preserve"> pikët të mundshme (0%).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w:t>
      </w:r>
      <w:r w:rsidR="006A4FD7">
        <w:rPr>
          <w:rFonts w:asciiTheme="majorHAnsi" w:hAnsiTheme="majorHAnsi" w:cstheme="majorHAnsi"/>
        </w:rPr>
        <w:t>7</w:t>
      </w:r>
      <w:r w:rsidRPr="009F2567">
        <w:rPr>
          <w:rFonts w:asciiTheme="majorHAnsi" w:hAnsiTheme="majorHAnsi" w:cstheme="majorHAnsi"/>
        </w:rPr>
        <w:t xml:space="preserve"> treguesit e vlerësuar në kuadër të fushës ‘Menaxhimi Komunal’ është 0 pikë nga gjithsej 2</w:t>
      </w:r>
      <w:r w:rsidR="00486F4B">
        <w:rPr>
          <w:rFonts w:asciiTheme="majorHAnsi" w:hAnsiTheme="majorHAnsi" w:cstheme="majorHAnsi"/>
        </w:rPr>
        <w:t>8</w:t>
      </w:r>
      <w:r w:rsidRPr="009F2567">
        <w:rPr>
          <w:rFonts w:asciiTheme="majorHAnsi" w:hAnsiTheme="majorHAnsi" w:cstheme="majorHAnsi"/>
        </w:rPr>
        <w:t xml:space="preserve"> pikë të mundshme (0%).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w:t>
      </w:r>
      <w:r w:rsidR="00FE1E99">
        <w:rPr>
          <w:rFonts w:asciiTheme="majorHAnsi" w:hAnsiTheme="majorHAnsi" w:cstheme="majorHAnsi"/>
        </w:rPr>
        <w:t>9</w:t>
      </w:r>
      <w:r w:rsidRPr="009F2567">
        <w:rPr>
          <w:rFonts w:asciiTheme="majorHAnsi" w:hAnsiTheme="majorHAnsi" w:cstheme="majorHAnsi"/>
        </w:rPr>
        <w:t xml:space="preserve"> treguesit e vlerësuar në kuadër të fushës ‘Ofrimi i shërbimeve’ është 0 pikë nga gjithsej </w:t>
      </w:r>
      <w:r w:rsidR="00486F4B">
        <w:rPr>
          <w:rFonts w:asciiTheme="majorHAnsi" w:hAnsiTheme="majorHAnsi" w:cstheme="majorHAnsi"/>
        </w:rPr>
        <w:t>30</w:t>
      </w:r>
      <w:r w:rsidRPr="009F2567">
        <w:rPr>
          <w:rFonts w:asciiTheme="majorHAnsi" w:hAnsiTheme="majorHAnsi" w:cstheme="majorHAnsi"/>
        </w:rPr>
        <w:t xml:space="preserve"> pikë të mundshme (0%). </w:t>
      </w:r>
    </w:p>
    <w:p w:rsidR="0069543C" w:rsidRPr="009F2567" w:rsidRDefault="0069543C" w:rsidP="0069543C"/>
    <w:p w:rsidR="0069543C" w:rsidRPr="009F2567" w:rsidRDefault="0069543C" w:rsidP="0069543C">
      <w:pPr>
        <w:jc w:val="both"/>
      </w:pPr>
    </w:p>
    <w:p w:rsidR="0069543C" w:rsidRPr="009F2567" w:rsidRDefault="0069543C" w:rsidP="0069543C">
      <w:pPr>
        <w:sectPr w:rsidR="0069543C" w:rsidRPr="009F2567" w:rsidSect="0069543C">
          <w:pgSz w:w="11906" w:h="16838"/>
          <w:pgMar w:top="1440" w:right="1440" w:bottom="1440" w:left="1440" w:header="708" w:footer="708" w:gutter="0"/>
          <w:cols w:space="708"/>
          <w:docGrid w:linePitch="360"/>
        </w:sectPr>
      </w:pPr>
    </w:p>
    <w:p w:rsidR="0069543C" w:rsidRPr="009F2567" w:rsidRDefault="0069543C" w:rsidP="0069543C">
      <w:pPr>
        <w:jc w:val="both"/>
        <w:rPr>
          <w:b/>
          <w:bCs/>
        </w:rPr>
      </w:pPr>
      <w:bookmarkStart w:id="54" w:name="_Toc99363481"/>
      <w:r w:rsidRPr="009F2567">
        <w:rPr>
          <w:b/>
          <w:bCs/>
        </w:rPr>
        <w:lastRenderedPageBreak/>
        <w:t>Përmbledhje e rezultateve për vitin 202</w:t>
      </w:r>
      <w:r w:rsidR="00FE1E99">
        <w:rPr>
          <w:b/>
          <w:bCs/>
        </w:rPr>
        <w:t>4</w:t>
      </w:r>
      <w:r w:rsidRPr="009F2567">
        <w:rPr>
          <w:b/>
          <w:bCs/>
        </w:rPr>
        <w:t xml:space="preserve"> për grantin e performancës komunale - Komuna Zveçan</w:t>
      </w:r>
      <w:bookmarkEnd w:id="54"/>
    </w:p>
    <w:p w:rsidR="0069543C" w:rsidRPr="009F2567" w:rsidRDefault="0069543C" w:rsidP="0069543C">
      <w:pPr>
        <w:jc w:val="both"/>
        <w:rPr>
          <w:b/>
          <w:bCs/>
        </w:rPr>
      </w:pPr>
    </w:p>
    <w:p w:rsidR="0069543C" w:rsidRPr="009F2567" w:rsidRDefault="0069543C" w:rsidP="0069543C">
      <w:pPr>
        <w:rPr>
          <w:b/>
        </w:rPr>
      </w:pPr>
      <w:r w:rsidRPr="009F2567">
        <w:rPr>
          <w:b/>
        </w:rPr>
        <w:t>Vlerësimi i kushteve minimale për vitin 202</w:t>
      </w:r>
      <w:r w:rsidR="00FE1E99">
        <w:rPr>
          <w:b/>
        </w:rPr>
        <w:t>4</w:t>
      </w:r>
    </w:p>
    <w:p w:rsidR="0069543C" w:rsidRPr="009F2567" w:rsidRDefault="0069543C" w:rsidP="0069543C">
      <w:pPr>
        <w:jc w:val="both"/>
        <w:rPr>
          <w:rFonts w:asciiTheme="majorHAnsi" w:hAnsiTheme="majorHAnsi" w:cstheme="majorHAnsi"/>
          <w:lang w:val="de-CH"/>
        </w:rPr>
      </w:pPr>
      <w:r w:rsidRPr="009F2567">
        <w:rPr>
          <w:rFonts w:asciiTheme="majorHAnsi" w:hAnsiTheme="majorHAnsi" w:cstheme="majorHAnsi"/>
          <w:noProof/>
          <w:lang w:val="en-GB" w:eastAsia="en-GB"/>
        </w:rPr>
        <w:drawing>
          <wp:anchor distT="0" distB="0" distL="114300" distR="114300" simplePos="0" relativeHeight="251711488" behindDoc="0" locked="0" layoutInCell="1" allowOverlap="1" wp14:anchorId="2E24FA2C" wp14:editId="7A645BD5">
            <wp:simplePos x="0" y="0"/>
            <wp:positionH relativeFrom="margin">
              <wp:align>right</wp:align>
            </wp:positionH>
            <wp:positionV relativeFrom="paragraph">
              <wp:posOffset>10795</wp:posOffset>
            </wp:positionV>
            <wp:extent cx="3079750" cy="2184400"/>
            <wp:effectExtent l="0" t="0" r="6350" b="6350"/>
            <wp:wrapSquare wrapText="bothSides"/>
            <wp:docPr id="224" name="Chart 2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2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margin">
              <wp14:pctWidth>0</wp14:pctWidth>
            </wp14:sizeRelH>
            <wp14:sizeRelV relativeFrom="margin">
              <wp14:pctHeight>0</wp14:pctHeight>
            </wp14:sizeRelV>
          </wp:anchor>
        </w:drawing>
      </w:r>
      <w:r w:rsidRPr="009F2567">
        <w:rPr>
          <w:rFonts w:asciiTheme="majorHAnsi" w:hAnsiTheme="majorHAnsi" w:cstheme="majorHAnsi"/>
          <w:lang w:val="de-CH"/>
        </w:rPr>
        <w:t>Komuna e Zveçanit nuk është kualifikuar për grantin e performancës komunale për vitin 202</w:t>
      </w:r>
      <w:r w:rsidR="00FE1E99">
        <w:rPr>
          <w:rFonts w:asciiTheme="majorHAnsi" w:hAnsiTheme="majorHAnsi" w:cstheme="majorHAnsi"/>
          <w:lang w:val="de-CH"/>
        </w:rPr>
        <w:t>4</w:t>
      </w:r>
      <w:r w:rsidRPr="009F2567">
        <w:rPr>
          <w:rFonts w:asciiTheme="majorHAnsi" w:hAnsiTheme="majorHAnsi" w:cstheme="majorHAnsi"/>
          <w:lang w:val="de-CH"/>
        </w:rPr>
        <w:t xml:space="preserve">. </w:t>
      </w:r>
    </w:p>
    <w:p w:rsidR="0069543C" w:rsidRPr="009F2567" w:rsidRDefault="003A0099" w:rsidP="0069543C">
      <w:pPr>
        <w:jc w:val="both"/>
      </w:pPr>
      <w:r w:rsidRPr="009F2567">
        <w:rPr>
          <w:rFonts w:asciiTheme="majorHAnsi" w:hAnsiTheme="majorHAnsi" w:cstheme="majorHAnsi"/>
          <w:lang w:val="de-CH"/>
        </w:rPr>
        <w:t>Kushtet minimale numër 1(komunat duhet të kenë raportuar të dhënat në S</w:t>
      </w:r>
      <w:r w:rsidR="00FE1E99">
        <w:rPr>
          <w:rFonts w:asciiTheme="majorHAnsi" w:hAnsiTheme="majorHAnsi" w:cstheme="majorHAnsi"/>
          <w:lang w:val="de-CH"/>
        </w:rPr>
        <w:t>MPK sipas afatit të përcaktuar) dhe num</w:t>
      </w:r>
      <w:r w:rsidR="00FE1E99">
        <w:rPr>
          <w:rFonts w:ascii="Segoe UI Symbol" w:hAnsi="Segoe UI Symbol" w:cstheme="majorHAnsi"/>
          <w:lang w:val="en-US" w:eastAsia="ja-JP"/>
        </w:rPr>
        <w:t>ër</w:t>
      </w:r>
      <w:r w:rsidRPr="009F2567">
        <w:rPr>
          <w:rFonts w:asciiTheme="majorHAnsi" w:hAnsiTheme="majorHAnsi" w:cstheme="majorHAnsi"/>
          <w:lang w:val="de-CH"/>
        </w:rPr>
        <w:t xml:space="preserve"> 3 (opinioni i auditorit të jetë të paktën i pamodifikuar me theksim të çështjes) nuk janë përmbushur.</w:t>
      </w:r>
    </w:p>
    <w:p w:rsidR="0069543C" w:rsidRPr="009F2567" w:rsidRDefault="0069543C" w:rsidP="0069543C">
      <w:pPr>
        <w:tabs>
          <w:tab w:val="left" w:pos="1190"/>
        </w:tabs>
        <w:rPr>
          <w:b/>
        </w:rPr>
      </w:pPr>
    </w:p>
    <w:p w:rsidR="0069543C" w:rsidRPr="009F2567" w:rsidRDefault="0069543C" w:rsidP="0069543C"/>
    <w:p w:rsidR="0069543C" w:rsidRPr="009F2567" w:rsidRDefault="0069543C" w:rsidP="0069543C"/>
    <w:p w:rsidR="0069543C" w:rsidRPr="009F2567" w:rsidRDefault="0069543C" w:rsidP="0069543C">
      <w:pPr>
        <w:rPr>
          <w:b/>
        </w:rPr>
      </w:pPr>
      <w:r w:rsidRPr="009F2567">
        <w:rPr>
          <w:b/>
        </w:rPr>
        <w:t>Vlerësimi i treguesve të performancës për vitin 202</w:t>
      </w:r>
      <w:r w:rsidR="00FE1E99">
        <w:rPr>
          <w:b/>
        </w:rPr>
        <w:t>4</w:t>
      </w:r>
    </w:p>
    <w:p w:rsidR="0069543C" w:rsidRPr="009F2567" w:rsidRDefault="00D04CC0" w:rsidP="00D04CC0">
      <w:pPr>
        <w:rPr>
          <w:rFonts w:asciiTheme="majorHAnsi" w:hAnsiTheme="majorHAnsi" w:cstheme="majorHAnsi"/>
        </w:rPr>
      </w:pPr>
      <w:r>
        <w:rPr>
          <w:noProof/>
          <w:lang w:val="en-GB" w:eastAsia="en-GB"/>
          <w14:ligatures w14:val="standardContextual"/>
        </w:rPr>
        <w:drawing>
          <wp:anchor distT="0" distB="0" distL="114300" distR="114300" simplePos="0" relativeHeight="251811840" behindDoc="0" locked="0" layoutInCell="1" allowOverlap="1" wp14:anchorId="76F14B5A" wp14:editId="6D0BADBF">
            <wp:simplePos x="0" y="0"/>
            <wp:positionH relativeFrom="column">
              <wp:posOffset>2633980</wp:posOffset>
            </wp:positionH>
            <wp:positionV relativeFrom="paragraph">
              <wp:posOffset>278130</wp:posOffset>
            </wp:positionV>
            <wp:extent cx="3314700" cy="3219450"/>
            <wp:effectExtent l="0" t="0" r="0" b="0"/>
            <wp:wrapSquare wrapText="bothSides"/>
            <wp:docPr id="367390244"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54151DD-67C5-4663-A16A-5679C87D57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anchor>
        </w:drawing>
      </w:r>
      <w:r w:rsidR="0069543C" w:rsidRPr="009F2567">
        <w:rPr>
          <w:rFonts w:asciiTheme="majorHAnsi" w:hAnsiTheme="majorHAnsi" w:cstheme="majorHAnsi"/>
        </w:rPr>
        <w:t>Performanca mesatare e Komunës së Zveçanit në 2</w:t>
      </w:r>
      <w:r w:rsidR="00FE1E99">
        <w:rPr>
          <w:rFonts w:asciiTheme="majorHAnsi" w:hAnsiTheme="majorHAnsi" w:cstheme="majorHAnsi"/>
        </w:rPr>
        <w:t>9</w:t>
      </w:r>
      <w:r w:rsidR="0069543C" w:rsidRPr="009F2567">
        <w:rPr>
          <w:rFonts w:asciiTheme="majorHAnsi" w:hAnsiTheme="majorHAnsi" w:cstheme="majorHAnsi"/>
        </w:rPr>
        <w:t xml:space="preserve"> indikatorët e vlerësuar është 0 pikë nga gjithsej 9</w:t>
      </w:r>
      <w:r w:rsidR="00FE1E99">
        <w:rPr>
          <w:rFonts w:asciiTheme="majorHAnsi" w:hAnsiTheme="majorHAnsi" w:cstheme="majorHAnsi"/>
        </w:rPr>
        <w:t>8</w:t>
      </w:r>
      <w:r w:rsidR="0069543C" w:rsidRPr="009F2567">
        <w:rPr>
          <w:rFonts w:asciiTheme="majorHAnsi" w:hAnsiTheme="majorHAnsi" w:cstheme="majorHAnsi"/>
        </w:rPr>
        <w:t xml:space="preserve"> pikë të mundshme (0%).</w:t>
      </w:r>
      <w:r w:rsidR="0069543C" w:rsidRPr="009F2567">
        <w:rPr>
          <w:noProof/>
        </w:rPr>
        <w:t xml:space="preserve">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Performanca mesatare në 1</w:t>
      </w:r>
      <w:r w:rsidR="006A4FD7">
        <w:rPr>
          <w:rFonts w:asciiTheme="majorHAnsi" w:hAnsiTheme="majorHAnsi" w:cstheme="majorHAnsi"/>
        </w:rPr>
        <w:t>3</w:t>
      </w:r>
      <w:r w:rsidRPr="009F2567">
        <w:rPr>
          <w:rFonts w:asciiTheme="majorHAnsi" w:hAnsiTheme="majorHAnsi" w:cstheme="majorHAnsi"/>
        </w:rPr>
        <w:t xml:space="preserve"> treguesit e vlerësuar në kuadër të fushës ‘Qeverisja demokratike’ është 0 pikë nga gjithsej </w:t>
      </w:r>
      <w:r w:rsidR="00486F4B">
        <w:rPr>
          <w:rFonts w:asciiTheme="majorHAnsi" w:hAnsiTheme="majorHAnsi" w:cstheme="majorHAnsi"/>
        </w:rPr>
        <w:t>40</w:t>
      </w:r>
      <w:r w:rsidRPr="009F2567">
        <w:rPr>
          <w:rFonts w:asciiTheme="majorHAnsi" w:hAnsiTheme="majorHAnsi" w:cstheme="majorHAnsi"/>
        </w:rPr>
        <w:t xml:space="preserve"> pikët të mundshme (0%).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w:t>
      </w:r>
      <w:r w:rsidR="006A4FD7">
        <w:rPr>
          <w:rFonts w:asciiTheme="majorHAnsi" w:hAnsiTheme="majorHAnsi" w:cstheme="majorHAnsi"/>
        </w:rPr>
        <w:t>7</w:t>
      </w:r>
      <w:r w:rsidRPr="009F2567">
        <w:rPr>
          <w:rFonts w:asciiTheme="majorHAnsi" w:hAnsiTheme="majorHAnsi" w:cstheme="majorHAnsi"/>
        </w:rPr>
        <w:t xml:space="preserve"> treguesit e vlerësuar në kuadër të fushës ‘Menaxhimi Komunal’ është 0 pikë nga gjithsej 2</w:t>
      </w:r>
      <w:r w:rsidR="00486F4B">
        <w:rPr>
          <w:rFonts w:asciiTheme="majorHAnsi" w:hAnsiTheme="majorHAnsi" w:cstheme="majorHAnsi"/>
        </w:rPr>
        <w:t>8</w:t>
      </w:r>
      <w:r w:rsidRPr="009F2567">
        <w:rPr>
          <w:rFonts w:asciiTheme="majorHAnsi" w:hAnsiTheme="majorHAnsi" w:cstheme="majorHAnsi"/>
        </w:rPr>
        <w:t xml:space="preserve"> pikë të mundshme (0%). </w:t>
      </w:r>
    </w:p>
    <w:p w:rsidR="0069543C" w:rsidRPr="009F2567" w:rsidRDefault="0069543C" w:rsidP="0069543C">
      <w:pPr>
        <w:jc w:val="both"/>
        <w:rPr>
          <w:rFonts w:asciiTheme="majorHAnsi" w:hAnsiTheme="majorHAnsi" w:cstheme="majorHAnsi"/>
        </w:rPr>
      </w:pPr>
      <w:r w:rsidRPr="009F2567">
        <w:rPr>
          <w:rFonts w:asciiTheme="majorHAnsi" w:hAnsiTheme="majorHAnsi" w:cstheme="majorHAnsi"/>
        </w:rPr>
        <w:t xml:space="preserve">Performanca mesatare në </w:t>
      </w:r>
      <w:r w:rsidR="00FE1E99">
        <w:rPr>
          <w:rFonts w:asciiTheme="majorHAnsi" w:hAnsiTheme="majorHAnsi" w:cstheme="majorHAnsi"/>
        </w:rPr>
        <w:t>9</w:t>
      </w:r>
      <w:r w:rsidRPr="009F2567">
        <w:rPr>
          <w:rFonts w:asciiTheme="majorHAnsi" w:hAnsiTheme="majorHAnsi" w:cstheme="majorHAnsi"/>
        </w:rPr>
        <w:t xml:space="preserve"> treguesit e vlerësuar në kuadër të fushës ‘Ofrimi i shërbimeve’ është 0 pikë nga gjithsej </w:t>
      </w:r>
      <w:r w:rsidR="00486F4B">
        <w:rPr>
          <w:rFonts w:asciiTheme="majorHAnsi" w:hAnsiTheme="majorHAnsi" w:cstheme="majorHAnsi"/>
        </w:rPr>
        <w:t>30</w:t>
      </w:r>
      <w:r w:rsidRPr="009F2567">
        <w:rPr>
          <w:rFonts w:asciiTheme="majorHAnsi" w:hAnsiTheme="majorHAnsi" w:cstheme="majorHAnsi"/>
        </w:rPr>
        <w:t xml:space="preserve"> pikë të mundshme (0%). </w:t>
      </w:r>
    </w:p>
    <w:p w:rsidR="0069543C" w:rsidRPr="009F2567" w:rsidRDefault="0069543C" w:rsidP="0069543C"/>
    <w:p w:rsidR="0069543C" w:rsidRPr="009F2567" w:rsidRDefault="0069543C" w:rsidP="0069543C">
      <w:pPr>
        <w:jc w:val="both"/>
      </w:pPr>
    </w:p>
    <w:p w:rsidR="0069543C" w:rsidRPr="009F2567" w:rsidRDefault="0069543C" w:rsidP="0069543C"/>
    <w:p w:rsidR="0069543C" w:rsidRPr="009F2567" w:rsidRDefault="0069543C" w:rsidP="0069543C"/>
    <w:p w:rsidR="00216577" w:rsidRPr="009F2567" w:rsidRDefault="00216577" w:rsidP="00D42AE7">
      <w:pPr>
        <w:rPr>
          <w:rFonts w:asciiTheme="majorHAnsi" w:hAnsiTheme="majorHAnsi" w:cstheme="majorHAnsi"/>
        </w:rPr>
      </w:pPr>
    </w:p>
    <w:p w:rsidR="0056607E" w:rsidRPr="009F2567" w:rsidRDefault="0056607E" w:rsidP="00D42AE7">
      <w:pPr>
        <w:rPr>
          <w:rFonts w:asciiTheme="majorHAnsi" w:hAnsiTheme="majorHAnsi" w:cstheme="majorHAnsi"/>
        </w:rPr>
      </w:pPr>
    </w:p>
    <w:p w:rsidR="0056607E" w:rsidRPr="009F2567" w:rsidRDefault="0056607E" w:rsidP="0056607E">
      <w:pPr>
        <w:spacing w:line="276" w:lineRule="auto"/>
        <w:jc w:val="both"/>
        <w:rPr>
          <w:rFonts w:asciiTheme="majorHAnsi" w:hAnsiTheme="majorHAnsi" w:cstheme="majorHAnsi"/>
        </w:rPr>
      </w:pPr>
    </w:p>
    <w:p w:rsidR="0056607E" w:rsidRPr="009F2567" w:rsidRDefault="0056607E" w:rsidP="0056607E">
      <w:pPr>
        <w:keepNext/>
        <w:shd w:val="clear" w:color="auto" w:fill="215E99" w:themeFill="text2" w:themeFillTint="BF"/>
        <w:tabs>
          <w:tab w:val="left" w:pos="540"/>
        </w:tabs>
        <w:spacing w:after="0" w:line="240" w:lineRule="auto"/>
        <w:outlineLvl w:val="0"/>
        <w:rPr>
          <w:rFonts w:asciiTheme="majorHAnsi" w:eastAsiaTheme="majorEastAsia" w:hAnsiTheme="majorHAnsi" w:cstheme="majorHAnsi"/>
          <w:b/>
          <w:color w:val="FFFFFF" w:themeColor="background1"/>
          <w:sz w:val="24"/>
          <w:szCs w:val="24"/>
        </w:rPr>
      </w:pPr>
      <w:bookmarkStart w:id="55" w:name="_Toc178434867"/>
      <w:r w:rsidRPr="009F2567">
        <w:rPr>
          <w:rFonts w:asciiTheme="majorHAnsi" w:eastAsiaTheme="majorEastAsia" w:hAnsiTheme="majorHAnsi" w:cstheme="majorHAnsi"/>
          <w:b/>
          <w:color w:val="FFFFFF" w:themeColor="background1"/>
          <w:sz w:val="24"/>
          <w:szCs w:val="24"/>
        </w:rPr>
        <w:t xml:space="preserve">Shtojca 5  </w:t>
      </w:r>
      <w:r w:rsidR="003A5C75" w:rsidRPr="009F2567">
        <w:rPr>
          <w:rFonts w:asciiTheme="majorHAnsi" w:eastAsiaTheme="majorEastAsia" w:hAnsiTheme="majorHAnsi" w:cstheme="majorHAnsi"/>
          <w:b/>
          <w:color w:val="FFFFFF" w:themeColor="background1"/>
          <w:sz w:val="24"/>
          <w:szCs w:val="24"/>
        </w:rPr>
        <w:t>Granti i performancës komunale për vitin 202</w:t>
      </w:r>
      <w:r w:rsidR="00FE1E99">
        <w:rPr>
          <w:rFonts w:asciiTheme="majorHAnsi" w:eastAsiaTheme="majorEastAsia" w:hAnsiTheme="majorHAnsi" w:cstheme="majorHAnsi"/>
          <w:b/>
          <w:color w:val="FFFFFF" w:themeColor="background1"/>
          <w:sz w:val="24"/>
          <w:szCs w:val="24"/>
        </w:rPr>
        <w:t>6</w:t>
      </w:r>
      <w:r w:rsidR="00E22B82" w:rsidRPr="009F2567">
        <w:rPr>
          <w:rFonts w:asciiTheme="majorHAnsi" w:eastAsiaTheme="majorEastAsia" w:hAnsiTheme="majorHAnsi" w:cstheme="majorHAnsi"/>
          <w:b/>
          <w:color w:val="FFFFFF" w:themeColor="background1"/>
          <w:sz w:val="24"/>
          <w:szCs w:val="24"/>
        </w:rPr>
        <w:t>-</w:t>
      </w:r>
      <w:r w:rsidR="003A5C75" w:rsidRPr="009F2567">
        <w:rPr>
          <w:rFonts w:asciiTheme="majorHAnsi" w:eastAsiaTheme="majorEastAsia" w:hAnsiTheme="majorHAnsi" w:cstheme="majorHAnsi"/>
          <w:b/>
          <w:color w:val="FFFFFF" w:themeColor="background1"/>
          <w:sz w:val="24"/>
          <w:szCs w:val="24"/>
        </w:rPr>
        <w:t>Metodologjia e vlerësimit</w:t>
      </w:r>
      <w:bookmarkEnd w:id="55"/>
    </w:p>
    <w:p w:rsidR="00240745" w:rsidRPr="009F2567" w:rsidRDefault="00240745" w:rsidP="003A5C75">
      <w:pPr>
        <w:spacing w:before="60" w:line="264" w:lineRule="auto"/>
        <w:jc w:val="both"/>
        <w:rPr>
          <w:rFonts w:cs="Calibri Light"/>
          <w:color w:val="0A2F41" w:themeColor="accent1" w:themeShade="80"/>
        </w:rPr>
      </w:pPr>
    </w:p>
    <w:p w:rsidR="00240745" w:rsidRPr="009F2567" w:rsidRDefault="00240745" w:rsidP="003A5C75">
      <w:pPr>
        <w:spacing w:before="60" w:line="264" w:lineRule="auto"/>
        <w:jc w:val="both"/>
        <w:rPr>
          <w:rFonts w:cs="Calibri Light"/>
          <w:b/>
          <w:bCs/>
          <w:color w:val="0A2F41" w:themeColor="accent1" w:themeShade="80"/>
        </w:rPr>
      </w:pPr>
      <w:r w:rsidRPr="009F2567">
        <w:rPr>
          <w:rFonts w:cs="Calibri Light"/>
          <w:b/>
          <w:bCs/>
          <w:color w:val="0A2F41" w:themeColor="accent1" w:themeShade="80"/>
        </w:rPr>
        <w:t>Aspekte të përgjithshme të metodologjisë së vlerësimit</w:t>
      </w:r>
    </w:p>
    <w:p w:rsidR="00EE3E57" w:rsidRPr="009F2567" w:rsidRDefault="003A5C75" w:rsidP="003A5C75">
      <w:pPr>
        <w:spacing w:before="60" w:line="264" w:lineRule="auto"/>
        <w:jc w:val="both"/>
        <w:rPr>
          <w:rFonts w:cs="Calibri Light"/>
          <w:color w:val="0A2F41" w:themeColor="accent1" w:themeShade="80"/>
        </w:rPr>
      </w:pPr>
      <w:r w:rsidRPr="009F2567">
        <w:rPr>
          <w:rFonts w:cs="Calibri Light"/>
          <w:color w:val="0A2F41" w:themeColor="accent1" w:themeShade="80"/>
        </w:rPr>
        <w:t>‘Rregullat e Grantit të Performancës Komunale për vitin fiskal 202</w:t>
      </w:r>
      <w:r w:rsidR="00FE1E99">
        <w:rPr>
          <w:rFonts w:cs="Calibri Light"/>
          <w:color w:val="0A2F41" w:themeColor="accent1" w:themeShade="80"/>
        </w:rPr>
        <w:t>6</w:t>
      </w:r>
      <w:r w:rsidRPr="009F2567">
        <w:rPr>
          <w:rFonts w:cs="Calibri Light"/>
          <w:color w:val="0A2F41" w:themeColor="accent1" w:themeShade="80"/>
        </w:rPr>
        <w:t>’, të miratuara nga MAPL</w:t>
      </w:r>
      <w:r w:rsidR="00866A26" w:rsidRPr="009F2567">
        <w:rPr>
          <w:rFonts w:cs="Calibri Light"/>
          <w:color w:val="0A2F41" w:themeColor="accent1" w:themeShade="80"/>
        </w:rPr>
        <w:t>-ja</w:t>
      </w:r>
      <w:r w:rsidRPr="009F2567">
        <w:rPr>
          <w:rFonts w:cs="Calibri Light"/>
          <w:color w:val="0A2F41" w:themeColor="accent1" w:themeShade="80"/>
        </w:rPr>
        <w:t xml:space="preserve"> dhe donatorët e përfshirë në GPK, paraqesin aktin në bazë të të cilit është bërë vlerësimi për grantin e performancës komunale për vitin 202</w:t>
      </w:r>
      <w:r w:rsidR="00FE1E99">
        <w:rPr>
          <w:rFonts w:cs="Calibri Light"/>
          <w:color w:val="0A2F41" w:themeColor="accent1" w:themeShade="80"/>
        </w:rPr>
        <w:t>6</w:t>
      </w:r>
      <w:r w:rsidRPr="009F2567">
        <w:rPr>
          <w:rFonts w:cs="Calibri Light"/>
          <w:color w:val="0A2F41" w:themeColor="accent1" w:themeShade="80"/>
        </w:rPr>
        <w:t>. Rregullat e GPK 202</w:t>
      </w:r>
      <w:r w:rsidR="00FE1E99">
        <w:rPr>
          <w:rFonts w:cs="Calibri Light"/>
          <w:color w:val="0A2F41" w:themeColor="accent1" w:themeShade="80"/>
        </w:rPr>
        <w:t>6</w:t>
      </w:r>
      <w:r w:rsidRPr="009F2567">
        <w:rPr>
          <w:rFonts w:cs="Calibri Light"/>
          <w:color w:val="0A2F41" w:themeColor="accent1" w:themeShade="80"/>
        </w:rPr>
        <w:t xml:space="preserve"> i shpjegojnë politikat dhe kriteret e grantit si dhe japin udhëzime të detajuara lidhur me procesin e vlerësimit të performancës.</w:t>
      </w:r>
    </w:p>
    <w:p w:rsidR="00EE3E57" w:rsidRPr="009F2567" w:rsidRDefault="00EE3E57" w:rsidP="003A5C75">
      <w:pPr>
        <w:spacing w:before="60" w:line="264" w:lineRule="auto"/>
        <w:jc w:val="both"/>
        <w:rPr>
          <w:rFonts w:cs="Calibri Light"/>
          <w:color w:val="0A2F41" w:themeColor="accent1" w:themeShade="80"/>
        </w:rPr>
      </w:pPr>
      <w:r w:rsidRPr="009F2567">
        <w:rPr>
          <w:rFonts w:cs="Calibri Light"/>
          <w:b/>
          <w:bCs/>
          <w:color w:val="0A2F41" w:themeColor="accent1" w:themeShade="80"/>
        </w:rPr>
        <w:t>Periudha e vlerësimit për Grantin e Performancës Komunale (Ciklet e Menaxhimit të Grantit)</w:t>
      </w:r>
      <w:r w:rsidRPr="009F2567">
        <w:rPr>
          <w:rFonts w:cs="Calibri Light"/>
          <w:color w:val="0A2F41" w:themeColor="accent1" w:themeShade="80"/>
        </w:rPr>
        <w:t xml:space="preserve"> </w:t>
      </w:r>
    </w:p>
    <w:p w:rsidR="003A5C75" w:rsidRPr="009F2567" w:rsidRDefault="003A5C75" w:rsidP="003A5C75">
      <w:pPr>
        <w:spacing w:before="60" w:line="264" w:lineRule="auto"/>
        <w:jc w:val="both"/>
        <w:rPr>
          <w:rFonts w:cs="Calibri Light"/>
          <w:color w:val="0A2F41" w:themeColor="accent1" w:themeShade="80"/>
        </w:rPr>
      </w:pPr>
      <w:r w:rsidRPr="009F2567">
        <w:rPr>
          <w:rFonts w:cs="Calibri Light"/>
          <w:color w:val="0A2F41" w:themeColor="accent1" w:themeShade="80"/>
        </w:rPr>
        <w:t xml:space="preserve">Periudha e vlerësimit për grantin e performancës komunale ndahet në 3 faza kryesore: </w:t>
      </w:r>
    </w:p>
    <w:p w:rsidR="003A5C75" w:rsidRPr="009F2567" w:rsidRDefault="003A5C75" w:rsidP="004A29F8">
      <w:pPr>
        <w:numPr>
          <w:ilvl w:val="1"/>
          <w:numId w:val="5"/>
        </w:numPr>
        <w:spacing w:after="0" w:line="280" w:lineRule="atLeast"/>
        <w:ind w:left="993" w:hanging="284"/>
        <w:contextualSpacing/>
        <w:jc w:val="both"/>
        <w:rPr>
          <w:rFonts w:cs="Calibri Light"/>
          <w:color w:val="0A2F41" w:themeColor="accent1" w:themeShade="80"/>
        </w:rPr>
      </w:pPr>
      <w:r w:rsidRPr="009F2567">
        <w:rPr>
          <w:rFonts w:cs="Calibri Light"/>
          <w:color w:val="0A2F41" w:themeColor="accent1" w:themeShade="80"/>
        </w:rPr>
        <w:t>Periudha e performancës - që nënkupton vitin për të cilin vlerësohet performanca e komunës. Në bazë rregullave të GPK 202</w:t>
      </w:r>
      <w:r w:rsidR="00FE1E99">
        <w:rPr>
          <w:rFonts w:cs="Calibri Light"/>
          <w:color w:val="0A2F41" w:themeColor="accent1" w:themeShade="80"/>
        </w:rPr>
        <w:t>6</w:t>
      </w:r>
      <w:r w:rsidRPr="009F2567">
        <w:rPr>
          <w:rFonts w:cs="Calibri Light"/>
          <w:color w:val="0A2F41" w:themeColor="accent1" w:themeShade="80"/>
        </w:rPr>
        <w:t xml:space="preserve"> vlerësohet performanca komunale e vitit 202</w:t>
      </w:r>
      <w:r w:rsidR="00FE1E99">
        <w:rPr>
          <w:rFonts w:cs="Calibri Light"/>
          <w:color w:val="0A2F41" w:themeColor="accent1" w:themeShade="80"/>
        </w:rPr>
        <w:t>4</w:t>
      </w:r>
      <w:r w:rsidRPr="009F2567">
        <w:rPr>
          <w:rFonts w:cs="Calibri Light"/>
          <w:color w:val="0A2F41" w:themeColor="accent1" w:themeShade="80"/>
        </w:rPr>
        <w:t xml:space="preserve">; </w:t>
      </w:r>
    </w:p>
    <w:p w:rsidR="003A5C75" w:rsidRPr="009F2567" w:rsidRDefault="003A5C75" w:rsidP="004A29F8">
      <w:pPr>
        <w:numPr>
          <w:ilvl w:val="1"/>
          <w:numId w:val="5"/>
        </w:numPr>
        <w:spacing w:after="0" w:line="280" w:lineRule="atLeast"/>
        <w:ind w:left="993" w:hanging="284"/>
        <w:contextualSpacing/>
        <w:jc w:val="both"/>
        <w:rPr>
          <w:rFonts w:cs="Calibri Light"/>
          <w:color w:val="0A2F41" w:themeColor="accent1" w:themeShade="80"/>
        </w:rPr>
      </w:pPr>
      <w:r w:rsidRPr="009F2567">
        <w:rPr>
          <w:rFonts w:cs="Calibri Light"/>
          <w:color w:val="0A2F41" w:themeColor="accent1" w:themeShade="80"/>
        </w:rPr>
        <w:t xml:space="preserve">Periudha e vlerësimit - nënkupton periudhën në të cilën kryhet vlerësimi i performancës për GPK. </w:t>
      </w:r>
    </w:p>
    <w:p w:rsidR="003A5C75" w:rsidRPr="009F2567" w:rsidRDefault="003A5C75" w:rsidP="004A29F8">
      <w:pPr>
        <w:numPr>
          <w:ilvl w:val="1"/>
          <w:numId w:val="5"/>
        </w:numPr>
        <w:spacing w:after="0" w:line="280" w:lineRule="atLeast"/>
        <w:ind w:left="993" w:hanging="284"/>
        <w:contextualSpacing/>
        <w:jc w:val="both"/>
        <w:rPr>
          <w:rFonts w:cs="Calibri Light"/>
          <w:color w:val="0A2F41" w:themeColor="accent1" w:themeShade="80"/>
        </w:rPr>
      </w:pPr>
      <w:r w:rsidRPr="009F2567">
        <w:rPr>
          <w:rFonts w:cs="Calibri Light"/>
          <w:color w:val="0A2F41" w:themeColor="accent1" w:themeShade="80"/>
        </w:rPr>
        <w:t>Periudha e ndarjes dhe shfrytëzimi i grantit - nënkupton vitin në të cilin granti vihet në dispozicion për shfrytëzim nga komunat. Në bazë të këtyre rregullave granti do të jetë në dispozicion për komunat në vitin 202</w:t>
      </w:r>
      <w:r w:rsidR="00FE1E99">
        <w:rPr>
          <w:rFonts w:cs="Calibri Light"/>
          <w:color w:val="0A2F41" w:themeColor="accent1" w:themeShade="80"/>
        </w:rPr>
        <w:t>6</w:t>
      </w:r>
      <w:r w:rsidRPr="009F2567">
        <w:rPr>
          <w:rFonts w:cs="Calibri Light"/>
          <w:color w:val="0A2F41" w:themeColor="accent1" w:themeShade="80"/>
        </w:rPr>
        <w:t>.</w:t>
      </w:r>
    </w:p>
    <w:p w:rsidR="00240745" w:rsidRPr="009F2567" w:rsidRDefault="00240745" w:rsidP="003A5C75">
      <w:pPr>
        <w:spacing w:before="60" w:line="264" w:lineRule="auto"/>
        <w:jc w:val="both"/>
        <w:rPr>
          <w:rFonts w:cs="Calibri Light"/>
          <w:color w:val="0A2F41" w:themeColor="accent1" w:themeShade="80"/>
        </w:rPr>
      </w:pPr>
    </w:p>
    <w:p w:rsidR="00240745" w:rsidRPr="009F2567" w:rsidRDefault="00240745" w:rsidP="003A5C75">
      <w:pPr>
        <w:spacing w:before="60" w:line="264" w:lineRule="auto"/>
        <w:jc w:val="both"/>
        <w:rPr>
          <w:rFonts w:cs="Calibri Light"/>
          <w:b/>
          <w:bCs/>
          <w:color w:val="0A2F41" w:themeColor="accent1" w:themeShade="80"/>
        </w:rPr>
      </w:pPr>
      <w:r w:rsidRPr="009F2567">
        <w:rPr>
          <w:rFonts w:cs="Calibri Light"/>
          <w:b/>
          <w:bCs/>
          <w:color w:val="0A2F41" w:themeColor="accent1" w:themeShade="80"/>
        </w:rPr>
        <w:t>Kushtet minimale dhe  treguesit e performancës</w:t>
      </w:r>
    </w:p>
    <w:p w:rsidR="003A5C75" w:rsidRPr="009F2567" w:rsidRDefault="003A5C75" w:rsidP="003A5C75">
      <w:pPr>
        <w:spacing w:before="60" w:line="264" w:lineRule="auto"/>
        <w:jc w:val="both"/>
        <w:rPr>
          <w:rFonts w:cs="Calibri Light"/>
          <w:color w:val="0A2F41" w:themeColor="accent1" w:themeShade="80"/>
        </w:rPr>
      </w:pPr>
      <w:r w:rsidRPr="009F2567">
        <w:rPr>
          <w:rFonts w:cs="Calibri Light"/>
          <w:color w:val="0A2F41" w:themeColor="accent1" w:themeShade="80"/>
        </w:rPr>
        <w:t>Për tu kualifikuar për grantin e performancës komunale për vitin 202</w:t>
      </w:r>
      <w:r w:rsidR="00856979">
        <w:rPr>
          <w:rFonts w:cs="Calibri Light"/>
          <w:color w:val="0A2F41" w:themeColor="accent1" w:themeShade="80"/>
        </w:rPr>
        <w:t>6</w:t>
      </w:r>
      <w:r w:rsidRPr="009F2567">
        <w:rPr>
          <w:rFonts w:cs="Calibri Light"/>
          <w:color w:val="0A2F41" w:themeColor="accent1" w:themeShade="80"/>
        </w:rPr>
        <w:t xml:space="preserve">, komunat  duhet t’i kenë plotësuar 4 kushtet minimale  për sa vijon: </w:t>
      </w:r>
    </w:p>
    <w:p w:rsidR="003A5C75" w:rsidRPr="009F2567" w:rsidRDefault="003A5C75" w:rsidP="004A29F8">
      <w:pPr>
        <w:numPr>
          <w:ilvl w:val="1"/>
          <w:numId w:val="4"/>
        </w:numPr>
        <w:spacing w:after="0" w:line="276" w:lineRule="auto"/>
        <w:rPr>
          <w:rFonts w:cs="Calibri Light"/>
          <w:color w:val="0A2F41" w:themeColor="accent1" w:themeShade="80"/>
        </w:rPr>
      </w:pPr>
      <w:r w:rsidRPr="009F2567">
        <w:rPr>
          <w:rFonts w:cs="Calibri Light"/>
          <w:color w:val="0A2F41" w:themeColor="accent1" w:themeShade="80"/>
        </w:rPr>
        <w:t>Komunat duhet të kenë raportuar të dhënat në SMPK sipas afatit të përcaktuar në nenin 19.2 të Ligjit për SMPK/GPK</w:t>
      </w:r>
      <w:r w:rsidRPr="009F2567">
        <w:rPr>
          <w:rFonts w:cs="Calibri Light"/>
          <w:color w:val="0A2F41" w:themeColor="accent1" w:themeShade="80"/>
        </w:rPr>
        <w:footnoteReference w:id="2"/>
      </w:r>
      <w:r w:rsidRPr="009F2567">
        <w:rPr>
          <w:rFonts w:cs="Calibri Light"/>
          <w:color w:val="0A2F41" w:themeColor="accent1" w:themeShade="80"/>
        </w:rPr>
        <w:t>;</w:t>
      </w:r>
    </w:p>
    <w:p w:rsidR="003A5C75" w:rsidRPr="009F2567" w:rsidRDefault="003A5C75" w:rsidP="004A29F8">
      <w:pPr>
        <w:numPr>
          <w:ilvl w:val="1"/>
          <w:numId w:val="4"/>
        </w:numPr>
        <w:spacing w:after="0" w:line="276" w:lineRule="auto"/>
        <w:rPr>
          <w:rFonts w:cs="Calibri Light"/>
          <w:color w:val="0A2F41" w:themeColor="accent1" w:themeShade="80"/>
        </w:rPr>
      </w:pPr>
      <w:r w:rsidRPr="009F2567">
        <w:rPr>
          <w:rFonts w:cs="Calibri Light"/>
          <w:color w:val="0A2F41" w:themeColor="accent1" w:themeShade="80"/>
        </w:rPr>
        <w:t>Komunat duhet të kenë respektuar obligimin ligjor për të rishqyrtuar aktet komunale të vlerësuara si të kundërligjshme nga autoriteti mbikëqyrës</w:t>
      </w:r>
      <w:r w:rsidRPr="009F2567">
        <w:rPr>
          <w:rFonts w:cs="Calibri Light"/>
          <w:color w:val="0A2F41" w:themeColor="accent1" w:themeShade="80"/>
        </w:rPr>
        <w:footnoteReference w:id="3"/>
      </w:r>
      <w:r w:rsidRPr="009F2567">
        <w:rPr>
          <w:rFonts w:cs="Calibri Light"/>
          <w:color w:val="0A2F41" w:themeColor="accent1" w:themeShade="80"/>
        </w:rPr>
        <w:t>;</w:t>
      </w:r>
    </w:p>
    <w:p w:rsidR="003A5C75" w:rsidRPr="009F2567" w:rsidRDefault="003A5C75" w:rsidP="004A29F8">
      <w:pPr>
        <w:numPr>
          <w:ilvl w:val="1"/>
          <w:numId w:val="4"/>
        </w:numPr>
        <w:spacing w:after="0" w:line="264" w:lineRule="auto"/>
        <w:jc w:val="both"/>
        <w:rPr>
          <w:rFonts w:cs="Calibri Light"/>
          <w:color w:val="0A2F41" w:themeColor="accent1" w:themeShade="80"/>
        </w:rPr>
      </w:pPr>
      <w:r w:rsidRPr="009F2567">
        <w:rPr>
          <w:rFonts w:cs="Calibri Light"/>
          <w:color w:val="0A2F41" w:themeColor="accent1" w:themeShade="80"/>
        </w:rPr>
        <w:t>Opinioni i auditimit duhet të jetë të paktën i pamodifikuar me theksim të çështjes; dhe</w:t>
      </w:r>
    </w:p>
    <w:p w:rsidR="003A5C75" w:rsidRPr="009F2567" w:rsidRDefault="003A5C75" w:rsidP="004A29F8">
      <w:pPr>
        <w:numPr>
          <w:ilvl w:val="1"/>
          <w:numId w:val="4"/>
        </w:numPr>
        <w:spacing w:before="60" w:after="0" w:line="264" w:lineRule="auto"/>
        <w:jc w:val="both"/>
        <w:rPr>
          <w:rFonts w:cs="Calibri Light"/>
          <w:color w:val="0A2F41" w:themeColor="accent1" w:themeShade="80"/>
        </w:rPr>
      </w:pPr>
      <w:r w:rsidRPr="009F2567">
        <w:rPr>
          <w:rFonts w:cs="Calibri Light"/>
          <w:color w:val="0A2F41" w:themeColor="accent1" w:themeShade="80"/>
        </w:rPr>
        <w:t>Komunat duhet të kenë shpenzuar 75% ose më tepër të buxhetit final për investime kapitale</w:t>
      </w:r>
    </w:p>
    <w:p w:rsidR="003A5C75" w:rsidRPr="009F2567" w:rsidRDefault="003A5C75" w:rsidP="003A5C75">
      <w:pPr>
        <w:spacing w:before="60" w:after="0" w:line="264" w:lineRule="auto"/>
        <w:jc w:val="both"/>
        <w:rPr>
          <w:rFonts w:cs="Calibri Light"/>
          <w:color w:val="0A2F41" w:themeColor="accent1" w:themeShade="80"/>
        </w:rPr>
      </w:pPr>
      <w:r w:rsidRPr="009F2567">
        <w:rPr>
          <w:rFonts w:cs="Calibri Light"/>
          <w:color w:val="0A2F41" w:themeColor="accent1" w:themeShade="80"/>
        </w:rPr>
        <w:t xml:space="preserve">Komunat që nuk kanë plotësuar një nga kushtet minimale të lartëpërmendura, nuk do të mund të marrin grant të performancës komunale, pavarësisht pikëve të tyre në treguesit e performancës. </w:t>
      </w:r>
    </w:p>
    <w:p w:rsidR="003A5C75" w:rsidRPr="009F2567" w:rsidRDefault="00E1410A" w:rsidP="003A5C75">
      <w:pPr>
        <w:spacing w:before="20" w:after="0" w:line="264" w:lineRule="auto"/>
        <w:jc w:val="both"/>
        <w:rPr>
          <w:rFonts w:cs="Calibri Light"/>
          <w:color w:val="0A2F41" w:themeColor="accent1" w:themeShade="80"/>
        </w:rPr>
      </w:pPr>
      <w:r w:rsidRPr="009F2567">
        <w:rPr>
          <w:rFonts w:cs="Calibri Light"/>
          <w:color w:val="0A2F41" w:themeColor="accent1" w:themeShade="80"/>
        </w:rPr>
        <w:lastRenderedPageBreak/>
        <w:t>Tregues të ndryshëm kanë numër të ndryshëm të pikëve, varësisht nga pesha dhe rëndësia e atribuar e një treguesi. Shtojca 2 e Rregullave të grantit të performancës komunale për VF 202</w:t>
      </w:r>
      <w:r w:rsidR="00FE1E99">
        <w:rPr>
          <w:rFonts w:cs="Calibri Light"/>
          <w:color w:val="0A2F41" w:themeColor="accent1" w:themeShade="80"/>
        </w:rPr>
        <w:t>6</w:t>
      </w:r>
      <w:r w:rsidRPr="009F2567">
        <w:rPr>
          <w:rFonts w:cs="Calibri Light"/>
          <w:color w:val="0A2F41" w:themeColor="accent1" w:themeShade="80"/>
        </w:rPr>
        <w:t xml:space="preserve"> përmban një udhëzues të detajuar lidhur me alokimin e pikëve përbrenda pikëve maksimale. Pikët janë kalibruar në mënyrë të tillë që të shpërblehen nivele të mira dhe të pranueshme të performancës, por që për secilin tregues, për performancën nën-optimale jepen shumë pak ose aspak pikë, që do të thotë se pikët me të vërtetë stimulojnë performancën e lartë në vend të performancës mesatare. Kjo gjithashtu do të thotë se komunat që performojnë mirë në një numër treguesish, do të marrin ndjeshëm më shumë pikë se ato që tregojnë performancë të rëndomtë. </w:t>
      </w:r>
    </w:p>
    <w:p w:rsidR="003A5C75" w:rsidRPr="009F2567" w:rsidRDefault="003A5C75" w:rsidP="00216F0E">
      <w:pPr>
        <w:spacing w:before="20" w:after="0" w:line="264" w:lineRule="auto"/>
        <w:jc w:val="both"/>
        <w:rPr>
          <w:rFonts w:cs="Calibri Light"/>
          <w:color w:val="0A2F41" w:themeColor="accent1" w:themeShade="80"/>
        </w:rPr>
      </w:pPr>
      <w:r w:rsidRPr="009F2567">
        <w:rPr>
          <w:rFonts w:cs="Calibri Light"/>
          <w:color w:val="0A2F41" w:themeColor="accent1" w:themeShade="80"/>
        </w:rPr>
        <w:t>Për të gjitha komunat që kanë plotësuar kushtet minimale, granti i performancës komunale që merr secila komunë bazohet në pikët e saj relative të arritura në 2</w:t>
      </w:r>
      <w:r w:rsidR="00FE1E99">
        <w:rPr>
          <w:rFonts w:cs="Calibri Light"/>
          <w:color w:val="0A2F41" w:themeColor="accent1" w:themeShade="80"/>
        </w:rPr>
        <w:t>9</w:t>
      </w:r>
      <w:r w:rsidRPr="009F2567">
        <w:rPr>
          <w:rFonts w:cs="Calibri Light"/>
          <w:color w:val="0A2F41" w:themeColor="accent1" w:themeShade="80"/>
        </w:rPr>
        <w:t xml:space="preserve"> treguesit e performancës (pikët e saj në krahasim me ato të të gjitha komunave të tjera). </w:t>
      </w:r>
    </w:p>
    <w:p w:rsidR="00240745" w:rsidRPr="009F2567" w:rsidRDefault="00240745" w:rsidP="00E1410A">
      <w:pPr>
        <w:spacing w:before="20" w:after="0" w:line="276" w:lineRule="auto"/>
        <w:jc w:val="both"/>
        <w:rPr>
          <w:rFonts w:cs="Calibri Light"/>
          <w:color w:val="0A2F41" w:themeColor="accent1" w:themeShade="80"/>
        </w:rPr>
      </w:pPr>
    </w:p>
    <w:p w:rsidR="00240745" w:rsidRPr="009F2567" w:rsidRDefault="00240745" w:rsidP="00E1410A">
      <w:pPr>
        <w:spacing w:before="20" w:after="0" w:line="276" w:lineRule="auto"/>
        <w:jc w:val="both"/>
        <w:rPr>
          <w:rFonts w:cs="Calibri Light"/>
          <w:b/>
          <w:bCs/>
          <w:color w:val="0A2F41" w:themeColor="accent1" w:themeShade="80"/>
        </w:rPr>
      </w:pPr>
      <w:r w:rsidRPr="009F2567">
        <w:rPr>
          <w:rFonts w:cs="Calibri Light"/>
          <w:b/>
          <w:bCs/>
          <w:color w:val="0A2F41" w:themeColor="accent1" w:themeShade="80"/>
        </w:rPr>
        <w:t>Burimet e të dhënave për vlerësimin e kushteve minimale dhe të treguesve të grantit të performancës komunale</w:t>
      </w:r>
    </w:p>
    <w:p w:rsidR="003A5C75" w:rsidRPr="009F2567" w:rsidRDefault="00240745" w:rsidP="00E1410A">
      <w:pPr>
        <w:spacing w:before="20" w:after="0" w:line="276" w:lineRule="auto"/>
        <w:jc w:val="both"/>
        <w:rPr>
          <w:rFonts w:cs="Calibri Light"/>
          <w:color w:val="0A2F41" w:themeColor="accent1" w:themeShade="80"/>
        </w:rPr>
      </w:pPr>
      <w:r w:rsidRPr="009F2567">
        <w:rPr>
          <w:rFonts w:cs="Calibri Light"/>
          <w:color w:val="0A2F41" w:themeColor="accent1" w:themeShade="80"/>
        </w:rPr>
        <w:t xml:space="preserve"> </w:t>
      </w:r>
      <w:r w:rsidR="003A5C75" w:rsidRPr="009F2567">
        <w:rPr>
          <w:rFonts w:cs="Calibri Light"/>
          <w:color w:val="0A2F41" w:themeColor="accent1" w:themeShade="80"/>
        </w:rPr>
        <w:t>Të dhënat për vlerësimin e performancës për grantin e vitit 202</w:t>
      </w:r>
      <w:r w:rsidR="00FE1E99">
        <w:rPr>
          <w:rFonts w:cs="Calibri Light"/>
          <w:color w:val="0A2F41" w:themeColor="accent1" w:themeShade="80"/>
        </w:rPr>
        <w:t>6</w:t>
      </w:r>
      <w:r w:rsidR="003A5C75" w:rsidRPr="009F2567">
        <w:rPr>
          <w:rFonts w:cs="Calibri Light"/>
          <w:color w:val="0A2F41" w:themeColor="accent1" w:themeShade="80"/>
        </w:rPr>
        <w:t xml:space="preserve"> vijnë nga burimet e mëposhtme: i) Raporti i Sistemit për Menaxhimin e Performancës Komunale për vitin 202</w:t>
      </w:r>
      <w:r w:rsidR="00FE1E99">
        <w:rPr>
          <w:rFonts w:cs="Calibri Light"/>
          <w:color w:val="0A2F41" w:themeColor="accent1" w:themeShade="80"/>
        </w:rPr>
        <w:t>4</w:t>
      </w:r>
      <w:r w:rsidR="003A5C75" w:rsidRPr="009F2567">
        <w:rPr>
          <w:rFonts w:cs="Calibri Light"/>
          <w:color w:val="0A2F41" w:themeColor="accent1" w:themeShade="80"/>
        </w:rPr>
        <w:t xml:space="preserve"> (SMPK) i MAPL-së; ii) Raporti i funksionimit të komunave të Kosovës për vitin 202</w:t>
      </w:r>
      <w:r w:rsidR="00FE1E99">
        <w:rPr>
          <w:rFonts w:cs="Calibri Light"/>
          <w:color w:val="0A2F41" w:themeColor="accent1" w:themeShade="80"/>
        </w:rPr>
        <w:t>4</w:t>
      </w:r>
      <w:r w:rsidR="003A5C75" w:rsidRPr="009F2567">
        <w:rPr>
          <w:rFonts w:cs="Calibri Light"/>
          <w:color w:val="0A2F41" w:themeColor="accent1" w:themeShade="80"/>
        </w:rPr>
        <w:t xml:space="preserve"> i MAPL-së dhe Raportin e vlerësimit të ligjshmërisë së akteve të Kuvendeve të Komunave 202</w:t>
      </w:r>
      <w:r w:rsidR="00FE1E99">
        <w:rPr>
          <w:rFonts w:cs="Calibri Light"/>
          <w:color w:val="0A2F41" w:themeColor="accent1" w:themeShade="80"/>
        </w:rPr>
        <w:t>4</w:t>
      </w:r>
      <w:r w:rsidR="003A5C75" w:rsidRPr="009F2567">
        <w:rPr>
          <w:rFonts w:cs="Calibri Light"/>
          <w:color w:val="0A2F41" w:themeColor="accent1" w:themeShade="80"/>
        </w:rPr>
        <w:t>, iii) Raportet vjetore të auditimit të rregullsisë</w:t>
      </w:r>
      <w:r w:rsidR="00874148">
        <w:rPr>
          <w:rFonts w:cs="Calibri Light"/>
          <w:color w:val="0A2F41" w:themeColor="accent1" w:themeShade="80"/>
        </w:rPr>
        <w:t xml:space="preserve"> (financiare dhe të pajtueshmërisë)</w:t>
      </w:r>
      <w:r w:rsidR="003A5C75" w:rsidRPr="009F2567">
        <w:rPr>
          <w:rFonts w:cs="Calibri Light"/>
          <w:color w:val="0A2F41" w:themeColor="accent1" w:themeShade="80"/>
        </w:rPr>
        <w:t xml:space="preserve"> për secilën komunë për vitin fiskal 202</w:t>
      </w:r>
      <w:r w:rsidR="00FE1E99">
        <w:rPr>
          <w:rFonts w:cs="Calibri Light"/>
          <w:color w:val="0A2F41" w:themeColor="accent1" w:themeShade="80"/>
        </w:rPr>
        <w:t>4</w:t>
      </w:r>
      <w:r w:rsidR="003A5C75" w:rsidRPr="009F2567">
        <w:rPr>
          <w:rFonts w:cs="Calibri Light"/>
          <w:color w:val="0A2F41" w:themeColor="accent1" w:themeShade="80"/>
        </w:rPr>
        <w:t xml:space="preserve"> të publikuara nga Zyra Kombëtare e Auditimit.   </w:t>
      </w:r>
    </w:p>
    <w:p w:rsidR="00240745" w:rsidRPr="009F2567" w:rsidRDefault="00240745" w:rsidP="00E1410A">
      <w:pPr>
        <w:spacing w:before="20" w:after="0" w:line="276" w:lineRule="auto"/>
        <w:jc w:val="both"/>
        <w:rPr>
          <w:rFonts w:cs="Calibri Light"/>
          <w:color w:val="0A2F41" w:themeColor="accent1" w:themeShade="80"/>
        </w:rPr>
      </w:pPr>
    </w:p>
    <w:p w:rsidR="00240745" w:rsidRPr="009F2567" w:rsidRDefault="00240745" w:rsidP="00E1410A">
      <w:pPr>
        <w:spacing w:before="20" w:after="0" w:line="276" w:lineRule="auto"/>
        <w:jc w:val="both"/>
        <w:rPr>
          <w:rFonts w:cs="Calibri Light"/>
          <w:b/>
          <w:bCs/>
          <w:color w:val="0A2F41" w:themeColor="accent1" w:themeShade="80"/>
        </w:rPr>
      </w:pPr>
      <w:r w:rsidRPr="009F2567">
        <w:rPr>
          <w:rFonts w:cs="Calibri Light"/>
          <w:b/>
          <w:bCs/>
          <w:color w:val="0A2F41" w:themeColor="accent1" w:themeShade="80"/>
        </w:rPr>
        <w:t xml:space="preserve">Procesi i vlerësimit </w:t>
      </w:r>
      <w:r w:rsidR="00BF44CA">
        <w:rPr>
          <w:rFonts w:cs="Calibri Light"/>
          <w:b/>
          <w:bCs/>
          <w:color w:val="0A2F41" w:themeColor="accent1" w:themeShade="80"/>
        </w:rPr>
        <w:t xml:space="preserve">- </w:t>
      </w:r>
      <w:r w:rsidRPr="009F2567">
        <w:rPr>
          <w:rFonts w:cs="Calibri Light"/>
          <w:b/>
          <w:bCs/>
          <w:color w:val="0A2F41" w:themeColor="accent1" w:themeShade="80"/>
        </w:rPr>
        <w:t>Aranzhimet institucionale</w:t>
      </w:r>
    </w:p>
    <w:p w:rsidR="003A5C75" w:rsidRPr="009F2567" w:rsidRDefault="003A5C75" w:rsidP="00E1410A">
      <w:pPr>
        <w:spacing w:before="20" w:after="0" w:line="276" w:lineRule="auto"/>
        <w:jc w:val="both"/>
        <w:rPr>
          <w:rFonts w:cs="Calibri Light"/>
          <w:color w:val="0A2F41" w:themeColor="accent1" w:themeShade="80"/>
        </w:rPr>
      </w:pPr>
      <w:r w:rsidRPr="009F2567">
        <w:rPr>
          <w:rFonts w:cs="Calibri Light"/>
          <w:color w:val="0A2F41" w:themeColor="accent1" w:themeShade="80"/>
        </w:rPr>
        <w:t>Komisioni i grantit të performancës komunale (KGPK) dhe grupi teknik janë organet përgjegjëse për vlerësimin dhe ndarjen e grantit të performancës komunale. Komisioni i ankesave shqyrton dhe vendosë lidhur me ankesat eventuale të komunave. Komisioni i ankesave nuk rishikon ankesat që ndërlidhen me burimin e të dhënave të përdorura  gjatë vlerësimit të përformancës për faktin se ky proces është konsumuar në fazën e parë të vlerësimit kur të dhënat janë aprovuar si përfundimtare dhe palët kanë pasur në dispozicion instrumentin e ankesës.</w:t>
      </w:r>
    </w:p>
    <w:p w:rsidR="003A5C75" w:rsidRPr="009F2567" w:rsidRDefault="003A5C75" w:rsidP="00E1410A">
      <w:pPr>
        <w:spacing w:before="20" w:after="0" w:line="276" w:lineRule="auto"/>
        <w:jc w:val="both"/>
        <w:rPr>
          <w:rFonts w:cs="Calibri Light"/>
          <w:color w:val="0A2F41" w:themeColor="accent1" w:themeShade="80"/>
        </w:rPr>
      </w:pPr>
      <w:r w:rsidRPr="009F2567">
        <w:rPr>
          <w:rFonts w:cs="Calibri Light"/>
          <w:color w:val="0A2F41" w:themeColor="accent1" w:themeShade="80"/>
        </w:rPr>
        <w:t>KGPK është organi më i lartë vendimmarrës për grantin. Ky komision merr përgjegjësinë përfundimtare për ndarjen e grantit. Funksioni kryesor i KGPK-së është të garantoj se vlerësimi është bërë në pajtim me kriteret dhe rregullat e grantit të performancës komunale. KGPK nuk mund të ndryshojë rezultatet e vlerësimit dhe shumat e grantit pa aplikimin e tërësishëm të procestit të vlerësimit në pajtim me rregullat e grantit.</w:t>
      </w:r>
    </w:p>
    <w:p w:rsidR="00EE334A" w:rsidRPr="009F2567" w:rsidRDefault="00EE334A" w:rsidP="00E1410A">
      <w:pPr>
        <w:spacing w:before="20" w:after="0" w:line="276" w:lineRule="auto"/>
        <w:jc w:val="both"/>
        <w:rPr>
          <w:rFonts w:cs="Calibri Light"/>
          <w:color w:val="0A2F41" w:themeColor="accent1" w:themeShade="80"/>
        </w:rPr>
      </w:pPr>
    </w:p>
    <w:p w:rsidR="003A5C75" w:rsidRPr="009F2567" w:rsidRDefault="003A5C75" w:rsidP="00E1410A">
      <w:pPr>
        <w:spacing w:before="20" w:after="0" w:line="276" w:lineRule="auto"/>
        <w:jc w:val="both"/>
        <w:rPr>
          <w:rFonts w:cs="Calibri Light"/>
          <w:color w:val="0A2F41" w:themeColor="accent1" w:themeShade="80"/>
        </w:rPr>
      </w:pPr>
      <w:r w:rsidRPr="00BF44CA">
        <w:rPr>
          <w:rFonts w:cs="Calibri Light"/>
          <w:b/>
          <w:bCs/>
          <w:color w:val="0A2F41" w:themeColor="accent1" w:themeShade="80"/>
        </w:rPr>
        <w:t>Komisioni i grantit të performancës komunale</w:t>
      </w:r>
      <w:r w:rsidRPr="009F2567">
        <w:rPr>
          <w:rFonts w:cs="Calibri Light"/>
          <w:color w:val="0A2F41" w:themeColor="accent1" w:themeShade="80"/>
        </w:rPr>
        <w:t xml:space="preserve"> përbëhet nga:</w:t>
      </w:r>
    </w:p>
    <w:p w:rsidR="003A5C75" w:rsidRPr="009F2567" w:rsidRDefault="003A5C75" w:rsidP="00E1410A">
      <w:pPr>
        <w:spacing w:before="20" w:after="0" w:line="276" w:lineRule="auto"/>
        <w:jc w:val="both"/>
        <w:rPr>
          <w:rFonts w:cs="Calibri Light"/>
          <w:color w:val="0A2F41" w:themeColor="accent1" w:themeShade="80"/>
        </w:rPr>
      </w:pPr>
      <w:r w:rsidRPr="009F2567">
        <w:rPr>
          <w:rFonts w:cs="Calibri Light"/>
          <w:color w:val="0A2F41" w:themeColor="accent1" w:themeShade="80"/>
        </w:rPr>
        <w:t>1 anëtar nga MAPL (Sekretar i përgjithshëm/Kryesues),</w:t>
      </w:r>
    </w:p>
    <w:p w:rsidR="003A5C75" w:rsidRPr="009F2567" w:rsidRDefault="003A5C75" w:rsidP="00E1410A">
      <w:pPr>
        <w:spacing w:before="20" w:after="0" w:line="276" w:lineRule="auto"/>
        <w:jc w:val="both"/>
        <w:rPr>
          <w:rFonts w:cs="Calibri Light"/>
          <w:color w:val="0A2F41" w:themeColor="accent1" w:themeShade="80"/>
        </w:rPr>
      </w:pPr>
      <w:r w:rsidRPr="009F2567">
        <w:rPr>
          <w:rFonts w:cs="Calibri Light"/>
          <w:color w:val="0A2F41" w:themeColor="accent1" w:themeShade="80"/>
        </w:rPr>
        <w:t>1 anëtar - zyrtar publik i nivelit drejtues të ministrisë,</w:t>
      </w:r>
    </w:p>
    <w:p w:rsidR="003A5C75" w:rsidRPr="009F2567" w:rsidRDefault="003A5C75" w:rsidP="00E1410A">
      <w:pPr>
        <w:spacing w:before="20" w:after="0" w:line="276" w:lineRule="auto"/>
        <w:jc w:val="both"/>
        <w:rPr>
          <w:rFonts w:cs="Calibri Light"/>
          <w:color w:val="0A2F41" w:themeColor="accent1" w:themeShade="80"/>
        </w:rPr>
      </w:pPr>
      <w:r w:rsidRPr="009F2567">
        <w:rPr>
          <w:rFonts w:cs="Calibri Light"/>
          <w:color w:val="0A2F41" w:themeColor="accent1" w:themeShade="80"/>
        </w:rPr>
        <w:t>1 anëtar - zyrtar publik nga ministria përgjegjëse për financa,</w:t>
      </w:r>
    </w:p>
    <w:p w:rsidR="003A5C75" w:rsidRPr="009F2567" w:rsidRDefault="003A5C75" w:rsidP="00E1410A">
      <w:pPr>
        <w:spacing w:before="20" w:after="0" w:line="276" w:lineRule="auto"/>
        <w:jc w:val="both"/>
        <w:rPr>
          <w:rFonts w:cs="Calibri Light"/>
          <w:color w:val="0A2F41" w:themeColor="accent1" w:themeShade="80"/>
        </w:rPr>
      </w:pPr>
      <w:r w:rsidRPr="009F2567">
        <w:rPr>
          <w:rFonts w:cs="Calibri Light"/>
          <w:color w:val="0A2F41" w:themeColor="accent1" w:themeShade="80"/>
        </w:rPr>
        <w:t>1 vëzhgues nga Unioni Evropian në Kosovë,</w:t>
      </w:r>
    </w:p>
    <w:p w:rsidR="003A5C75" w:rsidRPr="009F2567" w:rsidRDefault="003A5C75" w:rsidP="00E1410A">
      <w:pPr>
        <w:spacing w:before="20" w:after="0" w:line="276" w:lineRule="auto"/>
        <w:jc w:val="both"/>
        <w:rPr>
          <w:rFonts w:cs="Calibri Light"/>
          <w:color w:val="0A2F41" w:themeColor="accent1" w:themeShade="80"/>
        </w:rPr>
      </w:pPr>
      <w:r w:rsidRPr="009F2567">
        <w:rPr>
          <w:rFonts w:cs="Calibri Light"/>
          <w:color w:val="0A2F41" w:themeColor="accent1" w:themeShade="80"/>
        </w:rPr>
        <w:t xml:space="preserve">1 vëzhgues nga Suedia, </w:t>
      </w:r>
    </w:p>
    <w:p w:rsidR="003A5C75" w:rsidRPr="009F2567" w:rsidRDefault="003A5C75" w:rsidP="00BF44CA">
      <w:pPr>
        <w:spacing w:before="20" w:after="0" w:line="276" w:lineRule="auto"/>
        <w:jc w:val="both"/>
        <w:rPr>
          <w:rFonts w:cs="Calibri Light"/>
          <w:color w:val="0A2F41" w:themeColor="accent1" w:themeShade="80"/>
        </w:rPr>
      </w:pPr>
      <w:r w:rsidRPr="009F2567">
        <w:rPr>
          <w:rFonts w:cs="Calibri Light"/>
          <w:color w:val="0A2F41" w:themeColor="accent1" w:themeShade="80"/>
        </w:rPr>
        <w:t>1 vëzhgues nga Zvicrra, dhe</w:t>
      </w:r>
      <w:r w:rsidR="00BF44CA">
        <w:rPr>
          <w:rFonts w:cs="Calibri Light"/>
          <w:color w:val="0A2F41" w:themeColor="accent1" w:themeShade="80"/>
        </w:rPr>
        <w:t xml:space="preserve"> </w:t>
      </w:r>
      <w:r w:rsidRPr="009F2567">
        <w:rPr>
          <w:rFonts w:cs="Calibri Light"/>
          <w:color w:val="0A2F41" w:themeColor="accent1" w:themeShade="80"/>
        </w:rPr>
        <w:t>vëzhgues nga shoqëria civile.</w:t>
      </w:r>
    </w:p>
    <w:p w:rsidR="003A5C75" w:rsidRPr="009F2567" w:rsidRDefault="003A5C75" w:rsidP="00E1410A">
      <w:pPr>
        <w:spacing w:after="0" w:line="276" w:lineRule="auto"/>
        <w:jc w:val="both"/>
        <w:rPr>
          <w:rFonts w:cs="Calibri Light"/>
          <w:color w:val="0A2F41" w:themeColor="accent1" w:themeShade="80"/>
        </w:rPr>
      </w:pPr>
      <w:r w:rsidRPr="00BF44CA">
        <w:rPr>
          <w:rFonts w:cs="Calibri Light"/>
          <w:b/>
          <w:bCs/>
          <w:color w:val="0A2F41" w:themeColor="accent1" w:themeShade="80"/>
        </w:rPr>
        <w:t>Grupi teknik</w:t>
      </w:r>
      <w:r w:rsidRPr="009F2567">
        <w:rPr>
          <w:rFonts w:cs="Calibri Light"/>
          <w:color w:val="0A2F41" w:themeColor="accent1" w:themeShade="80"/>
        </w:rPr>
        <w:t xml:space="preserve"> përbëhet nga 5 anëtarë: </w:t>
      </w:r>
    </w:p>
    <w:p w:rsidR="003A5C75" w:rsidRPr="009F2567" w:rsidRDefault="003A5C75" w:rsidP="004A29F8">
      <w:pPr>
        <w:numPr>
          <w:ilvl w:val="0"/>
          <w:numId w:val="6"/>
        </w:numPr>
        <w:spacing w:after="0" w:line="276" w:lineRule="auto"/>
        <w:contextualSpacing/>
        <w:jc w:val="both"/>
        <w:rPr>
          <w:rFonts w:cs="Calibri Light"/>
          <w:color w:val="0A2F41" w:themeColor="accent1" w:themeShade="80"/>
        </w:rPr>
      </w:pPr>
      <w:r w:rsidRPr="009F2567">
        <w:rPr>
          <w:rFonts w:cs="Calibri Light"/>
          <w:color w:val="0A2F41" w:themeColor="accent1" w:themeShade="80"/>
        </w:rPr>
        <w:t>Katër (4) anëtarë nga Ministria, nëpunës të njësisë përgjegjëse për performancë komunale apo njësive të tjera organizative;</w:t>
      </w:r>
    </w:p>
    <w:p w:rsidR="003A5C75" w:rsidRPr="009F2567" w:rsidRDefault="003A5C75" w:rsidP="004A29F8">
      <w:pPr>
        <w:numPr>
          <w:ilvl w:val="0"/>
          <w:numId w:val="6"/>
        </w:numPr>
        <w:spacing w:after="0" w:line="276" w:lineRule="auto"/>
        <w:contextualSpacing/>
        <w:jc w:val="both"/>
        <w:rPr>
          <w:rFonts w:cs="Calibri Light"/>
          <w:color w:val="0A2F41" w:themeColor="accent1" w:themeShade="80"/>
        </w:rPr>
      </w:pPr>
      <w:r w:rsidRPr="009F2567">
        <w:rPr>
          <w:rFonts w:cs="Calibri Light"/>
          <w:color w:val="0A2F41" w:themeColor="accent1" w:themeShade="80"/>
        </w:rPr>
        <w:lastRenderedPageBreak/>
        <w:t>Një (1) anëtarë nga të cilët përfaqësojnë subjektet kontributdhënëse;</w:t>
      </w:r>
    </w:p>
    <w:p w:rsidR="003A5C75" w:rsidRPr="009F2567" w:rsidRDefault="003A5C75" w:rsidP="004A29F8">
      <w:pPr>
        <w:numPr>
          <w:ilvl w:val="0"/>
          <w:numId w:val="6"/>
        </w:numPr>
        <w:spacing w:after="0" w:line="276" w:lineRule="auto"/>
        <w:contextualSpacing/>
        <w:jc w:val="both"/>
        <w:rPr>
          <w:rFonts w:cs="Calibri Light"/>
          <w:color w:val="0A2F41" w:themeColor="accent1" w:themeShade="80"/>
        </w:rPr>
      </w:pPr>
      <w:r w:rsidRPr="009F2567">
        <w:rPr>
          <w:rFonts w:cs="Calibri Light"/>
          <w:color w:val="0A2F41" w:themeColor="accent1" w:themeShade="80"/>
        </w:rPr>
        <w:t>Në cilësinë e vëzhguesit, në punimet e grupit punues ftohen të marrin pjesë edhe përfaqsuesit e shoqërisë civile.</w:t>
      </w:r>
    </w:p>
    <w:p w:rsidR="003A5C75" w:rsidRPr="009F2567" w:rsidRDefault="003A5C75" w:rsidP="00E1410A">
      <w:pPr>
        <w:tabs>
          <w:tab w:val="left" w:pos="1710"/>
        </w:tabs>
        <w:spacing w:before="20" w:after="0" w:line="276" w:lineRule="auto"/>
        <w:jc w:val="both"/>
        <w:rPr>
          <w:rFonts w:cs="Calibri Light"/>
          <w:color w:val="0A2F41" w:themeColor="accent1" w:themeShade="80"/>
        </w:rPr>
      </w:pPr>
      <w:r w:rsidRPr="00BF44CA">
        <w:rPr>
          <w:rFonts w:cs="Calibri Light"/>
          <w:b/>
          <w:bCs/>
          <w:color w:val="0A2F41" w:themeColor="accent1" w:themeShade="80"/>
        </w:rPr>
        <w:t>Komisioni i ankesave</w:t>
      </w:r>
      <w:r w:rsidRPr="009F2567">
        <w:rPr>
          <w:rFonts w:cs="Calibri Light"/>
          <w:color w:val="0A2F41" w:themeColor="accent1" w:themeShade="80"/>
        </w:rPr>
        <w:t xml:space="preserve"> përbëhet nga 3 anëtarë:</w:t>
      </w:r>
    </w:p>
    <w:p w:rsidR="003A5C75" w:rsidRPr="009F2567" w:rsidRDefault="003A5C75" w:rsidP="004A29F8">
      <w:pPr>
        <w:numPr>
          <w:ilvl w:val="1"/>
          <w:numId w:val="3"/>
        </w:numPr>
        <w:tabs>
          <w:tab w:val="left" w:pos="1710"/>
        </w:tabs>
        <w:spacing w:before="20" w:after="0" w:line="276" w:lineRule="auto"/>
        <w:ind w:left="839" w:hanging="272"/>
        <w:jc w:val="both"/>
        <w:rPr>
          <w:rFonts w:cs="Calibri Light"/>
          <w:color w:val="0A2F41" w:themeColor="accent1" w:themeShade="80"/>
        </w:rPr>
      </w:pPr>
      <w:r w:rsidRPr="009F2567">
        <w:rPr>
          <w:rFonts w:cs="Calibri Light"/>
          <w:color w:val="0A2F41" w:themeColor="accent1" w:themeShade="80"/>
        </w:rPr>
        <w:t>2 përfaqësues nga MAPL (njëri prej tyre kryesues);</w:t>
      </w:r>
    </w:p>
    <w:p w:rsidR="003A5C75" w:rsidRPr="009F2567" w:rsidRDefault="003A5C75" w:rsidP="004A29F8">
      <w:pPr>
        <w:numPr>
          <w:ilvl w:val="1"/>
          <w:numId w:val="3"/>
        </w:numPr>
        <w:tabs>
          <w:tab w:val="left" w:pos="1710"/>
        </w:tabs>
        <w:spacing w:before="20" w:after="0" w:line="276" w:lineRule="auto"/>
        <w:ind w:left="839" w:hanging="272"/>
        <w:jc w:val="both"/>
        <w:rPr>
          <w:rFonts w:cs="Calibri Light"/>
          <w:color w:val="0A2F41" w:themeColor="accent1" w:themeShade="80"/>
        </w:rPr>
      </w:pPr>
      <w:r w:rsidRPr="009F2567">
        <w:rPr>
          <w:rFonts w:cs="Calibri Light"/>
          <w:color w:val="0A2F41" w:themeColor="accent1" w:themeShade="80"/>
        </w:rPr>
        <w:t>1 përfaqësues i jashtëm;</w:t>
      </w:r>
    </w:p>
    <w:p w:rsidR="003A5C75" w:rsidRPr="009F2567" w:rsidRDefault="003A5C75" w:rsidP="004A29F8">
      <w:pPr>
        <w:numPr>
          <w:ilvl w:val="1"/>
          <w:numId w:val="3"/>
        </w:numPr>
        <w:tabs>
          <w:tab w:val="left" w:pos="1710"/>
        </w:tabs>
        <w:spacing w:before="20" w:after="0" w:line="276" w:lineRule="auto"/>
        <w:ind w:left="839" w:hanging="272"/>
        <w:jc w:val="both"/>
        <w:rPr>
          <w:rFonts w:cs="Calibri Light"/>
          <w:color w:val="0A2F41" w:themeColor="accent1" w:themeShade="80"/>
        </w:rPr>
      </w:pPr>
      <w:r w:rsidRPr="009F2567">
        <w:rPr>
          <w:rFonts w:cs="Calibri Light"/>
          <w:color w:val="0A2F41" w:themeColor="accent1" w:themeShade="80"/>
        </w:rPr>
        <w:t>2 vëzhgues DEMOS</w:t>
      </w:r>
    </w:p>
    <w:p w:rsidR="003A5C75" w:rsidRPr="009F2567" w:rsidRDefault="003A5C75" w:rsidP="00E1410A">
      <w:pPr>
        <w:tabs>
          <w:tab w:val="left" w:pos="1710"/>
        </w:tabs>
        <w:spacing w:before="20" w:after="0" w:line="276" w:lineRule="auto"/>
        <w:jc w:val="both"/>
        <w:rPr>
          <w:rFonts w:cs="Calibri Light"/>
          <w:color w:val="0A2F41" w:themeColor="accent1" w:themeShade="80"/>
        </w:rPr>
      </w:pPr>
      <w:r w:rsidRPr="009F2567">
        <w:rPr>
          <w:rFonts w:cs="Calibri Light"/>
          <w:color w:val="0A2F41" w:themeColor="accent1" w:themeShade="80"/>
        </w:rPr>
        <w:t>Anëtarët e komisionit të grantit apo grupit teknik nuk mund të jenë edhe anëtarë të komisionit të ankesave në të njëtën periudhë të vlerësimit.</w:t>
      </w:r>
    </w:p>
    <w:p w:rsidR="003A5C75" w:rsidRPr="009F2567" w:rsidRDefault="003A5C75" w:rsidP="00EE088D">
      <w:pPr>
        <w:tabs>
          <w:tab w:val="left" w:pos="1710"/>
        </w:tabs>
        <w:spacing w:before="80" w:line="276" w:lineRule="auto"/>
        <w:jc w:val="both"/>
        <w:rPr>
          <w:rFonts w:cs="Calibri Light"/>
          <w:color w:val="0A2F41" w:themeColor="accent1" w:themeShade="80"/>
        </w:rPr>
      </w:pPr>
      <w:r w:rsidRPr="009F2567">
        <w:rPr>
          <w:rFonts w:cs="Calibri Light"/>
          <w:color w:val="0A2F41" w:themeColor="accent1" w:themeShade="80"/>
        </w:rPr>
        <w:t>Termat e detajuara të referencës për Grupin Teknik, Komisionin e Grantit të performancës komunale dhe Komisionit të ankesave,  jepen në shtojcat 5, 6 dhe 7 të Rregullave të grantit të performancës komunale për vitin fiskal 202</w:t>
      </w:r>
      <w:bookmarkStart w:id="56" w:name="_Toc520364307"/>
      <w:r w:rsidR="00C418D0">
        <w:rPr>
          <w:rFonts w:cs="Calibri Light"/>
          <w:color w:val="0A2F41" w:themeColor="accent1" w:themeShade="80"/>
        </w:rPr>
        <w:t>6</w:t>
      </w:r>
      <w:r w:rsidR="00EE088D" w:rsidRPr="009F2567">
        <w:rPr>
          <w:rFonts w:cs="Calibri Light"/>
          <w:color w:val="0A2F41" w:themeColor="accent1" w:themeShade="80"/>
        </w:rPr>
        <w:t>.</w:t>
      </w:r>
    </w:p>
    <w:bookmarkEnd w:id="56"/>
    <w:p w:rsidR="00240745" w:rsidRPr="009F2567" w:rsidRDefault="00240745" w:rsidP="00240745">
      <w:pPr>
        <w:spacing w:before="60" w:line="264" w:lineRule="auto"/>
        <w:jc w:val="both"/>
        <w:rPr>
          <w:rFonts w:cs="Calibri Light"/>
          <w:b/>
          <w:bCs/>
          <w:color w:val="0A2F41" w:themeColor="accent1" w:themeShade="80"/>
        </w:rPr>
      </w:pPr>
      <w:r w:rsidRPr="009F2567">
        <w:rPr>
          <w:rFonts w:cs="Calibri Light"/>
          <w:b/>
          <w:bCs/>
          <w:color w:val="0A2F41" w:themeColor="accent1" w:themeShade="80"/>
        </w:rPr>
        <w:t>Procedurat e vlerësimit, Përgatitjet, Procedurat e vlerësimit</w:t>
      </w:r>
    </w:p>
    <w:p w:rsidR="003A5C75" w:rsidRPr="009F2567" w:rsidRDefault="003A5C75" w:rsidP="00240745">
      <w:pPr>
        <w:spacing w:before="60" w:line="264" w:lineRule="auto"/>
        <w:jc w:val="both"/>
        <w:rPr>
          <w:rFonts w:cs="Calibri Light"/>
          <w:color w:val="0A2F41" w:themeColor="accent1" w:themeShade="80"/>
        </w:rPr>
      </w:pPr>
      <w:r w:rsidRPr="009F2567">
        <w:rPr>
          <w:rFonts w:cs="Calibri Light"/>
          <w:color w:val="0A2F41" w:themeColor="accent1" w:themeShade="80"/>
        </w:rPr>
        <w:t>Grupi teknik i ka përgatitur Rregullat e GPK-se për VF 202</w:t>
      </w:r>
      <w:r w:rsidR="00FE1E99">
        <w:rPr>
          <w:rFonts w:cs="Calibri Light"/>
          <w:color w:val="0A2F41" w:themeColor="accent1" w:themeShade="80"/>
        </w:rPr>
        <w:t>6</w:t>
      </w:r>
      <w:r w:rsidRPr="009F2567">
        <w:rPr>
          <w:rFonts w:cs="Calibri Light"/>
          <w:color w:val="0A2F41" w:themeColor="accent1" w:themeShade="80"/>
        </w:rPr>
        <w:t>. Rregullat për VF 202</w:t>
      </w:r>
      <w:r w:rsidR="00FE1E99">
        <w:rPr>
          <w:rFonts w:cs="Calibri Light"/>
          <w:color w:val="0A2F41" w:themeColor="accent1" w:themeShade="80"/>
        </w:rPr>
        <w:t>6</w:t>
      </w:r>
      <w:r w:rsidRPr="009F2567">
        <w:rPr>
          <w:rFonts w:cs="Calibri Light"/>
          <w:color w:val="0A2F41" w:themeColor="accent1" w:themeShade="80"/>
        </w:rPr>
        <w:t xml:space="preserve"> janë miratuar nga MAPL</w:t>
      </w:r>
      <w:r w:rsidR="007504B8" w:rsidRPr="009F2567">
        <w:rPr>
          <w:rFonts w:cs="Calibri Light"/>
          <w:color w:val="0A2F41" w:themeColor="accent1" w:themeShade="80"/>
        </w:rPr>
        <w:t>-ja</w:t>
      </w:r>
      <w:r w:rsidRPr="009F2567">
        <w:rPr>
          <w:rFonts w:cs="Calibri Light"/>
          <w:color w:val="0A2F41" w:themeColor="accent1" w:themeShade="80"/>
        </w:rPr>
        <w:t xml:space="preserve"> dhe kontributdhënësit dhe pastaj ato  janë shpërndarë </w:t>
      </w:r>
      <w:r w:rsidR="00B37215">
        <w:rPr>
          <w:rFonts w:cs="Calibri Light"/>
          <w:color w:val="0A2F41" w:themeColor="accent1" w:themeShade="80"/>
        </w:rPr>
        <w:t>publikuar.</w:t>
      </w:r>
    </w:p>
    <w:p w:rsidR="00240745" w:rsidRPr="009F2567" w:rsidRDefault="00240745" w:rsidP="00FB3A07">
      <w:pPr>
        <w:spacing w:before="60" w:line="276" w:lineRule="auto"/>
        <w:jc w:val="both"/>
        <w:rPr>
          <w:rFonts w:cs="Calibri Light"/>
          <w:b/>
          <w:bCs/>
          <w:color w:val="0A2F41" w:themeColor="accent1" w:themeShade="80"/>
        </w:rPr>
      </w:pPr>
      <w:r w:rsidRPr="009F2567">
        <w:rPr>
          <w:rFonts w:cs="Calibri Light"/>
          <w:b/>
          <w:bCs/>
          <w:color w:val="0A2F41" w:themeColor="accent1" w:themeShade="80"/>
        </w:rPr>
        <w:t xml:space="preserve">Mbledhja dhe vlerësimi i të dhënave </w:t>
      </w:r>
    </w:p>
    <w:p w:rsidR="00F3334D" w:rsidRDefault="00F3334D" w:rsidP="00FB3A07">
      <w:pPr>
        <w:spacing w:before="60" w:line="276" w:lineRule="auto"/>
        <w:jc w:val="both"/>
        <w:rPr>
          <w:rFonts w:cs="Calibri Light"/>
          <w:color w:val="0A2F41" w:themeColor="accent1" w:themeShade="80"/>
        </w:rPr>
      </w:pPr>
      <w:r>
        <w:rPr>
          <w:rFonts w:cs="Calibri Light"/>
          <w:color w:val="0A2F41" w:themeColor="accent1" w:themeShade="80"/>
        </w:rPr>
        <w:t>Vler</w:t>
      </w:r>
      <w:r w:rsidRPr="00F3334D">
        <w:rPr>
          <w:rFonts w:cs="Calibri Light"/>
          <w:color w:val="0A2F41" w:themeColor="accent1" w:themeShade="80"/>
        </w:rPr>
        <w:t>ësimi I Grantit të Performancës për vitin fis</w:t>
      </w:r>
      <w:r>
        <w:rPr>
          <w:rFonts w:cs="Calibri Light"/>
          <w:color w:val="0A2F41" w:themeColor="accent1" w:themeShade="80"/>
        </w:rPr>
        <w:t>ka</w:t>
      </w:r>
      <w:r w:rsidRPr="00F3334D">
        <w:rPr>
          <w:rFonts w:cs="Calibri Light"/>
          <w:color w:val="0A2F41" w:themeColor="accent1" w:themeShade="80"/>
        </w:rPr>
        <w:t>l 202</w:t>
      </w:r>
      <w:r w:rsidR="00FE1E99">
        <w:rPr>
          <w:rFonts w:cs="Calibri Light"/>
          <w:color w:val="0A2F41" w:themeColor="accent1" w:themeShade="80"/>
        </w:rPr>
        <w:t>6</w:t>
      </w:r>
      <w:r w:rsidRPr="00F3334D">
        <w:rPr>
          <w:rFonts w:cs="Calibri Light"/>
          <w:color w:val="0A2F41" w:themeColor="accent1" w:themeShade="80"/>
        </w:rPr>
        <w:t xml:space="preserve"> është </w:t>
      </w:r>
      <w:r w:rsidR="008C200C">
        <w:rPr>
          <w:rFonts w:cs="Calibri Light"/>
          <w:color w:val="0A2F41" w:themeColor="accent1" w:themeShade="80"/>
        </w:rPr>
        <w:t>kryer</w:t>
      </w:r>
      <w:r w:rsidRPr="00F3334D">
        <w:rPr>
          <w:rFonts w:cs="Calibri Light"/>
          <w:color w:val="0A2F41" w:themeColor="accent1" w:themeShade="80"/>
        </w:rPr>
        <w:t xml:space="preserve"> përmes modulit të Grantit në Sistemin </w:t>
      </w:r>
      <w:r w:rsidR="00BF44CA">
        <w:rPr>
          <w:rFonts w:cs="Calibri Light"/>
          <w:color w:val="0A2F41" w:themeColor="accent1" w:themeShade="80"/>
        </w:rPr>
        <w:t>E</w:t>
      </w:r>
      <w:r w:rsidRPr="00F3334D">
        <w:rPr>
          <w:rFonts w:cs="Calibri Light"/>
          <w:color w:val="0A2F41" w:themeColor="accent1" w:themeShade="80"/>
        </w:rPr>
        <w:t xml:space="preserve">lektronik për Menaxhimin e Performancës Komunal. </w:t>
      </w:r>
    </w:p>
    <w:p w:rsidR="008C200C" w:rsidRDefault="003A5C75" w:rsidP="008C200C">
      <w:pPr>
        <w:spacing w:before="60" w:line="276" w:lineRule="auto"/>
        <w:jc w:val="both"/>
        <w:rPr>
          <w:rFonts w:cs="Calibri Light"/>
          <w:color w:val="0A2F41" w:themeColor="accent1" w:themeShade="80"/>
        </w:rPr>
      </w:pPr>
      <w:r w:rsidRPr="009F2567">
        <w:rPr>
          <w:rFonts w:cs="Calibri Light"/>
          <w:color w:val="0A2F41" w:themeColor="accent1" w:themeShade="80"/>
        </w:rPr>
        <w:t xml:space="preserve">Grupi teknik i ka mbledhur të dhënat për </w:t>
      </w:r>
      <w:r w:rsidR="00F3334D">
        <w:rPr>
          <w:rFonts w:cs="Calibri Light"/>
          <w:color w:val="0A2F41" w:themeColor="accent1" w:themeShade="80"/>
        </w:rPr>
        <w:t xml:space="preserve">kushtet minimale dhe ka plotësuar të dhënat </w:t>
      </w:r>
      <w:r w:rsidR="008C200C">
        <w:rPr>
          <w:rFonts w:cs="Calibri Light"/>
          <w:color w:val="0A2F41" w:themeColor="accent1" w:themeShade="80"/>
        </w:rPr>
        <w:t>e Grantit të Përgjithshem për secilën komunë sipas qarkores buxhetore 20</w:t>
      </w:r>
      <w:r w:rsidR="00572CFD">
        <w:rPr>
          <w:rFonts w:cs="Calibri Light"/>
          <w:color w:val="0A2F41" w:themeColor="accent1" w:themeShade="80"/>
        </w:rPr>
        <w:t>26</w:t>
      </w:r>
      <w:r w:rsidR="008C200C">
        <w:rPr>
          <w:rFonts w:cs="Calibri Light"/>
          <w:color w:val="0A2F41" w:themeColor="accent1" w:themeShade="80"/>
        </w:rPr>
        <w:t>/01. Ky grup poashtu</w:t>
      </w:r>
      <w:r w:rsidR="008C200C" w:rsidRPr="00F3334D">
        <w:rPr>
          <w:rFonts w:cs="Calibri Light"/>
          <w:color w:val="0A2F41" w:themeColor="accent1" w:themeShade="80"/>
        </w:rPr>
        <w:t xml:space="preserve"> ka </w:t>
      </w:r>
      <w:r w:rsidR="008C200C">
        <w:rPr>
          <w:rFonts w:cs="Calibri Light"/>
          <w:color w:val="0A2F41" w:themeColor="accent1" w:themeShade="80"/>
        </w:rPr>
        <w:t xml:space="preserve">kryer kontrollin e cilësisë </w:t>
      </w:r>
      <w:r w:rsidR="008C200C" w:rsidRPr="008C200C">
        <w:rPr>
          <w:rFonts w:cs="Calibri Light"/>
          <w:color w:val="0A2F41" w:themeColor="accent1" w:themeShade="80"/>
        </w:rPr>
        <w:t>së të dhënave të transferuara në fletënotime dhe në bazën e të dhënave</w:t>
      </w:r>
      <w:r w:rsidR="008C200C">
        <w:rPr>
          <w:rFonts w:cs="Calibri Light"/>
          <w:color w:val="0A2F41" w:themeColor="accent1" w:themeShade="80"/>
        </w:rPr>
        <w:t xml:space="preserve">. </w:t>
      </w:r>
    </w:p>
    <w:p w:rsidR="008C200C" w:rsidRDefault="008C200C" w:rsidP="008C200C">
      <w:pPr>
        <w:spacing w:before="60" w:line="276" w:lineRule="auto"/>
        <w:jc w:val="both"/>
        <w:rPr>
          <w:rFonts w:cs="Calibri Light"/>
          <w:color w:val="0A2F41" w:themeColor="accent1" w:themeShade="80"/>
        </w:rPr>
      </w:pPr>
      <w:r>
        <w:rPr>
          <w:rFonts w:cs="Calibri Light"/>
          <w:color w:val="0A2F41" w:themeColor="accent1" w:themeShade="80"/>
        </w:rPr>
        <w:t xml:space="preserve"> </w:t>
      </w:r>
    </w:p>
    <w:p w:rsidR="00D150C8" w:rsidRPr="00240745" w:rsidRDefault="00D150C8" w:rsidP="00FB3A07">
      <w:pPr>
        <w:spacing w:line="276" w:lineRule="auto"/>
        <w:jc w:val="both"/>
        <w:rPr>
          <w:rFonts w:cs="Calibri Light"/>
          <w:color w:val="0A2F41" w:themeColor="accent1" w:themeShade="80"/>
        </w:rPr>
      </w:pPr>
    </w:p>
    <w:p w:rsidR="003A5C75" w:rsidRPr="00240745" w:rsidRDefault="003A5C75" w:rsidP="007D091A">
      <w:pPr>
        <w:keepNext/>
        <w:tabs>
          <w:tab w:val="left" w:pos="540"/>
        </w:tabs>
        <w:spacing w:after="0" w:line="240" w:lineRule="auto"/>
        <w:outlineLvl w:val="0"/>
        <w:rPr>
          <w:rFonts w:cs="Calibri Light"/>
          <w:color w:val="0A2F41" w:themeColor="accent1" w:themeShade="80"/>
        </w:rPr>
      </w:pPr>
    </w:p>
    <w:sectPr w:rsidR="003A5C75" w:rsidRPr="00240745" w:rsidSect="00F43A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C54" w:rsidRDefault="00D87C54" w:rsidP="00DE2133">
      <w:pPr>
        <w:spacing w:after="0" w:line="240" w:lineRule="auto"/>
      </w:pPr>
      <w:r>
        <w:separator/>
      </w:r>
    </w:p>
  </w:endnote>
  <w:endnote w:type="continuationSeparator" w:id="0">
    <w:p w:rsidR="00D87C54" w:rsidRDefault="00D87C54" w:rsidP="00DE2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Display">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Arial"/>
    <w:charset w:val="00"/>
    <w:family w:val="swiss"/>
    <w:pitch w:val="variable"/>
    <w:sig w:usb0="00000001" w:usb1="0000000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Ebrima">
    <w:panose1 w:val="02000000000000000000"/>
    <w:charset w:val="00"/>
    <w:family w:val="auto"/>
    <w:pitch w:val="variable"/>
    <w:sig w:usb0="A000005F" w:usb1="02000041" w:usb2="00000800" w:usb3="00000000" w:csb0="00000093" w:csb1="00000000"/>
  </w:font>
  <w:font w:name="Univers Light">
    <w:altName w:val="Arial"/>
    <w:charset w:val="00"/>
    <w:family w:val="swiss"/>
    <w:pitch w:val="variable"/>
    <w:sig w:usb0="00000001" w:usb1="00000000" w:usb2="00000000" w:usb3="00000000" w:csb0="0000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1314378"/>
      <w:docPartObj>
        <w:docPartGallery w:val="Page Numbers (Bottom of Page)"/>
        <w:docPartUnique/>
      </w:docPartObj>
    </w:sdtPr>
    <w:sdtEndPr>
      <w:rPr>
        <w:noProof/>
      </w:rPr>
    </w:sdtEndPr>
    <w:sdtContent>
      <w:p w:rsidR="00235368" w:rsidRDefault="00235368">
        <w:pPr>
          <w:pStyle w:val="Footer"/>
          <w:jc w:val="center"/>
        </w:pPr>
        <w:r>
          <w:fldChar w:fldCharType="begin"/>
        </w:r>
        <w:r>
          <w:instrText xml:space="preserve"> PAGE   \* MERGEFORMAT </w:instrText>
        </w:r>
        <w:r>
          <w:fldChar w:fldCharType="separate"/>
        </w:r>
        <w:r w:rsidR="006E299B">
          <w:rPr>
            <w:noProof/>
          </w:rPr>
          <w:t>2</w:t>
        </w:r>
        <w:r>
          <w:rPr>
            <w:noProof/>
          </w:rPr>
          <w:fldChar w:fldCharType="end"/>
        </w:r>
      </w:p>
    </w:sdtContent>
  </w:sdt>
  <w:p w:rsidR="00235368" w:rsidRDefault="002353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C54" w:rsidRDefault="00D87C54" w:rsidP="00DE2133">
      <w:pPr>
        <w:spacing w:after="0" w:line="240" w:lineRule="auto"/>
      </w:pPr>
      <w:r>
        <w:separator/>
      </w:r>
    </w:p>
  </w:footnote>
  <w:footnote w:type="continuationSeparator" w:id="0">
    <w:p w:rsidR="00D87C54" w:rsidRDefault="00D87C54" w:rsidP="00DE2133">
      <w:pPr>
        <w:spacing w:after="0" w:line="240" w:lineRule="auto"/>
      </w:pPr>
      <w:r>
        <w:continuationSeparator/>
      </w:r>
    </w:p>
  </w:footnote>
  <w:footnote w:id="1">
    <w:p w:rsidR="00235368" w:rsidRPr="0043548F" w:rsidRDefault="00235368" w:rsidP="00311E41">
      <w:pPr>
        <w:pStyle w:val="FootnoteText"/>
        <w:rPr>
          <w:rFonts w:asciiTheme="majorHAnsi" w:hAnsiTheme="majorHAnsi" w:cstheme="majorHAnsi"/>
          <w:sz w:val="18"/>
          <w:szCs w:val="18"/>
        </w:rPr>
      </w:pPr>
      <w:r w:rsidRPr="0043548F">
        <w:rPr>
          <w:rStyle w:val="FootnoteReference"/>
          <w:rFonts w:asciiTheme="majorHAnsi" w:hAnsiTheme="majorHAnsi" w:cstheme="majorHAnsi"/>
          <w:sz w:val="16"/>
          <w:szCs w:val="16"/>
        </w:rPr>
        <w:footnoteRef/>
      </w:r>
      <w:r w:rsidRPr="0043548F">
        <w:rPr>
          <w:rFonts w:asciiTheme="majorHAnsi" w:hAnsiTheme="majorHAnsi" w:cstheme="majorHAnsi"/>
          <w:sz w:val="16"/>
          <w:szCs w:val="16"/>
        </w:rPr>
        <w:t xml:space="preserve"> </w:t>
      </w:r>
      <w:r>
        <w:rPr>
          <w:rFonts w:asciiTheme="majorHAnsi" w:hAnsiTheme="majorHAnsi" w:cstheme="majorHAnsi"/>
          <w:sz w:val="16"/>
          <w:szCs w:val="16"/>
        </w:rPr>
        <w:t>Komunat që nuk kanë raportuar janë Leposaviq, Shtërpce, Zubin Potok, Zveçan, Kllokot.</w:t>
      </w:r>
    </w:p>
  </w:footnote>
  <w:footnote w:id="2">
    <w:p w:rsidR="00235368" w:rsidRPr="003A5C75" w:rsidRDefault="00235368" w:rsidP="003A5C75">
      <w:pPr>
        <w:pStyle w:val="FootnoteText"/>
        <w:rPr>
          <w:rFonts w:ascii="Calibri Light" w:hAnsi="Calibri Light" w:cs="Calibri Light"/>
          <w:sz w:val="16"/>
          <w:szCs w:val="16"/>
          <w:lang w:val="en-US"/>
        </w:rPr>
      </w:pPr>
      <w:r w:rsidRPr="003A5C75">
        <w:rPr>
          <w:rStyle w:val="FootnoteReference"/>
          <w:rFonts w:ascii="Calibri Light" w:hAnsi="Calibri Light" w:cs="Calibri Light"/>
          <w:sz w:val="16"/>
          <w:szCs w:val="16"/>
        </w:rPr>
        <w:footnoteRef/>
      </w:r>
      <w:r w:rsidRPr="003A5C75">
        <w:rPr>
          <w:rFonts w:ascii="Calibri Light" w:hAnsi="Calibri Light" w:cs="Calibri Light"/>
          <w:sz w:val="16"/>
          <w:szCs w:val="16"/>
        </w:rPr>
        <w:t xml:space="preserve"> Afati i raportimit të të dhënave të performancës nga komuna është 45 ditë kalendarike nga momenti i pranimit të kërkesës për raportim nga ministria</w:t>
      </w:r>
    </w:p>
  </w:footnote>
  <w:footnote w:id="3">
    <w:p w:rsidR="00235368" w:rsidRPr="003A5C75" w:rsidRDefault="00235368" w:rsidP="003A5C75">
      <w:pPr>
        <w:pStyle w:val="FootnoteText"/>
        <w:rPr>
          <w:rFonts w:ascii="Calibri Light" w:hAnsi="Calibri Light" w:cs="Calibri Light"/>
          <w:lang w:val="en-GB"/>
        </w:rPr>
      </w:pPr>
      <w:r w:rsidRPr="003A5C75">
        <w:rPr>
          <w:rStyle w:val="FootnoteReference"/>
          <w:rFonts w:ascii="Calibri Light" w:hAnsi="Calibri Light" w:cs="Calibri Light"/>
          <w:sz w:val="16"/>
          <w:szCs w:val="16"/>
        </w:rPr>
        <w:footnoteRef/>
      </w:r>
      <w:r w:rsidRPr="003A5C75">
        <w:rPr>
          <w:rFonts w:ascii="Calibri Light" w:hAnsi="Calibri Light" w:cs="Calibri Light"/>
          <w:sz w:val="16"/>
          <w:szCs w:val="16"/>
        </w:rPr>
        <w:t xml:space="preserve">   Rishqyrtimi për qëllime të GPK-së është kriter procedural, që nënkupton obligimin e komunës për të rishqyrtuar në Kuvendin e Komunës aktet e vlerësuara si</w:t>
      </w:r>
      <w:r>
        <w:rPr>
          <w:rFonts w:ascii="Calibri Light" w:hAnsi="Calibri Light" w:cs="Calibri Light"/>
          <w:sz w:val="16"/>
          <w:szCs w:val="16"/>
        </w:rPr>
        <w:t xml:space="preserve"> të kundërligjshme në vitin 2025</w:t>
      </w:r>
      <w:r w:rsidRPr="003A5C75">
        <w:rPr>
          <w:rFonts w:ascii="Calibri Light" w:hAnsi="Calibri Light" w:cs="Calibri Light"/>
          <w:sz w:val="16"/>
          <w:szCs w:val="16"/>
        </w:rPr>
        <w:t xml:space="preserve"> nga autoriteti mbikëqyrës, pa presupozuar përmbajtjen përfundimtare të aktit të rishqyrtuar.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368" w:rsidRPr="008F28FF" w:rsidRDefault="00235368" w:rsidP="00F13D0A">
    <w:pPr>
      <w:spacing w:after="0" w:line="240" w:lineRule="auto"/>
      <w:jc w:val="center"/>
      <w:rPr>
        <w:rFonts w:ascii="Times New Roman" w:eastAsia="Times New Roman" w:hAnsi="Times New Roman" w:cs="Times New Roman"/>
        <w:sz w:val="24"/>
        <w:szCs w:val="24"/>
        <w:lang w:val="de-DE"/>
      </w:rPr>
    </w:pPr>
    <w:r w:rsidRPr="008F28FF">
      <w:rPr>
        <w:rFonts w:ascii="Calibri" w:eastAsia="Times New Roman" w:hAnsi="Calibri" w:cs="Times New Roman"/>
        <w:b/>
        <w:noProof/>
        <w:sz w:val="16"/>
        <w:szCs w:val="16"/>
        <w:lang w:val="en-US"/>
      </w:rPr>
      <w:ptab w:relativeTo="indent" w:alignment="center" w:leader="none"/>
    </w:r>
    <w:r w:rsidRPr="008F28FF">
      <w:rPr>
        <w:rFonts w:ascii="Calibri" w:eastAsia="Times New Roman" w:hAnsi="Calibri" w:cs="Times New Roman"/>
        <w:b/>
        <w:noProof/>
        <w:sz w:val="16"/>
        <w:szCs w:val="16"/>
        <w:lang w:val="de-DE"/>
      </w:rPr>
      <w:t xml:space="preserve">      </w:t>
    </w:r>
  </w:p>
  <w:p w:rsidR="00235368" w:rsidRPr="00EF6AEE" w:rsidRDefault="00235368" w:rsidP="00F13D0A">
    <w:pPr>
      <w:spacing w:after="0" w:line="240" w:lineRule="auto"/>
      <w:jc w:val="cent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30401A"/>
    <w:multiLevelType w:val="hybridMultilevel"/>
    <w:tmpl w:val="4E40745C"/>
    <w:lvl w:ilvl="0" w:tplc="603C45E4">
      <w:start w:val="1"/>
      <w:numFmt w:val="decimal"/>
      <w:lvlText w:val="%1."/>
      <w:lvlJc w:val="left"/>
      <w:pPr>
        <w:tabs>
          <w:tab w:val="num" w:pos="2160"/>
        </w:tabs>
        <w:ind w:left="2160" w:hanging="540"/>
      </w:pPr>
      <w:rPr>
        <w:rFonts w:asciiTheme="majorHAnsi" w:hAnsiTheme="majorHAnsi" w:hint="default"/>
        <w:color w:val="FFFFFF" w:themeColor="background1"/>
        <w:sz w:val="28"/>
        <w:szCs w:val="28"/>
      </w:rPr>
    </w:lvl>
    <w:lvl w:ilvl="1" w:tplc="04090017">
      <w:start w:val="1"/>
      <w:numFmt w:val="lowerLetter"/>
      <w:lvlText w:val="%2)"/>
      <w:lvlJc w:val="left"/>
      <w:pPr>
        <w:ind w:left="1440" w:hanging="360"/>
      </w:pPr>
    </w:lvl>
    <w:lvl w:ilvl="2" w:tplc="001B0409">
      <w:start w:val="1"/>
      <w:numFmt w:val="lowerRoman"/>
      <w:lvlText w:val="(%3)"/>
      <w:lvlJc w:val="left"/>
      <w:pPr>
        <w:tabs>
          <w:tab w:val="num" w:pos="2700"/>
        </w:tabs>
        <w:ind w:left="2700" w:hanging="72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337C6311"/>
    <w:multiLevelType w:val="hybridMultilevel"/>
    <w:tmpl w:val="A4CE05E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40828EA"/>
    <w:multiLevelType w:val="hybridMultilevel"/>
    <w:tmpl w:val="A4028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5872D0"/>
    <w:multiLevelType w:val="hybridMultilevel"/>
    <w:tmpl w:val="D26CF160"/>
    <w:lvl w:ilvl="0" w:tplc="04090005">
      <w:start w:val="1"/>
      <w:numFmt w:val="bullet"/>
      <w:lvlText w:val=""/>
      <w:lvlJc w:val="left"/>
      <w:pPr>
        <w:ind w:left="-54" w:hanging="360"/>
      </w:pPr>
      <w:rPr>
        <w:rFonts w:ascii="Wingdings" w:hAnsi="Wingdings" w:hint="default"/>
      </w:rPr>
    </w:lvl>
    <w:lvl w:ilvl="1" w:tplc="04090003">
      <w:start w:val="1"/>
      <w:numFmt w:val="bullet"/>
      <w:lvlText w:val="o"/>
      <w:lvlJc w:val="left"/>
      <w:pPr>
        <w:ind w:left="666" w:hanging="360"/>
      </w:pPr>
      <w:rPr>
        <w:rFonts w:ascii="Courier New" w:hAnsi="Courier New" w:hint="default"/>
      </w:rPr>
    </w:lvl>
    <w:lvl w:ilvl="2" w:tplc="04090005">
      <w:start w:val="1"/>
      <w:numFmt w:val="bullet"/>
      <w:lvlText w:val=""/>
      <w:lvlJc w:val="left"/>
      <w:pPr>
        <w:ind w:left="1386" w:hanging="360"/>
      </w:pPr>
      <w:rPr>
        <w:rFonts w:ascii="Wingdings" w:hAnsi="Wingdings" w:hint="default"/>
      </w:rPr>
    </w:lvl>
    <w:lvl w:ilvl="3" w:tplc="04090001" w:tentative="1">
      <w:start w:val="1"/>
      <w:numFmt w:val="bullet"/>
      <w:lvlText w:val=""/>
      <w:lvlJc w:val="left"/>
      <w:pPr>
        <w:ind w:left="2106" w:hanging="360"/>
      </w:pPr>
      <w:rPr>
        <w:rFonts w:ascii="Symbol" w:hAnsi="Symbol" w:hint="default"/>
      </w:rPr>
    </w:lvl>
    <w:lvl w:ilvl="4" w:tplc="04090003" w:tentative="1">
      <w:start w:val="1"/>
      <w:numFmt w:val="bullet"/>
      <w:lvlText w:val="o"/>
      <w:lvlJc w:val="left"/>
      <w:pPr>
        <w:ind w:left="2826" w:hanging="360"/>
      </w:pPr>
      <w:rPr>
        <w:rFonts w:ascii="Courier New" w:hAnsi="Courier New" w:hint="default"/>
      </w:rPr>
    </w:lvl>
    <w:lvl w:ilvl="5" w:tplc="04090005" w:tentative="1">
      <w:start w:val="1"/>
      <w:numFmt w:val="bullet"/>
      <w:lvlText w:val=""/>
      <w:lvlJc w:val="left"/>
      <w:pPr>
        <w:ind w:left="3546" w:hanging="360"/>
      </w:pPr>
      <w:rPr>
        <w:rFonts w:ascii="Wingdings" w:hAnsi="Wingdings" w:hint="default"/>
      </w:rPr>
    </w:lvl>
    <w:lvl w:ilvl="6" w:tplc="04090001" w:tentative="1">
      <w:start w:val="1"/>
      <w:numFmt w:val="bullet"/>
      <w:lvlText w:val=""/>
      <w:lvlJc w:val="left"/>
      <w:pPr>
        <w:ind w:left="4266" w:hanging="360"/>
      </w:pPr>
      <w:rPr>
        <w:rFonts w:ascii="Symbol" w:hAnsi="Symbol" w:hint="default"/>
      </w:rPr>
    </w:lvl>
    <w:lvl w:ilvl="7" w:tplc="04090003" w:tentative="1">
      <w:start w:val="1"/>
      <w:numFmt w:val="bullet"/>
      <w:lvlText w:val="o"/>
      <w:lvlJc w:val="left"/>
      <w:pPr>
        <w:ind w:left="4986" w:hanging="360"/>
      </w:pPr>
      <w:rPr>
        <w:rFonts w:ascii="Courier New" w:hAnsi="Courier New" w:hint="default"/>
      </w:rPr>
    </w:lvl>
    <w:lvl w:ilvl="8" w:tplc="04090005" w:tentative="1">
      <w:start w:val="1"/>
      <w:numFmt w:val="bullet"/>
      <w:lvlText w:val=""/>
      <w:lvlJc w:val="left"/>
      <w:pPr>
        <w:ind w:left="5706" w:hanging="360"/>
      </w:pPr>
      <w:rPr>
        <w:rFonts w:ascii="Wingdings" w:hAnsi="Wingdings" w:hint="default"/>
      </w:rPr>
    </w:lvl>
  </w:abstractNum>
  <w:abstractNum w:abstractNumId="4">
    <w:nsid w:val="595B41F7"/>
    <w:multiLevelType w:val="hybridMultilevel"/>
    <w:tmpl w:val="FBA2F7B2"/>
    <w:lvl w:ilvl="0" w:tplc="04090001">
      <w:start w:val="1"/>
      <w:numFmt w:val="bullet"/>
      <w:lvlText w:val=""/>
      <w:lvlJc w:val="left"/>
      <w:pPr>
        <w:ind w:left="720" w:hanging="360"/>
      </w:pPr>
      <w:rPr>
        <w:rFonts w:ascii="Symbol" w:hAnsi="Symbol" w:hint="default"/>
      </w:rPr>
    </w:lvl>
    <w:lvl w:ilvl="1" w:tplc="D49CF1F0">
      <w:start w:val="34"/>
      <w:numFmt w:val="bullet"/>
      <w:lvlText w:val="-"/>
      <w:lvlJc w:val="left"/>
      <w:pPr>
        <w:ind w:left="1440" w:hanging="360"/>
      </w:pPr>
      <w:rPr>
        <w:rFonts w:ascii="Aptos" w:eastAsia="MS Mincho" w:hAnsi="Apto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913105"/>
    <w:multiLevelType w:val="hybridMultilevel"/>
    <w:tmpl w:val="4F2EECD2"/>
    <w:lvl w:ilvl="0" w:tplc="7EC49536">
      <w:start w:val="1"/>
      <w:numFmt w:val="decimal"/>
      <w:lvlText w:val="%1."/>
      <w:lvlJc w:val="left"/>
      <w:pPr>
        <w:tabs>
          <w:tab w:val="num" w:pos="720"/>
        </w:tabs>
        <w:ind w:left="720" w:hanging="360"/>
      </w:pPr>
      <w:rPr>
        <w:rFonts w:asciiTheme="majorHAnsi" w:eastAsiaTheme="minorHAnsi" w:hAnsiTheme="majorHAnsi" w:cstheme="minorBidi" w:hint="default"/>
      </w:rPr>
    </w:lvl>
    <w:lvl w:ilvl="1" w:tplc="08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134F65"/>
    <w:multiLevelType w:val="hybridMultilevel"/>
    <w:tmpl w:val="2C4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5"/>
  </w:num>
  <w:num w:numId="5">
    <w:abstractNumId w:val="1"/>
  </w:num>
  <w:num w:numId="6">
    <w:abstractNumId w:val="2"/>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F3C"/>
    <w:rsid w:val="00000AFE"/>
    <w:rsid w:val="00000C08"/>
    <w:rsid w:val="00001139"/>
    <w:rsid w:val="000037B4"/>
    <w:rsid w:val="000045E2"/>
    <w:rsid w:val="00004F8B"/>
    <w:rsid w:val="000078B6"/>
    <w:rsid w:val="0001291F"/>
    <w:rsid w:val="00013212"/>
    <w:rsid w:val="000132AF"/>
    <w:rsid w:val="0001487E"/>
    <w:rsid w:val="000161D4"/>
    <w:rsid w:val="00016DDA"/>
    <w:rsid w:val="00020AD2"/>
    <w:rsid w:val="00022DDB"/>
    <w:rsid w:val="0002364E"/>
    <w:rsid w:val="0002424E"/>
    <w:rsid w:val="00031ACB"/>
    <w:rsid w:val="0003303E"/>
    <w:rsid w:val="000339F3"/>
    <w:rsid w:val="00033C1F"/>
    <w:rsid w:val="00033E04"/>
    <w:rsid w:val="00034826"/>
    <w:rsid w:val="0004028F"/>
    <w:rsid w:val="00042D60"/>
    <w:rsid w:val="0004301F"/>
    <w:rsid w:val="0004395B"/>
    <w:rsid w:val="00043964"/>
    <w:rsid w:val="00045EEA"/>
    <w:rsid w:val="00046667"/>
    <w:rsid w:val="0004681D"/>
    <w:rsid w:val="000471C8"/>
    <w:rsid w:val="00050C6E"/>
    <w:rsid w:val="000566AF"/>
    <w:rsid w:val="00057FC1"/>
    <w:rsid w:val="00060901"/>
    <w:rsid w:val="00061ED5"/>
    <w:rsid w:val="00062DF8"/>
    <w:rsid w:val="00065F18"/>
    <w:rsid w:val="00067426"/>
    <w:rsid w:val="000700C8"/>
    <w:rsid w:val="00071143"/>
    <w:rsid w:val="00071916"/>
    <w:rsid w:val="000768E7"/>
    <w:rsid w:val="00077076"/>
    <w:rsid w:val="00077882"/>
    <w:rsid w:val="000801BC"/>
    <w:rsid w:val="00080670"/>
    <w:rsid w:val="00080C9F"/>
    <w:rsid w:val="000811E4"/>
    <w:rsid w:val="00081227"/>
    <w:rsid w:val="000818C1"/>
    <w:rsid w:val="000818E4"/>
    <w:rsid w:val="00084DCB"/>
    <w:rsid w:val="000863DB"/>
    <w:rsid w:val="00086E22"/>
    <w:rsid w:val="0009266D"/>
    <w:rsid w:val="00092DE1"/>
    <w:rsid w:val="00093DDF"/>
    <w:rsid w:val="00094925"/>
    <w:rsid w:val="000A0634"/>
    <w:rsid w:val="000A1C63"/>
    <w:rsid w:val="000A2761"/>
    <w:rsid w:val="000A27E1"/>
    <w:rsid w:val="000A3BA7"/>
    <w:rsid w:val="000A6122"/>
    <w:rsid w:val="000A720F"/>
    <w:rsid w:val="000B05A9"/>
    <w:rsid w:val="000B20E0"/>
    <w:rsid w:val="000B23C0"/>
    <w:rsid w:val="000B44CD"/>
    <w:rsid w:val="000B6440"/>
    <w:rsid w:val="000C1B3F"/>
    <w:rsid w:val="000C278B"/>
    <w:rsid w:val="000C3908"/>
    <w:rsid w:val="000C57C2"/>
    <w:rsid w:val="000D037C"/>
    <w:rsid w:val="000D0BF2"/>
    <w:rsid w:val="000D1026"/>
    <w:rsid w:val="000D25ED"/>
    <w:rsid w:val="000D3E90"/>
    <w:rsid w:val="000D4CE3"/>
    <w:rsid w:val="000D6DA0"/>
    <w:rsid w:val="000E1512"/>
    <w:rsid w:val="000E1C12"/>
    <w:rsid w:val="000E2C74"/>
    <w:rsid w:val="000E55B8"/>
    <w:rsid w:val="000E723B"/>
    <w:rsid w:val="000E72EF"/>
    <w:rsid w:val="000F03F5"/>
    <w:rsid w:val="000F2162"/>
    <w:rsid w:val="000F270D"/>
    <w:rsid w:val="000F3EEB"/>
    <w:rsid w:val="000F4288"/>
    <w:rsid w:val="000F4502"/>
    <w:rsid w:val="001018E3"/>
    <w:rsid w:val="00102B6B"/>
    <w:rsid w:val="001044AA"/>
    <w:rsid w:val="00104CB6"/>
    <w:rsid w:val="00105450"/>
    <w:rsid w:val="001055B4"/>
    <w:rsid w:val="00106D83"/>
    <w:rsid w:val="00107A0A"/>
    <w:rsid w:val="0011086A"/>
    <w:rsid w:val="001111A4"/>
    <w:rsid w:val="00111596"/>
    <w:rsid w:val="00111DBA"/>
    <w:rsid w:val="0011424C"/>
    <w:rsid w:val="00120CB1"/>
    <w:rsid w:val="001210F6"/>
    <w:rsid w:val="00122990"/>
    <w:rsid w:val="00123198"/>
    <w:rsid w:val="0012368D"/>
    <w:rsid w:val="00123F53"/>
    <w:rsid w:val="00125A95"/>
    <w:rsid w:val="00126FC9"/>
    <w:rsid w:val="00127862"/>
    <w:rsid w:val="00131B61"/>
    <w:rsid w:val="00134883"/>
    <w:rsid w:val="0013504F"/>
    <w:rsid w:val="0013630F"/>
    <w:rsid w:val="00137D50"/>
    <w:rsid w:val="0014038A"/>
    <w:rsid w:val="00140694"/>
    <w:rsid w:val="00142C5E"/>
    <w:rsid w:val="00143124"/>
    <w:rsid w:val="0014373D"/>
    <w:rsid w:val="00145BB4"/>
    <w:rsid w:val="00145CF9"/>
    <w:rsid w:val="001464E5"/>
    <w:rsid w:val="00146777"/>
    <w:rsid w:val="001508CE"/>
    <w:rsid w:val="00150DA4"/>
    <w:rsid w:val="00152E0A"/>
    <w:rsid w:val="00156F0A"/>
    <w:rsid w:val="00161E46"/>
    <w:rsid w:val="001628C8"/>
    <w:rsid w:val="00164ED6"/>
    <w:rsid w:val="001713A5"/>
    <w:rsid w:val="00171A37"/>
    <w:rsid w:val="00175531"/>
    <w:rsid w:val="0017640A"/>
    <w:rsid w:val="0018131B"/>
    <w:rsid w:val="00184C0A"/>
    <w:rsid w:val="00184C23"/>
    <w:rsid w:val="0018551C"/>
    <w:rsid w:val="001876F1"/>
    <w:rsid w:val="001944C1"/>
    <w:rsid w:val="00194CE8"/>
    <w:rsid w:val="00196E89"/>
    <w:rsid w:val="001A567D"/>
    <w:rsid w:val="001A6049"/>
    <w:rsid w:val="001B1AF2"/>
    <w:rsid w:val="001B2D82"/>
    <w:rsid w:val="001B3F86"/>
    <w:rsid w:val="001B411D"/>
    <w:rsid w:val="001B4871"/>
    <w:rsid w:val="001B6FF1"/>
    <w:rsid w:val="001B7F58"/>
    <w:rsid w:val="001C1B86"/>
    <w:rsid w:val="001C2EE6"/>
    <w:rsid w:val="001C30CE"/>
    <w:rsid w:val="001C640E"/>
    <w:rsid w:val="001D14C0"/>
    <w:rsid w:val="001D188E"/>
    <w:rsid w:val="001D1A3B"/>
    <w:rsid w:val="001D22F1"/>
    <w:rsid w:val="001D2332"/>
    <w:rsid w:val="001E0704"/>
    <w:rsid w:val="001E1DB9"/>
    <w:rsid w:val="001E1E59"/>
    <w:rsid w:val="001E5B2F"/>
    <w:rsid w:val="001F1A99"/>
    <w:rsid w:val="001F1B5C"/>
    <w:rsid w:val="001F1BA2"/>
    <w:rsid w:val="001F24C8"/>
    <w:rsid w:val="001F295F"/>
    <w:rsid w:val="001F33FF"/>
    <w:rsid w:val="001F42C9"/>
    <w:rsid w:val="001F6DF9"/>
    <w:rsid w:val="001F7A65"/>
    <w:rsid w:val="00200003"/>
    <w:rsid w:val="002004C3"/>
    <w:rsid w:val="00201201"/>
    <w:rsid w:val="0020174A"/>
    <w:rsid w:val="0020293F"/>
    <w:rsid w:val="002074E5"/>
    <w:rsid w:val="0020782D"/>
    <w:rsid w:val="00210077"/>
    <w:rsid w:val="00211181"/>
    <w:rsid w:val="0021341A"/>
    <w:rsid w:val="002135C9"/>
    <w:rsid w:val="00216577"/>
    <w:rsid w:val="00216F0E"/>
    <w:rsid w:val="00221511"/>
    <w:rsid w:val="00221CBA"/>
    <w:rsid w:val="00222AB6"/>
    <w:rsid w:val="00223BF7"/>
    <w:rsid w:val="00223F96"/>
    <w:rsid w:val="002245BC"/>
    <w:rsid w:val="00224AFD"/>
    <w:rsid w:val="00227290"/>
    <w:rsid w:val="002275D1"/>
    <w:rsid w:val="002312E3"/>
    <w:rsid w:val="00231DCA"/>
    <w:rsid w:val="002333AC"/>
    <w:rsid w:val="00233E5C"/>
    <w:rsid w:val="00234CA0"/>
    <w:rsid w:val="00235368"/>
    <w:rsid w:val="00240156"/>
    <w:rsid w:val="00240745"/>
    <w:rsid w:val="00242896"/>
    <w:rsid w:val="00242921"/>
    <w:rsid w:val="002435FC"/>
    <w:rsid w:val="00244070"/>
    <w:rsid w:val="002442D9"/>
    <w:rsid w:val="00244E12"/>
    <w:rsid w:val="002477DC"/>
    <w:rsid w:val="00250634"/>
    <w:rsid w:val="00251C57"/>
    <w:rsid w:val="00252570"/>
    <w:rsid w:val="00253082"/>
    <w:rsid w:val="00254CE9"/>
    <w:rsid w:val="00255581"/>
    <w:rsid w:val="00255E4A"/>
    <w:rsid w:val="00260FF8"/>
    <w:rsid w:val="00262376"/>
    <w:rsid w:val="002627BE"/>
    <w:rsid w:val="00264F00"/>
    <w:rsid w:val="0026610D"/>
    <w:rsid w:val="002671C0"/>
    <w:rsid w:val="00272DBB"/>
    <w:rsid w:val="00273BF6"/>
    <w:rsid w:val="002747F0"/>
    <w:rsid w:val="00281077"/>
    <w:rsid w:val="00290DE7"/>
    <w:rsid w:val="00290EAD"/>
    <w:rsid w:val="00291305"/>
    <w:rsid w:val="00291F59"/>
    <w:rsid w:val="002927FB"/>
    <w:rsid w:val="00295692"/>
    <w:rsid w:val="002A0692"/>
    <w:rsid w:val="002A0C26"/>
    <w:rsid w:val="002A171B"/>
    <w:rsid w:val="002A19C1"/>
    <w:rsid w:val="002A2CB6"/>
    <w:rsid w:val="002A329E"/>
    <w:rsid w:val="002A44DB"/>
    <w:rsid w:val="002A7130"/>
    <w:rsid w:val="002A7744"/>
    <w:rsid w:val="002B0114"/>
    <w:rsid w:val="002B0A93"/>
    <w:rsid w:val="002B2B0D"/>
    <w:rsid w:val="002B391B"/>
    <w:rsid w:val="002B6764"/>
    <w:rsid w:val="002B70EA"/>
    <w:rsid w:val="002C1A50"/>
    <w:rsid w:val="002C539E"/>
    <w:rsid w:val="002C5506"/>
    <w:rsid w:val="002D0BD8"/>
    <w:rsid w:val="002D292B"/>
    <w:rsid w:val="002D2E6E"/>
    <w:rsid w:val="002D5509"/>
    <w:rsid w:val="002D758B"/>
    <w:rsid w:val="002E07B6"/>
    <w:rsid w:val="002E1474"/>
    <w:rsid w:val="002E5A8E"/>
    <w:rsid w:val="002F0279"/>
    <w:rsid w:val="002F1F5D"/>
    <w:rsid w:val="002F4BE4"/>
    <w:rsid w:val="002F78AB"/>
    <w:rsid w:val="00300E83"/>
    <w:rsid w:val="00301A14"/>
    <w:rsid w:val="00305888"/>
    <w:rsid w:val="00305969"/>
    <w:rsid w:val="00305ABB"/>
    <w:rsid w:val="00305BB3"/>
    <w:rsid w:val="003065CE"/>
    <w:rsid w:val="003104A1"/>
    <w:rsid w:val="00310C69"/>
    <w:rsid w:val="00311E41"/>
    <w:rsid w:val="0031520A"/>
    <w:rsid w:val="0031681E"/>
    <w:rsid w:val="003213F9"/>
    <w:rsid w:val="003228AD"/>
    <w:rsid w:val="00322AF4"/>
    <w:rsid w:val="00326B15"/>
    <w:rsid w:val="00326F10"/>
    <w:rsid w:val="00330BCB"/>
    <w:rsid w:val="003319E4"/>
    <w:rsid w:val="003356C1"/>
    <w:rsid w:val="00343A62"/>
    <w:rsid w:val="00343BD7"/>
    <w:rsid w:val="003440C1"/>
    <w:rsid w:val="00344B08"/>
    <w:rsid w:val="00344F74"/>
    <w:rsid w:val="003451EB"/>
    <w:rsid w:val="00345C36"/>
    <w:rsid w:val="00351ABD"/>
    <w:rsid w:val="00351AE9"/>
    <w:rsid w:val="003523EB"/>
    <w:rsid w:val="00352A95"/>
    <w:rsid w:val="00352E7A"/>
    <w:rsid w:val="00354DB4"/>
    <w:rsid w:val="00360400"/>
    <w:rsid w:val="00360673"/>
    <w:rsid w:val="0036360F"/>
    <w:rsid w:val="00363F89"/>
    <w:rsid w:val="003679A2"/>
    <w:rsid w:val="0037011F"/>
    <w:rsid w:val="003703D5"/>
    <w:rsid w:val="00376641"/>
    <w:rsid w:val="00376D70"/>
    <w:rsid w:val="00377C99"/>
    <w:rsid w:val="00380668"/>
    <w:rsid w:val="003835EE"/>
    <w:rsid w:val="00383FA4"/>
    <w:rsid w:val="003841C2"/>
    <w:rsid w:val="003847BC"/>
    <w:rsid w:val="00384EAC"/>
    <w:rsid w:val="0038783C"/>
    <w:rsid w:val="003901A3"/>
    <w:rsid w:val="0039139D"/>
    <w:rsid w:val="00392C01"/>
    <w:rsid w:val="00392F38"/>
    <w:rsid w:val="00395F2E"/>
    <w:rsid w:val="0039764F"/>
    <w:rsid w:val="003979D3"/>
    <w:rsid w:val="003A0099"/>
    <w:rsid w:val="003A0832"/>
    <w:rsid w:val="003A1BD8"/>
    <w:rsid w:val="003A2289"/>
    <w:rsid w:val="003A2D40"/>
    <w:rsid w:val="003A4EA9"/>
    <w:rsid w:val="003A5C75"/>
    <w:rsid w:val="003A6AC8"/>
    <w:rsid w:val="003A7F84"/>
    <w:rsid w:val="003A7FBE"/>
    <w:rsid w:val="003B12ED"/>
    <w:rsid w:val="003B14A4"/>
    <w:rsid w:val="003B192F"/>
    <w:rsid w:val="003B51D5"/>
    <w:rsid w:val="003C0782"/>
    <w:rsid w:val="003C0A18"/>
    <w:rsid w:val="003C2541"/>
    <w:rsid w:val="003C44BC"/>
    <w:rsid w:val="003C5423"/>
    <w:rsid w:val="003C54C2"/>
    <w:rsid w:val="003C7840"/>
    <w:rsid w:val="003D1A16"/>
    <w:rsid w:val="003D1DC5"/>
    <w:rsid w:val="003D416A"/>
    <w:rsid w:val="003D48D4"/>
    <w:rsid w:val="003D5A20"/>
    <w:rsid w:val="003E3BE6"/>
    <w:rsid w:val="003E56B9"/>
    <w:rsid w:val="003E7296"/>
    <w:rsid w:val="003E79DF"/>
    <w:rsid w:val="003F0AC3"/>
    <w:rsid w:val="003F4B54"/>
    <w:rsid w:val="003F4D07"/>
    <w:rsid w:val="003F5A9E"/>
    <w:rsid w:val="00400613"/>
    <w:rsid w:val="00401336"/>
    <w:rsid w:val="00403F58"/>
    <w:rsid w:val="004045F3"/>
    <w:rsid w:val="004047E7"/>
    <w:rsid w:val="00404F94"/>
    <w:rsid w:val="00405A4D"/>
    <w:rsid w:val="0040685D"/>
    <w:rsid w:val="0040721F"/>
    <w:rsid w:val="0041040E"/>
    <w:rsid w:val="00411CB8"/>
    <w:rsid w:val="00416258"/>
    <w:rsid w:val="00416E34"/>
    <w:rsid w:val="00417FF6"/>
    <w:rsid w:val="00420E3B"/>
    <w:rsid w:val="00422122"/>
    <w:rsid w:val="0042421C"/>
    <w:rsid w:val="004249B5"/>
    <w:rsid w:val="004304D9"/>
    <w:rsid w:val="00431077"/>
    <w:rsid w:val="00432169"/>
    <w:rsid w:val="00432C3C"/>
    <w:rsid w:val="00435113"/>
    <w:rsid w:val="00440DDE"/>
    <w:rsid w:val="00440F33"/>
    <w:rsid w:val="00442FA9"/>
    <w:rsid w:val="0044314B"/>
    <w:rsid w:val="00446200"/>
    <w:rsid w:val="004474BC"/>
    <w:rsid w:val="00450147"/>
    <w:rsid w:val="00450459"/>
    <w:rsid w:val="00452454"/>
    <w:rsid w:val="00453701"/>
    <w:rsid w:val="00453D5D"/>
    <w:rsid w:val="00457D8C"/>
    <w:rsid w:val="00457EF1"/>
    <w:rsid w:val="00457F79"/>
    <w:rsid w:val="00460362"/>
    <w:rsid w:val="00461BEB"/>
    <w:rsid w:val="00462102"/>
    <w:rsid w:val="004640DB"/>
    <w:rsid w:val="00464149"/>
    <w:rsid w:val="00464A65"/>
    <w:rsid w:val="004656D0"/>
    <w:rsid w:val="0046632B"/>
    <w:rsid w:val="00470640"/>
    <w:rsid w:val="00470BDD"/>
    <w:rsid w:val="004745FF"/>
    <w:rsid w:val="00475287"/>
    <w:rsid w:val="00476B0C"/>
    <w:rsid w:val="00477F9D"/>
    <w:rsid w:val="00482B70"/>
    <w:rsid w:val="004831F7"/>
    <w:rsid w:val="00484C0C"/>
    <w:rsid w:val="00484C9F"/>
    <w:rsid w:val="00485642"/>
    <w:rsid w:val="00486F4B"/>
    <w:rsid w:val="00491386"/>
    <w:rsid w:val="004927D7"/>
    <w:rsid w:val="00494D7F"/>
    <w:rsid w:val="0049606F"/>
    <w:rsid w:val="00497B0C"/>
    <w:rsid w:val="004A29F8"/>
    <w:rsid w:val="004A36DD"/>
    <w:rsid w:val="004A3A39"/>
    <w:rsid w:val="004A4B78"/>
    <w:rsid w:val="004A531C"/>
    <w:rsid w:val="004A5B66"/>
    <w:rsid w:val="004B1A90"/>
    <w:rsid w:val="004B1B1E"/>
    <w:rsid w:val="004B2549"/>
    <w:rsid w:val="004B2E65"/>
    <w:rsid w:val="004B356B"/>
    <w:rsid w:val="004B6A91"/>
    <w:rsid w:val="004B6B6F"/>
    <w:rsid w:val="004C12F7"/>
    <w:rsid w:val="004C6F53"/>
    <w:rsid w:val="004C77C4"/>
    <w:rsid w:val="004D0E53"/>
    <w:rsid w:val="004D28AC"/>
    <w:rsid w:val="004D2FD9"/>
    <w:rsid w:val="004D324B"/>
    <w:rsid w:val="004D44C2"/>
    <w:rsid w:val="004D48C0"/>
    <w:rsid w:val="004D4A8B"/>
    <w:rsid w:val="004E1421"/>
    <w:rsid w:val="004E27FF"/>
    <w:rsid w:val="004E475A"/>
    <w:rsid w:val="004E5C27"/>
    <w:rsid w:val="004E6470"/>
    <w:rsid w:val="004E6A7E"/>
    <w:rsid w:val="004E6B36"/>
    <w:rsid w:val="004E7440"/>
    <w:rsid w:val="004E7718"/>
    <w:rsid w:val="004F0D05"/>
    <w:rsid w:val="004F17A3"/>
    <w:rsid w:val="004F1829"/>
    <w:rsid w:val="004F2E2C"/>
    <w:rsid w:val="004F39A9"/>
    <w:rsid w:val="004F44EC"/>
    <w:rsid w:val="004F6F9B"/>
    <w:rsid w:val="00500F55"/>
    <w:rsid w:val="005049C7"/>
    <w:rsid w:val="00505345"/>
    <w:rsid w:val="00506202"/>
    <w:rsid w:val="00506374"/>
    <w:rsid w:val="005072AD"/>
    <w:rsid w:val="0051090E"/>
    <w:rsid w:val="00511DF8"/>
    <w:rsid w:val="0051682C"/>
    <w:rsid w:val="0051710D"/>
    <w:rsid w:val="005206B5"/>
    <w:rsid w:val="00520F39"/>
    <w:rsid w:val="00521386"/>
    <w:rsid w:val="00521E8E"/>
    <w:rsid w:val="00523B0D"/>
    <w:rsid w:val="00523CB4"/>
    <w:rsid w:val="005244FE"/>
    <w:rsid w:val="00524F8F"/>
    <w:rsid w:val="00526E82"/>
    <w:rsid w:val="00531433"/>
    <w:rsid w:val="005314DD"/>
    <w:rsid w:val="00534254"/>
    <w:rsid w:val="00535232"/>
    <w:rsid w:val="005358F3"/>
    <w:rsid w:val="005368B1"/>
    <w:rsid w:val="00540E9A"/>
    <w:rsid w:val="0054467E"/>
    <w:rsid w:val="00544C6B"/>
    <w:rsid w:val="00545E84"/>
    <w:rsid w:val="005468AB"/>
    <w:rsid w:val="00550A24"/>
    <w:rsid w:val="00550E54"/>
    <w:rsid w:val="005533FB"/>
    <w:rsid w:val="00553F5B"/>
    <w:rsid w:val="0055487D"/>
    <w:rsid w:val="0055526E"/>
    <w:rsid w:val="00555B84"/>
    <w:rsid w:val="00556CB6"/>
    <w:rsid w:val="00557DC5"/>
    <w:rsid w:val="005608E6"/>
    <w:rsid w:val="00562528"/>
    <w:rsid w:val="005649C7"/>
    <w:rsid w:val="0056607E"/>
    <w:rsid w:val="00571610"/>
    <w:rsid w:val="00571D78"/>
    <w:rsid w:val="005722CE"/>
    <w:rsid w:val="00572CFD"/>
    <w:rsid w:val="00572E06"/>
    <w:rsid w:val="00575871"/>
    <w:rsid w:val="00576C31"/>
    <w:rsid w:val="0057774F"/>
    <w:rsid w:val="00581808"/>
    <w:rsid w:val="005839EF"/>
    <w:rsid w:val="00583AA3"/>
    <w:rsid w:val="00583CC9"/>
    <w:rsid w:val="005847B3"/>
    <w:rsid w:val="00586F63"/>
    <w:rsid w:val="005876B9"/>
    <w:rsid w:val="00591DB9"/>
    <w:rsid w:val="00592ACC"/>
    <w:rsid w:val="0059523B"/>
    <w:rsid w:val="005957A0"/>
    <w:rsid w:val="005958B7"/>
    <w:rsid w:val="005958F9"/>
    <w:rsid w:val="0059648D"/>
    <w:rsid w:val="005A107C"/>
    <w:rsid w:val="005A5B9B"/>
    <w:rsid w:val="005A7061"/>
    <w:rsid w:val="005B1705"/>
    <w:rsid w:val="005B21A5"/>
    <w:rsid w:val="005B3468"/>
    <w:rsid w:val="005B35FA"/>
    <w:rsid w:val="005B3F75"/>
    <w:rsid w:val="005B45B9"/>
    <w:rsid w:val="005B4B2C"/>
    <w:rsid w:val="005B57E6"/>
    <w:rsid w:val="005B63BF"/>
    <w:rsid w:val="005B73B7"/>
    <w:rsid w:val="005B7B1E"/>
    <w:rsid w:val="005C11D8"/>
    <w:rsid w:val="005C1685"/>
    <w:rsid w:val="005C3DF1"/>
    <w:rsid w:val="005C4A4C"/>
    <w:rsid w:val="005C57AB"/>
    <w:rsid w:val="005C6CF5"/>
    <w:rsid w:val="005C733A"/>
    <w:rsid w:val="005D2543"/>
    <w:rsid w:val="005D3A51"/>
    <w:rsid w:val="005D408E"/>
    <w:rsid w:val="005D4593"/>
    <w:rsid w:val="005D7986"/>
    <w:rsid w:val="005E13D3"/>
    <w:rsid w:val="005E1415"/>
    <w:rsid w:val="005E30CF"/>
    <w:rsid w:val="005E4C25"/>
    <w:rsid w:val="005E54F2"/>
    <w:rsid w:val="005E61FA"/>
    <w:rsid w:val="005E6DA5"/>
    <w:rsid w:val="005E725F"/>
    <w:rsid w:val="005E76E4"/>
    <w:rsid w:val="005F07B5"/>
    <w:rsid w:val="005F3AC0"/>
    <w:rsid w:val="005F4643"/>
    <w:rsid w:val="005F5E4E"/>
    <w:rsid w:val="006001EA"/>
    <w:rsid w:val="00600A7F"/>
    <w:rsid w:val="00601C10"/>
    <w:rsid w:val="00602976"/>
    <w:rsid w:val="00603A5A"/>
    <w:rsid w:val="00604849"/>
    <w:rsid w:val="0060485A"/>
    <w:rsid w:val="00606C7D"/>
    <w:rsid w:val="00613B2B"/>
    <w:rsid w:val="00614770"/>
    <w:rsid w:val="00616499"/>
    <w:rsid w:val="00620A23"/>
    <w:rsid w:val="00621FB4"/>
    <w:rsid w:val="006220CC"/>
    <w:rsid w:val="006224EC"/>
    <w:rsid w:val="00625171"/>
    <w:rsid w:val="006261C0"/>
    <w:rsid w:val="006266C9"/>
    <w:rsid w:val="00626978"/>
    <w:rsid w:val="006278AE"/>
    <w:rsid w:val="00627ECB"/>
    <w:rsid w:val="00627F6E"/>
    <w:rsid w:val="00631D98"/>
    <w:rsid w:val="00632CD9"/>
    <w:rsid w:val="00633410"/>
    <w:rsid w:val="00633941"/>
    <w:rsid w:val="00633DFB"/>
    <w:rsid w:val="006360BA"/>
    <w:rsid w:val="00637548"/>
    <w:rsid w:val="00642249"/>
    <w:rsid w:val="00642403"/>
    <w:rsid w:val="0064336F"/>
    <w:rsid w:val="00644F25"/>
    <w:rsid w:val="00645CA3"/>
    <w:rsid w:val="0064780E"/>
    <w:rsid w:val="00653DC9"/>
    <w:rsid w:val="006569DA"/>
    <w:rsid w:val="0066099E"/>
    <w:rsid w:val="0066392E"/>
    <w:rsid w:val="00663ABE"/>
    <w:rsid w:val="006660B2"/>
    <w:rsid w:val="00666E5D"/>
    <w:rsid w:val="006672F8"/>
    <w:rsid w:val="006679F6"/>
    <w:rsid w:val="00667BF5"/>
    <w:rsid w:val="00670DB2"/>
    <w:rsid w:val="0067188C"/>
    <w:rsid w:val="00671987"/>
    <w:rsid w:val="00674F3C"/>
    <w:rsid w:val="00676504"/>
    <w:rsid w:val="0067651B"/>
    <w:rsid w:val="006768C7"/>
    <w:rsid w:val="00677D98"/>
    <w:rsid w:val="00684BFA"/>
    <w:rsid w:val="0068521A"/>
    <w:rsid w:val="00685ECA"/>
    <w:rsid w:val="00686F2C"/>
    <w:rsid w:val="00692788"/>
    <w:rsid w:val="00692CDB"/>
    <w:rsid w:val="00692F12"/>
    <w:rsid w:val="00693704"/>
    <w:rsid w:val="0069543C"/>
    <w:rsid w:val="00697820"/>
    <w:rsid w:val="006A4187"/>
    <w:rsid w:val="006A43F3"/>
    <w:rsid w:val="006A4B1B"/>
    <w:rsid w:val="006A4E9F"/>
    <w:rsid w:val="006A4FD7"/>
    <w:rsid w:val="006A530A"/>
    <w:rsid w:val="006A6D29"/>
    <w:rsid w:val="006A78F7"/>
    <w:rsid w:val="006B0236"/>
    <w:rsid w:val="006B1662"/>
    <w:rsid w:val="006B236B"/>
    <w:rsid w:val="006B490A"/>
    <w:rsid w:val="006B6864"/>
    <w:rsid w:val="006C12ED"/>
    <w:rsid w:val="006C20E9"/>
    <w:rsid w:val="006C53D4"/>
    <w:rsid w:val="006C6EE2"/>
    <w:rsid w:val="006C7EAB"/>
    <w:rsid w:val="006D2CDA"/>
    <w:rsid w:val="006D41E4"/>
    <w:rsid w:val="006D4C3A"/>
    <w:rsid w:val="006D768C"/>
    <w:rsid w:val="006E095F"/>
    <w:rsid w:val="006E299B"/>
    <w:rsid w:val="006E745E"/>
    <w:rsid w:val="006F0031"/>
    <w:rsid w:val="006F07EC"/>
    <w:rsid w:val="006F156C"/>
    <w:rsid w:val="006F3FF4"/>
    <w:rsid w:val="006F5F96"/>
    <w:rsid w:val="006F6FBC"/>
    <w:rsid w:val="006F77F3"/>
    <w:rsid w:val="006F7FBD"/>
    <w:rsid w:val="00701724"/>
    <w:rsid w:val="00701933"/>
    <w:rsid w:val="00701953"/>
    <w:rsid w:val="00701F48"/>
    <w:rsid w:val="007042C6"/>
    <w:rsid w:val="007068C1"/>
    <w:rsid w:val="00710B2F"/>
    <w:rsid w:val="00710D17"/>
    <w:rsid w:val="00714B03"/>
    <w:rsid w:val="007151DB"/>
    <w:rsid w:val="00716C53"/>
    <w:rsid w:val="00721951"/>
    <w:rsid w:val="00722BA6"/>
    <w:rsid w:val="007235A2"/>
    <w:rsid w:val="00723951"/>
    <w:rsid w:val="00724637"/>
    <w:rsid w:val="00733023"/>
    <w:rsid w:val="00734261"/>
    <w:rsid w:val="007349C4"/>
    <w:rsid w:val="00734C8B"/>
    <w:rsid w:val="007350B5"/>
    <w:rsid w:val="00737CC3"/>
    <w:rsid w:val="0074163E"/>
    <w:rsid w:val="007437A9"/>
    <w:rsid w:val="00744705"/>
    <w:rsid w:val="007447E1"/>
    <w:rsid w:val="0074602F"/>
    <w:rsid w:val="00746758"/>
    <w:rsid w:val="007500C1"/>
    <w:rsid w:val="007504B8"/>
    <w:rsid w:val="00750BA5"/>
    <w:rsid w:val="00752ECE"/>
    <w:rsid w:val="00753423"/>
    <w:rsid w:val="00754B10"/>
    <w:rsid w:val="00754B7A"/>
    <w:rsid w:val="00757C3B"/>
    <w:rsid w:val="00760ED1"/>
    <w:rsid w:val="00762FEF"/>
    <w:rsid w:val="007638BF"/>
    <w:rsid w:val="00765605"/>
    <w:rsid w:val="007660C4"/>
    <w:rsid w:val="00766277"/>
    <w:rsid w:val="007674C0"/>
    <w:rsid w:val="00772675"/>
    <w:rsid w:val="0077305B"/>
    <w:rsid w:val="00775648"/>
    <w:rsid w:val="0077711A"/>
    <w:rsid w:val="007811BD"/>
    <w:rsid w:val="00785816"/>
    <w:rsid w:val="00787C40"/>
    <w:rsid w:val="007904AB"/>
    <w:rsid w:val="00790878"/>
    <w:rsid w:val="0079094D"/>
    <w:rsid w:val="00792A0F"/>
    <w:rsid w:val="007938D0"/>
    <w:rsid w:val="00797AF1"/>
    <w:rsid w:val="007A1DDD"/>
    <w:rsid w:val="007A5F05"/>
    <w:rsid w:val="007A6582"/>
    <w:rsid w:val="007A6781"/>
    <w:rsid w:val="007B2C4B"/>
    <w:rsid w:val="007B6A75"/>
    <w:rsid w:val="007C1BBA"/>
    <w:rsid w:val="007C2EB8"/>
    <w:rsid w:val="007C3F54"/>
    <w:rsid w:val="007C4454"/>
    <w:rsid w:val="007C6130"/>
    <w:rsid w:val="007C66B4"/>
    <w:rsid w:val="007C7043"/>
    <w:rsid w:val="007C7ADA"/>
    <w:rsid w:val="007D091A"/>
    <w:rsid w:val="007D1C62"/>
    <w:rsid w:val="007D5320"/>
    <w:rsid w:val="007D68F1"/>
    <w:rsid w:val="007D6E97"/>
    <w:rsid w:val="007E106F"/>
    <w:rsid w:val="007E39BC"/>
    <w:rsid w:val="007E5498"/>
    <w:rsid w:val="007E735B"/>
    <w:rsid w:val="007E7BFE"/>
    <w:rsid w:val="007E7E2A"/>
    <w:rsid w:val="007F0C48"/>
    <w:rsid w:val="007F0D59"/>
    <w:rsid w:val="007F3EAD"/>
    <w:rsid w:val="007F4DBF"/>
    <w:rsid w:val="007F5381"/>
    <w:rsid w:val="007F7337"/>
    <w:rsid w:val="007F7533"/>
    <w:rsid w:val="007F77F3"/>
    <w:rsid w:val="0080005A"/>
    <w:rsid w:val="00800C5F"/>
    <w:rsid w:val="00802468"/>
    <w:rsid w:val="00803144"/>
    <w:rsid w:val="00804DFE"/>
    <w:rsid w:val="00805156"/>
    <w:rsid w:val="00807291"/>
    <w:rsid w:val="00807D83"/>
    <w:rsid w:val="008108B5"/>
    <w:rsid w:val="008111DB"/>
    <w:rsid w:val="00815BC9"/>
    <w:rsid w:val="0081711E"/>
    <w:rsid w:val="00820F3F"/>
    <w:rsid w:val="00825133"/>
    <w:rsid w:val="00826020"/>
    <w:rsid w:val="00834644"/>
    <w:rsid w:val="00835178"/>
    <w:rsid w:val="00835F98"/>
    <w:rsid w:val="008449E2"/>
    <w:rsid w:val="00844A2C"/>
    <w:rsid w:val="00845C91"/>
    <w:rsid w:val="0084722D"/>
    <w:rsid w:val="00847598"/>
    <w:rsid w:val="00851593"/>
    <w:rsid w:val="00853B7B"/>
    <w:rsid w:val="00854715"/>
    <w:rsid w:val="0085651B"/>
    <w:rsid w:val="00856979"/>
    <w:rsid w:val="00857F9B"/>
    <w:rsid w:val="00860F3F"/>
    <w:rsid w:val="00862C34"/>
    <w:rsid w:val="008639D5"/>
    <w:rsid w:val="00866A26"/>
    <w:rsid w:val="00866CD2"/>
    <w:rsid w:val="00867BB7"/>
    <w:rsid w:val="0087162F"/>
    <w:rsid w:val="008731F4"/>
    <w:rsid w:val="00874148"/>
    <w:rsid w:val="00875F5F"/>
    <w:rsid w:val="00876DBF"/>
    <w:rsid w:val="0088295B"/>
    <w:rsid w:val="008835C3"/>
    <w:rsid w:val="008864EE"/>
    <w:rsid w:val="008869FE"/>
    <w:rsid w:val="008900DD"/>
    <w:rsid w:val="00890195"/>
    <w:rsid w:val="00891A25"/>
    <w:rsid w:val="0089430B"/>
    <w:rsid w:val="0089498A"/>
    <w:rsid w:val="00896494"/>
    <w:rsid w:val="008967C7"/>
    <w:rsid w:val="00896E8E"/>
    <w:rsid w:val="008A05A6"/>
    <w:rsid w:val="008A123E"/>
    <w:rsid w:val="008A3A7E"/>
    <w:rsid w:val="008A4D08"/>
    <w:rsid w:val="008A5952"/>
    <w:rsid w:val="008A5FE7"/>
    <w:rsid w:val="008A6319"/>
    <w:rsid w:val="008A755A"/>
    <w:rsid w:val="008B0AA6"/>
    <w:rsid w:val="008B1B4B"/>
    <w:rsid w:val="008B3F3C"/>
    <w:rsid w:val="008B4DC6"/>
    <w:rsid w:val="008B5385"/>
    <w:rsid w:val="008C200C"/>
    <w:rsid w:val="008C2DCD"/>
    <w:rsid w:val="008C3589"/>
    <w:rsid w:val="008C5EE7"/>
    <w:rsid w:val="008C6491"/>
    <w:rsid w:val="008C791B"/>
    <w:rsid w:val="008C7DE4"/>
    <w:rsid w:val="008D3EBD"/>
    <w:rsid w:val="008D4437"/>
    <w:rsid w:val="008D6147"/>
    <w:rsid w:val="008D6753"/>
    <w:rsid w:val="008D7239"/>
    <w:rsid w:val="008E1859"/>
    <w:rsid w:val="008E1FB0"/>
    <w:rsid w:val="008E2655"/>
    <w:rsid w:val="008E34DD"/>
    <w:rsid w:val="008E42F8"/>
    <w:rsid w:val="008E660A"/>
    <w:rsid w:val="008E7654"/>
    <w:rsid w:val="008F20A3"/>
    <w:rsid w:val="008F26E3"/>
    <w:rsid w:val="008F3EA0"/>
    <w:rsid w:val="008F50F4"/>
    <w:rsid w:val="00900ADD"/>
    <w:rsid w:val="0090313C"/>
    <w:rsid w:val="009074CC"/>
    <w:rsid w:val="0091104D"/>
    <w:rsid w:val="0091147D"/>
    <w:rsid w:val="00913153"/>
    <w:rsid w:val="00916375"/>
    <w:rsid w:val="0091746B"/>
    <w:rsid w:val="00924743"/>
    <w:rsid w:val="0093019D"/>
    <w:rsid w:val="00931E25"/>
    <w:rsid w:val="00937BCC"/>
    <w:rsid w:val="00940821"/>
    <w:rsid w:val="00941E17"/>
    <w:rsid w:val="00944943"/>
    <w:rsid w:val="009472D2"/>
    <w:rsid w:val="009478C9"/>
    <w:rsid w:val="00951264"/>
    <w:rsid w:val="009519B3"/>
    <w:rsid w:val="0095339C"/>
    <w:rsid w:val="00955C20"/>
    <w:rsid w:val="00955D94"/>
    <w:rsid w:val="0095668E"/>
    <w:rsid w:val="009569BD"/>
    <w:rsid w:val="00957CD6"/>
    <w:rsid w:val="00961BED"/>
    <w:rsid w:val="0096342C"/>
    <w:rsid w:val="00963CA6"/>
    <w:rsid w:val="00964802"/>
    <w:rsid w:val="00964FC0"/>
    <w:rsid w:val="009664B7"/>
    <w:rsid w:val="00966812"/>
    <w:rsid w:val="009673CA"/>
    <w:rsid w:val="009702B2"/>
    <w:rsid w:val="00971C8B"/>
    <w:rsid w:val="0097456D"/>
    <w:rsid w:val="0098286F"/>
    <w:rsid w:val="00982CD0"/>
    <w:rsid w:val="00982FE4"/>
    <w:rsid w:val="00983017"/>
    <w:rsid w:val="00983740"/>
    <w:rsid w:val="00986A66"/>
    <w:rsid w:val="00992354"/>
    <w:rsid w:val="00994987"/>
    <w:rsid w:val="0099695E"/>
    <w:rsid w:val="009A0925"/>
    <w:rsid w:val="009A161E"/>
    <w:rsid w:val="009A1805"/>
    <w:rsid w:val="009A3038"/>
    <w:rsid w:val="009A3C5F"/>
    <w:rsid w:val="009A4BC1"/>
    <w:rsid w:val="009A511C"/>
    <w:rsid w:val="009A537B"/>
    <w:rsid w:val="009A578D"/>
    <w:rsid w:val="009B0A50"/>
    <w:rsid w:val="009B21AF"/>
    <w:rsid w:val="009B2A99"/>
    <w:rsid w:val="009B4157"/>
    <w:rsid w:val="009B4203"/>
    <w:rsid w:val="009B7116"/>
    <w:rsid w:val="009B7CE5"/>
    <w:rsid w:val="009C1652"/>
    <w:rsid w:val="009C2BE8"/>
    <w:rsid w:val="009C2F12"/>
    <w:rsid w:val="009C4C0E"/>
    <w:rsid w:val="009C4D6D"/>
    <w:rsid w:val="009C725E"/>
    <w:rsid w:val="009C7655"/>
    <w:rsid w:val="009D0799"/>
    <w:rsid w:val="009D11D9"/>
    <w:rsid w:val="009D1AC0"/>
    <w:rsid w:val="009D1BCE"/>
    <w:rsid w:val="009D2B08"/>
    <w:rsid w:val="009D3C8E"/>
    <w:rsid w:val="009D41A8"/>
    <w:rsid w:val="009D43F2"/>
    <w:rsid w:val="009D4840"/>
    <w:rsid w:val="009D5556"/>
    <w:rsid w:val="009D5F58"/>
    <w:rsid w:val="009D5F98"/>
    <w:rsid w:val="009D702A"/>
    <w:rsid w:val="009E0512"/>
    <w:rsid w:val="009E0736"/>
    <w:rsid w:val="009E1E10"/>
    <w:rsid w:val="009E2BC1"/>
    <w:rsid w:val="009E336C"/>
    <w:rsid w:val="009E360B"/>
    <w:rsid w:val="009E3ABC"/>
    <w:rsid w:val="009E3D61"/>
    <w:rsid w:val="009E5783"/>
    <w:rsid w:val="009E5B12"/>
    <w:rsid w:val="009E7444"/>
    <w:rsid w:val="009F2145"/>
    <w:rsid w:val="009F2567"/>
    <w:rsid w:val="009F5887"/>
    <w:rsid w:val="009F6002"/>
    <w:rsid w:val="009F633C"/>
    <w:rsid w:val="009F7184"/>
    <w:rsid w:val="00A001CB"/>
    <w:rsid w:val="00A003E8"/>
    <w:rsid w:val="00A004F2"/>
    <w:rsid w:val="00A00A86"/>
    <w:rsid w:val="00A010E1"/>
    <w:rsid w:val="00A03260"/>
    <w:rsid w:val="00A04216"/>
    <w:rsid w:val="00A06E59"/>
    <w:rsid w:val="00A076F0"/>
    <w:rsid w:val="00A10A0C"/>
    <w:rsid w:val="00A12213"/>
    <w:rsid w:val="00A12348"/>
    <w:rsid w:val="00A125E0"/>
    <w:rsid w:val="00A13303"/>
    <w:rsid w:val="00A1474F"/>
    <w:rsid w:val="00A14977"/>
    <w:rsid w:val="00A17424"/>
    <w:rsid w:val="00A17BF1"/>
    <w:rsid w:val="00A22196"/>
    <w:rsid w:val="00A26C5B"/>
    <w:rsid w:val="00A30A45"/>
    <w:rsid w:val="00A31014"/>
    <w:rsid w:val="00A31AF7"/>
    <w:rsid w:val="00A31B9B"/>
    <w:rsid w:val="00A3370D"/>
    <w:rsid w:val="00A33A3A"/>
    <w:rsid w:val="00A33F99"/>
    <w:rsid w:val="00A3443A"/>
    <w:rsid w:val="00A411D3"/>
    <w:rsid w:val="00A41650"/>
    <w:rsid w:val="00A41C0F"/>
    <w:rsid w:val="00A44EB1"/>
    <w:rsid w:val="00A45E60"/>
    <w:rsid w:val="00A46270"/>
    <w:rsid w:val="00A47710"/>
    <w:rsid w:val="00A51F18"/>
    <w:rsid w:val="00A53355"/>
    <w:rsid w:val="00A5406B"/>
    <w:rsid w:val="00A60172"/>
    <w:rsid w:val="00A60B09"/>
    <w:rsid w:val="00A60E4F"/>
    <w:rsid w:val="00A61263"/>
    <w:rsid w:val="00A62418"/>
    <w:rsid w:val="00A66802"/>
    <w:rsid w:val="00A66D8A"/>
    <w:rsid w:val="00A67740"/>
    <w:rsid w:val="00A67941"/>
    <w:rsid w:val="00A74DCB"/>
    <w:rsid w:val="00A7759B"/>
    <w:rsid w:val="00A81541"/>
    <w:rsid w:val="00A8186C"/>
    <w:rsid w:val="00A81C01"/>
    <w:rsid w:val="00A82DB3"/>
    <w:rsid w:val="00A83452"/>
    <w:rsid w:val="00A83652"/>
    <w:rsid w:val="00A841C6"/>
    <w:rsid w:val="00A9225B"/>
    <w:rsid w:val="00A92945"/>
    <w:rsid w:val="00A94771"/>
    <w:rsid w:val="00A97849"/>
    <w:rsid w:val="00AA1B00"/>
    <w:rsid w:val="00AA2A6C"/>
    <w:rsid w:val="00AA2EBD"/>
    <w:rsid w:val="00AA510E"/>
    <w:rsid w:val="00AA5452"/>
    <w:rsid w:val="00AA61B8"/>
    <w:rsid w:val="00AB3CC0"/>
    <w:rsid w:val="00AB4ACA"/>
    <w:rsid w:val="00AB5E23"/>
    <w:rsid w:val="00AB604B"/>
    <w:rsid w:val="00AB64EB"/>
    <w:rsid w:val="00AB67DC"/>
    <w:rsid w:val="00AB6DDD"/>
    <w:rsid w:val="00AB75DB"/>
    <w:rsid w:val="00AB7715"/>
    <w:rsid w:val="00AC00FF"/>
    <w:rsid w:val="00AC1732"/>
    <w:rsid w:val="00AC44DC"/>
    <w:rsid w:val="00AC7561"/>
    <w:rsid w:val="00AC7DDD"/>
    <w:rsid w:val="00AD061C"/>
    <w:rsid w:val="00AD0CCB"/>
    <w:rsid w:val="00AD5B9B"/>
    <w:rsid w:val="00AE0DBB"/>
    <w:rsid w:val="00AE5FF8"/>
    <w:rsid w:val="00AE60D4"/>
    <w:rsid w:val="00AE63E9"/>
    <w:rsid w:val="00AF2E6B"/>
    <w:rsid w:val="00AF51AC"/>
    <w:rsid w:val="00B02245"/>
    <w:rsid w:val="00B03218"/>
    <w:rsid w:val="00B03830"/>
    <w:rsid w:val="00B07E12"/>
    <w:rsid w:val="00B1196B"/>
    <w:rsid w:val="00B11F1B"/>
    <w:rsid w:val="00B12791"/>
    <w:rsid w:val="00B13838"/>
    <w:rsid w:val="00B13F5E"/>
    <w:rsid w:val="00B175D8"/>
    <w:rsid w:val="00B20EA5"/>
    <w:rsid w:val="00B214AE"/>
    <w:rsid w:val="00B21501"/>
    <w:rsid w:val="00B2164D"/>
    <w:rsid w:val="00B21818"/>
    <w:rsid w:val="00B2396E"/>
    <w:rsid w:val="00B24BC8"/>
    <w:rsid w:val="00B278B6"/>
    <w:rsid w:val="00B27965"/>
    <w:rsid w:val="00B304D2"/>
    <w:rsid w:val="00B31A8F"/>
    <w:rsid w:val="00B32394"/>
    <w:rsid w:val="00B335BF"/>
    <w:rsid w:val="00B33FD0"/>
    <w:rsid w:val="00B345DC"/>
    <w:rsid w:val="00B36776"/>
    <w:rsid w:val="00B37215"/>
    <w:rsid w:val="00B419A2"/>
    <w:rsid w:val="00B44CCB"/>
    <w:rsid w:val="00B44F77"/>
    <w:rsid w:val="00B5078D"/>
    <w:rsid w:val="00B559BF"/>
    <w:rsid w:val="00B55B0E"/>
    <w:rsid w:val="00B63394"/>
    <w:rsid w:val="00B65185"/>
    <w:rsid w:val="00B6558A"/>
    <w:rsid w:val="00B704AB"/>
    <w:rsid w:val="00B718B2"/>
    <w:rsid w:val="00B7277B"/>
    <w:rsid w:val="00B7279C"/>
    <w:rsid w:val="00B76075"/>
    <w:rsid w:val="00B77F70"/>
    <w:rsid w:val="00B806EA"/>
    <w:rsid w:val="00B817F7"/>
    <w:rsid w:val="00B81D41"/>
    <w:rsid w:val="00B835B2"/>
    <w:rsid w:val="00B84004"/>
    <w:rsid w:val="00B85ABE"/>
    <w:rsid w:val="00B862D5"/>
    <w:rsid w:val="00B90864"/>
    <w:rsid w:val="00B91567"/>
    <w:rsid w:val="00B93405"/>
    <w:rsid w:val="00B93D48"/>
    <w:rsid w:val="00B9402D"/>
    <w:rsid w:val="00B94F78"/>
    <w:rsid w:val="00B95303"/>
    <w:rsid w:val="00B96D72"/>
    <w:rsid w:val="00BA195D"/>
    <w:rsid w:val="00BA1BC5"/>
    <w:rsid w:val="00BA3D82"/>
    <w:rsid w:val="00BA3FB3"/>
    <w:rsid w:val="00BA5148"/>
    <w:rsid w:val="00BA58A3"/>
    <w:rsid w:val="00BA5A40"/>
    <w:rsid w:val="00BA5A79"/>
    <w:rsid w:val="00BA5DEB"/>
    <w:rsid w:val="00BA6F9C"/>
    <w:rsid w:val="00BB0E4D"/>
    <w:rsid w:val="00BB3315"/>
    <w:rsid w:val="00BB4C7B"/>
    <w:rsid w:val="00BB528D"/>
    <w:rsid w:val="00BC4462"/>
    <w:rsid w:val="00BC4C0B"/>
    <w:rsid w:val="00BC4D82"/>
    <w:rsid w:val="00BC5E2B"/>
    <w:rsid w:val="00BD1CAD"/>
    <w:rsid w:val="00BE014B"/>
    <w:rsid w:val="00BE2694"/>
    <w:rsid w:val="00BE3E6B"/>
    <w:rsid w:val="00BE4C50"/>
    <w:rsid w:val="00BE4CC3"/>
    <w:rsid w:val="00BF0D8B"/>
    <w:rsid w:val="00BF1487"/>
    <w:rsid w:val="00BF2057"/>
    <w:rsid w:val="00BF26B0"/>
    <w:rsid w:val="00BF2954"/>
    <w:rsid w:val="00BF44CA"/>
    <w:rsid w:val="00BF4778"/>
    <w:rsid w:val="00BF67D2"/>
    <w:rsid w:val="00BF6C3F"/>
    <w:rsid w:val="00BF74BB"/>
    <w:rsid w:val="00C0233D"/>
    <w:rsid w:val="00C023C2"/>
    <w:rsid w:val="00C02A44"/>
    <w:rsid w:val="00C067B5"/>
    <w:rsid w:val="00C116E2"/>
    <w:rsid w:val="00C12406"/>
    <w:rsid w:val="00C14DA5"/>
    <w:rsid w:val="00C15C36"/>
    <w:rsid w:val="00C164C4"/>
    <w:rsid w:val="00C16730"/>
    <w:rsid w:val="00C16AC7"/>
    <w:rsid w:val="00C17505"/>
    <w:rsid w:val="00C17ACD"/>
    <w:rsid w:val="00C229B6"/>
    <w:rsid w:val="00C249D9"/>
    <w:rsid w:val="00C24D9F"/>
    <w:rsid w:val="00C27EF3"/>
    <w:rsid w:val="00C318D5"/>
    <w:rsid w:val="00C31B72"/>
    <w:rsid w:val="00C3335C"/>
    <w:rsid w:val="00C341B9"/>
    <w:rsid w:val="00C346B0"/>
    <w:rsid w:val="00C35356"/>
    <w:rsid w:val="00C360A0"/>
    <w:rsid w:val="00C37152"/>
    <w:rsid w:val="00C412BF"/>
    <w:rsid w:val="00C418D0"/>
    <w:rsid w:val="00C41B0F"/>
    <w:rsid w:val="00C41CBF"/>
    <w:rsid w:val="00C434A1"/>
    <w:rsid w:val="00C44D68"/>
    <w:rsid w:val="00C50716"/>
    <w:rsid w:val="00C50F2A"/>
    <w:rsid w:val="00C51AE1"/>
    <w:rsid w:val="00C52066"/>
    <w:rsid w:val="00C549A3"/>
    <w:rsid w:val="00C55732"/>
    <w:rsid w:val="00C576AE"/>
    <w:rsid w:val="00C579AF"/>
    <w:rsid w:val="00C606C3"/>
    <w:rsid w:val="00C6196F"/>
    <w:rsid w:val="00C716EF"/>
    <w:rsid w:val="00C71856"/>
    <w:rsid w:val="00C7313B"/>
    <w:rsid w:val="00C7399E"/>
    <w:rsid w:val="00C75F3A"/>
    <w:rsid w:val="00C76279"/>
    <w:rsid w:val="00C77DE7"/>
    <w:rsid w:val="00C808F4"/>
    <w:rsid w:val="00C80A07"/>
    <w:rsid w:val="00C82598"/>
    <w:rsid w:val="00C850F3"/>
    <w:rsid w:val="00C859AA"/>
    <w:rsid w:val="00C86003"/>
    <w:rsid w:val="00C86EE4"/>
    <w:rsid w:val="00C86F58"/>
    <w:rsid w:val="00C90005"/>
    <w:rsid w:val="00C92985"/>
    <w:rsid w:val="00C93CAE"/>
    <w:rsid w:val="00C95D2E"/>
    <w:rsid w:val="00C97209"/>
    <w:rsid w:val="00CA10A2"/>
    <w:rsid w:val="00CA17A5"/>
    <w:rsid w:val="00CA22FE"/>
    <w:rsid w:val="00CA2A1C"/>
    <w:rsid w:val="00CA416D"/>
    <w:rsid w:val="00CA647A"/>
    <w:rsid w:val="00CA6BD8"/>
    <w:rsid w:val="00CC06E5"/>
    <w:rsid w:val="00CC1681"/>
    <w:rsid w:val="00CC20B3"/>
    <w:rsid w:val="00CC44F3"/>
    <w:rsid w:val="00CC4877"/>
    <w:rsid w:val="00CC530D"/>
    <w:rsid w:val="00CC5F35"/>
    <w:rsid w:val="00CC686E"/>
    <w:rsid w:val="00CC6C01"/>
    <w:rsid w:val="00CC6ED7"/>
    <w:rsid w:val="00CC710A"/>
    <w:rsid w:val="00CC72BC"/>
    <w:rsid w:val="00CD1F1A"/>
    <w:rsid w:val="00CD23FE"/>
    <w:rsid w:val="00CD37D3"/>
    <w:rsid w:val="00CD3AB4"/>
    <w:rsid w:val="00CD4860"/>
    <w:rsid w:val="00CD77C6"/>
    <w:rsid w:val="00CE0D41"/>
    <w:rsid w:val="00CE18F7"/>
    <w:rsid w:val="00CE2BEE"/>
    <w:rsid w:val="00CE482B"/>
    <w:rsid w:val="00CE7881"/>
    <w:rsid w:val="00CF0F33"/>
    <w:rsid w:val="00CF3268"/>
    <w:rsid w:val="00CF452B"/>
    <w:rsid w:val="00CF494A"/>
    <w:rsid w:val="00CF4E0C"/>
    <w:rsid w:val="00D00F01"/>
    <w:rsid w:val="00D01191"/>
    <w:rsid w:val="00D027C4"/>
    <w:rsid w:val="00D03752"/>
    <w:rsid w:val="00D04CC0"/>
    <w:rsid w:val="00D06469"/>
    <w:rsid w:val="00D071C6"/>
    <w:rsid w:val="00D0787F"/>
    <w:rsid w:val="00D07AA5"/>
    <w:rsid w:val="00D106BD"/>
    <w:rsid w:val="00D11472"/>
    <w:rsid w:val="00D123B6"/>
    <w:rsid w:val="00D150C8"/>
    <w:rsid w:val="00D156AE"/>
    <w:rsid w:val="00D16B25"/>
    <w:rsid w:val="00D21C17"/>
    <w:rsid w:val="00D24B2F"/>
    <w:rsid w:val="00D26822"/>
    <w:rsid w:val="00D27AF8"/>
    <w:rsid w:val="00D31842"/>
    <w:rsid w:val="00D32967"/>
    <w:rsid w:val="00D3589F"/>
    <w:rsid w:val="00D37DEA"/>
    <w:rsid w:val="00D41A72"/>
    <w:rsid w:val="00D421E8"/>
    <w:rsid w:val="00D42AE7"/>
    <w:rsid w:val="00D42FB8"/>
    <w:rsid w:val="00D444D1"/>
    <w:rsid w:val="00D45ED6"/>
    <w:rsid w:val="00D46BDB"/>
    <w:rsid w:val="00D509E3"/>
    <w:rsid w:val="00D50FFD"/>
    <w:rsid w:val="00D51F9F"/>
    <w:rsid w:val="00D53258"/>
    <w:rsid w:val="00D5444D"/>
    <w:rsid w:val="00D54779"/>
    <w:rsid w:val="00D55B66"/>
    <w:rsid w:val="00D56BFE"/>
    <w:rsid w:val="00D57A94"/>
    <w:rsid w:val="00D60ACB"/>
    <w:rsid w:val="00D65B1B"/>
    <w:rsid w:val="00D66310"/>
    <w:rsid w:val="00D66A0D"/>
    <w:rsid w:val="00D66D94"/>
    <w:rsid w:val="00D675D6"/>
    <w:rsid w:val="00D71828"/>
    <w:rsid w:val="00D77BD0"/>
    <w:rsid w:val="00D81B78"/>
    <w:rsid w:val="00D82B5A"/>
    <w:rsid w:val="00D87C54"/>
    <w:rsid w:val="00D91869"/>
    <w:rsid w:val="00D9197A"/>
    <w:rsid w:val="00D92394"/>
    <w:rsid w:val="00D96103"/>
    <w:rsid w:val="00DA3F48"/>
    <w:rsid w:val="00DA42B5"/>
    <w:rsid w:val="00DA466F"/>
    <w:rsid w:val="00DA601E"/>
    <w:rsid w:val="00DA7FC0"/>
    <w:rsid w:val="00DA7FF9"/>
    <w:rsid w:val="00DB014F"/>
    <w:rsid w:val="00DB0421"/>
    <w:rsid w:val="00DB11F6"/>
    <w:rsid w:val="00DB172B"/>
    <w:rsid w:val="00DB4A14"/>
    <w:rsid w:val="00DB7966"/>
    <w:rsid w:val="00DC088A"/>
    <w:rsid w:val="00DD3D58"/>
    <w:rsid w:val="00DD3F08"/>
    <w:rsid w:val="00DD6233"/>
    <w:rsid w:val="00DD69D7"/>
    <w:rsid w:val="00DE2133"/>
    <w:rsid w:val="00DE2952"/>
    <w:rsid w:val="00DE42E4"/>
    <w:rsid w:val="00DE557E"/>
    <w:rsid w:val="00DF192E"/>
    <w:rsid w:val="00DF3FE7"/>
    <w:rsid w:val="00DF66B3"/>
    <w:rsid w:val="00DF69A3"/>
    <w:rsid w:val="00DF7801"/>
    <w:rsid w:val="00E00D7B"/>
    <w:rsid w:val="00E01713"/>
    <w:rsid w:val="00E035D9"/>
    <w:rsid w:val="00E03A12"/>
    <w:rsid w:val="00E050A6"/>
    <w:rsid w:val="00E05162"/>
    <w:rsid w:val="00E070AE"/>
    <w:rsid w:val="00E112B0"/>
    <w:rsid w:val="00E1410A"/>
    <w:rsid w:val="00E15044"/>
    <w:rsid w:val="00E16BD0"/>
    <w:rsid w:val="00E1716D"/>
    <w:rsid w:val="00E1754E"/>
    <w:rsid w:val="00E17D9F"/>
    <w:rsid w:val="00E203EF"/>
    <w:rsid w:val="00E22B82"/>
    <w:rsid w:val="00E23C98"/>
    <w:rsid w:val="00E24AAE"/>
    <w:rsid w:val="00E30471"/>
    <w:rsid w:val="00E34130"/>
    <w:rsid w:val="00E3491B"/>
    <w:rsid w:val="00E3570F"/>
    <w:rsid w:val="00E36F2C"/>
    <w:rsid w:val="00E43D0A"/>
    <w:rsid w:val="00E44310"/>
    <w:rsid w:val="00E45442"/>
    <w:rsid w:val="00E45A90"/>
    <w:rsid w:val="00E4761D"/>
    <w:rsid w:val="00E476BF"/>
    <w:rsid w:val="00E510E7"/>
    <w:rsid w:val="00E51647"/>
    <w:rsid w:val="00E57B6B"/>
    <w:rsid w:val="00E62233"/>
    <w:rsid w:val="00E64DDA"/>
    <w:rsid w:val="00E666C1"/>
    <w:rsid w:val="00E704B9"/>
    <w:rsid w:val="00E70A9D"/>
    <w:rsid w:val="00E71753"/>
    <w:rsid w:val="00E7634B"/>
    <w:rsid w:val="00E76628"/>
    <w:rsid w:val="00E76ED8"/>
    <w:rsid w:val="00E80480"/>
    <w:rsid w:val="00E80AA3"/>
    <w:rsid w:val="00E812A5"/>
    <w:rsid w:val="00E84049"/>
    <w:rsid w:val="00E85E88"/>
    <w:rsid w:val="00E87C74"/>
    <w:rsid w:val="00E9122E"/>
    <w:rsid w:val="00E9182D"/>
    <w:rsid w:val="00E91946"/>
    <w:rsid w:val="00E919F0"/>
    <w:rsid w:val="00E91E50"/>
    <w:rsid w:val="00E92AA0"/>
    <w:rsid w:val="00E93E1E"/>
    <w:rsid w:val="00E95D13"/>
    <w:rsid w:val="00E97E9B"/>
    <w:rsid w:val="00E97F76"/>
    <w:rsid w:val="00EA0174"/>
    <w:rsid w:val="00EA1986"/>
    <w:rsid w:val="00EA2D91"/>
    <w:rsid w:val="00EA3535"/>
    <w:rsid w:val="00EA6291"/>
    <w:rsid w:val="00EA7374"/>
    <w:rsid w:val="00EB16EE"/>
    <w:rsid w:val="00EB2BF1"/>
    <w:rsid w:val="00EB332A"/>
    <w:rsid w:val="00EB5781"/>
    <w:rsid w:val="00EB58F8"/>
    <w:rsid w:val="00EC0958"/>
    <w:rsid w:val="00EC2232"/>
    <w:rsid w:val="00EC32AE"/>
    <w:rsid w:val="00EC3C59"/>
    <w:rsid w:val="00EC4F3B"/>
    <w:rsid w:val="00EC5169"/>
    <w:rsid w:val="00EC5CF8"/>
    <w:rsid w:val="00ED07FB"/>
    <w:rsid w:val="00ED17BF"/>
    <w:rsid w:val="00ED1B03"/>
    <w:rsid w:val="00ED2DE2"/>
    <w:rsid w:val="00ED2E97"/>
    <w:rsid w:val="00ED4EB1"/>
    <w:rsid w:val="00ED50C4"/>
    <w:rsid w:val="00ED5A1D"/>
    <w:rsid w:val="00EE088D"/>
    <w:rsid w:val="00EE1BB3"/>
    <w:rsid w:val="00EE334A"/>
    <w:rsid w:val="00EE3E57"/>
    <w:rsid w:val="00EE4D96"/>
    <w:rsid w:val="00EF153F"/>
    <w:rsid w:val="00EF1C60"/>
    <w:rsid w:val="00EF44B2"/>
    <w:rsid w:val="00EF5C63"/>
    <w:rsid w:val="00EF7060"/>
    <w:rsid w:val="00F0108A"/>
    <w:rsid w:val="00F010BB"/>
    <w:rsid w:val="00F02869"/>
    <w:rsid w:val="00F06977"/>
    <w:rsid w:val="00F06CBD"/>
    <w:rsid w:val="00F12E8D"/>
    <w:rsid w:val="00F13304"/>
    <w:rsid w:val="00F13D0A"/>
    <w:rsid w:val="00F13EC6"/>
    <w:rsid w:val="00F16306"/>
    <w:rsid w:val="00F16D9D"/>
    <w:rsid w:val="00F171B0"/>
    <w:rsid w:val="00F21F4B"/>
    <w:rsid w:val="00F230EB"/>
    <w:rsid w:val="00F241B2"/>
    <w:rsid w:val="00F2460F"/>
    <w:rsid w:val="00F26F79"/>
    <w:rsid w:val="00F27A06"/>
    <w:rsid w:val="00F31262"/>
    <w:rsid w:val="00F3334D"/>
    <w:rsid w:val="00F3347B"/>
    <w:rsid w:val="00F337AA"/>
    <w:rsid w:val="00F35F59"/>
    <w:rsid w:val="00F36C55"/>
    <w:rsid w:val="00F37FE8"/>
    <w:rsid w:val="00F4273F"/>
    <w:rsid w:val="00F429B6"/>
    <w:rsid w:val="00F43A28"/>
    <w:rsid w:val="00F43D39"/>
    <w:rsid w:val="00F45EB4"/>
    <w:rsid w:val="00F466F7"/>
    <w:rsid w:val="00F508D5"/>
    <w:rsid w:val="00F50AF0"/>
    <w:rsid w:val="00F50BB7"/>
    <w:rsid w:val="00F57AC2"/>
    <w:rsid w:val="00F62B33"/>
    <w:rsid w:val="00F639A6"/>
    <w:rsid w:val="00F64B49"/>
    <w:rsid w:val="00F67789"/>
    <w:rsid w:val="00F67BA4"/>
    <w:rsid w:val="00F71CD7"/>
    <w:rsid w:val="00F8019C"/>
    <w:rsid w:val="00F82F11"/>
    <w:rsid w:val="00F85551"/>
    <w:rsid w:val="00F8691C"/>
    <w:rsid w:val="00F91531"/>
    <w:rsid w:val="00F91684"/>
    <w:rsid w:val="00F940FB"/>
    <w:rsid w:val="00F94686"/>
    <w:rsid w:val="00F95150"/>
    <w:rsid w:val="00F95E2C"/>
    <w:rsid w:val="00F95FA1"/>
    <w:rsid w:val="00FA0F49"/>
    <w:rsid w:val="00FA32BA"/>
    <w:rsid w:val="00FA3744"/>
    <w:rsid w:val="00FA5697"/>
    <w:rsid w:val="00FA7DD1"/>
    <w:rsid w:val="00FB122F"/>
    <w:rsid w:val="00FB1CF2"/>
    <w:rsid w:val="00FB3619"/>
    <w:rsid w:val="00FB3A07"/>
    <w:rsid w:val="00FB4F22"/>
    <w:rsid w:val="00FB7189"/>
    <w:rsid w:val="00FC185A"/>
    <w:rsid w:val="00FC33DF"/>
    <w:rsid w:val="00FC60CF"/>
    <w:rsid w:val="00FC6D31"/>
    <w:rsid w:val="00FD06E3"/>
    <w:rsid w:val="00FD26D0"/>
    <w:rsid w:val="00FD3541"/>
    <w:rsid w:val="00FD3BD3"/>
    <w:rsid w:val="00FE0616"/>
    <w:rsid w:val="00FE11D9"/>
    <w:rsid w:val="00FE1E66"/>
    <w:rsid w:val="00FE1E99"/>
    <w:rsid w:val="00FE50DE"/>
    <w:rsid w:val="00FE6A5E"/>
    <w:rsid w:val="00FF209B"/>
    <w:rsid w:val="00FF2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9FE3EFA-E93F-4BCF-B9B7-56B74B093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A50"/>
    <w:rPr>
      <w:kern w:val="0"/>
      <w:lang w:val="sq-AL"/>
      <w14:ligatures w14:val="none"/>
    </w:rPr>
  </w:style>
  <w:style w:type="paragraph" w:styleId="Heading1">
    <w:name w:val="heading 1"/>
    <w:basedOn w:val="Normal"/>
    <w:next w:val="Normal"/>
    <w:link w:val="Heading1Char"/>
    <w:uiPriority w:val="9"/>
    <w:qFormat/>
    <w:rsid w:val="008B3F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B3F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B3F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3F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3F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3F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3F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3F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3F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F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B3F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B3F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3F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3F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3F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3F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3F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3F3C"/>
    <w:rPr>
      <w:rFonts w:eastAsiaTheme="majorEastAsia" w:cstheme="majorBidi"/>
      <w:color w:val="272727" w:themeColor="text1" w:themeTint="D8"/>
    </w:rPr>
  </w:style>
  <w:style w:type="paragraph" w:styleId="Title">
    <w:name w:val="Title"/>
    <w:basedOn w:val="Normal"/>
    <w:next w:val="Normal"/>
    <w:link w:val="TitleChar"/>
    <w:uiPriority w:val="10"/>
    <w:qFormat/>
    <w:rsid w:val="008B3F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3F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3F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3F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3F3C"/>
    <w:pPr>
      <w:spacing w:before="160"/>
      <w:jc w:val="center"/>
    </w:pPr>
    <w:rPr>
      <w:i/>
      <w:iCs/>
      <w:color w:val="404040" w:themeColor="text1" w:themeTint="BF"/>
    </w:rPr>
  </w:style>
  <w:style w:type="character" w:customStyle="1" w:styleId="QuoteChar">
    <w:name w:val="Quote Char"/>
    <w:basedOn w:val="DefaultParagraphFont"/>
    <w:link w:val="Quote"/>
    <w:uiPriority w:val="29"/>
    <w:rsid w:val="008B3F3C"/>
    <w:rPr>
      <w:i/>
      <w:iCs/>
      <w:color w:val="404040" w:themeColor="text1" w:themeTint="BF"/>
    </w:rPr>
  </w:style>
  <w:style w:type="paragraph" w:styleId="ListParagraph">
    <w:name w:val="List Paragraph"/>
    <w:aliases w:val="List Paragraph (numbered (a)),List Paragraph1,Ha"/>
    <w:basedOn w:val="Normal"/>
    <w:link w:val="ListParagraphChar"/>
    <w:uiPriority w:val="34"/>
    <w:qFormat/>
    <w:rsid w:val="008B3F3C"/>
    <w:pPr>
      <w:ind w:left="720"/>
      <w:contextualSpacing/>
    </w:pPr>
  </w:style>
  <w:style w:type="character" w:styleId="IntenseEmphasis">
    <w:name w:val="Intense Emphasis"/>
    <w:basedOn w:val="DefaultParagraphFont"/>
    <w:uiPriority w:val="21"/>
    <w:qFormat/>
    <w:rsid w:val="008B3F3C"/>
    <w:rPr>
      <w:i/>
      <w:iCs/>
      <w:color w:val="0F4761" w:themeColor="accent1" w:themeShade="BF"/>
    </w:rPr>
  </w:style>
  <w:style w:type="paragraph" w:styleId="IntenseQuote">
    <w:name w:val="Intense Quote"/>
    <w:basedOn w:val="Normal"/>
    <w:next w:val="Normal"/>
    <w:link w:val="IntenseQuoteChar"/>
    <w:uiPriority w:val="30"/>
    <w:qFormat/>
    <w:rsid w:val="008B3F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3F3C"/>
    <w:rPr>
      <w:i/>
      <w:iCs/>
      <w:color w:val="0F4761" w:themeColor="accent1" w:themeShade="BF"/>
    </w:rPr>
  </w:style>
  <w:style w:type="character" w:styleId="IntenseReference">
    <w:name w:val="Intense Reference"/>
    <w:basedOn w:val="DefaultParagraphFont"/>
    <w:uiPriority w:val="32"/>
    <w:qFormat/>
    <w:rsid w:val="008B3F3C"/>
    <w:rPr>
      <w:b/>
      <w:bCs/>
      <w:smallCaps/>
      <w:color w:val="0F4761" w:themeColor="accent1" w:themeShade="BF"/>
      <w:spacing w:val="5"/>
    </w:rPr>
  </w:style>
  <w:style w:type="table" w:styleId="TableGrid">
    <w:name w:val="Table Grid"/>
    <w:basedOn w:val="TableNormal"/>
    <w:uiPriority w:val="59"/>
    <w:rsid w:val="008B3F3C"/>
    <w:pPr>
      <w:spacing w:after="0" w:line="240" w:lineRule="auto"/>
    </w:pPr>
    <w:rPr>
      <w:rFonts w:ascii="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ingle space,footnote text,ft,FOOTNOTES,fn,Footnote Text Char Char Char Char,Footnote Text Char Char Char,ADB,Footnote Text Char Char Char Char Char,Footnote Text Char Char1,ALTS FOOTNOTE,Footnote Text Char2 Char"/>
    <w:basedOn w:val="Normal"/>
    <w:link w:val="FootnoteTextChar"/>
    <w:unhideWhenUsed/>
    <w:qFormat/>
    <w:rsid w:val="00DE2133"/>
    <w:pPr>
      <w:spacing w:after="0" w:line="240" w:lineRule="auto"/>
    </w:pPr>
    <w:rPr>
      <w:sz w:val="20"/>
      <w:szCs w:val="20"/>
    </w:rPr>
  </w:style>
  <w:style w:type="character" w:customStyle="1" w:styleId="FootnoteTextChar">
    <w:name w:val="Footnote Text Char"/>
    <w:aliases w:val="single space Char1,footnote text Char1,ft Char1,FOOTNOTES Char1,fn Char1,Footnote Text Char Char Char Char Char2,Footnote Text Char Char Char Char2,ADB Char1,Footnote Text Char Char Char Char Char Char1,Footnote Text Char Char1 Char1"/>
    <w:basedOn w:val="DefaultParagraphFont"/>
    <w:link w:val="FootnoteText"/>
    <w:uiPriority w:val="99"/>
    <w:semiHidden/>
    <w:rsid w:val="00DE2133"/>
    <w:rPr>
      <w:kern w:val="0"/>
      <w:sz w:val="20"/>
      <w:szCs w:val="20"/>
      <w:lang w:val="sq-AL"/>
      <w14:ligatures w14:val="none"/>
    </w:rPr>
  </w:style>
  <w:style w:type="character" w:styleId="FootnoteReference">
    <w:name w:val="footnote reference"/>
    <w:aliases w:val="ftref,Fodnotehenvisning1,Footnote,BVI fnr Char,BVI fnr Car Car Char,BVI fnr Car Char,BVI fnr Car Car Car Car Char,BVI fnr Car Car Car Car Char Char Char, BVI fnr Char, BVI fnr Car Car Char, BVI fnr Car Car Car Car Char,fr,16 Point,Ref"/>
    <w:link w:val="Char2"/>
    <w:rsid w:val="00DE2133"/>
    <w:rPr>
      <w:vertAlign w:val="superscript"/>
    </w:rPr>
  </w:style>
  <w:style w:type="paragraph" w:customStyle="1" w:styleId="Char2">
    <w:name w:val="Char2"/>
    <w:basedOn w:val="Normal"/>
    <w:link w:val="FootnoteReference"/>
    <w:rsid w:val="00DE2133"/>
    <w:pPr>
      <w:spacing w:before="120" w:line="240" w:lineRule="exact"/>
      <w:ind w:left="547"/>
      <w:jc w:val="both"/>
    </w:pPr>
    <w:rPr>
      <w:kern w:val="2"/>
      <w:vertAlign w:val="superscript"/>
      <w:lang w:val="en-US"/>
      <w14:ligatures w14:val="standardContextual"/>
    </w:rPr>
  </w:style>
  <w:style w:type="character" w:customStyle="1" w:styleId="FootnoteTextChar1">
    <w:name w:val="Footnote Text Char1"/>
    <w:aliases w:val="single space Char,footnote text Char,ft Char,FOOTNOTES Char,fn Char,Footnote Text Char Char Char Char Char1,Footnote Text Char Char Char Char1,ADB Char,Footnote Text Char Char Char Char Char Char,Footnote Text Char Char1 Char"/>
    <w:locked/>
    <w:rsid w:val="00311E41"/>
    <w:rPr>
      <w:rFonts w:ascii="Times New Roman" w:eastAsia="Times New Roman" w:hAnsi="Times New Roman" w:cs="Times New Roman"/>
      <w:sz w:val="24"/>
      <w:szCs w:val="24"/>
      <w:lang w:val="en-GB"/>
    </w:rPr>
  </w:style>
  <w:style w:type="character" w:styleId="CommentReference">
    <w:name w:val="annotation reference"/>
    <w:basedOn w:val="DefaultParagraphFont"/>
    <w:uiPriority w:val="99"/>
    <w:semiHidden/>
    <w:unhideWhenUsed/>
    <w:rsid w:val="008967C7"/>
    <w:rPr>
      <w:sz w:val="16"/>
      <w:szCs w:val="16"/>
    </w:rPr>
  </w:style>
  <w:style w:type="paragraph" w:styleId="CommentText">
    <w:name w:val="annotation text"/>
    <w:basedOn w:val="Normal"/>
    <w:link w:val="CommentTextChar"/>
    <w:uiPriority w:val="99"/>
    <w:unhideWhenUsed/>
    <w:rsid w:val="008967C7"/>
    <w:pPr>
      <w:spacing w:line="240" w:lineRule="auto"/>
    </w:pPr>
    <w:rPr>
      <w:sz w:val="20"/>
      <w:szCs w:val="20"/>
    </w:rPr>
  </w:style>
  <w:style w:type="character" w:customStyle="1" w:styleId="CommentTextChar">
    <w:name w:val="Comment Text Char"/>
    <w:basedOn w:val="DefaultParagraphFont"/>
    <w:link w:val="CommentText"/>
    <w:uiPriority w:val="99"/>
    <w:rsid w:val="008967C7"/>
    <w:rPr>
      <w:kern w:val="0"/>
      <w:sz w:val="20"/>
      <w:szCs w:val="20"/>
      <w:lang w:val="sq-AL"/>
      <w14:ligatures w14:val="none"/>
    </w:rPr>
  </w:style>
  <w:style w:type="paragraph" w:styleId="CommentSubject">
    <w:name w:val="annotation subject"/>
    <w:basedOn w:val="CommentText"/>
    <w:next w:val="CommentText"/>
    <w:link w:val="CommentSubjectChar"/>
    <w:uiPriority w:val="99"/>
    <w:semiHidden/>
    <w:unhideWhenUsed/>
    <w:rsid w:val="008967C7"/>
    <w:rPr>
      <w:b/>
      <w:bCs/>
    </w:rPr>
  </w:style>
  <w:style w:type="character" w:customStyle="1" w:styleId="CommentSubjectChar">
    <w:name w:val="Comment Subject Char"/>
    <w:basedOn w:val="CommentTextChar"/>
    <w:link w:val="CommentSubject"/>
    <w:uiPriority w:val="99"/>
    <w:semiHidden/>
    <w:rsid w:val="008967C7"/>
    <w:rPr>
      <w:b/>
      <w:bCs/>
      <w:kern w:val="0"/>
      <w:sz w:val="20"/>
      <w:szCs w:val="20"/>
      <w:lang w:val="sq-AL"/>
      <w14:ligatures w14:val="none"/>
    </w:rPr>
  </w:style>
  <w:style w:type="paragraph" w:styleId="Header">
    <w:name w:val="header"/>
    <w:basedOn w:val="Normal"/>
    <w:link w:val="HeaderChar"/>
    <w:uiPriority w:val="99"/>
    <w:unhideWhenUsed/>
    <w:rsid w:val="00FA56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697"/>
    <w:rPr>
      <w:kern w:val="0"/>
      <w:lang w:val="sq-AL"/>
      <w14:ligatures w14:val="none"/>
    </w:rPr>
  </w:style>
  <w:style w:type="paragraph" w:styleId="Footer">
    <w:name w:val="footer"/>
    <w:basedOn w:val="Normal"/>
    <w:link w:val="FooterChar"/>
    <w:uiPriority w:val="99"/>
    <w:unhideWhenUsed/>
    <w:rsid w:val="00FA5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697"/>
    <w:rPr>
      <w:kern w:val="0"/>
      <w:lang w:val="sq-AL"/>
      <w14:ligatures w14:val="none"/>
    </w:rPr>
  </w:style>
  <w:style w:type="paragraph" w:styleId="TOCHeading">
    <w:name w:val="TOC Heading"/>
    <w:basedOn w:val="Heading1"/>
    <w:next w:val="Normal"/>
    <w:uiPriority w:val="39"/>
    <w:unhideWhenUsed/>
    <w:qFormat/>
    <w:rsid w:val="00BA5A40"/>
    <w:pPr>
      <w:spacing w:before="240" w:after="0"/>
      <w:outlineLvl w:val="9"/>
    </w:pPr>
    <w:rPr>
      <w:sz w:val="32"/>
      <w:szCs w:val="32"/>
      <w:lang w:val="en-US"/>
    </w:rPr>
  </w:style>
  <w:style w:type="paragraph" w:styleId="TOC1">
    <w:name w:val="toc 1"/>
    <w:basedOn w:val="Normal"/>
    <w:next w:val="Normal"/>
    <w:autoRedefine/>
    <w:uiPriority w:val="39"/>
    <w:unhideWhenUsed/>
    <w:rsid w:val="00BA5A40"/>
    <w:pPr>
      <w:spacing w:after="100"/>
    </w:pPr>
  </w:style>
  <w:style w:type="paragraph" w:styleId="TOC2">
    <w:name w:val="toc 2"/>
    <w:basedOn w:val="Normal"/>
    <w:next w:val="Normal"/>
    <w:autoRedefine/>
    <w:uiPriority w:val="39"/>
    <w:unhideWhenUsed/>
    <w:rsid w:val="00BA5A40"/>
    <w:pPr>
      <w:spacing w:after="100"/>
      <w:ind w:left="220"/>
    </w:pPr>
  </w:style>
  <w:style w:type="character" w:styleId="Hyperlink">
    <w:name w:val="Hyperlink"/>
    <w:basedOn w:val="DefaultParagraphFont"/>
    <w:uiPriority w:val="99"/>
    <w:unhideWhenUsed/>
    <w:rsid w:val="00BA5A40"/>
    <w:rPr>
      <w:color w:val="467886" w:themeColor="hyperlink"/>
      <w:u w:val="single"/>
    </w:rPr>
  </w:style>
  <w:style w:type="paragraph" w:styleId="Caption">
    <w:name w:val="caption"/>
    <w:basedOn w:val="Normal"/>
    <w:next w:val="Normal"/>
    <w:uiPriority w:val="35"/>
    <w:unhideWhenUsed/>
    <w:qFormat/>
    <w:rsid w:val="00E97E9B"/>
    <w:pPr>
      <w:spacing w:after="200" w:line="240" w:lineRule="auto"/>
    </w:pPr>
    <w:rPr>
      <w:i/>
      <w:iCs/>
      <w:color w:val="0E2841" w:themeColor="text2"/>
      <w:sz w:val="18"/>
      <w:szCs w:val="18"/>
    </w:rPr>
  </w:style>
  <w:style w:type="table" w:customStyle="1" w:styleId="PlainTable41">
    <w:name w:val="Plain Table 41"/>
    <w:basedOn w:val="TableNormal"/>
    <w:next w:val="PlainTable4"/>
    <w:uiPriority w:val="44"/>
    <w:rsid w:val="004A3A39"/>
    <w:pPr>
      <w:spacing w:after="0" w:line="240" w:lineRule="auto"/>
    </w:pPr>
    <w:rPr>
      <w:rFonts w:eastAsia="Aptos"/>
      <w:sz w:val="24"/>
      <w:szCs w:val="24"/>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4">
    <w:name w:val="Plain Table 4"/>
    <w:basedOn w:val="TableNormal"/>
    <w:uiPriority w:val="44"/>
    <w:rsid w:val="004A3A3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802468"/>
    <w:pPr>
      <w:spacing w:after="0" w:line="240" w:lineRule="auto"/>
    </w:pPr>
    <w:rPr>
      <w:kern w:val="0"/>
      <w:lang w:val="sq-AL"/>
      <w14:ligatures w14:val="none"/>
    </w:rPr>
  </w:style>
  <w:style w:type="character" w:customStyle="1" w:styleId="ListParagraphChar">
    <w:name w:val="List Paragraph Char"/>
    <w:aliases w:val="List Paragraph (numbered (a)) Char,List Paragraph1 Char,Ha Char"/>
    <w:basedOn w:val="DefaultParagraphFont"/>
    <w:link w:val="ListParagraph"/>
    <w:uiPriority w:val="34"/>
    <w:locked/>
    <w:rsid w:val="0069543C"/>
    <w:rPr>
      <w:kern w:val="0"/>
      <w:lang w:val="sq-AL"/>
      <w14:ligatures w14:val="none"/>
    </w:rPr>
  </w:style>
  <w:style w:type="paragraph" w:styleId="BalloonText">
    <w:name w:val="Balloon Text"/>
    <w:basedOn w:val="Normal"/>
    <w:link w:val="BalloonTextChar"/>
    <w:uiPriority w:val="99"/>
    <w:semiHidden/>
    <w:unhideWhenUsed/>
    <w:rsid w:val="0069543C"/>
    <w:pPr>
      <w:spacing w:after="0" w:line="240" w:lineRule="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69543C"/>
    <w:rPr>
      <w:rFonts w:ascii="Segoe UI" w:eastAsiaTheme="minorHAnsi" w:hAnsi="Segoe UI" w:cs="Segoe UI"/>
      <w:kern w:val="0"/>
      <w:sz w:val="18"/>
      <w:szCs w:val="18"/>
      <w:lang w:val="sq-AL"/>
      <w14:ligatures w14:val="none"/>
    </w:rPr>
  </w:style>
  <w:style w:type="character" w:styleId="FollowedHyperlink">
    <w:name w:val="FollowedHyperlink"/>
    <w:basedOn w:val="DefaultParagraphFont"/>
    <w:uiPriority w:val="99"/>
    <w:semiHidden/>
    <w:unhideWhenUsed/>
    <w:rsid w:val="0069543C"/>
    <w:rPr>
      <w:color w:val="96607D" w:themeColor="followedHyperlink"/>
      <w:u w:val="single"/>
    </w:rPr>
  </w:style>
  <w:style w:type="table" w:customStyle="1" w:styleId="TableGrid1">
    <w:name w:val="Table Grid1"/>
    <w:basedOn w:val="TableNormal"/>
    <w:next w:val="TableGrid"/>
    <w:uiPriority w:val="59"/>
    <w:rsid w:val="0069543C"/>
    <w:pPr>
      <w:spacing w:after="0" w:line="240" w:lineRule="auto"/>
    </w:pPr>
    <w:rPr>
      <w:rFonts w:ascii="Times New Roman" w:eastAsia="Times New Roman" w:hAnsi="Times New Roman" w:cs="Times New Roman"/>
      <w:kern w:val="0"/>
      <w:sz w:val="20"/>
      <w:szCs w:val="20"/>
      <w:lang w:val="de-CH" w:eastAsia="de-CH"/>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69543C"/>
    <w:pPr>
      <w:spacing w:after="100"/>
      <w:ind w:left="440"/>
    </w:pPr>
    <w:rPr>
      <w:rFonts w:eastAsiaTheme="minorHAnsi"/>
    </w:rPr>
  </w:style>
  <w:style w:type="table" w:customStyle="1" w:styleId="TableGrid2">
    <w:name w:val="Table Grid2"/>
    <w:basedOn w:val="TableNormal"/>
    <w:next w:val="TableGrid"/>
    <w:uiPriority w:val="59"/>
    <w:rsid w:val="0069543C"/>
    <w:pPr>
      <w:spacing w:after="0" w:line="240" w:lineRule="auto"/>
    </w:pPr>
    <w:rPr>
      <w:rFonts w:ascii="Times New Roman" w:eastAsia="Times New Roman"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69543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69543C"/>
  </w:style>
  <w:style w:type="character" w:customStyle="1" w:styleId="eop">
    <w:name w:val="eop"/>
    <w:basedOn w:val="DefaultParagraphFont"/>
    <w:rsid w:val="006954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01454">
      <w:bodyDiv w:val="1"/>
      <w:marLeft w:val="0"/>
      <w:marRight w:val="0"/>
      <w:marTop w:val="0"/>
      <w:marBottom w:val="0"/>
      <w:divBdr>
        <w:top w:val="none" w:sz="0" w:space="0" w:color="auto"/>
        <w:left w:val="none" w:sz="0" w:space="0" w:color="auto"/>
        <w:bottom w:val="none" w:sz="0" w:space="0" w:color="auto"/>
        <w:right w:val="none" w:sz="0" w:space="0" w:color="auto"/>
      </w:divBdr>
    </w:div>
    <w:div w:id="96872377">
      <w:bodyDiv w:val="1"/>
      <w:marLeft w:val="0"/>
      <w:marRight w:val="0"/>
      <w:marTop w:val="0"/>
      <w:marBottom w:val="0"/>
      <w:divBdr>
        <w:top w:val="none" w:sz="0" w:space="0" w:color="auto"/>
        <w:left w:val="none" w:sz="0" w:space="0" w:color="auto"/>
        <w:bottom w:val="none" w:sz="0" w:space="0" w:color="auto"/>
        <w:right w:val="none" w:sz="0" w:space="0" w:color="auto"/>
      </w:divBdr>
    </w:div>
    <w:div w:id="207184937">
      <w:bodyDiv w:val="1"/>
      <w:marLeft w:val="0"/>
      <w:marRight w:val="0"/>
      <w:marTop w:val="0"/>
      <w:marBottom w:val="0"/>
      <w:divBdr>
        <w:top w:val="none" w:sz="0" w:space="0" w:color="auto"/>
        <w:left w:val="none" w:sz="0" w:space="0" w:color="auto"/>
        <w:bottom w:val="none" w:sz="0" w:space="0" w:color="auto"/>
        <w:right w:val="none" w:sz="0" w:space="0" w:color="auto"/>
      </w:divBdr>
    </w:div>
    <w:div w:id="371002998">
      <w:bodyDiv w:val="1"/>
      <w:marLeft w:val="0"/>
      <w:marRight w:val="0"/>
      <w:marTop w:val="0"/>
      <w:marBottom w:val="0"/>
      <w:divBdr>
        <w:top w:val="none" w:sz="0" w:space="0" w:color="auto"/>
        <w:left w:val="none" w:sz="0" w:space="0" w:color="auto"/>
        <w:bottom w:val="none" w:sz="0" w:space="0" w:color="auto"/>
        <w:right w:val="none" w:sz="0" w:space="0" w:color="auto"/>
      </w:divBdr>
    </w:div>
    <w:div w:id="494345965">
      <w:bodyDiv w:val="1"/>
      <w:marLeft w:val="0"/>
      <w:marRight w:val="0"/>
      <w:marTop w:val="0"/>
      <w:marBottom w:val="0"/>
      <w:divBdr>
        <w:top w:val="none" w:sz="0" w:space="0" w:color="auto"/>
        <w:left w:val="none" w:sz="0" w:space="0" w:color="auto"/>
        <w:bottom w:val="none" w:sz="0" w:space="0" w:color="auto"/>
        <w:right w:val="none" w:sz="0" w:space="0" w:color="auto"/>
      </w:divBdr>
    </w:div>
    <w:div w:id="570043880">
      <w:bodyDiv w:val="1"/>
      <w:marLeft w:val="0"/>
      <w:marRight w:val="0"/>
      <w:marTop w:val="0"/>
      <w:marBottom w:val="0"/>
      <w:divBdr>
        <w:top w:val="none" w:sz="0" w:space="0" w:color="auto"/>
        <w:left w:val="none" w:sz="0" w:space="0" w:color="auto"/>
        <w:bottom w:val="none" w:sz="0" w:space="0" w:color="auto"/>
        <w:right w:val="none" w:sz="0" w:space="0" w:color="auto"/>
      </w:divBdr>
    </w:div>
    <w:div w:id="589890659">
      <w:bodyDiv w:val="1"/>
      <w:marLeft w:val="0"/>
      <w:marRight w:val="0"/>
      <w:marTop w:val="0"/>
      <w:marBottom w:val="0"/>
      <w:divBdr>
        <w:top w:val="none" w:sz="0" w:space="0" w:color="auto"/>
        <w:left w:val="none" w:sz="0" w:space="0" w:color="auto"/>
        <w:bottom w:val="none" w:sz="0" w:space="0" w:color="auto"/>
        <w:right w:val="none" w:sz="0" w:space="0" w:color="auto"/>
      </w:divBdr>
    </w:div>
    <w:div w:id="622351501">
      <w:bodyDiv w:val="1"/>
      <w:marLeft w:val="0"/>
      <w:marRight w:val="0"/>
      <w:marTop w:val="0"/>
      <w:marBottom w:val="0"/>
      <w:divBdr>
        <w:top w:val="none" w:sz="0" w:space="0" w:color="auto"/>
        <w:left w:val="none" w:sz="0" w:space="0" w:color="auto"/>
        <w:bottom w:val="none" w:sz="0" w:space="0" w:color="auto"/>
        <w:right w:val="none" w:sz="0" w:space="0" w:color="auto"/>
      </w:divBdr>
    </w:div>
    <w:div w:id="632255467">
      <w:bodyDiv w:val="1"/>
      <w:marLeft w:val="0"/>
      <w:marRight w:val="0"/>
      <w:marTop w:val="0"/>
      <w:marBottom w:val="0"/>
      <w:divBdr>
        <w:top w:val="none" w:sz="0" w:space="0" w:color="auto"/>
        <w:left w:val="none" w:sz="0" w:space="0" w:color="auto"/>
        <w:bottom w:val="none" w:sz="0" w:space="0" w:color="auto"/>
        <w:right w:val="none" w:sz="0" w:space="0" w:color="auto"/>
      </w:divBdr>
    </w:div>
    <w:div w:id="734821879">
      <w:bodyDiv w:val="1"/>
      <w:marLeft w:val="0"/>
      <w:marRight w:val="0"/>
      <w:marTop w:val="0"/>
      <w:marBottom w:val="0"/>
      <w:divBdr>
        <w:top w:val="none" w:sz="0" w:space="0" w:color="auto"/>
        <w:left w:val="none" w:sz="0" w:space="0" w:color="auto"/>
        <w:bottom w:val="none" w:sz="0" w:space="0" w:color="auto"/>
        <w:right w:val="none" w:sz="0" w:space="0" w:color="auto"/>
      </w:divBdr>
    </w:div>
    <w:div w:id="945120637">
      <w:bodyDiv w:val="1"/>
      <w:marLeft w:val="0"/>
      <w:marRight w:val="0"/>
      <w:marTop w:val="0"/>
      <w:marBottom w:val="0"/>
      <w:divBdr>
        <w:top w:val="none" w:sz="0" w:space="0" w:color="auto"/>
        <w:left w:val="none" w:sz="0" w:space="0" w:color="auto"/>
        <w:bottom w:val="none" w:sz="0" w:space="0" w:color="auto"/>
        <w:right w:val="none" w:sz="0" w:space="0" w:color="auto"/>
      </w:divBdr>
    </w:div>
    <w:div w:id="976689427">
      <w:bodyDiv w:val="1"/>
      <w:marLeft w:val="0"/>
      <w:marRight w:val="0"/>
      <w:marTop w:val="0"/>
      <w:marBottom w:val="0"/>
      <w:divBdr>
        <w:top w:val="none" w:sz="0" w:space="0" w:color="auto"/>
        <w:left w:val="none" w:sz="0" w:space="0" w:color="auto"/>
        <w:bottom w:val="none" w:sz="0" w:space="0" w:color="auto"/>
        <w:right w:val="none" w:sz="0" w:space="0" w:color="auto"/>
      </w:divBdr>
    </w:div>
    <w:div w:id="1003892474">
      <w:bodyDiv w:val="1"/>
      <w:marLeft w:val="0"/>
      <w:marRight w:val="0"/>
      <w:marTop w:val="0"/>
      <w:marBottom w:val="0"/>
      <w:divBdr>
        <w:top w:val="none" w:sz="0" w:space="0" w:color="auto"/>
        <w:left w:val="none" w:sz="0" w:space="0" w:color="auto"/>
        <w:bottom w:val="none" w:sz="0" w:space="0" w:color="auto"/>
        <w:right w:val="none" w:sz="0" w:space="0" w:color="auto"/>
      </w:divBdr>
    </w:div>
    <w:div w:id="1147281425">
      <w:bodyDiv w:val="1"/>
      <w:marLeft w:val="0"/>
      <w:marRight w:val="0"/>
      <w:marTop w:val="0"/>
      <w:marBottom w:val="0"/>
      <w:divBdr>
        <w:top w:val="none" w:sz="0" w:space="0" w:color="auto"/>
        <w:left w:val="none" w:sz="0" w:space="0" w:color="auto"/>
        <w:bottom w:val="none" w:sz="0" w:space="0" w:color="auto"/>
        <w:right w:val="none" w:sz="0" w:space="0" w:color="auto"/>
      </w:divBdr>
    </w:div>
    <w:div w:id="1179269201">
      <w:bodyDiv w:val="1"/>
      <w:marLeft w:val="0"/>
      <w:marRight w:val="0"/>
      <w:marTop w:val="0"/>
      <w:marBottom w:val="0"/>
      <w:divBdr>
        <w:top w:val="none" w:sz="0" w:space="0" w:color="auto"/>
        <w:left w:val="none" w:sz="0" w:space="0" w:color="auto"/>
        <w:bottom w:val="none" w:sz="0" w:space="0" w:color="auto"/>
        <w:right w:val="none" w:sz="0" w:space="0" w:color="auto"/>
      </w:divBdr>
    </w:div>
    <w:div w:id="1186140446">
      <w:bodyDiv w:val="1"/>
      <w:marLeft w:val="0"/>
      <w:marRight w:val="0"/>
      <w:marTop w:val="0"/>
      <w:marBottom w:val="0"/>
      <w:divBdr>
        <w:top w:val="none" w:sz="0" w:space="0" w:color="auto"/>
        <w:left w:val="none" w:sz="0" w:space="0" w:color="auto"/>
        <w:bottom w:val="none" w:sz="0" w:space="0" w:color="auto"/>
        <w:right w:val="none" w:sz="0" w:space="0" w:color="auto"/>
      </w:divBdr>
    </w:div>
    <w:div w:id="1202399083">
      <w:bodyDiv w:val="1"/>
      <w:marLeft w:val="0"/>
      <w:marRight w:val="0"/>
      <w:marTop w:val="0"/>
      <w:marBottom w:val="0"/>
      <w:divBdr>
        <w:top w:val="none" w:sz="0" w:space="0" w:color="auto"/>
        <w:left w:val="none" w:sz="0" w:space="0" w:color="auto"/>
        <w:bottom w:val="none" w:sz="0" w:space="0" w:color="auto"/>
        <w:right w:val="none" w:sz="0" w:space="0" w:color="auto"/>
      </w:divBdr>
    </w:div>
    <w:div w:id="1259800653">
      <w:bodyDiv w:val="1"/>
      <w:marLeft w:val="0"/>
      <w:marRight w:val="0"/>
      <w:marTop w:val="0"/>
      <w:marBottom w:val="0"/>
      <w:divBdr>
        <w:top w:val="none" w:sz="0" w:space="0" w:color="auto"/>
        <w:left w:val="none" w:sz="0" w:space="0" w:color="auto"/>
        <w:bottom w:val="none" w:sz="0" w:space="0" w:color="auto"/>
        <w:right w:val="none" w:sz="0" w:space="0" w:color="auto"/>
      </w:divBdr>
    </w:div>
    <w:div w:id="1391920338">
      <w:bodyDiv w:val="1"/>
      <w:marLeft w:val="0"/>
      <w:marRight w:val="0"/>
      <w:marTop w:val="0"/>
      <w:marBottom w:val="0"/>
      <w:divBdr>
        <w:top w:val="none" w:sz="0" w:space="0" w:color="auto"/>
        <w:left w:val="none" w:sz="0" w:space="0" w:color="auto"/>
        <w:bottom w:val="none" w:sz="0" w:space="0" w:color="auto"/>
        <w:right w:val="none" w:sz="0" w:space="0" w:color="auto"/>
      </w:divBdr>
    </w:div>
    <w:div w:id="1394894089">
      <w:bodyDiv w:val="1"/>
      <w:marLeft w:val="0"/>
      <w:marRight w:val="0"/>
      <w:marTop w:val="0"/>
      <w:marBottom w:val="0"/>
      <w:divBdr>
        <w:top w:val="none" w:sz="0" w:space="0" w:color="auto"/>
        <w:left w:val="none" w:sz="0" w:space="0" w:color="auto"/>
        <w:bottom w:val="none" w:sz="0" w:space="0" w:color="auto"/>
        <w:right w:val="none" w:sz="0" w:space="0" w:color="auto"/>
      </w:divBdr>
    </w:div>
    <w:div w:id="1397431712">
      <w:bodyDiv w:val="1"/>
      <w:marLeft w:val="0"/>
      <w:marRight w:val="0"/>
      <w:marTop w:val="0"/>
      <w:marBottom w:val="0"/>
      <w:divBdr>
        <w:top w:val="none" w:sz="0" w:space="0" w:color="auto"/>
        <w:left w:val="none" w:sz="0" w:space="0" w:color="auto"/>
        <w:bottom w:val="none" w:sz="0" w:space="0" w:color="auto"/>
        <w:right w:val="none" w:sz="0" w:space="0" w:color="auto"/>
      </w:divBdr>
    </w:div>
    <w:div w:id="1480926538">
      <w:bodyDiv w:val="1"/>
      <w:marLeft w:val="0"/>
      <w:marRight w:val="0"/>
      <w:marTop w:val="0"/>
      <w:marBottom w:val="0"/>
      <w:divBdr>
        <w:top w:val="none" w:sz="0" w:space="0" w:color="auto"/>
        <w:left w:val="none" w:sz="0" w:space="0" w:color="auto"/>
        <w:bottom w:val="none" w:sz="0" w:space="0" w:color="auto"/>
        <w:right w:val="none" w:sz="0" w:space="0" w:color="auto"/>
      </w:divBdr>
    </w:div>
    <w:div w:id="1481654624">
      <w:bodyDiv w:val="1"/>
      <w:marLeft w:val="0"/>
      <w:marRight w:val="0"/>
      <w:marTop w:val="0"/>
      <w:marBottom w:val="0"/>
      <w:divBdr>
        <w:top w:val="none" w:sz="0" w:space="0" w:color="auto"/>
        <w:left w:val="none" w:sz="0" w:space="0" w:color="auto"/>
        <w:bottom w:val="none" w:sz="0" w:space="0" w:color="auto"/>
        <w:right w:val="none" w:sz="0" w:space="0" w:color="auto"/>
      </w:divBdr>
    </w:div>
    <w:div w:id="1513304785">
      <w:bodyDiv w:val="1"/>
      <w:marLeft w:val="0"/>
      <w:marRight w:val="0"/>
      <w:marTop w:val="0"/>
      <w:marBottom w:val="0"/>
      <w:divBdr>
        <w:top w:val="none" w:sz="0" w:space="0" w:color="auto"/>
        <w:left w:val="none" w:sz="0" w:space="0" w:color="auto"/>
        <w:bottom w:val="none" w:sz="0" w:space="0" w:color="auto"/>
        <w:right w:val="none" w:sz="0" w:space="0" w:color="auto"/>
      </w:divBdr>
    </w:div>
    <w:div w:id="1520702173">
      <w:bodyDiv w:val="1"/>
      <w:marLeft w:val="0"/>
      <w:marRight w:val="0"/>
      <w:marTop w:val="0"/>
      <w:marBottom w:val="0"/>
      <w:divBdr>
        <w:top w:val="none" w:sz="0" w:space="0" w:color="auto"/>
        <w:left w:val="none" w:sz="0" w:space="0" w:color="auto"/>
        <w:bottom w:val="none" w:sz="0" w:space="0" w:color="auto"/>
        <w:right w:val="none" w:sz="0" w:space="0" w:color="auto"/>
      </w:divBdr>
    </w:div>
    <w:div w:id="1533228168">
      <w:bodyDiv w:val="1"/>
      <w:marLeft w:val="0"/>
      <w:marRight w:val="0"/>
      <w:marTop w:val="0"/>
      <w:marBottom w:val="0"/>
      <w:divBdr>
        <w:top w:val="none" w:sz="0" w:space="0" w:color="auto"/>
        <w:left w:val="none" w:sz="0" w:space="0" w:color="auto"/>
        <w:bottom w:val="none" w:sz="0" w:space="0" w:color="auto"/>
        <w:right w:val="none" w:sz="0" w:space="0" w:color="auto"/>
      </w:divBdr>
    </w:div>
    <w:div w:id="1550532447">
      <w:bodyDiv w:val="1"/>
      <w:marLeft w:val="0"/>
      <w:marRight w:val="0"/>
      <w:marTop w:val="0"/>
      <w:marBottom w:val="0"/>
      <w:divBdr>
        <w:top w:val="none" w:sz="0" w:space="0" w:color="auto"/>
        <w:left w:val="none" w:sz="0" w:space="0" w:color="auto"/>
        <w:bottom w:val="none" w:sz="0" w:space="0" w:color="auto"/>
        <w:right w:val="none" w:sz="0" w:space="0" w:color="auto"/>
      </w:divBdr>
    </w:div>
    <w:div w:id="1582249492">
      <w:bodyDiv w:val="1"/>
      <w:marLeft w:val="0"/>
      <w:marRight w:val="0"/>
      <w:marTop w:val="0"/>
      <w:marBottom w:val="0"/>
      <w:divBdr>
        <w:top w:val="none" w:sz="0" w:space="0" w:color="auto"/>
        <w:left w:val="none" w:sz="0" w:space="0" w:color="auto"/>
        <w:bottom w:val="none" w:sz="0" w:space="0" w:color="auto"/>
        <w:right w:val="none" w:sz="0" w:space="0" w:color="auto"/>
      </w:divBdr>
    </w:div>
    <w:div w:id="167210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8.xml"/><Relationship Id="rId42" Type="http://schemas.openxmlformats.org/officeDocument/2006/relationships/chart" Target="charts/chart21.xml"/><Relationship Id="rId47" Type="http://schemas.openxmlformats.org/officeDocument/2006/relationships/chart" Target="charts/chart26.xml"/><Relationship Id="rId63" Type="http://schemas.openxmlformats.org/officeDocument/2006/relationships/chart" Target="charts/chart42.xml"/><Relationship Id="rId68" Type="http://schemas.openxmlformats.org/officeDocument/2006/relationships/chart" Target="charts/chart47.xml"/><Relationship Id="rId84" Type="http://schemas.openxmlformats.org/officeDocument/2006/relationships/chart" Target="charts/chart63.xml"/><Relationship Id="rId89" Type="http://schemas.openxmlformats.org/officeDocument/2006/relationships/chart" Target="charts/chart68.xml"/><Relationship Id="rId112" Type="http://schemas.openxmlformats.org/officeDocument/2006/relationships/chart" Target="charts/chart91.xml"/><Relationship Id="rId16" Type="http://schemas.openxmlformats.org/officeDocument/2006/relationships/image" Target="media/image5.jpeg"/><Relationship Id="rId107" Type="http://schemas.openxmlformats.org/officeDocument/2006/relationships/chart" Target="charts/chart86.xml"/><Relationship Id="rId11" Type="http://schemas.openxmlformats.org/officeDocument/2006/relationships/chart" Target="charts/chart2.xml"/><Relationship Id="rId32" Type="http://schemas.openxmlformats.org/officeDocument/2006/relationships/image" Target="media/image9.emf"/><Relationship Id="rId37" Type="http://schemas.openxmlformats.org/officeDocument/2006/relationships/chart" Target="charts/chart17.xml"/><Relationship Id="rId53" Type="http://schemas.openxmlformats.org/officeDocument/2006/relationships/chart" Target="charts/chart32.xml"/><Relationship Id="rId58" Type="http://schemas.openxmlformats.org/officeDocument/2006/relationships/chart" Target="charts/chart37.xml"/><Relationship Id="rId74" Type="http://schemas.openxmlformats.org/officeDocument/2006/relationships/chart" Target="charts/chart53.xml"/><Relationship Id="rId79" Type="http://schemas.openxmlformats.org/officeDocument/2006/relationships/chart" Target="charts/chart58.xml"/><Relationship Id="rId102" Type="http://schemas.openxmlformats.org/officeDocument/2006/relationships/chart" Target="charts/chart81.xml"/><Relationship Id="rId5" Type="http://schemas.openxmlformats.org/officeDocument/2006/relationships/webSettings" Target="webSettings.xml"/><Relationship Id="rId90" Type="http://schemas.openxmlformats.org/officeDocument/2006/relationships/chart" Target="charts/chart69.xml"/><Relationship Id="rId95" Type="http://schemas.openxmlformats.org/officeDocument/2006/relationships/chart" Target="charts/chart74.xml"/><Relationship Id="rId22" Type="http://schemas.openxmlformats.org/officeDocument/2006/relationships/chart" Target="charts/chart9.xml"/><Relationship Id="rId27"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64" Type="http://schemas.openxmlformats.org/officeDocument/2006/relationships/chart" Target="charts/chart43.xml"/><Relationship Id="rId69" Type="http://schemas.openxmlformats.org/officeDocument/2006/relationships/chart" Target="charts/chart48.xml"/><Relationship Id="rId113" Type="http://schemas.openxmlformats.org/officeDocument/2006/relationships/chart" Target="charts/chart92.xml"/><Relationship Id="rId80" Type="http://schemas.openxmlformats.org/officeDocument/2006/relationships/chart" Target="charts/chart59.xml"/><Relationship Id="rId85" Type="http://schemas.openxmlformats.org/officeDocument/2006/relationships/chart" Target="charts/chart64.xml"/><Relationship Id="rId12" Type="http://schemas.openxmlformats.org/officeDocument/2006/relationships/chart" Target="charts/chart3.xml"/><Relationship Id="rId17" Type="http://schemas.openxmlformats.org/officeDocument/2006/relationships/image" Target="media/image6.jpeg"/><Relationship Id="rId33" Type="http://schemas.openxmlformats.org/officeDocument/2006/relationships/image" Target="media/image10.emf"/><Relationship Id="rId38" Type="http://schemas.openxmlformats.org/officeDocument/2006/relationships/chart" Target="charts/chart18.xml"/><Relationship Id="rId59" Type="http://schemas.openxmlformats.org/officeDocument/2006/relationships/chart" Target="charts/chart38.xml"/><Relationship Id="rId103" Type="http://schemas.openxmlformats.org/officeDocument/2006/relationships/chart" Target="charts/chart82.xml"/><Relationship Id="rId108" Type="http://schemas.openxmlformats.org/officeDocument/2006/relationships/chart" Target="charts/chart87.xml"/><Relationship Id="rId54" Type="http://schemas.openxmlformats.org/officeDocument/2006/relationships/chart" Target="charts/chart33.xml"/><Relationship Id="rId70" Type="http://schemas.openxmlformats.org/officeDocument/2006/relationships/chart" Target="charts/chart49.xml"/><Relationship Id="rId75" Type="http://schemas.openxmlformats.org/officeDocument/2006/relationships/chart" Target="charts/chart54.xml"/><Relationship Id="rId91" Type="http://schemas.openxmlformats.org/officeDocument/2006/relationships/chart" Target="charts/chart70.xml"/><Relationship Id="rId96" Type="http://schemas.openxmlformats.org/officeDocument/2006/relationships/chart" Target="charts/chart7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12.emf"/><Relationship Id="rId49" Type="http://schemas.openxmlformats.org/officeDocument/2006/relationships/chart" Target="charts/chart28.xml"/><Relationship Id="rId57" Type="http://schemas.openxmlformats.org/officeDocument/2006/relationships/chart" Target="charts/chart36.xml"/><Relationship Id="rId106" Type="http://schemas.openxmlformats.org/officeDocument/2006/relationships/chart" Target="charts/chart85.xml"/><Relationship Id="rId114" Type="http://schemas.openxmlformats.org/officeDocument/2006/relationships/fontTable" Target="fontTable.xml"/><Relationship Id="rId10" Type="http://schemas.openxmlformats.org/officeDocument/2006/relationships/chart" Target="charts/chart1.xml"/><Relationship Id="rId31" Type="http://schemas.openxmlformats.org/officeDocument/2006/relationships/image" Target="media/image8.emf"/><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chart" Target="charts/chart39.xml"/><Relationship Id="rId65" Type="http://schemas.openxmlformats.org/officeDocument/2006/relationships/chart" Target="charts/chart44.xml"/><Relationship Id="rId73" Type="http://schemas.openxmlformats.org/officeDocument/2006/relationships/chart" Target="charts/chart52.xml"/><Relationship Id="rId78" Type="http://schemas.openxmlformats.org/officeDocument/2006/relationships/chart" Target="charts/chart57.xml"/><Relationship Id="rId81" Type="http://schemas.openxmlformats.org/officeDocument/2006/relationships/chart" Target="charts/chart60.xml"/><Relationship Id="rId86" Type="http://schemas.openxmlformats.org/officeDocument/2006/relationships/chart" Target="charts/chart65.xml"/><Relationship Id="rId94" Type="http://schemas.openxmlformats.org/officeDocument/2006/relationships/chart" Target="charts/chart73.xml"/><Relationship Id="rId99" Type="http://schemas.openxmlformats.org/officeDocument/2006/relationships/chart" Target="charts/chart78.xml"/><Relationship Id="rId101" Type="http://schemas.openxmlformats.org/officeDocument/2006/relationships/chart" Target="charts/chart80.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chart" Target="charts/chart5.xml"/><Relationship Id="rId39" Type="http://schemas.openxmlformats.org/officeDocument/2006/relationships/header" Target="header1.xml"/><Relationship Id="rId109" Type="http://schemas.openxmlformats.org/officeDocument/2006/relationships/chart" Target="charts/chart88.xml"/><Relationship Id="rId34" Type="http://schemas.openxmlformats.org/officeDocument/2006/relationships/footer" Target="footer1.xml"/><Relationship Id="rId50" Type="http://schemas.openxmlformats.org/officeDocument/2006/relationships/chart" Target="charts/chart29.xml"/><Relationship Id="rId55" Type="http://schemas.openxmlformats.org/officeDocument/2006/relationships/chart" Target="charts/chart34.xml"/><Relationship Id="rId76" Type="http://schemas.openxmlformats.org/officeDocument/2006/relationships/chart" Target="charts/chart55.xml"/><Relationship Id="rId97" Type="http://schemas.openxmlformats.org/officeDocument/2006/relationships/chart" Target="charts/chart76.xml"/><Relationship Id="rId104" Type="http://schemas.openxmlformats.org/officeDocument/2006/relationships/chart" Target="charts/chart83.xml"/><Relationship Id="rId7" Type="http://schemas.openxmlformats.org/officeDocument/2006/relationships/endnotes" Target="endnotes.xml"/><Relationship Id="rId71" Type="http://schemas.openxmlformats.org/officeDocument/2006/relationships/chart" Target="charts/chart50.xml"/><Relationship Id="rId92" Type="http://schemas.openxmlformats.org/officeDocument/2006/relationships/chart" Target="charts/chart71.xml"/><Relationship Id="rId2" Type="http://schemas.openxmlformats.org/officeDocument/2006/relationships/numbering" Target="numbering.xml"/><Relationship Id="rId29" Type="http://schemas.openxmlformats.org/officeDocument/2006/relationships/chart" Target="charts/chart16.xml"/><Relationship Id="rId24" Type="http://schemas.openxmlformats.org/officeDocument/2006/relationships/chart" Target="charts/chart11.xml"/><Relationship Id="rId40" Type="http://schemas.openxmlformats.org/officeDocument/2006/relationships/chart" Target="charts/chart19.xml"/><Relationship Id="rId45" Type="http://schemas.openxmlformats.org/officeDocument/2006/relationships/chart" Target="charts/chart24.xml"/><Relationship Id="rId66" Type="http://schemas.openxmlformats.org/officeDocument/2006/relationships/chart" Target="charts/chart45.xml"/><Relationship Id="rId87" Type="http://schemas.openxmlformats.org/officeDocument/2006/relationships/chart" Target="charts/chart66.xml"/><Relationship Id="rId110" Type="http://schemas.openxmlformats.org/officeDocument/2006/relationships/chart" Target="charts/chart89.xml"/><Relationship Id="rId115" Type="http://schemas.openxmlformats.org/officeDocument/2006/relationships/theme" Target="theme/theme1.xml"/><Relationship Id="rId61" Type="http://schemas.openxmlformats.org/officeDocument/2006/relationships/chart" Target="charts/chart40.xml"/><Relationship Id="rId82" Type="http://schemas.openxmlformats.org/officeDocument/2006/relationships/chart" Target="charts/chart61.xml"/><Relationship Id="rId19" Type="http://schemas.openxmlformats.org/officeDocument/2006/relationships/chart" Target="charts/chart6.xml"/><Relationship Id="rId14" Type="http://schemas.openxmlformats.org/officeDocument/2006/relationships/image" Target="media/image3.jpeg"/><Relationship Id="rId30" Type="http://schemas.openxmlformats.org/officeDocument/2006/relationships/image" Target="media/image7.emf"/><Relationship Id="rId35" Type="http://schemas.openxmlformats.org/officeDocument/2006/relationships/image" Target="media/image11.emf"/><Relationship Id="rId56" Type="http://schemas.openxmlformats.org/officeDocument/2006/relationships/chart" Target="charts/chart35.xml"/><Relationship Id="rId77" Type="http://schemas.openxmlformats.org/officeDocument/2006/relationships/chart" Target="charts/chart56.xml"/><Relationship Id="rId100" Type="http://schemas.openxmlformats.org/officeDocument/2006/relationships/chart" Target="charts/chart79.xml"/><Relationship Id="rId105" Type="http://schemas.openxmlformats.org/officeDocument/2006/relationships/chart" Target="charts/chart84.xml"/><Relationship Id="rId8" Type="http://schemas.openxmlformats.org/officeDocument/2006/relationships/image" Target="media/image1.png"/><Relationship Id="rId51" Type="http://schemas.openxmlformats.org/officeDocument/2006/relationships/chart" Target="charts/chart30.xml"/><Relationship Id="rId72" Type="http://schemas.openxmlformats.org/officeDocument/2006/relationships/chart" Target="charts/chart51.xml"/><Relationship Id="rId93" Type="http://schemas.openxmlformats.org/officeDocument/2006/relationships/chart" Target="charts/chart72.xml"/><Relationship Id="rId98" Type="http://schemas.openxmlformats.org/officeDocument/2006/relationships/chart" Target="charts/chart77.xml"/><Relationship Id="rId3" Type="http://schemas.openxmlformats.org/officeDocument/2006/relationships/styles" Target="styles.xml"/><Relationship Id="rId25" Type="http://schemas.openxmlformats.org/officeDocument/2006/relationships/chart" Target="charts/chart12.xml"/><Relationship Id="rId46" Type="http://schemas.openxmlformats.org/officeDocument/2006/relationships/chart" Target="charts/chart25.xml"/><Relationship Id="rId67" Type="http://schemas.openxmlformats.org/officeDocument/2006/relationships/chart" Target="charts/chart46.xml"/><Relationship Id="rId20" Type="http://schemas.openxmlformats.org/officeDocument/2006/relationships/chart" Target="charts/chart7.xml"/><Relationship Id="rId41" Type="http://schemas.openxmlformats.org/officeDocument/2006/relationships/chart" Target="charts/chart20.xml"/><Relationship Id="rId62" Type="http://schemas.openxmlformats.org/officeDocument/2006/relationships/chart" Target="charts/chart41.xml"/><Relationship Id="rId83" Type="http://schemas.openxmlformats.org/officeDocument/2006/relationships/chart" Target="charts/chart62.xml"/><Relationship Id="rId88" Type="http://schemas.openxmlformats.org/officeDocument/2006/relationships/chart" Target="charts/chart67.xml"/><Relationship Id="rId111" Type="http://schemas.openxmlformats.org/officeDocument/2006/relationships/chart" Target="charts/chart90.xm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aranda.husaj\Desktop\GPK2025-FINALE\MAPL\mpg%202025-tabela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aranda.husaj\Desktop\GPK2025-FINALE\MAPL\mpg%202025-tabela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blerta.sejdiu\AppData\Local\Microsoft\Windows\INetCache\Content.Outlook\4YMPX1BE\Statistika%20per%20Grant%202026%20(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Llaptop%20Gusht%202020%20Helvetas%20DEMOS\New%20folder\DEMOS%203\MPG\KM%202020.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esktop\MAPL-Raporti%20i%20ri\ENG%20-%20Databaza%20me%20grafe-finale-2026%20progres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blerta.sejdiu\AppData\Local\Microsoft\Windows\INetCache\Content.Outlook\4YMPX1BE\Statistika%20per%20Grant%202026%20(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Llaptop%20Gusht%202020%20Helvetas%20DEMOS\New%20folder\DEMOS%203\MPG\KM%202020.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D:\Llaptop%20Gusht%202020%20Helvetas%20DEMOS\New%20folder\DEMOS%203\MPG\KM%202020.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6.xlsx"/></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8.xlsx"/></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10.xlsx"/></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12.xlsx"/></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14.xlsx"/></Relationships>
</file>

<file path=word/charts/_rels/chart4.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16.xlsx"/></Relationships>
</file>

<file path=word/charts/_rels/chart42.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D:\Llaptop%20Gusht%202020%20Helvetas%20DEMOS\New%20folder\DEMOS%203\MPG\KM%202020.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18.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19.xlsx"/></Relationships>
</file>

<file path=word/charts/_rels/chart47.xml.rels><?xml version="1.0" encoding="UTF-8" standalone="yes"?>
<Relationships xmlns="http://schemas.openxmlformats.org/package/2006/relationships"><Relationship Id="rId3" Type="http://schemas.openxmlformats.org/officeDocument/2006/relationships/oleObject" Target="file:///D:\Llaptop%20Gusht%202020%20Helvetas%20DEMOS\New%20folder\DEMOS%203\MPG\KM%202020.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Microsoft_Excel_Worksheet20.xlsx"/></Relationships>
</file>

<file path=word/charts/_rels/chart49.xml.rels><?xml version="1.0" encoding="UTF-8" standalone="yes"?>
<Relationships xmlns="http://schemas.openxmlformats.org/package/2006/relationships"><Relationship Id="rId3" Type="http://schemas.openxmlformats.org/officeDocument/2006/relationships/oleObject" Target="file:///D:\Llaptop%20Gusht%202020%20Helvetas%20DEMOS\New%20folder\DEMOS%203\MPG\KM%202020.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D:\Llaptop%20Gusht%202020%20Helvetas%20DEMOS\New%20folder\DEMOS%203\MPG\KM%202020.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D:\Llaptop%20Gusht%202020%20Helvetas%20DEMOS\New%20folder\DEMOS%203\MPG\KM%202020.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D:\Llaptop%20Gusht%202020%20Helvetas%20DEMOS\New%20folder\DEMOS%203\MPG\KM%202020.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D:\Llaptop%20Gusht%202020%20Helvetas%20DEMOS\New%20folder\DEMOS%203\MPG\KM%202020.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D:\Llaptop%20Gusht%202020%20Helvetas%20DEMOS\New%20folder\DEMOS%203\MPG\KM%202020.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D:\Llaptop%20Gusht%202020%20Helvetas%20DEMOS\New%20folder\DEMOS%203\MPG\KM%202020.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blerta.sejdiu\AppData\Local\Microsoft\Windows\INetCache\Content.Outlook\4YMPX1BE\Grafet-performanca%20e%20pergjithshme.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file:///D:\Llaptop%20Gusht%202020%20Helvetas%20DEMOS\New%20folder\DEMOS%203\MPG\KM%202020.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oleObject" Target="file:///D:\Llaptop%20Gusht%202020%20Helvetas%20DEMOS\New%20folder\DEMOS%203\MPG\KM%202020.xlsx"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package" Target="../embeddings/Microsoft_Excel_Worksheet23.xlsx"/></Relationships>
</file>

<file path=word/charts/_rels/chart79.xml.rels><?xml version="1.0" encoding="UTF-8" standalone="yes"?>
<Relationships xmlns="http://schemas.openxmlformats.org/package/2006/relationships"><Relationship Id="rId3" Type="http://schemas.openxmlformats.org/officeDocument/2006/relationships/oleObject" Target="file:///D:\Llaptop%20Gusht%202020%20Helvetas%20DEMOS\New%20folder\DEMOS%203\MPG\KM%202020.xlsx" TargetMode="External"/><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blerta.sejdiu\AppData\Local\Microsoft\Windows\INetCache\Content.Outlook\4YMPX1BE\Grafet-performanca%20e%20pergjithshme.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oleObject" Target="file:///D:\Llaptop%20Gusht%202020%20Helvetas%20DEMOS\New%20folder\DEMOS%203\MPG\KM%202020.xlsx" TargetMode="External"/><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82.xml"/><Relationship Id="rId1" Type="http://schemas.microsoft.com/office/2011/relationships/chartStyle" Target="style82.xml"/></Relationships>
</file>

<file path=word/charts/_rels/chart83.xml.rels><?xml version="1.0" encoding="UTF-8" standalone="yes"?>
<Relationships xmlns="http://schemas.openxmlformats.org/package/2006/relationships"><Relationship Id="rId3" Type="http://schemas.openxmlformats.org/officeDocument/2006/relationships/oleObject" Target="file:///D:\Llaptop%20Gusht%202020%20Helvetas%20DEMOS\New%20folder\DEMOS%203\MPG\KM%202020.xlsx" TargetMode="External"/><Relationship Id="rId2" Type="http://schemas.microsoft.com/office/2011/relationships/chartColorStyle" Target="colors83.xml"/><Relationship Id="rId1" Type="http://schemas.microsoft.com/office/2011/relationships/chartStyle" Target="style83.xml"/></Relationships>
</file>

<file path=word/charts/_rels/chart84.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oleObject" Target="file:///D:\Llaptop%20Gusht%202020%20Helvetas%20DEMOS\New%20folder\DEMOS%203\MPG\KM%202020.xlsx" TargetMode="External"/><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86.xml"/><Relationship Id="rId1" Type="http://schemas.microsoft.com/office/2011/relationships/chartStyle" Target="style86.xml"/></Relationships>
</file>

<file path=word/charts/_rels/chart87.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87.xml"/><Relationship Id="rId1" Type="http://schemas.microsoft.com/office/2011/relationships/chartStyle" Target="style87.xml"/></Relationships>
</file>

<file path=word/charts/_rels/chart88.xml.rels><?xml version="1.0" encoding="UTF-8" standalone="yes"?>
<Relationships xmlns="http://schemas.openxmlformats.org/package/2006/relationships"><Relationship Id="rId3" Type="http://schemas.openxmlformats.org/officeDocument/2006/relationships/oleObject" Target="file:///C:\Users\blerta.sejdiu\Desktop\Copy%20of%20Statistika%20per%20Grant%202026%20(2).xlsx" TargetMode="External"/><Relationship Id="rId2" Type="http://schemas.microsoft.com/office/2011/relationships/chartColorStyle" Target="colors88.xml"/><Relationship Id="rId1" Type="http://schemas.microsoft.com/office/2011/relationships/chartStyle" Target="style88.xml"/></Relationships>
</file>

<file path=word/charts/_rels/chart89.xml.rels><?xml version="1.0" encoding="UTF-8" standalone="yes"?>
<Relationships xmlns="http://schemas.openxmlformats.org/package/2006/relationships"><Relationship Id="rId3" Type="http://schemas.openxmlformats.org/officeDocument/2006/relationships/oleObject" Target="file:///D:\Llaptop%20Gusht%202020%20Helvetas%20DEMOS\New%20folder\DEMOS%203\MPG\KM%202020.xlsx" TargetMode="External"/><Relationship Id="rId2" Type="http://schemas.microsoft.com/office/2011/relationships/chartColorStyle" Target="colors89.xml"/><Relationship Id="rId1" Type="http://schemas.microsoft.com/office/2011/relationships/chartStyle" Target="style89.xml"/></Relationships>
</file>

<file path=word/charts/_rels/chart9.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package" Target="../embeddings/Microsoft_Excel_Worksheet24.xlsx"/></Relationships>
</file>

<file path=word/charts/_rels/chart91.xml.rels><?xml version="1.0" encoding="UTF-8" standalone="yes"?>
<Relationships xmlns="http://schemas.openxmlformats.org/package/2006/relationships"><Relationship Id="rId3" Type="http://schemas.openxmlformats.org/officeDocument/2006/relationships/oleObject" Target="file:///D:\Llaptop%20Gusht%202020%20Helvetas%20DEMOS\New%20folder\DEMOS%203\MPG\KM%202020.xlsx" TargetMode="External"/><Relationship Id="rId2" Type="http://schemas.microsoft.com/office/2011/relationships/chartColorStyle" Target="colors91.xml"/><Relationship Id="rId1" Type="http://schemas.microsoft.com/office/2011/relationships/chartStyle" Target="style91.xml"/></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92.xml"/><Relationship Id="rId1" Type="http://schemas.microsoft.com/office/2011/relationships/chartStyle" Target="style92.xml"/><Relationship Id="rId4" Type="http://schemas.openxmlformats.org/officeDocument/2006/relationships/package" Target="../embeddings/Microsoft_Excel_Worksheet2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Përmbushja e Kushteve Minimale</a:t>
            </a:r>
          </a:p>
        </c:rich>
      </c:tx>
      <c:layout>
        <c:manualLayout>
          <c:xMode val="edge"/>
          <c:yMode val="edge"/>
          <c:x val="0.13793426518720306"/>
          <c:y val="3.2748538011695909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'[Chart in Microsoft Word]Kushtet Minimale'!$B$2:$C$2</c:f>
              <c:strCache>
                <c:ptCount val="2"/>
                <c:pt idx="0">
                  <c:v>Numri i Komunave që kanë përmbushur kushtet minimale</c:v>
                </c:pt>
                <c:pt idx="1">
                  <c:v>Numri i Komunave që nuk kanë përmbushur kushtet minimale</c:v>
                </c:pt>
              </c:strCache>
            </c:strRef>
          </c:cat>
          <c:val>
            <c:numRef>
              <c:f>'[Chart in Microsoft Word]Kushtet Minimale'!$B$3:$C$3</c:f>
              <c:numCache>
                <c:formatCode>General</c:formatCode>
                <c:ptCount val="2"/>
                <c:pt idx="0">
                  <c:v>5</c:v>
                </c:pt>
                <c:pt idx="1">
                  <c:v>33</c:v>
                </c:pt>
              </c:numCache>
            </c:numRef>
          </c:val>
          <c:extLst xmlns:c16r2="http://schemas.microsoft.com/office/drawing/2015/06/chart">
            <c:ext xmlns:c16="http://schemas.microsoft.com/office/drawing/2014/chart" uri="{C3380CC4-5D6E-409C-BE32-E72D297353CC}">
              <c16:uniqueId val="{00000000-3762-4CF5-9FF4-18627E4BA04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440561907271201E-2"/>
          <c:y val="0.15386160979430116"/>
          <c:w val="0.91306065994862673"/>
          <c:h val="0.57560685142494072"/>
        </c:manualLayout>
      </c:layout>
      <c:barChart>
        <c:barDir val="col"/>
        <c:grouping val="clustered"/>
        <c:varyColors val="0"/>
        <c:ser>
          <c:idx val="0"/>
          <c:order val="0"/>
          <c:tx>
            <c:strRef>
              <c:f>'[Chart in Microsoft Word]Performanca sipas fushave'!$B$3</c:f>
              <c:strCache>
                <c:ptCount val="1"/>
                <c:pt idx="0">
                  <c:v>Qeverisja Demokratike</c:v>
                </c:pt>
              </c:strCache>
            </c:strRef>
          </c:tx>
          <c:spPr>
            <a:solidFill>
              <a:schemeClr val="accent1"/>
            </a:solidFill>
            <a:ln>
              <a:noFill/>
            </a:ln>
            <a:effectLst/>
          </c:spPr>
          <c:invertIfNegative val="0"/>
          <c:dLbls>
            <c:dLbl>
              <c:idx val="0"/>
              <c:tx>
                <c:rich>
                  <a:bodyPr/>
                  <a:lstStyle/>
                  <a:p>
                    <a:r>
                      <a:rPr lang="en-US"/>
                      <a:t>51.6%</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Word]Performanca sipas fushave'!$C$3</c:f>
              <c:numCache>
                <c:formatCode>0.00%</c:formatCode>
                <c:ptCount val="1"/>
                <c:pt idx="0">
                  <c:v>0.51580000000000004</c:v>
                </c:pt>
              </c:numCache>
            </c:numRef>
          </c:val>
          <c:extLst xmlns:c16r2="http://schemas.microsoft.com/office/drawing/2015/06/chart">
            <c:ext xmlns:c16="http://schemas.microsoft.com/office/drawing/2014/chart" uri="{C3380CC4-5D6E-409C-BE32-E72D297353CC}">
              <c16:uniqueId val="{00000000-EFEF-4A5A-A4E6-F5A4D359AD74}"/>
            </c:ext>
          </c:extLst>
        </c:ser>
        <c:ser>
          <c:idx val="1"/>
          <c:order val="1"/>
          <c:tx>
            <c:strRef>
              <c:f>'[Chart in Microsoft Word]Performanca sipas fushave'!$B$4</c:f>
              <c:strCache>
                <c:ptCount val="1"/>
                <c:pt idx="0">
                  <c:v>Menaxhimi Komunal</c:v>
                </c:pt>
              </c:strCache>
            </c:strRef>
          </c:tx>
          <c:spPr>
            <a:solidFill>
              <a:schemeClr val="accent2"/>
            </a:solidFill>
            <a:ln>
              <a:noFill/>
            </a:ln>
            <a:effectLst/>
          </c:spPr>
          <c:invertIfNegative val="0"/>
          <c:dLbls>
            <c:dLbl>
              <c:idx val="0"/>
              <c:tx>
                <c:rich>
                  <a:bodyPr/>
                  <a:lstStyle/>
                  <a:p>
                    <a:r>
                      <a:rPr lang="en-US"/>
                      <a:t>33.6%</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Word]Performanca sipas fushave'!$C$4</c:f>
              <c:numCache>
                <c:formatCode>0.00%</c:formatCode>
                <c:ptCount val="1"/>
                <c:pt idx="0">
                  <c:v>0.33550000000000002</c:v>
                </c:pt>
              </c:numCache>
            </c:numRef>
          </c:val>
          <c:extLst xmlns:c16r2="http://schemas.microsoft.com/office/drawing/2015/06/chart">
            <c:ext xmlns:c16="http://schemas.microsoft.com/office/drawing/2014/chart" uri="{C3380CC4-5D6E-409C-BE32-E72D297353CC}">
              <c16:uniqueId val="{00000001-EFEF-4A5A-A4E6-F5A4D359AD74}"/>
            </c:ext>
          </c:extLst>
        </c:ser>
        <c:ser>
          <c:idx val="2"/>
          <c:order val="2"/>
          <c:tx>
            <c:strRef>
              <c:f>'[Chart in Microsoft Word]Performanca sipas fushave'!$B$5</c:f>
              <c:strCache>
                <c:ptCount val="1"/>
                <c:pt idx="0">
                  <c:v>Ofrimi i shërbimeve</c:v>
                </c:pt>
              </c:strCache>
            </c:strRef>
          </c:tx>
          <c:spPr>
            <a:solidFill>
              <a:schemeClr val="accent3"/>
            </a:solidFill>
            <a:ln>
              <a:noFill/>
            </a:ln>
            <a:effectLst/>
          </c:spPr>
          <c:invertIfNegative val="0"/>
          <c:dLbls>
            <c:dLbl>
              <c:idx val="0"/>
              <c:tx>
                <c:rich>
                  <a:bodyPr/>
                  <a:lstStyle/>
                  <a:p>
                    <a:r>
                      <a:rPr lang="en-US"/>
                      <a:t>36.3%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Word]Performanca sipas fushave'!$C$5</c:f>
              <c:numCache>
                <c:formatCode>0.00%</c:formatCode>
                <c:ptCount val="1"/>
                <c:pt idx="0">
                  <c:v>0.36320000000000002</c:v>
                </c:pt>
              </c:numCache>
            </c:numRef>
          </c:val>
          <c:extLst xmlns:c16r2="http://schemas.microsoft.com/office/drawing/2015/06/chart">
            <c:ext xmlns:c16="http://schemas.microsoft.com/office/drawing/2014/chart" uri="{C3380CC4-5D6E-409C-BE32-E72D297353CC}">
              <c16:uniqueId val="{00000002-EFEF-4A5A-A4E6-F5A4D359AD74}"/>
            </c:ext>
          </c:extLst>
        </c:ser>
        <c:dLbls>
          <c:dLblPos val="outEnd"/>
          <c:showLegendKey val="0"/>
          <c:showVal val="1"/>
          <c:showCatName val="0"/>
          <c:showSerName val="0"/>
          <c:showPercent val="0"/>
          <c:showBubbleSize val="0"/>
        </c:dLbls>
        <c:gapWidth val="219"/>
        <c:overlap val="-27"/>
        <c:axId val="-1130102160"/>
        <c:axId val="-1130101072"/>
      </c:barChart>
      <c:catAx>
        <c:axId val="-113010216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latin typeface="+mn-lt"/>
                  </a:rPr>
                  <a:t>Performanca mesatare e GPK-së</a:t>
                </a:r>
                <a:r>
                  <a:rPr lang="en-US" b="1" baseline="0">
                    <a:latin typeface="+mn-lt"/>
                  </a:rPr>
                  <a:t> e </a:t>
                </a:r>
                <a:r>
                  <a:rPr lang="en-US" b="1">
                    <a:latin typeface="+mn-lt"/>
                  </a:rPr>
                  <a:t>shprehur në % sipas</a:t>
                </a:r>
                <a:r>
                  <a:rPr lang="en-US" b="1" baseline="0">
                    <a:latin typeface="+mn-lt"/>
                  </a:rPr>
                  <a:t> fushave</a:t>
                </a:r>
                <a:endParaRPr lang="en-US" b="1">
                  <a:latin typeface="+mn-lt"/>
                </a:endParaRPr>
              </a:p>
            </c:rich>
          </c:tx>
          <c:layout>
            <c:manualLayout>
              <c:xMode val="edge"/>
              <c:yMode val="edge"/>
              <c:x val="0.18352028541687362"/>
              <c:y val="4.7704967519973081E-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crossAx val="-1130101072"/>
        <c:crosses val="autoZero"/>
        <c:auto val="1"/>
        <c:lblAlgn val="ctr"/>
        <c:lblOffset val="100"/>
        <c:noMultiLvlLbl val="0"/>
      </c:catAx>
      <c:valAx>
        <c:axId val="-1130101072"/>
        <c:scaling>
          <c:orientation val="minMax"/>
        </c:scaling>
        <c:delete val="1"/>
        <c:axPos val="l"/>
        <c:numFmt formatCode="0.00%" sourceLinked="1"/>
        <c:majorTickMark val="out"/>
        <c:minorTickMark val="none"/>
        <c:tickLblPos val="nextTo"/>
        <c:crossAx val="-113010216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b="1"/>
              <a:t>Qeversja Demokratike</a:t>
            </a:r>
          </a:p>
        </c:rich>
      </c:tx>
      <c:layout>
        <c:manualLayout>
          <c:xMode val="edge"/>
          <c:yMode val="edge"/>
          <c:x val="0.4285345581802274"/>
          <c:y val="2.7777777777777776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tx>
                <c:rich>
                  <a:bodyPr/>
                  <a:lstStyle/>
                  <a:p>
                    <a:r>
                      <a:rPr lang="en-US"/>
                      <a:t>97.50</a:t>
                    </a:r>
                  </a:p>
                </c:rich>
              </c:tx>
              <c:dLblPos val="t"/>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51.58</a:t>
                    </a:r>
                  </a:p>
                </c:rich>
              </c:tx>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'Grafe tjera'!$B$2:$B$4</c:f>
              <c:strCache>
                <c:ptCount val="3"/>
                <c:pt idx="0">
                  <c:v>Performanca me e lartë</c:v>
                </c:pt>
                <c:pt idx="1">
                  <c:v>Performanca mesatare</c:v>
                </c:pt>
                <c:pt idx="2">
                  <c:v>Perfrmanca me e ulët</c:v>
                </c:pt>
              </c:strCache>
            </c:strRef>
          </c:cat>
          <c:val>
            <c:numRef>
              <c:f>'Grafe tjera'!$C$2:$C$4</c:f>
              <c:numCache>
                <c:formatCode>0.0%</c:formatCode>
                <c:ptCount val="3"/>
                <c:pt idx="0">
                  <c:v>0.94740000000000002</c:v>
                </c:pt>
                <c:pt idx="1">
                  <c:v>0.50139999999999996</c:v>
                </c:pt>
                <c:pt idx="2">
                  <c:v>0</c:v>
                </c:pt>
              </c:numCache>
            </c:numRef>
          </c:val>
          <c:smooth val="0"/>
          <c:extLst xmlns:c16r2="http://schemas.microsoft.com/office/drawing/2015/06/chart">
            <c:ext xmlns:c16="http://schemas.microsoft.com/office/drawing/2014/chart" uri="{C3380CC4-5D6E-409C-BE32-E72D297353CC}">
              <c16:uniqueId val="{00000000-7292-4613-A767-47FC569A09E7}"/>
            </c:ext>
          </c:extLst>
        </c:ser>
        <c:dLbls>
          <c:dLblPos val="t"/>
          <c:showLegendKey val="0"/>
          <c:showVal val="1"/>
          <c:showCatName val="0"/>
          <c:showSerName val="0"/>
          <c:showPercent val="0"/>
          <c:showBubbleSize val="0"/>
        </c:dLbls>
        <c:marker val="1"/>
        <c:smooth val="0"/>
        <c:axId val="-1130099984"/>
        <c:axId val="-1130114128"/>
      </c:lineChart>
      <c:catAx>
        <c:axId val="-113009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0114128"/>
        <c:crosses val="autoZero"/>
        <c:auto val="1"/>
        <c:lblAlgn val="ctr"/>
        <c:lblOffset val="100"/>
        <c:noMultiLvlLbl val="0"/>
      </c:catAx>
      <c:valAx>
        <c:axId val="-113011412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1300999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Qeverisja Demokratike</a:t>
            </a: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w="25400">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3535254115962778E-2"/>
          <c:y val="6.4426011634041921E-2"/>
          <c:w val="0.93888888888888888"/>
          <c:h val="0.68554159737666387"/>
        </c:manualLayout>
      </c:layout>
      <c:bar3DChart>
        <c:barDir val="col"/>
        <c:grouping val="clustered"/>
        <c:varyColors val="0"/>
        <c:ser>
          <c:idx val="0"/>
          <c:order val="0"/>
          <c:tx>
            <c:strRef>
              <c:f>'Performanca sipas nentemave'!$B$7</c:f>
              <c:strCache>
                <c:ptCount val="1"/>
                <c:pt idx="0">
                  <c:v>Roli i Kuvendit Komunal si organ mbikëqyrës </c:v>
                </c:pt>
              </c:strCache>
            </c:strRef>
          </c:tx>
          <c:spPr>
            <a:solidFill>
              <a:schemeClr val="accent1"/>
            </a:solidFill>
            <a:ln>
              <a:noFill/>
            </a:ln>
            <a:effectLst/>
            <a:sp3d/>
          </c:spPr>
          <c:invertIfNegative val="0"/>
          <c:dLbls>
            <c:dLbl>
              <c:idx val="0"/>
              <c:layout>
                <c:manualLayout>
                  <c:x val="1.6666666666666666E-2"/>
                  <c:y val="1.3888888888888888E-2"/>
                </c:manualLayout>
              </c:layout>
              <c:tx>
                <c:rich>
                  <a:bodyPr/>
                  <a:lstStyle/>
                  <a:p>
                    <a:r>
                      <a:rPr lang="en-US"/>
                      <a:t>57.2%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115-4DA7-A6AC-7938696D3BD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'Performanca sipas nentemave'!$C$7</c:f>
              <c:numCache>
                <c:formatCode>0.0%</c:formatCode>
                <c:ptCount val="1"/>
                <c:pt idx="0">
                  <c:v>0.57889999999999997</c:v>
                </c:pt>
              </c:numCache>
            </c:numRef>
          </c:val>
          <c:extLst xmlns:c16r2="http://schemas.microsoft.com/office/drawing/2015/06/chart">
            <c:ext xmlns:c16="http://schemas.microsoft.com/office/drawing/2014/chart" uri="{C3380CC4-5D6E-409C-BE32-E72D297353CC}">
              <c16:uniqueId val="{00000001-C115-4DA7-A6AC-7938696D3BD8}"/>
            </c:ext>
          </c:extLst>
        </c:ser>
        <c:ser>
          <c:idx val="1"/>
          <c:order val="1"/>
          <c:tx>
            <c:strRef>
              <c:f>'Performanca sipas nentemave'!$B$8</c:f>
              <c:strCache>
                <c:ptCount val="1"/>
                <c:pt idx="0">
                  <c:v>Pjesëmarrja, konsultimi dhe gjithëpërfshirja e qytetarëve</c:v>
                </c:pt>
              </c:strCache>
            </c:strRef>
          </c:tx>
          <c:spPr>
            <a:solidFill>
              <a:schemeClr val="accent2"/>
            </a:solidFill>
            <a:ln>
              <a:noFill/>
            </a:ln>
            <a:effectLst/>
            <a:sp3d/>
          </c:spPr>
          <c:invertIfNegative val="0"/>
          <c:dLbls>
            <c:dLbl>
              <c:idx val="0"/>
              <c:layout>
                <c:manualLayout>
                  <c:x val="1.6666666666666718E-2"/>
                  <c:y val="1.3888888888888888E-2"/>
                </c:manualLayout>
              </c:layout>
              <c:tx>
                <c:rich>
                  <a:bodyPr/>
                  <a:lstStyle/>
                  <a:p>
                    <a:r>
                      <a:rPr lang="en-US"/>
                      <a:t>40.8%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115-4DA7-A6AC-7938696D3BD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'Performanca sipas nentemave'!$C$8</c:f>
              <c:numCache>
                <c:formatCode>0.0%</c:formatCode>
                <c:ptCount val="1"/>
                <c:pt idx="0">
                  <c:v>0.41670000000000001</c:v>
                </c:pt>
              </c:numCache>
            </c:numRef>
          </c:val>
          <c:extLst xmlns:c16r2="http://schemas.microsoft.com/office/drawing/2015/06/chart">
            <c:ext xmlns:c16="http://schemas.microsoft.com/office/drawing/2014/chart" uri="{C3380CC4-5D6E-409C-BE32-E72D297353CC}">
              <c16:uniqueId val="{00000003-C115-4DA7-A6AC-7938696D3BD8}"/>
            </c:ext>
          </c:extLst>
        </c:ser>
        <c:ser>
          <c:idx val="2"/>
          <c:order val="2"/>
          <c:tx>
            <c:strRef>
              <c:f>'Performanca sipas nentemave'!$B$9</c:f>
              <c:strCache>
                <c:ptCount val="1"/>
                <c:pt idx="0">
                  <c:v>Transparenca, qasja në informata dhe integriteti</c:v>
                </c:pt>
              </c:strCache>
            </c:strRef>
          </c:tx>
          <c:spPr>
            <a:solidFill>
              <a:schemeClr val="accent3"/>
            </a:solidFill>
            <a:ln>
              <a:noFill/>
            </a:ln>
            <a:effectLst/>
            <a:sp3d/>
          </c:spPr>
          <c:invertIfNegative val="0"/>
          <c:dLbls>
            <c:dLbl>
              <c:idx val="0"/>
              <c:layout>
                <c:manualLayout>
                  <c:x val="3.3333333333333333E-2"/>
                  <c:y val="1.3888888888888867E-2"/>
                </c:manualLayout>
              </c:layout>
              <c:tx>
                <c:rich>
                  <a:bodyPr/>
                  <a:lstStyle/>
                  <a:p>
                    <a:r>
                      <a:rPr lang="en-US"/>
                      <a:t>55.4%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115-4DA7-A6AC-7938696D3BD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'Performanca sipas nentemave'!$C$9</c:f>
              <c:numCache>
                <c:formatCode>0.0%</c:formatCode>
                <c:ptCount val="1"/>
                <c:pt idx="0">
                  <c:v>0.51639999999999997</c:v>
                </c:pt>
              </c:numCache>
            </c:numRef>
          </c:val>
          <c:extLst xmlns:c16r2="http://schemas.microsoft.com/office/drawing/2015/06/chart">
            <c:ext xmlns:c16="http://schemas.microsoft.com/office/drawing/2014/chart" uri="{C3380CC4-5D6E-409C-BE32-E72D297353CC}">
              <c16:uniqueId val="{00000005-C115-4DA7-A6AC-7938696D3BD8}"/>
            </c:ext>
          </c:extLst>
        </c:ser>
        <c:dLbls>
          <c:showLegendKey val="0"/>
          <c:showVal val="1"/>
          <c:showCatName val="0"/>
          <c:showSerName val="0"/>
          <c:showPercent val="0"/>
          <c:showBubbleSize val="0"/>
        </c:dLbls>
        <c:gapWidth val="150"/>
        <c:shape val="box"/>
        <c:axId val="-1130110864"/>
        <c:axId val="-1130109776"/>
        <c:axId val="0"/>
      </c:bar3DChart>
      <c:catAx>
        <c:axId val="-1130110864"/>
        <c:scaling>
          <c:orientation val="minMax"/>
        </c:scaling>
        <c:delete val="1"/>
        <c:axPos val="b"/>
        <c:numFmt formatCode="General" sourceLinked="1"/>
        <c:majorTickMark val="out"/>
        <c:minorTickMark val="none"/>
        <c:tickLblPos val="nextTo"/>
        <c:crossAx val="-1130109776"/>
        <c:crosses val="autoZero"/>
        <c:auto val="1"/>
        <c:lblAlgn val="ctr"/>
        <c:lblOffset val="100"/>
        <c:noMultiLvlLbl val="0"/>
      </c:catAx>
      <c:valAx>
        <c:axId val="-1130109776"/>
        <c:scaling>
          <c:orientation val="minMax"/>
        </c:scaling>
        <c:delete val="1"/>
        <c:axPos val="l"/>
        <c:numFmt formatCode="0.0%" sourceLinked="1"/>
        <c:majorTickMark val="out"/>
        <c:minorTickMark val="none"/>
        <c:tickLblPos val="nextTo"/>
        <c:crossAx val="-1130110864"/>
        <c:crosses val="autoZero"/>
        <c:crossBetween val="between"/>
      </c:valAx>
      <c:spPr>
        <a:noFill/>
        <a:ln>
          <a:noFill/>
        </a:ln>
        <a:effectLst/>
      </c:spPr>
    </c:plotArea>
    <c:legend>
      <c:legendPos val="b"/>
      <c:layout>
        <c:manualLayout>
          <c:xMode val="edge"/>
          <c:yMode val="edge"/>
          <c:x val="4.4063780106956822E-2"/>
          <c:y val="0.76621987137104042"/>
          <c:w val="0.93026831910911789"/>
          <c:h val="0.208334836008094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Menaxhimi</a:t>
            </a:r>
            <a:r>
              <a:rPr lang="en-US" sz="900" baseline="0"/>
              <a:t> Komunal</a:t>
            </a:r>
            <a:endParaRPr lang="en-US" sz="9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Word]Grafe tjera'!$B$20:$B$22</c:f>
              <c:strCache>
                <c:ptCount val="3"/>
                <c:pt idx="0">
                  <c:v>Performanca me e lartë</c:v>
                </c:pt>
                <c:pt idx="1">
                  <c:v>Performanca mesatare</c:v>
                </c:pt>
                <c:pt idx="2">
                  <c:v>Perfrmanca me e ulët</c:v>
                </c:pt>
              </c:strCache>
            </c:strRef>
          </c:cat>
          <c:val>
            <c:numRef>
              <c:f>'[Chart in Microsoft Word]Grafe tjera'!$C$20:$C$22</c:f>
              <c:numCache>
                <c:formatCode>0.0%</c:formatCode>
                <c:ptCount val="3"/>
                <c:pt idx="0">
                  <c:v>0.78600000000000003</c:v>
                </c:pt>
                <c:pt idx="1">
                  <c:v>0.33500000000000002</c:v>
                </c:pt>
                <c:pt idx="2">
                  <c:v>0</c:v>
                </c:pt>
              </c:numCache>
            </c:numRef>
          </c:val>
          <c:smooth val="0"/>
          <c:extLst xmlns:c16r2="http://schemas.microsoft.com/office/drawing/2015/06/chart">
            <c:ext xmlns:c16="http://schemas.microsoft.com/office/drawing/2014/chart" uri="{C3380CC4-5D6E-409C-BE32-E72D297353CC}">
              <c16:uniqueId val="{00000000-4831-43E3-9BBC-C2CA335407A8}"/>
            </c:ext>
          </c:extLst>
        </c:ser>
        <c:dLbls>
          <c:dLblPos val="r"/>
          <c:showLegendKey val="0"/>
          <c:showVal val="1"/>
          <c:showCatName val="0"/>
          <c:showSerName val="0"/>
          <c:showPercent val="0"/>
          <c:showBubbleSize val="0"/>
        </c:dLbls>
        <c:marker val="1"/>
        <c:smooth val="0"/>
        <c:axId val="-1196338064"/>
        <c:axId val="-1196335344"/>
      </c:lineChart>
      <c:catAx>
        <c:axId val="-119633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335344"/>
        <c:crosses val="autoZero"/>
        <c:auto val="1"/>
        <c:lblAlgn val="ctr"/>
        <c:lblOffset val="100"/>
        <c:noMultiLvlLbl val="0"/>
      </c:catAx>
      <c:valAx>
        <c:axId val="-1196335344"/>
        <c:scaling>
          <c:orientation val="minMax"/>
        </c:scaling>
        <c:delete val="1"/>
        <c:axPos val="l"/>
        <c:numFmt formatCode="0.0%" sourceLinked="1"/>
        <c:majorTickMark val="none"/>
        <c:minorTickMark val="none"/>
        <c:tickLblPos val="nextTo"/>
        <c:crossAx val="-11963380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00"/>
              <a:t>Menaxhimi Komunal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'[Chart in Microsoft Word]Performanca sipas nentemave'!$B$19</c:f>
              <c:strCache>
                <c:ptCount val="1"/>
                <c:pt idx="0">
                  <c:v>Menaxhimi financiar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0F34-4E9C-BCE6-8BE08D3099B8}"/>
              </c:ext>
            </c:extLst>
          </c:dPt>
          <c:dPt>
            <c:idx val="1"/>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0F34-4E9C-BCE6-8BE08D3099B8}"/>
              </c:ext>
            </c:extLst>
          </c:dPt>
          <c:dPt>
            <c:idx val="2"/>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4-3F19-4CDC-A9CA-1BDC6CBDBC89}"/>
              </c:ext>
            </c:extLst>
          </c:dPt>
          <c:dLbls>
            <c:dLbl>
              <c:idx val="0"/>
              <c:layout>
                <c:manualLayout>
                  <c:x val="2.5920165889061594E-2"/>
                  <c:y val="8.92857142857142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F34-4E9C-BCE6-8BE08D3099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'[Chart in Microsoft Word]Performanca sipas nentemave'!$C$19</c:f>
              <c:numCache>
                <c:formatCode>0.0%</c:formatCode>
                <c:ptCount val="1"/>
                <c:pt idx="0">
                  <c:v>0.14599999999999999</c:v>
                </c:pt>
              </c:numCache>
            </c:numRef>
          </c:val>
          <c:extLst xmlns:c16r2="http://schemas.microsoft.com/office/drawing/2015/06/chart">
            <c:ext xmlns:c16="http://schemas.microsoft.com/office/drawing/2014/chart" uri="{C3380CC4-5D6E-409C-BE32-E72D297353CC}">
              <c16:uniqueId val="{00000000-3F19-4CDC-A9CA-1BDC6CBDBC89}"/>
            </c:ext>
          </c:extLst>
        </c:ser>
        <c:ser>
          <c:idx val="1"/>
          <c:order val="1"/>
          <c:tx>
            <c:strRef>
              <c:f>'[Chart in Microsoft Word]Performanca sipas nentemave'!$B$20</c:f>
              <c:strCache>
                <c:ptCount val="1"/>
                <c:pt idx="0">
                  <c:v>Menaxhimi i kontratës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3.110419906687403E-2"/>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6A2-4428-9147-273601FD63F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'[Chart in Microsoft Word]Performanca sipas nentemave'!$C$20</c:f>
              <c:numCache>
                <c:formatCode>0.0%</c:formatCode>
                <c:ptCount val="1"/>
                <c:pt idx="0">
                  <c:v>0.59399999999999997</c:v>
                </c:pt>
              </c:numCache>
            </c:numRef>
          </c:val>
          <c:extLst xmlns:c16r2="http://schemas.microsoft.com/office/drawing/2015/06/chart">
            <c:ext xmlns:c16="http://schemas.microsoft.com/office/drawing/2014/chart" uri="{C3380CC4-5D6E-409C-BE32-E72D297353CC}">
              <c16:uniqueId val="{00000006-41CE-43EA-9EC2-E0C25EC86AAE}"/>
            </c:ext>
          </c:extLst>
        </c:ser>
        <c:ser>
          <c:idx val="2"/>
          <c:order val="2"/>
          <c:tx>
            <c:strRef>
              <c:f>'[Chart in Microsoft Word]Performanca sipas nentemave'!$B$21</c:f>
              <c:strCache>
                <c:ptCount val="1"/>
                <c:pt idx="0">
                  <c:v>Menaxhimi i burimeve njerëzore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'[Chart in Microsoft Word]Performanca sipas nentemave'!$C$21</c:f>
              <c:numCache>
                <c:formatCode>0.0%</c:formatCode>
                <c:ptCount val="1"/>
                <c:pt idx="0">
                  <c:v>0.36299999999999999</c:v>
                </c:pt>
              </c:numCache>
            </c:numRef>
          </c:val>
          <c:extLst xmlns:c16r2="http://schemas.microsoft.com/office/drawing/2015/06/chart">
            <c:ext xmlns:c16="http://schemas.microsoft.com/office/drawing/2014/chart" uri="{C3380CC4-5D6E-409C-BE32-E72D297353CC}">
              <c16:uniqueId val="{00000007-41CE-43EA-9EC2-E0C25EC86AAE}"/>
            </c:ext>
          </c:extLst>
        </c:ser>
        <c:dLbls>
          <c:showLegendKey val="0"/>
          <c:showVal val="1"/>
          <c:showCatName val="0"/>
          <c:showSerName val="0"/>
          <c:showPercent val="0"/>
          <c:showBubbleSize val="0"/>
        </c:dLbls>
        <c:gapWidth val="100"/>
        <c:shape val="box"/>
        <c:axId val="-886334928"/>
        <c:axId val="-886311536"/>
        <c:axId val="0"/>
      </c:bar3DChart>
      <c:catAx>
        <c:axId val="-886334928"/>
        <c:scaling>
          <c:orientation val="minMax"/>
        </c:scaling>
        <c:delete val="1"/>
        <c:axPos val="b"/>
        <c:majorTickMark val="out"/>
        <c:minorTickMark val="none"/>
        <c:tickLblPos val="nextTo"/>
        <c:crossAx val="-886311536"/>
        <c:crosses val="autoZero"/>
        <c:auto val="1"/>
        <c:lblAlgn val="ctr"/>
        <c:lblOffset val="100"/>
        <c:noMultiLvlLbl val="0"/>
      </c:catAx>
      <c:valAx>
        <c:axId val="-886311536"/>
        <c:scaling>
          <c:orientation val="minMax"/>
        </c:scaling>
        <c:delete val="1"/>
        <c:axPos val="l"/>
        <c:majorGridlines>
          <c:spPr>
            <a:ln w="9525" cap="flat" cmpd="sng" algn="ctr">
              <a:noFill/>
              <a:round/>
            </a:ln>
            <a:effectLst/>
          </c:spPr>
        </c:majorGridlines>
        <c:numFmt formatCode="0.0%" sourceLinked="1"/>
        <c:majorTickMark val="out"/>
        <c:minorTickMark val="none"/>
        <c:tickLblPos val="nextTo"/>
        <c:crossAx val="-88633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Ofrimi</a:t>
            </a:r>
            <a:r>
              <a:rPr lang="en-US" sz="1100" baseline="0"/>
              <a:t> i shërbimeve</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Word]Grafe tjera'!$B$37:$B$39</c:f>
              <c:strCache>
                <c:ptCount val="3"/>
                <c:pt idx="0">
                  <c:v>Performanca me e lartë</c:v>
                </c:pt>
                <c:pt idx="1">
                  <c:v>Performanca mesatare</c:v>
                </c:pt>
                <c:pt idx="2">
                  <c:v>Perfrmanca me e ulët</c:v>
                </c:pt>
              </c:strCache>
            </c:strRef>
          </c:cat>
          <c:val>
            <c:numRef>
              <c:f>'[Chart in Microsoft Word]Grafe tjera'!$C$37:$C$39</c:f>
              <c:numCache>
                <c:formatCode>0.0%</c:formatCode>
                <c:ptCount val="3"/>
                <c:pt idx="0">
                  <c:v>0.8</c:v>
                </c:pt>
                <c:pt idx="1">
                  <c:v>0.36299999999999999</c:v>
                </c:pt>
                <c:pt idx="2">
                  <c:v>6.7000000000000004E-2</c:v>
                </c:pt>
              </c:numCache>
            </c:numRef>
          </c:val>
          <c:smooth val="0"/>
          <c:extLst xmlns:c16r2="http://schemas.microsoft.com/office/drawing/2015/06/chart">
            <c:ext xmlns:c16="http://schemas.microsoft.com/office/drawing/2014/chart" uri="{C3380CC4-5D6E-409C-BE32-E72D297353CC}">
              <c16:uniqueId val="{00000000-9B5B-4C43-A73D-2C27DAC3BD1E}"/>
            </c:ext>
          </c:extLst>
        </c:ser>
        <c:dLbls>
          <c:showLegendKey val="0"/>
          <c:showVal val="0"/>
          <c:showCatName val="0"/>
          <c:showSerName val="0"/>
          <c:showPercent val="0"/>
          <c:showBubbleSize val="0"/>
        </c:dLbls>
        <c:marker val="1"/>
        <c:smooth val="0"/>
        <c:axId val="-886318064"/>
        <c:axId val="-886338736"/>
      </c:lineChart>
      <c:catAx>
        <c:axId val="-88631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338736"/>
        <c:crosses val="autoZero"/>
        <c:auto val="1"/>
        <c:lblAlgn val="ctr"/>
        <c:lblOffset val="100"/>
        <c:noMultiLvlLbl val="0"/>
      </c:catAx>
      <c:valAx>
        <c:axId val="-88633873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8863180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US" sz="1100"/>
              <a:t>Ofrimi i shërbimeve</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5131254948484515"/>
          <c:y val="0.14217227663708668"/>
          <c:w val="0.81289181107486852"/>
          <c:h val="0.46858997015563553"/>
        </c:manualLayout>
      </c:layout>
      <c:barChart>
        <c:barDir val="col"/>
        <c:grouping val="clustered"/>
        <c:varyColors val="0"/>
        <c:ser>
          <c:idx val="0"/>
          <c:order val="0"/>
          <c:tx>
            <c:strRef>
              <c:f>'[Chart in Microsoft Word]Performanca sipas nentemave'!$B$35</c:f>
              <c:strCache>
                <c:ptCount val="1"/>
                <c:pt idx="0">
                  <c:v>Shërbimet administrative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A079-483A-B747-17FFE08144B9}"/>
              </c:ext>
            </c:extLst>
          </c:dPt>
          <c:dPt>
            <c:idx val="1"/>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A079-483A-B747-17FFE08144B9}"/>
              </c:ext>
            </c:extLst>
          </c:dPt>
          <c:dPt>
            <c:idx val="2"/>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A079-483A-B747-17FFE08144B9}"/>
              </c:ext>
            </c:extLst>
          </c:dPt>
          <c:dPt>
            <c:idx val="3"/>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A079-483A-B747-17FFE08144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'[Chart in Microsoft Word]Performanca sipas nentemave'!$C$35</c:f>
              <c:numCache>
                <c:formatCode>0.0%</c:formatCode>
                <c:ptCount val="1"/>
                <c:pt idx="0">
                  <c:v>0.68400000000000005</c:v>
                </c:pt>
              </c:numCache>
            </c:numRef>
          </c:val>
          <c:extLst xmlns:c16r2="http://schemas.microsoft.com/office/drawing/2015/06/chart">
            <c:ext xmlns:c16="http://schemas.microsoft.com/office/drawing/2014/chart" uri="{C3380CC4-5D6E-409C-BE32-E72D297353CC}">
              <c16:uniqueId val="{00000000-3831-4054-B84E-7C57BE4D5441}"/>
            </c:ext>
          </c:extLst>
        </c:ser>
        <c:ser>
          <c:idx val="1"/>
          <c:order val="1"/>
          <c:tx>
            <c:strRef>
              <c:f>'[Chart in Microsoft Word]Performanca sipas nentemave'!$B$36</c:f>
              <c:strCache>
                <c:ptCount val="1"/>
                <c:pt idx="0">
                  <c:v>Planifikimi hapësinor, transporti publik dhe mjedisi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'[Chart in Microsoft Word]Performanca sipas nentemave'!$C$36</c:f>
              <c:numCache>
                <c:formatCode>0.0%</c:formatCode>
                <c:ptCount val="1"/>
                <c:pt idx="0">
                  <c:v>0.27600000000000002</c:v>
                </c:pt>
              </c:numCache>
            </c:numRef>
          </c:val>
        </c:ser>
        <c:ser>
          <c:idx val="2"/>
          <c:order val="2"/>
          <c:tx>
            <c:strRef>
              <c:f>'[Chart in Microsoft Word]Performanca sipas nentemave'!$B$37</c:f>
              <c:strCache>
                <c:ptCount val="1"/>
                <c:pt idx="0">
                  <c:v>Arsimi para-universitar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'[Chart in Microsoft Word]Performanca sipas nentemave'!$C$37</c:f>
              <c:numCache>
                <c:formatCode>0.0%</c:formatCode>
                <c:ptCount val="1"/>
                <c:pt idx="0">
                  <c:v>0.16400000000000001</c:v>
                </c:pt>
              </c:numCache>
            </c:numRef>
          </c:val>
        </c:ser>
        <c:ser>
          <c:idx val="3"/>
          <c:order val="3"/>
          <c:tx>
            <c:strRef>
              <c:f>'[Chart in Microsoft Word]Performanca sipas nentemave'!$B$38</c:f>
              <c:strCache>
                <c:ptCount val="1"/>
                <c:pt idx="0">
                  <c:v>Kujdesi shëndetësor primar</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'[Chart in Microsoft Word]Performanca sipas nentemave'!$C$38</c:f>
              <c:numCache>
                <c:formatCode>0.0%</c:formatCode>
                <c:ptCount val="1"/>
                <c:pt idx="0">
                  <c:v>0.40799999999999997</c:v>
                </c:pt>
              </c:numCache>
            </c:numRef>
          </c:val>
        </c:ser>
        <c:dLbls>
          <c:dLblPos val="outEnd"/>
          <c:showLegendKey val="0"/>
          <c:showVal val="1"/>
          <c:showCatName val="0"/>
          <c:showSerName val="0"/>
          <c:showPercent val="0"/>
          <c:showBubbleSize val="0"/>
        </c:dLbls>
        <c:gapWidth val="100"/>
        <c:axId val="-886319152"/>
        <c:axId val="-886318608"/>
      </c:barChart>
      <c:catAx>
        <c:axId val="-886319152"/>
        <c:scaling>
          <c:orientation val="minMax"/>
        </c:scaling>
        <c:delete val="1"/>
        <c:axPos val="b"/>
        <c:majorTickMark val="out"/>
        <c:minorTickMark val="none"/>
        <c:tickLblPos val="nextTo"/>
        <c:crossAx val="-886318608"/>
        <c:crosses val="autoZero"/>
        <c:auto val="1"/>
        <c:lblAlgn val="ctr"/>
        <c:lblOffset val="100"/>
        <c:noMultiLvlLbl val="0"/>
      </c:catAx>
      <c:valAx>
        <c:axId val="-886318608"/>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86319152"/>
        <c:crosses val="autoZero"/>
        <c:crossBetween val="between"/>
      </c:valAx>
      <c:spPr>
        <a:noFill/>
        <a:ln>
          <a:noFill/>
        </a:ln>
        <a:effectLst/>
      </c:spPr>
    </c:plotArea>
    <c:legend>
      <c:legendPos val="b"/>
      <c:layout>
        <c:manualLayout>
          <c:xMode val="edge"/>
          <c:yMode val="edge"/>
          <c:x val="1.0608525870484869E-2"/>
          <c:y val="0.67950221462080773"/>
          <c:w val="0.95274975593882183"/>
          <c:h val="0.254809149513197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400">
                <a:solidFill>
                  <a:sysClr val="windowText" lastClr="000000"/>
                </a:solidFill>
              </a:rPr>
              <a:t>Deçan</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lumMod val="60000"/>
                <a:lumOff val="40000"/>
              </a:schemeClr>
            </a:solidFill>
            <a:ln>
              <a:noFill/>
            </a:ln>
            <a:effectLst/>
          </c:spPr>
          <c:invertIfNegative val="0"/>
          <c:dPt>
            <c:idx val="0"/>
            <c:invertIfNegative val="0"/>
            <c:bubble3D val="0"/>
            <c:spPr>
              <a:solidFill>
                <a:schemeClr val="accent6"/>
              </a:solidFill>
              <a:ln>
                <a:noFill/>
              </a:ln>
              <a:effectLst/>
            </c:spPr>
          </c:dPt>
          <c:dPt>
            <c:idx val="1"/>
            <c:invertIfNegative val="0"/>
            <c:bubble3D val="0"/>
            <c:spPr>
              <a:solidFill>
                <a:schemeClr val="accent6"/>
              </a:solidFill>
              <a:ln>
                <a:noFill/>
              </a:ln>
              <a:effectLst/>
            </c:spPr>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CEDD-44B9-821B-223B147F937B}"/>
              </c:ext>
            </c:extLst>
          </c:dPt>
          <c:dPt>
            <c:idx val="3"/>
            <c:invertIfNegative val="0"/>
            <c:bubble3D val="0"/>
            <c:spPr>
              <a:solidFill>
                <a:schemeClr val="accent6"/>
              </a:solidFill>
              <a:ln>
                <a:noFill/>
              </a:ln>
              <a:effectLst/>
            </c:spPr>
          </c:dPt>
          <c:cat>
            <c:strRef>
              <c:f>Deçan!$B$2:$E$2</c:f>
              <c:strCache>
                <c:ptCount val="4"/>
                <c:pt idx="0">
                  <c:v>Komunat duhet të kenë raportuar të dhënat në SMPK sipas afatit të përcaktuar në nenin 19.2 të Ligjit për SMPK/GPK</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Deçan!$B$3:$E$3</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0-CEDD-44B9-821B-223B147F937B}"/>
            </c:ext>
          </c:extLst>
        </c:ser>
        <c:dLbls>
          <c:showLegendKey val="0"/>
          <c:showVal val="0"/>
          <c:showCatName val="0"/>
          <c:showSerName val="0"/>
          <c:showPercent val="0"/>
          <c:showBubbleSize val="0"/>
        </c:dLbls>
        <c:gapWidth val="182"/>
        <c:axId val="-886332208"/>
        <c:axId val="-886317520"/>
      </c:barChart>
      <c:catAx>
        <c:axId val="-886332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886317520"/>
        <c:crosses val="autoZero"/>
        <c:auto val="1"/>
        <c:lblAlgn val="ctr"/>
        <c:lblOffset val="100"/>
        <c:noMultiLvlLbl val="0"/>
      </c:catAx>
      <c:valAx>
        <c:axId val="-886317520"/>
        <c:scaling>
          <c:orientation val="minMax"/>
        </c:scaling>
        <c:delete val="1"/>
        <c:axPos val="b"/>
        <c:numFmt formatCode="General" sourceLinked="1"/>
        <c:majorTickMark val="none"/>
        <c:minorTickMark val="none"/>
        <c:tickLblPos val="nextTo"/>
        <c:crossAx val="-8863322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b="0"/>
              <a:t>Deçan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1">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E-65C8-4032-AF38-7C362220F0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Deçan!$B$20:$E$20</c:f>
              <c:strCache>
                <c:ptCount val="4"/>
                <c:pt idx="0">
                  <c:v>Qeverisja 
demokratike</c:v>
                </c:pt>
                <c:pt idx="1">
                  <c:v>Menaxhimi 
komunal</c:v>
                </c:pt>
                <c:pt idx="2">
                  <c:v>Ofrimi i 
shërbimeve</c:v>
                </c:pt>
                <c:pt idx="3">
                  <c:v>Total</c:v>
                </c:pt>
              </c:strCache>
            </c:strRef>
          </c:cat>
          <c:val>
            <c:numRef>
              <c:f>Deçan!$B$21:$E$21</c:f>
              <c:numCache>
                <c:formatCode>0.00</c:formatCode>
                <c:ptCount val="4"/>
                <c:pt idx="0">
                  <c:v>85</c:v>
                </c:pt>
                <c:pt idx="1">
                  <c:v>39.285714285714285</c:v>
                </c:pt>
                <c:pt idx="2">
                  <c:v>60</c:v>
                </c:pt>
                <c:pt idx="3">
                  <c:v>64.285714285714292</c:v>
                </c:pt>
              </c:numCache>
            </c:numRef>
          </c:val>
          <c:extLst xmlns:c16r2="http://schemas.microsoft.com/office/drawing/2015/06/chart">
            <c:ext xmlns:c16="http://schemas.microsoft.com/office/drawing/2014/chart" uri="{C3380CC4-5D6E-409C-BE32-E72D297353CC}">
              <c16:uniqueId val="{00000000-65C8-4032-AF38-7C362220F0FE}"/>
            </c:ext>
          </c:extLst>
        </c:ser>
        <c:dLbls>
          <c:showLegendKey val="0"/>
          <c:showVal val="0"/>
          <c:showCatName val="0"/>
          <c:showSerName val="0"/>
          <c:showPercent val="0"/>
          <c:showBubbleSize val="0"/>
        </c:dLbls>
        <c:gapWidth val="100"/>
        <c:overlap val="-24"/>
        <c:axId val="-886328400"/>
        <c:axId val="-886327312"/>
      </c:barChart>
      <c:catAx>
        <c:axId val="-8863284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86327312"/>
        <c:crosses val="autoZero"/>
        <c:auto val="1"/>
        <c:lblAlgn val="ctr"/>
        <c:lblOffset val="100"/>
        <c:noMultiLvlLbl val="0"/>
      </c:catAx>
      <c:valAx>
        <c:axId val="-88632731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86328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8327577083392456"/>
          <c:y val="3.8948121915382584E-2"/>
        </c:manualLayout>
      </c:layout>
      <c:overlay val="0"/>
      <c:spPr>
        <a:noFill/>
        <a:ln>
          <a:noFill/>
        </a:ln>
        <a:effectLst/>
      </c:spPr>
      <c:txPr>
        <a:bodyPr rot="0" spcFirstLastPara="1" vertOverflow="ellipsis" vert="horz" wrap="square" anchor="ctr" anchorCtr="1"/>
        <a:lstStyle/>
        <a:p>
          <a:pPr algn="ctr" rtl="0">
            <a:defRPr lang="en-US" sz="1400" b="0" i="0"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Sheet1!$F$43</c:f>
              <c:strCache>
                <c:ptCount val="1"/>
                <c:pt idx="0">
                  <c:v>Dragash</c:v>
                </c:pt>
              </c:strCache>
            </c:strRef>
          </c:tx>
          <c:spPr>
            <a:solidFill>
              <a:schemeClr val="accent6"/>
            </a:solidFill>
            <a:ln>
              <a:noFill/>
            </a:ln>
            <a:effectLst/>
          </c:spPr>
          <c:invertIfNegative val="0"/>
          <c:dPt>
            <c:idx val="0"/>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C1BD-4607-959F-11F13E278B67}"/>
              </c:ext>
            </c:extLst>
          </c:dPt>
          <c:dPt>
            <c:idx val="1"/>
            <c:invertIfNegative val="0"/>
            <c:bubble3D val="0"/>
            <c:spPr>
              <a:solidFill>
                <a:schemeClr val="accent6"/>
              </a:solidFill>
              <a:ln>
                <a:noFill/>
              </a:ln>
              <a:effectLst/>
            </c:spPr>
          </c:dPt>
          <c:dPt>
            <c:idx val="2"/>
            <c:invertIfNegative val="0"/>
            <c:bubble3D val="0"/>
            <c:spPr>
              <a:solidFill>
                <a:schemeClr val="accent6"/>
              </a:solidFill>
              <a:ln>
                <a:noFill/>
              </a:ln>
              <a:effectLst/>
            </c:spPr>
          </c:dPt>
          <c:dPt>
            <c:idx val="3"/>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3-C1BD-4607-959F-11F13E278B67}"/>
              </c:ext>
            </c:extLst>
          </c:dPt>
          <c:cat>
            <c:strRef>
              <c:f>Sheet1!$E$44:$E$47</c:f>
              <c:strCache>
                <c:ptCount val="4"/>
                <c:pt idx="0">
                  <c:v>Komunat duhet të kenë raportuar të dhënat në SMPK sipas afatit të përcaktuar </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Sheet1!$F$44:$F$47</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4-C1BD-4607-959F-11F13E278B67}"/>
            </c:ext>
          </c:extLst>
        </c:ser>
        <c:dLbls>
          <c:showLegendKey val="0"/>
          <c:showVal val="0"/>
          <c:showCatName val="0"/>
          <c:showSerName val="0"/>
          <c:showPercent val="0"/>
          <c:showBubbleSize val="0"/>
        </c:dLbls>
        <c:gapWidth val="150"/>
        <c:axId val="-886327856"/>
        <c:axId val="-886320240"/>
      </c:barChart>
      <c:catAx>
        <c:axId val="-886327856"/>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886320240"/>
        <c:crosses val="autoZero"/>
        <c:auto val="1"/>
        <c:lblAlgn val="ctr"/>
        <c:lblOffset val="100"/>
        <c:noMultiLvlLbl val="0"/>
      </c:catAx>
      <c:valAx>
        <c:axId val="-886320240"/>
        <c:scaling>
          <c:orientation val="minMax"/>
        </c:scaling>
        <c:delete val="1"/>
        <c:axPos val="b"/>
        <c:numFmt formatCode="General" sourceLinked="1"/>
        <c:majorTickMark val="out"/>
        <c:minorTickMark val="none"/>
        <c:tickLblPos val="nextTo"/>
        <c:crossAx val="-886327856"/>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lgn="jus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8.4267794276068106E-2"/>
          <c:y val="0.14067426631093863"/>
          <c:w val="0.8734190886576414"/>
          <c:h val="0.74464316748182369"/>
        </c:manualLayout>
      </c:layout>
      <c:bar3DChart>
        <c:barDir val="col"/>
        <c:grouping val="stacked"/>
        <c:varyColors val="0"/>
        <c:ser>
          <c:idx val="0"/>
          <c:order val="0"/>
          <c:spPr>
            <a:solidFill>
              <a:schemeClr val="accent1"/>
            </a:solidFill>
            <a:ln>
              <a:noFill/>
            </a:ln>
            <a:effectLst/>
            <a:sp3d/>
          </c:spPr>
          <c:invertIfNegative val="0"/>
          <c:dLbls>
            <c:dLbl>
              <c:idx val="0"/>
              <c:tx>
                <c:rich>
                  <a:bodyPr/>
                  <a:lstStyle/>
                  <a:p>
                    <a:r>
                      <a:rPr lang="en-US"/>
                      <a:t>KM1</a:t>
                    </a:r>
                    <a:r>
                      <a:rPr lang="en-US" baseline="0"/>
                      <a:t>, </a:t>
                    </a:r>
                    <a:fld id="{EA3B67A5-416C-4BB7-8622-FF5BF7752F5D}"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1"/>
              <c:tx>
                <c:rich>
                  <a:bodyPr/>
                  <a:lstStyle/>
                  <a:p>
                    <a:r>
                      <a:rPr lang="en-US"/>
                      <a:t>KM2</a:t>
                    </a:r>
                    <a:r>
                      <a:rPr lang="en-US" baseline="0"/>
                      <a:t>, </a:t>
                    </a:r>
                    <a:fld id="{8652E7AB-0FE7-4786-941C-A5478DB8A720}"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2"/>
              <c:tx>
                <c:rich>
                  <a:bodyPr/>
                  <a:lstStyle/>
                  <a:p>
                    <a:r>
                      <a:rPr lang="en-US"/>
                      <a:t>KM3</a:t>
                    </a:r>
                    <a:r>
                      <a:rPr lang="en-US" baseline="0"/>
                      <a:t>, </a:t>
                    </a:r>
                    <a:fld id="{4F4437AF-882B-4084-BF30-5A90A8774DA4}"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3"/>
              <c:tx>
                <c:rich>
                  <a:bodyPr/>
                  <a:lstStyle/>
                  <a:p>
                    <a:r>
                      <a:rPr lang="en-US"/>
                      <a:t>KM4</a:t>
                    </a:r>
                    <a:r>
                      <a:rPr lang="en-US" baseline="0"/>
                      <a:t>, </a:t>
                    </a:r>
                    <a:fld id="{D7A25BCA-F5CA-469C-B7ED-9C3875DEB80B}"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'Grafiku 2'!$B$14:$E$14</c:f>
              <c:strCache>
                <c:ptCount val="4"/>
                <c:pt idx="0">
                  <c:v>MC1</c:v>
                </c:pt>
                <c:pt idx="1">
                  <c:v>MC2</c:v>
                </c:pt>
                <c:pt idx="2">
                  <c:v>MC3</c:v>
                </c:pt>
                <c:pt idx="3">
                  <c:v>MC4</c:v>
                </c:pt>
              </c:strCache>
            </c:strRef>
          </c:cat>
          <c:val>
            <c:numRef>
              <c:f>'Grafiku 2'!$B$15:$E$15</c:f>
              <c:numCache>
                <c:formatCode>0</c:formatCode>
                <c:ptCount val="4"/>
                <c:pt idx="0">
                  <c:v>33</c:v>
                </c:pt>
                <c:pt idx="1">
                  <c:v>33</c:v>
                </c:pt>
                <c:pt idx="2">
                  <c:v>7</c:v>
                </c:pt>
                <c:pt idx="3">
                  <c:v>28</c:v>
                </c:pt>
              </c:numCache>
            </c:numRef>
          </c:val>
          <c:extLst xmlns:c16r2="http://schemas.microsoft.com/office/drawing/2015/06/chart">
            <c:ext xmlns:c16="http://schemas.microsoft.com/office/drawing/2014/chart" uri="{C3380CC4-5D6E-409C-BE32-E72D297353CC}">
              <c16:uniqueId val="{00000000-9028-44A5-8B0F-C2654BB92B41}"/>
            </c:ext>
          </c:extLst>
        </c:ser>
        <c:dLbls>
          <c:showLegendKey val="0"/>
          <c:showVal val="0"/>
          <c:showCatName val="0"/>
          <c:showSerName val="0"/>
          <c:showPercent val="0"/>
          <c:showBubbleSize val="0"/>
        </c:dLbls>
        <c:gapWidth val="150"/>
        <c:shape val="box"/>
        <c:axId val="-983706944"/>
        <c:axId val="-983722176"/>
        <c:axId val="0"/>
      </c:bar3DChart>
      <c:catAx>
        <c:axId val="-983706944"/>
        <c:scaling>
          <c:orientation val="minMax"/>
        </c:scaling>
        <c:delete val="1"/>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900" b="0" i="0" baseline="0">
                    <a:effectLst/>
                  </a:rPr>
                  <a:t>Nr. i komunave që kanë përmbushur. i komunave që kanë përmbushur kushtet minimale </a:t>
                </a:r>
                <a:endParaRPr lang="en-US" sz="900">
                  <a:effectLst/>
                </a:endParaRPr>
              </a:p>
            </c:rich>
          </c:tx>
          <c:layout>
            <c:manualLayout>
              <c:xMode val="edge"/>
              <c:yMode val="edge"/>
              <c:x val="0.15031984718412314"/>
              <c:y val="4.0716472410388428E-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crossAx val="-983722176"/>
        <c:crosses val="autoZero"/>
        <c:auto val="1"/>
        <c:lblAlgn val="ctr"/>
        <c:lblOffset val="100"/>
        <c:noMultiLvlLbl val="0"/>
      </c:catAx>
      <c:valAx>
        <c:axId val="-983722176"/>
        <c:scaling>
          <c:orientation val="minMax"/>
          <c:max val="38"/>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37069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0"/>
              <a:t>Dragash</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1">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DD68-4BED-BC2B-048984DDCF37}"/>
              </c:ext>
            </c:extLst>
          </c:dPt>
          <c:dLbls>
            <c:dLbl>
              <c:idx val="0"/>
              <c:tx>
                <c:rich>
                  <a:bodyPr/>
                  <a:lstStyle/>
                  <a:p>
                    <a:fld id="{24E295CA-6E41-492E-A026-072C2BDDFDA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0D34FA8A-A265-43C4-B454-1B6AC23D22E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6BFA1FE6-97BC-495A-8F3F-114B350207D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F9650059-BABD-4042-905D-1EDE0BD6FC6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Dragash!$B$19:$E$19</c:f>
              <c:strCache>
                <c:ptCount val="4"/>
                <c:pt idx="0">
                  <c:v>Qeverisja 
demokratike</c:v>
                </c:pt>
                <c:pt idx="1">
                  <c:v>Menaxhimi 
komunal</c:v>
                </c:pt>
                <c:pt idx="2">
                  <c:v>Ofrimi i 
shërbimeve</c:v>
                </c:pt>
                <c:pt idx="3">
                  <c:v>Total</c:v>
                </c:pt>
              </c:strCache>
            </c:strRef>
          </c:cat>
          <c:val>
            <c:numRef>
              <c:f>Dragash!$B$20:$E$20</c:f>
              <c:numCache>
                <c:formatCode>0.00</c:formatCode>
                <c:ptCount val="4"/>
                <c:pt idx="0">
                  <c:v>92.5</c:v>
                </c:pt>
                <c:pt idx="1">
                  <c:v>32.142857142857146</c:v>
                </c:pt>
                <c:pt idx="2">
                  <c:v>46.666666666666664</c:v>
                </c:pt>
                <c:pt idx="3">
                  <c:v>61.224489795918366</c:v>
                </c:pt>
              </c:numCache>
            </c:numRef>
          </c:val>
          <c:extLst xmlns:c16r2="http://schemas.microsoft.com/office/drawing/2015/06/chart">
            <c:ext xmlns:c16="http://schemas.microsoft.com/office/drawing/2014/chart" uri="{C3380CC4-5D6E-409C-BE32-E72D297353CC}">
              <c16:uniqueId val="{00000000-DD68-4BED-BC2B-048984DDCF37}"/>
            </c:ext>
          </c:extLst>
        </c:ser>
        <c:dLbls>
          <c:showLegendKey val="0"/>
          <c:showVal val="0"/>
          <c:showCatName val="0"/>
          <c:showSerName val="0"/>
          <c:showPercent val="0"/>
          <c:showBubbleSize val="0"/>
        </c:dLbls>
        <c:gapWidth val="100"/>
        <c:overlap val="-24"/>
        <c:axId val="-886312624"/>
        <c:axId val="-886320784"/>
      </c:barChart>
      <c:catAx>
        <c:axId val="-8863126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320784"/>
        <c:crosses val="autoZero"/>
        <c:auto val="1"/>
        <c:lblAlgn val="ctr"/>
        <c:lblOffset val="100"/>
        <c:noMultiLvlLbl val="0"/>
      </c:catAx>
      <c:valAx>
        <c:axId val="-88632078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86312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lgn="ctr" rtl="0">
            <a:defRPr lang="en-US" sz="1400" b="0" i="0"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Sheet1!$C$49</c:f>
              <c:strCache>
                <c:ptCount val="1"/>
                <c:pt idx="0">
                  <c:v>Ferizaj</c:v>
                </c:pt>
              </c:strCache>
            </c:strRef>
          </c:tx>
          <c:spPr>
            <a:solidFill>
              <a:srgbClr val="FF0000"/>
            </a:solidFill>
            <a:ln>
              <a:noFill/>
            </a:ln>
            <a:effectLst/>
          </c:spPr>
          <c:invertIfNegative val="0"/>
          <c:dPt>
            <c:idx val="0"/>
            <c:invertIfNegative val="0"/>
            <c:bubble3D val="0"/>
            <c:spPr>
              <a:solidFill>
                <a:schemeClr val="accent6"/>
              </a:solidFill>
              <a:ln>
                <a:noFill/>
              </a:ln>
              <a:effectLst/>
            </c:spPr>
          </c:dPt>
          <c:dPt>
            <c:idx val="1"/>
            <c:invertIfNegative val="0"/>
            <c:bubble3D val="0"/>
            <c:spPr>
              <a:solidFill>
                <a:schemeClr val="accent6"/>
              </a:solidFill>
              <a:ln>
                <a:noFill/>
              </a:ln>
              <a:effectLst/>
            </c:spPr>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B318-4F66-B349-EB5ABFBE221D}"/>
              </c:ext>
            </c:extLst>
          </c:dPt>
          <c:dPt>
            <c:idx val="3"/>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3-B318-4F66-B349-EB5ABFBE221D}"/>
              </c:ext>
            </c:extLst>
          </c:dPt>
          <c:cat>
            <c:strRef>
              <c:f>Sheet1!$B$50:$B$53</c:f>
              <c:strCache>
                <c:ptCount val="4"/>
                <c:pt idx="0">
                  <c:v>Komunat duhet të kenë raportuar të dhënat në SMPK sipas afatit të përcaktuar </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Sheet1!$C$50:$C$53</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4-B318-4F66-B349-EB5ABFBE221D}"/>
            </c:ext>
          </c:extLst>
        </c:ser>
        <c:dLbls>
          <c:showLegendKey val="0"/>
          <c:showVal val="0"/>
          <c:showCatName val="0"/>
          <c:showSerName val="0"/>
          <c:showPercent val="0"/>
          <c:showBubbleSize val="0"/>
        </c:dLbls>
        <c:gapWidth val="150"/>
        <c:axId val="-886338192"/>
        <c:axId val="-886330032"/>
      </c:barChart>
      <c:catAx>
        <c:axId val="-886338192"/>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886330032"/>
        <c:crosses val="autoZero"/>
        <c:auto val="1"/>
        <c:lblAlgn val="ctr"/>
        <c:lblOffset val="100"/>
        <c:noMultiLvlLbl val="0"/>
      </c:catAx>
      <c:valAx>
        <c:axId val="-886330032"/>
        <c:scaling>
          <c:orientation val="minMax"/>
        </c:scaling>
        <c:delete val="1"/>
        <c:axPos val="b"/>
        <c:numFmt formatCode="General" sourceLinked="1"/>
        <c:majorTickMark val="out"/>
        <c:minorTickMark val="none"/>
        <c:tickLblPos val="nextTo"/>
        <c:crossAx val="-886338192"/>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a:t>Ferizaj</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1">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6B99-4A1E-8440-95CE7BE57F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Ferizaj!$B$19:$E$19</c:f>
              <c:strCache>
                <c:ptCount val="4"/>
                <c:pt idx="0">
                  <c:v>Qeverisja 
demokratike</c:v>
                </c:pt>
                <c:pt idx="1">
                  <c:v>Menaxhimi 
komunal</c:v>
                </c:pt>
                <c:pt idx="2">
                  <c:v>Ofrimi i 
shërbimeve</c:v>
                </c:pt>
                <c:pt idx="3">
                  <c:v>Total</c:v>
                </c:pt>
              </c:strCache>
            </c:strRef>
          </c:cat>
          <c:val>
            <c:numRef>
              <c:f>Ferizaj!$B$20:$E$20</c:f>
              <c:numCache>
                <c:formatCode>0.00</c:formatCode>
                <c:ptCount val="4"/>
                <c:pt idx="0">
                  <c:v>70</c:v>
                </c:pt>
                <c:pt idx="1">
                  <c:v>57.142857142857139</c:v>
                </c:pt>
                <c:pt idx="2">
                  <c:v>50</c:v>
                </c:pt>
                <c:pt idx="3">
                  <c:v>60.204081632653065</c:v>
                </c:pt>
              </c:numCache>
            </c:numRef>
          </c:val>
          <c:extLst xmlns:c16r2="http://schemas.microsoft.com/office/drawing/2015/06/chart">
            <c:ext xmlns:c16="http://schemas.microsoft.com/office/drawing/2014/chart" uri="{C3380CC4-5D6E-409C-BE32-E72D297353CC}">
              <c16:uniqueId val="{00000000-6B99-4A1E-8440-95CE7BE57F45}"/>
            </c:ext>
          </c:extLst>
        </c:ser>
        <c:dLbls>
          <c:showLegendKey val="0"/>
          <c:showVal val="0"/>
          <c:showCatName val="0"/>
          <c:showSerName val="0"/>
          <c:showPercent val="0"/>
          <c:showBubbleSize val="0"/>
        </c:dLbls>
        <c:gapWidth val="100"/>
        <c:overlap val="-24"/>
        <c:axId val="-886310448"/>
        <c:axId val="-886309904"/>
      </c:barChart>
      <c:catAx>
        <c:axId val="-8863104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t" anchorCtr="0"/>
          <a:lstStyle/>
          <a:p>
            <a:pPr>
              <a:defRPr sz="800" b="0" i="0" u="none" strike="noStrike" kern="1200" baseline="0">
                <a:solidFill>
                  <a:schemeClr val="tx1">
                    <a:lumMod val="65000"/>
                    <a:lumOff val="35000"/>
                  </a:schemeClr>
                </a:solidFill>
                <a:latin typeface="+mn-lt"/>
                <a:ea typeface="+mn-ea"/>
                <a:cs typeface="+mn-cs"/>
              </a:defRPr>
            </a:pPr>
            <a:endParaRPr lang="en-US"/>
          </a:p>
        </c:txPr>
        <c:crossAx val="-886309904"/>
        <c:crosses val="autoZero"/>
        <c:auto val="1"/>
        <c:lblAlgn val="ctr"/>
        <c:lblOffset val="100"/>
        <c:noMultiLvlLbl val="0"/>
      </c:catAx>
      <c:valAx>
        <c:axId val="-88630990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86310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lgn="ctr" rtl="0">
            <a:defRPr lang="en-US" sz="1400" b="0" i="0" u="none" strike="noStrike" kern="1200" baseline="0">
              <a:solidFill>
                <a:sysClr val="windowText" lastClr="000000"/>
              </a:solidFill>
              <a:latin typeface="+mj-lt"/>
              <a:ea typeface="+mn-ea"/>
              <a:cs typeface="+mn-cs"/>
            </a:defRPr>
          </a:pPr>
          <a:endParaRPr lang="en-US"/>
        </a:p>
      </c:txPr>
    </c:title>
    <c:autoTitleDeleted val="0"/>
    <c:plotArea>
      <c:layout/>
      <c:barChart>
        <c:barDir val="bar"/>
        <c:grouping val="clustered"/>
        <c:varyColors val="0"/>
        <c:ser>
          <c:idx val="0"/>
          <c:order val="0"/>
          <c:tx>
            <c:strRef>
              <c:f>Sheet1!$C$55</c:f>
              <c:strCache>
                <c:ptCount val="1"/>
                <c:pt idx="0">
                  <c:v>Fushë Kosovë</c:v>
                </c:pt>
              </c:strCache>
            </c:strRef>
          </c:tx>
          <c:spPr>
            <a:solidFill>
              <a:schemeClr val="accent6"/>
            </a:solidFill>
            <a:ln>
              <a:noFill/>
            </a:ln>
            <a:effectLst/>
          </c:spPr>
          <c:invertIfNegative val="0"/>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7230-43C2-ABFC-AB446B40F227}"/>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7230-43C2-ABFC-AB446B40F227}"/>
              </c:ext>
            </c:extLst>
          </c:dPt>
          <c:cat>
            <c:strRef>
              <c:f>Sheet1!$B$56:$B$59</c:f>
              <c:strCache>
                <c:ptCount val="4"/>
                <c:pt idx="0">
                  <c:v>Komunat duhet të kenë raportuar të dhënat në SMPK sipas afatit të përcaktuar </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Sheet1!$C$56:$C$59</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4-7230-43C2-ABFC-AB446B40F227}"/>
            </c:ext>
          </c:extLst>
        </c:ser>
        <c:dLbls>
          <c:showLegendKey val="0"/>
          <c:showVal val="0"/>
          <c:showCatName val="0"/>
          <c:showSerName val="0"/>
          <c:showPercent val="0"/>
          <c:showBubbleSize val="0"/>
        </c:dLbls>
        <c:gapWidth val="150"/>
        <c:axId val="-886337648"/>
        <c:axId val="-886333840"/>
      </c:barChart>
      <c:catAx>
        <c:axId val="-886337648"/>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en-US"/>
          </a:p>
        </c:txPr>
        <c:crossAx val="-886333840"/>
        <c:crosses val="autoZero"/>
        <c:auto val="1"/>
        <c:lblAlgn val="ctr"/>
        <c:lblOffset val="100"/>
        <c:noMultiLvlLbl val="0"/>
      </c:catAx>
      <c:valAx>
        <c:axId val="-886333840"/>
        <c:scaling>
          <c:orientation val="minMax"/>
        </c:scaling>
        <c:delete val="1"/>
        <c:axPos val="b"/>
        <c:numFmt formatCode="General" sourceLinked="1"/>
        <c:majorTickMark val="out"/>
        <c:minorTickMark val="none"/>
        <c:tickLblPos val="nextTo"/>
        <c:crossAx val="-886337648"/>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a:t>Fushë Kosovë</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1">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E854-4A9F-9D51-61657C096D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'Fushë Kosovë'!$B$19:$E$19</c:f>
              <c:strCache>
                <c:ptCount val="4"/>
                <c:pt idx="0">
                  <c:v>Qeverisja 
demokratike</c:v>
                </c:pt>
                <c:pt idx="1">
                  <c:v>Menaxhimi 
komunal</c:v>
                </c:pt>
                <c:pt idx="2">
                  <c:v>Ofrimi i 
shërbimeve</c:v>
                </c:pt>
                <c:pt idx="3">
                  <c:v>Total</c:v>
                </c:pt>
              </c:strCache>
            </c:strRef>
          </c:cat>
          <c:val>
            <c:numRef>
              <c:f>'Fushë Kosovë'!$B$20:$E$20</c:f>
              <c:numCache>
                <c:formatCode>0.00</c:formatCode>
                <c:ptCount val="4"/>
                <c:pt idx="0">
                  <c:v>27.500000000000004</c:v>
                </c:pt>
                <c:pt idx="1">
                  <c:v>25</c:v>
                </c:pt>
                <c:pt idx="2">
                  <c:v>76.666666666666671</c:v>
                </c:pt>
                <c:pt idx="3">
                  <c:v>41.836734693877553</c:v>
                </c:pt>
              </c:numCache>
            </c:numRef>
          </c:val>
          <c:extLst xmlns:c16r2="http://schemas.microsoft.com/office/drawing/2015/06/chart">
            <c:ext xmlns:c16="http://schemas.microsoft.com/office/drawing/2014/chart" uri="{C3380CC4-5D6E-409C-BE32-E72D297353CC}">
              <c16:uniqueId val="{00000000-E854-4A9F-9D51-61657C096DF4}"/>
            </c:ext>
          </c:extLst>
        </c:ser>
        <c:dLbls>
          <c:showLegendKey val="0"/>
          <c:showVal val="0"/>
          <c:showCatName val="0"/>
          <c:showSerName val="0"/>
          <c:showPercent val="0"/>
          <c:showBubbleSize val="0"/>
        </c:dLbls>
        <c:gapWidth val="100"/>
        <c:overlap val="-24"/>
        <c:axId val="-886314256"/>
        <c:axId val="-886336560"/>
      </c:barChart>
      <c:catAx>
        <c:axId val="-8863142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336560"/>
        <c:crosses val="autoZero"/>
        <c:auto val="1"/>
        <c:lblAlgn val="ctr"/>
        <c:lblOffset val="100"/>
        <c:noMultiLvlLbl val="0"/>
      </c:catAx>
      <c:valAx>
        <c:axId val="-88633656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86314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a:solidFill>
                  <a:sysClr val="windowText" lastClr="000000"/>
                </a:solidFill>
              </a:rPr>
              <a:t>Gjakovë</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lumMod val="60000"/>
                <a:lumOff val="40000"/>
              </a:schemeClr>
            </a:solidFill>
            <a:ln>
              <a:noFill/>
            </a:ln>
            <a:effectLst/>
          </c:spPr>
          <c:invertIfNegative val="0"/>
          <c:dPt>
            <c:idx val="0"/>
            <c:invertIfNegative val="0"/>
            <c:bubble3D val="0"/>
            <c:spPr>
              <a:solidFill>
                <a:schemeClr val="accent6"/>
              </a:solidFill>
              <a:ln>
                <a:noFill/>
              </a:ln>
              <a:effectLst/>
            </c:spPr>
          </c:dPt>
          <c:dPt>
            <c:idx val="1"/>
            <c:invertIfNegative val="0"/>
            <c:bubble3D val="0"/>
            <c:spPr>
              <a:solidFill>
                <a:schemeClr val="accent6"/>
              </a:solidFill>
              <a:ln>
                <a:noFill/>
              </a:ln>
              <a:effectLst/>
            </c:spPr>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93D6-460B-947E-5468B390965C}"/>
              </c:ext>
            </c:extLst>
          </c:dPt>
          <c:dPt>
            <c:idx val="3"/>
            <c:invertIfNegative val="0"/>
            <c:bubble3D val="0"/>
            <c:spPr>
              <a:solidFill>
                <a:schemeClr val="accent6"/>
              </a:solidFill>
              <a:ln>
                <a:noFill/>
              </a:ln>
              <a:effectLst/>
            </c:spPr>
          </c:dPt>
          <c:cat>
            <c:strRef>
              <c:f>Gjakovë!$B$2:$E$2</c:f>
              <c:strCache>
                <c:ptCount val="4"/>
                <c:pt idx="0">
                  <c:v>Komunat duhet të kenë raportuar të dhënat në SMPK sipas afatit të përcaktuar në nenin 19.2 të Ligjit për SMPK/GPK</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Gjakovë!$B$3:$E$3</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0-93D6-460B-947E-5468B390965C}"/>
            </c:ext>
          </c:extLst>
        </c:ser>
        <c:dLbls>
          <c:showLegendKey val="0"/>
          <c:showVal val="0"/>
          <c:showCatName val="0"/>
          <c:showSerName val="0"/>
          <c:showPercent val="0"/>
          <c:showBubbleSize val="0"/>
        </c:dLbls>
        <c:gapWidth val="182"/>
        <c:axId val="-886331664"/>
        <c:axId val="-886314800"/>
      </c:barChart>
      <c:catAx>
        <c:axId val="-886331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86314800"/>
        <c:crosses val="autoZero"/>
        <c:auto val="1"/>
        <c:lblAlgn val="ctr"/>
        <c:lblOffset val="100"/>
        <c:noMultiLvlLbl val="0"/>
      </c:catAx>
      <c:valAx>
        <c:axId val="-886314800"/>
        <c:scaling>
          <c:orientation val="minMax"/>
        </c:scaling>
        <c:delete val="1"/>
        <c:axPos val="b"/>
        <c:numFmt formatCode="General" sourceLinked="1"/>
        <c:majorTickMark val="none"/>
        <c:minorTickMark val="none"/>
        <c:tickLblPos val="nextTo"/>
        <c:crossAx val="-8863316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a:t>Gjakovë</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FCBE-44CB-B2DC-9A9665C494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Gjakovë!$B$19:$E$19</c:f>
              <c:strCache>
                <c:ptCount val="4"/>
                <c:pt idx="0">
                  <c:v>Qeverisja 
demokratike</c:v>
                </c:pt>
                <c:pt idx="1">
                  <c:v>Menaxhimi 
komunal</c:v>
                </c:pt>
                <c:pt idx="2">
                  <c:v>Ofrimi i 
shërbimeve</c:v>
                </c:pt>
                <c:pt idx="3">
                  <c:v>Total</c:v>
                </c:pt>
              </c:strCache>
            </c:strRef>
          </c:cat>
          <c:val>
            <c:numRef>
              <c:f>Gjakovë!$B$20:$E$20</c:f>
              <c:numCache>
                <c:formatCode>0.00</c:formatCode>
                <c:ptCount val="4"/>
                <c:pt idx="0">
                  <c:v>50</c:v>
                </c:pt>
                <c:pt idx="1">
                  <c:v>50</c:v>
                </c:pt>
                <c:pt idx="2">
                  <c:v>60</c:v>
                </c:pt>
                <c:pt idx="3">
                  <c:v>53.061224489795919</c:v>
                </c:pt>
              </c:numCache>
            </c:numRef>
          </c:val>
          <c:extLst xmlns:c16r2="http://schemas.microsoft.com/office/drawing/2015/06/chart">
            <c:ext xmlns:c16="http://schemas.microsoft.com/office/drawing/2014/chart" uri="{C3380CC4-5D6E-409C-BE32-E72D297353CC}">
              <c16:uniqueId val="{00000000-FCBE-44CB-B2DC-9A9665C4942C}"/>
            </c:ext>
          </c:extLst>
        </c:ser>
        <c:dLbls>
          <c:showLegendKey val="0"/>
          <c:showVal val="0"/>
          <c:showCatName val="0"/>
          <c:showSerName val="0"/>
          <c:showPercent val="0"/>
          <c:showBubbleSize val="0"/>
        </c:dLbls>
        <c:gapWidth val="100"/>
        <c:overlap val="-24"/>
        <c:axId val="-886330576"/>
        <c:axId val="-886325136"/>
      </c:barChart>
      <c:catAx>
        <c:axId val="-8863305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325136"/>
        <c:crosses val="autoZero"/>
        <c:auto val="1"/>
        <c:lblAlgn val="ctr"/>
        <c:lblOffset val="100"/>
        <c:noMultiLvlLbl val="0"/>
      </c:catAx>
      <c:valAx>
        <c:axId val="-8863251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86330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t>Gjilan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lumMod val="60000"/>
                <a:lumOff val="40000"/>
              </a:schemeClr>
            </a:solidFill>
            <a:ln>
              <a:noFill/>
            </a:ln>
            <a:effectLst/>
          </c:spPr>
          <c:invertIfNegative val="0"/>
          <c:dPt>
            <c:idx val="0"/>
            <c:invertIfNegative val="0"/>
            <c:bubble3D val="0"/>
            <c:spPr>
              <a:solidFill>
                <a:schemeClr val="accent6"/>
              </a:solidFill>
              <a:ln>
                <a:noFill/>
              </a:ln>
              <a:effectLst/>
            </c:spPr>
          </c:dPt>
          <c:dPt>
            <c:idx val="1"/>
            <c:invertIfNegative val="0"/>
            <c:bubble3D val="0"/>
            <c:spPr>
              <a:solidFill>
                <a:schemeClr val="accent6"/>
              </a:solidFill>
              <a:ln>
                <a:noFill/>
              </a:ln>
              <a:effectLst/>
            </c:spPr>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2-DC67-41C2-AFE0-7160C6F11AE3}"/>
              </c:ext>
            </c:extLst>
          </c:dPt>
          <c:dPt>
            <c:idx val="3"/>
            <c:invertIfNegative val="0"/>
            <c:bubble3D val="0"/>
            <c:spPr>
              <a:solidFill>
                <a:schemeClr val="accent6"/>
              </a:solidFill>
              <a:ln>
                <a:noFill/>
              </a:ln>
              <a:effectLst/>
            </c:spPr>
          </c:dPt>
          <c:cat>
            <c:strRef>
              <c:f>Gjilan!$B$2:$E$2</c:f>
              <c:strCache>
                <c:ptCount val="4"/>
                <c:pt idx="0">
                  <c:v>Komunat duhet të kenë raportuar të dhënat në SMPK sipas afatit të përcaktuar në nenin 19.2 të Ligjit për SMPK/GPK</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Gjilan!$B$3:$E$3</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0-DC67-41C2-AFE0-7160C6F11AE3}"/>
            </c:ext>
          </c:extLst>
        </c:ser>
        <c:dLbls>
          <c:showLegendKey val="0"/>
          <c:showVal val="0"/>
          <c:showCatName val="0"/>
          <c:showSerName val="0"/>
          <c:showPercent val="0"/>
          <c:showBubbleSize val="0"/>
        </c:dLbls>
        <c:gapWidth val="182"/>
        <c:axId val="-886323504"/>
        <c:axId val="-886322960"/>
      </c:barChart>
      <c:catAx>
        <c:axId val="-886323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86322960"/>
        <c:crosses val="autoZero"/>
        <c:auto val="1"/>
        <c:lblAlgn val="ctr"/>
        <c:lblOffset val="100"/>
        <c:noMultiLvlLbl val="0"/>
      </c:catAx>
      <c:valAx>
        <c:axId val="-886322960"/>
        <c:scaling>
          <c:orientation val="minMax"/>
        </c:scaling>
        <c:delete val="1"/>
        <c:axPos val="b"/>
        <c:numFmt formatCode="General" sourceLinked="1"/>
        <c:majorTickMark val="none"/>
        <c:minorTickMark val="none"/>
        <c:tickLblPos val="nextTo"/>
        <c:crossAx val="-886323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0"/>
              <a:t>Gjilan</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E9C0-4A18-9A24-CDF0500B96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Gjilan!$B$19:$E$19</c:f>
              <c:strCache>
                <c:ptCount val="4"/>
                <c:pt idx="0">
                  <c:v>Qeverisja 
demokratike</c:v>
                </c:pt>
                <c:pt idx="1">
                  <c:v>Menaxhimi 
komunal</c:v>
                </c:pt>
                <c:pt idx="2">
                  <c:v>Ofrimi i 
shërbimeve</c:v>
                </c:pt>
                <c:pt idx="3">
                  <c:v>Total</c:v>
                </c:pt>
              </c:strCache>
            </c:strRef>
          </c:cat>
          <c:val>
            <c:numRef>
              <c:f>Gjilan!$B$20:$E$20</c:f>
              <c:numCache>
                <c:formatCode>0.00</c:formatCode>
                <c:ptCount val="4"/>
                <c:pt idx="0">
                  <c:v>57.499999999999993</c:v>
                </c:pt>
                <c:pt idx="1">
                  <c:v>32.142857142857103</c:v>
                </c:pt>
                <c:pt idx="2">
                  <c:v>40</c:v>
                </c:pt>
                <c:pt idx="3">
                  <c:v>44.897959183673471</c:v>
                </c:pt>
              </c:numCache>
            </c:numRef>
          </c:val>
          <c:extLst xmlns:c16r2="http://schemas.microsoft.com/office/drawing/2015/06/chart">
            <c:ext xmlns:c16="http://schemas.microsoft.com/office/drawing/2014/chart" uri="{C3380CC4-5D6E-409C-BE32-E72D297353CC}">
              <c16:uniqueId val="{00000000-E9C0-4A18-9A24-CDF0500B964A}"/>
            </c:ext>
          </c:extLst>
        </c:ser>
        <c:dLbls>
          <c:showLegendKey val="0"/>
          <c:showVal val="0"/>
          <c:showCatName val="0"/>
          <c:showSerName val="0"/>
          <c:showPercent val="0"/>
          <c:showBubbleSize val="0"/>
        </c:dLbls>
        <c:gapWidth val="100"/>
        <c:overlap val="-24"/>
        <c:axId val="-886371376"/>
        <c:axId val="-886348528"/>
      </c:barChart>
      <c:catAx>
        <c:axId val="-8863713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348528"/>
        <c:crosses val="autoZero"/>
        <c:auto val="1"/>
        <c:lblAlgn val="ctr"/>
        <c:lblOffset val="100"/>
        <c:noMultiLvlLbl val="0"/>
      </c:catAx>
      <c:valAx>
        <c:axId val="-88634852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86371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lgn="ctr" rtl="0">
            <a:defRPr lang="en-US" sz="1400" b="0" i="0"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Sheet1!$C$73</c:f>
              <c:strCache>
                <c:ptCount val="1"/>
                <c:pt idx="0">
                  <c:v>Gllogovc</c:v>
                </c:pt>
              </c:strCache>
            </c:strRef>
          </c:tx>
          <c:spPr>
            <a:solidFill>
              <a:schemeClr val="accent6"/>
            </a:solidFill>
            <a:ln>
              <a:noFill/>
            </a:ln>
            <a:effectLst/>
          </c:spPr>
          <c:invertIfNegative val="0"/>
          <c:dPt>
            <c:idx val="2"/>
            <c:invertIfNegative val="0"/>
            <c:bubble3D val="0"/>
            <c:spPr>
              <a:solidFill>
                <a:srgbClr val="FF0000"/>
              </a:solidFill>
              <a:ln>
                <a:noFill/>
              </a:ln>
              <a:effectLst/>
            </c:spPr>
          </c:dPt>
          <c:cat>
            <c:strRef>
              <c:f>Sheet1!$B$74:$B$77</c:f>
              <c:strCache>
                <c:ptCount val="4"/>
                <c:pt idx="0">
                  <c:v>Komunat duhet të kenë raportuar të dhënat në SMPK sipas afatit të përcaktuar </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Sheet1!$C$74:$C$77</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0-03C0-4064-94FB-760914C832E4}"/>
            </c:ext>
          </c:extLst>
        </c:ser>
        <c:dLbls>
          <c:showLegendKey val="0"/>
          <c:showVal val="0"/>
          <c:showCatName val="0"/>
          <c:showSerName val="0"/>
          <c:showPercent val="0"/>
          <c:showBubbleSize val="0"/>
        </c:dLbls>
        <c:gapWidth val="150"/>
        <c:axId val="-886362672"/>
        <c:axId val="-886347984"/>
      </c:barChart>
      <c:catAx>
        <c:axId val="-886362672"/>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lgn="ctr">
              <a:defRPr lang="sr-Latn-RS" sz="800" b="0" i="0" u="none" strike="noStrike" kern="1200" baseline="0">
                <a:solidFill>
                  <a:sysClr val="windowText" lastClr="000000"/>
                </a:solidFill>
                <a:latin typeface="+mn-lt"/>
                <a:ea typeface="+mn-ea"/>
                <a:cs typeface="+mn-cs"/>
              </a:defRPr>
            </a:pPr>
            <a:endParaRPr lang="en-US"/>
          </a:p>
        </c:txPr>
        <c:crossAx val="-886347984"/>
        <c:crosses val="autoZero"/>
        <c:auto val="1"/>
        <c:lblAlgn val="ctr"/>
        <c:lblOffset val="100"/>
        <c:noMultiLvlLbl val="0"/>
      </c:catAx>
      <c:valAx>
        <c:axId val="-886347984"/>
        <c:scaling>
          <c:orientation val="minMax"/>
        </c:scaling>
        <c:delete val="1"/>
        <c:axPos val="b"/>
        <c:numFmt formatCode="General" sourceLinked="1"/>
        <c:majorTickMark val="out"/>
        <c:minorTickMark val="none"/>
        <c:tickLblPos val="nextTo"/>
        <c:crossAx val="-886362672"/>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lgn="ctr" rtl="0">
        <a:defRPr lang="sr-Latn-RS" sz="1400" b="1" i="1" u="none" strike="noStrike" kern="1200" baseline="0">
          <a:solidFill>
            <a:sysClr val="windowText" lastClr="000000"/>
          </a:solidFill>
          <a:latin typeface="+mn-lt"/>
          <a:ea typeface="+mn-ea"/>
          <a:cs typeface="+mn-cs"/>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645780928424422"/>
          <c:y val="3.961184374222447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'[Chart in Microsoft Word]met'!$C$2</c:f>
              <c:strCache>
                <c:ptCount val="1"/>
                <c:pt idx="0">
                  <c:v>Nr. i komumave kanë përmbushur 0,1,2,3,4 kushte minimale </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8CDB-4921-BB95-AAF4D64C88DA}"/>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8CDB-4921-BB95-AAF4D64C88DA}"/>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8CDB-4921-BB95-AAF4D64C88DA}"/>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8CDB-4921-BB95-AAF4D64C88DA}"/>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8CDB-4921-BB95-AAF4D64C88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'[Chart in Microsoft Word]met'!$B$3:$B$7</c:f>
              <c:numCache>
                <c:formatCode>General</c:formatCode>
                <c:ptCount val="5"/>
                <c:pt idx="0">
                  <c:v>0</c:v>
                </c:pt>
                <c:pt idx="1">
                  <c:v>1</c:v>
                </c:pt>
                <c:pt idx="2">
                  <c:v>2</c:v>
                </c:pt>
                <c:pt idx="3">
                  <c:v>3</c:v>
                </c:pt>
                <c:pt idx="4">
                  <c:v>4</c:v>
                </c:pt>
              </c:numCache>
            </c:numRef>
          </c:cat>
          <c:val>
            <c:numRef>
              <c:f>'[Chart in Microsoft Word]met'!$C$3:$C$7</c:f>
              <c:numCache>
                <c:formatCode>General</c:formatCode>
                <c:ptCount val="5"/>
                <c:pt idx="0">
                  <c:v>1</c:v>
                </c:pt>
                <c:pt idx="1">
                  <c:v>4</c:v>
                </c:pt>
                <c:pt idx="2">
                  <c:v>7</c:v>
                </c:pt>
                <c:pt idx="3">
                  <c:v>21</c:v>
                </c:pt>
                <c:pt idx="4">
                  <c:v>5</c:v>
                </c:pt>
              </c:numCache>
            </c:numRef>
          </c:val>
          <c:extLst xmlns:c16r2="http://schemas.microsoft.com/office/drawing/2015/06/chart">
            <c:ext xmlns:c16="http://schemas.microsoft.com/office/drawing/2014/chart" uri="{C3380CC4-5D6E-409C-BE32-E72D297353CC}">
              <c16:uniqueId val="{00000000-F4C5-4E90-8C6D-3C90F4D0670A}"/>
            </c:ext>
          </c:extLst>
        </c:ser>
        <c:dLbls>
          <c:dLblPos val="bestFit"/>
          <c:showLegendKey val="0"/>
          <c:showVal val="1"/>
          <c:showCatName val="0"/>
          <c:showSerName val="0"/>
          <c:showPercent val="0"/>
          <c:showBubbleSize val="0"/>
          <c:showLeaderLines val="1"/>
        </c:dLbls>
        <c:firstSliceAng val="0"/>
        <c:extLst xmlns:c16r2="http://schemas.microsoft.com/office/drawing/2015/06/chart">
          <c:ext xmlns:c15="http://schemas.microsoft.com/office/drawing/2012/chart" uri="{02D57815-91ED-43cb-92C2-25804820EDAC}">
            <c15:filteredPieSeries>
              <c15:ser>
                <c:idx val="1"/>
                <c:order val="1"/>
                <c:tx>
                  <c:strRef>
                    <c:extLst xmlns:c16r2="http://schemas.microsoft.com/office/drawing/2015/06/chart">
                      <c:ext uri="{02D57815-91ED-43cb-92C2-25804820EDAC}">
                        <c15:formulaRef>
                          <c15:sqref>'[Chart in Microsoft Word]met'!$D$2</c15:sqref>
                        </c15:formulaRef>
                      </c:ext>
                    </c:extLst>
                    <c:strCache>
                      <c:ptCount val="1"/>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B-8CDB-4921-BB95-AAF4D64C88DA}"/>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D-8CDB-4921-BB95-AAF4D64C88DA}"/>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F-8CDB-4921-BB95-AAF4D64C88DA}"/>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11-8CDB-4921-BB95-AAF4D64C88DA}"/>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13-8CDB-4921-BB95-AAF4D64C88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uri="{CE6537A1-D6FC-4f65-9D91-7224C49458BB}"/>
                  </c:extLst>
                </c:dLbls>
                <c:cat>
                  <c:numRef>
                    <c:extLst xmlns:c16r2="http://schemas.microsoft.com/office/drawing/2015/06/chart">
                      <c:ext uri="{02D57815-91ED-43cb-92C2-25804820EDAC}">
                        <c15:formulaRef>
                          <c15:sqref>'[Chart in Microsoft Word]met'!$B$3:$B$7</c15:sqref>
                        </c15:formulaRef>
                      </c:ext>
                    </c:extLst>
                    <c:numCache>
                      <c:formatCode>General</c:formatCode>
                      <c:ptCount val="5"/>
                      <c:pt idx="0">
                        <c:v>0</c:v>
                      </c:pt>
                      <c:pt idx="1">
                        <c:v>1</c:v>
                      </c:pt>
                      <c:pt idx="2">
                        <c:v>2</c:v>
                      </c:pt>
                      <c:pt idx="3">
                        <c:v>3</c:v>
                      </c:pt>
                      <c:pt idx="4">
                        <c:v>4</c:v>
                      </c:pt>
                    </c:numCache>
                  </c:numRef>
                </c:cat>
                <c:val>
                  <c:numRef>
                    <c:extLst xmlns:c16r2="http://schemas.microsoft.com/office/drawing/2015/06/chart">
                      <c:ext uri="{02D57815-91ED-43cb-92C2-25804820EDAC}">
                        <c15:formulaRef>
                          <c15:sqref>'[Chart in Microsoft Word]met'!$D$3:$D$7</c15:sqref>
                        </c15:formulaRef>
                      </c:ext>
                    </c:extLst>
                    <c:numCache>
                      <c:formatCode>General</c:formatCode>
                      <c:ptCount val="5"/>
                    </c:numCache>
                  </c:numRef>
                </c:val>
                <c:extLst xmlns:c16r2="http://schemas.microsoft.com/office/drawing/2015/06/chart">
                  <c:ext xmlns:c16="http://schemas.microsoft.com/office/drawing/2014/chart" uri="{C3380CC4-5D6E-409C-BE32-E72D297353CC}">
                    <c16:uniqueId val="{00000001-F4C5-4E90-8C6D-3C90F4D0670A}"/>
                  </c:ext>
                </c:extLst>
              </c15:ser>
            </c15:filteredPieSeries>
            <c15:filteredPie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'[Chart in Microsoft Word]met'!$E$2</c15:sqref>
                        </c15:formulaRef>
                      </c:ext>
                    </c:extLst>
                    <c:strCache>
                      <c:ptCount val="1"/>
                    </c:strCache>
                  </c:strRef>
                </c:tx>
                <c:dPt>
                  <c:idx val="0"/>
                  <c:bubble3D val="0"/>
                  <c:spPr>
                    <a:solidFill>
                      <a:schemeClr val="accent1"/>
                    </a:solidFill>
                    <a:ln>
                      <a:noFill/>
                    </a:ln>
                    <a:effectLst/>
                  </c:spPr>
                  <c:extLst xmlns:c15="http://schemas.microsoft.com/office/drawing/2012/chart" xmlns:c16r2="http://schemas.microsoft.com/office/drawing/2015/06/chart">
                    <c:ext xmlns:c16="http://schemas.microsoft.com/office/drawing/2014/chart" uri="{C3380CC4-5D6E-409C-BE32-E72D297353CC}">
                      <c16:uniqueId val="{00000015-8CDB-4921-BB95-AAF4D64C88DA}"/>
                    </c:ext>
                  </c:extLst>
                </c:dPt>
                <c:dPt>
                  <c:idx val="1"/>
                  <c:bubble3D val="0"/>
                  <c:spPr>
                    <a:solidFill>
                      <a:schemeClr val="accent2"/>
                    </a:solidFill>
                    <a:ln>
                      <a:noFill/>
                    </a:ln>
                    <a:effectLst/>
                  </c:spPr>
                  <c:extLst xmlns:c15="http://schemas.microsoft.com/office/drawing/2012/chart" xmlns:c16r2="http://schemas.microsoft.com/office/drawing/2015/06/chart">
                    <c:ext xmlns:c16="http://schemas.microsoft.com/office/drawing/2014/chart" uri="{C3380CC4-5D6E-409C-BE32-E72D297353CC}">
                      <c16:uniqueId val="{00000017-8CDB-4921-BB95-AAF4D64C88DA}"/>
                    </c:ext>
                  </c:extLst>
                </c:dPt>
                <c:dPt>
                  <c:idx val="2"/>
                  <c:bubble3D val="0"/>
                  <c:spPr>
                    <a:solidFill>
                      <a:schemeClr val="accent3"/>
                    </a:solidFill>
                    <a:ln>
                      <a:noFill/>
                    </a:ln>
                    <a:effectLst/>
                  </c:spPr>
                  <c:extLst xmlns:c15="http://schemas.microsoft.com/office/drawing/2012/chart" xmlns:c16r2="http://schemas.microsoft.com/office/drawing/2015/06/chart">
                    <c:ext xmlns:c16="http://schemas.microsoft.com/office/drawing/2014/chart" uri="{C3380CC4-5D6E-409C-BE32-E72D297353CC}">
                      <c16:uniqueId val="{00000019-8CDB-4921-BB95-AAF4D64C88DA}"/>
                    </c:ext>
                  </c:extLst>
                </c:dPt>
                <c:dPt>
                  <c:idx val="3"/>
                  <c:bubble3D val="0"/>
                  <c:spPr>
                    <a:solidFill>
                      <a:schemeClr val="accent4"/>
                    </a:solidFill>
                    <a:ln>
                      <a:noFill/>
                    </a:ln>
                    <a:effectLst/>
                  </c:spPr>
                  <c:extLst xmlns:c15="http://schemas.microsoft.com/office/drawing/2012/chart" xmlns:c16r2="http://schemas.microsoft.com/office/drawing/2015/06/chart">
                    <c:ext xmlns:c16="http://schemas.microsoft.com/office/drawing/2014/chart" uri="{C3380CC4-5D6E-409C-BE32-E72D297353CC}">
                      <c16:uniqueId val="{0000001B-8CDB-4921-BB95-AAF4D64C88DA}"/>
                    </c:ext>
                  </c:extLst>
                </c:dPt>
                <c:dPt>
                  <c:idx val="4"/>
                  <c:bubble3D val="0"/>
                  <c:spPr>
                    <a:solidFill>
                      <a:schemeClr val="accent5"/>
                    </a:solidFill>
                    <a:ln>
                      <a:noFill/>
                    </a:ln>
                    <a:effectLst/>
                  </c:spPr>
                  <c:extLst xmlns:c15="http://schemas.microsoft.com/office/drawing/2012/chart" xmlns:c16r2="http://schemas.microsoft.com/office/drawing/2015/06/chart">
                    <c:ext xmlns:c16="http://schemas.microsoft.com/office/drawing/2014/chart" uri="{C3380CC4-5D6E-409C-BE32-E72D297353CC}">
                      <c16:uniqueId val="{0000001D-8CDB-4921-BB95-AAF4D64C88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xmlns:c16r2="http://schemas.microsoft.com/office/drawing/2015/06/chart">
                    <c:ext xmlns:c15="http://schemas.microsoft.com/office/drawing/2012/chart" uri="{CE6537A1-D6FC-4f65-9D91-7224C49458BB}"/>
                  </c:extLst>
                </c:dLbls>
                <c:cat>
                  <c:numRef>
                    <c:extLst xmlns:c15="http://schemas.microsoft.com/office/drawing/2012/chart" xmlns:c16r2="http://schemas.microsoft.com/office/drawing/2015/06/chart">
                      <c:ext xmlns:c15="http://schemas.microsoft.com/office/drawing/2012/chart" uri="{02D57815-91ED-43cb-92C2-25804820EDAC}">
                        <c15:formulaRef>
                          <c15:sqref>'[Chart in Microsoft Word]met'!$B$3:$B$7</c15:sqref>
                        </c15:formulaRef>
                      </c:ext>
                    </c:extLst>
                    <c:numCache>
                      <c:formatCode>General</c:formatCode>
                      <c:ptCount val="5"/>
                      <c:pt idx="0">
                        <c:v>0</c:v>
                      </c:pt>
                      <c:pt idx="1">
                        <c:v>1</c:v>
                      </c:pt>
                      <c:pt idx="2">
                        <c:v>2</c:v>
                      </c:pt>
                      <c:pt idx="3">
                        <c:v>3</c:v>
                      </c:pt>
                      <c:pt idx="4">
                        <c:v>4</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'[Chart in Microsoft Word]met'!$E$3:$E$7</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2-F4C5-4E90-8C6D-3C90F4D0670A}"/>
                  </c:ext>
                </c:extLst>
              </c15:ser>
            </c15:filteredPieSeries>
            <c15:filteredPie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'[Chart in Microsoft Word]met'!$F$2</c15:sqref>
                        </c15:formulaRef>
                      </c:ext>
                    </c:extLst>
                    <c:strCache>
                      <c:ptCount val="1"/>
                    </c:strCache>
                  </c:strRef>
                </c:tx>
                <c:dPt>
                  <c:idx val="0"/>
                  <c:bubble3D val="0"/>
                  <c:spPr>
                    <a:solidFill>
                      <a:schemeClr val="accent1"/>
                    </a:solidFill>
                    <a:ln>
                      <a:noFill/>
                    </a:ln>
                    <a:effectLst/>
                  </c:spPr>
                  <c:extLst xmlns:c15="http://schemas.microsoft.com/office/drawing/2012/chart" xmlns:c16r2="http://schemas.microsoft.com/office/drawing/2015/06/chart">
                    <c:ext xmlns:c16="http://schemas.microsoft.com/office/drawing/2014/chart" uri="{C3380CC4-5D6E-409C-BE32-E72D297353CC}">
                      <c16:uniqueId val="{0000001F-8CDB-4921-BB95-AAF4D64C88DA}"/>
                    </c:ext>
                  </c:extLst>
                </c:dPt>
                <c:dPt>
                  <c:idx val="1"/>
                  <c:bubble3D val="0"/>
                  <c:spPr>
                    <a:solidFill>
                      <a:schemeClr val="accent2"/>
                    </a:solidFill>
                    <a:ln>
                      <a:noFill/>
                    </a:ln>
                    <a:effectLst/>
                  </c:spPr>
                  <c:extLst xmlns:c15="http://schemas.microsoft.com/office/drawing/2012/chart" xmlns:c16r2="http://schemas.microsoft.com/office/drawing/2015/06/chart">
                    <c:ext xmlns:c16="http://schemas.microsoft.com/office/drawing/2014/chart" uri="{C3380CC4-5D6E-409C-BE32-E72D297353CC}">
                      <c16:uniqueId val="{00000021-8CDB-4921-BB95-AAF4D64C88DA}"/>
                    </c:ext>
                  </c:extLst>
                </c:dPt>
                <c:dPt>
                  <c:idx val="2"/>
                  <c:bubble3D val="0"/>
                  <c:spPr>
                    <a:solidFill>
                      <a:schemeClr val="accent3"/>
                    </a:solidFill>
                    <a:ln>
                      <a:noFill/>
                    </a:ln>
                    <a:effectLst/>
                  </c:spPr>
                  <c:extLst xmlns:c15="http://schemas.microsoft.com/office/drawing/2012/chart" xmlns:c16r2="http://schemas.microsoft.com/office/drawing/2015/06/chart">
                    <c:ext xmlns:c16="http://schemas.microsoft.com/office/drawing/2014/chart" uri="{C3380CC4-5D6E-409C-BE32-E72D297353CC}">
                      <c16:uniqueId val="{00000023-8CDB-4921-BB95-AAF4D64C88DA}"/>
                    </c:ext>
                  </c:extLst>
                </c:dPt>
                <c:dPt>
                  <c:idx val="3"/>
                  <c:bubble3D val="0"/>
                  <c:spPr>
                    <a:solidFill>
                      <a:schemeClr val="accent4"/>
                    </a:solidFill>
                    <a:ln>
                      <a:noFill/>
                    </a:ln>
                    <a:effectLst/>
                  </c:spPr>
                  <c:extLst xmlns:c15="http://schemas.microsoft.com/office/drawing/2012/chart" xmlns:c16r2="http://schemas.microsoft.com/office/drawing/2015/06/chart">
                    <c:ext xmlns:c16="http://schemas.microsoft.com/office/drawing/2014/chart" uri="{C3380CC4-5D6E-409C-BE32-E72D297353CC}">
                      <c16:uniqueId val="{00000025-8CDB-4921-BB95-AAF4D64C88DA}"/>
                    </c:ext>
                  </c:extLst>
                </c:dPt>
                <c:dPt>
                  <c:idx val="4"/>
                  <c:bubble3D val="0"/>
                  <c:spPr>
                    <a:solidFill>
                      <a:schemeClr val="accent5"/>
                    </a:solidFill>
                    <a:ln>
                      <a:noFill/>
                    </a:ln>
                    <a:effectLst/>
                  </c:spPr>
                  <c:extLst xmlns:c15="http://schemas.microsoft.com/office/drawing/2012/chart" xmlns:c16r2="http://schemas.microsoft.com/office/drawing/2015/06/chart">
                    <c:ext xmlns:c16="http://schemas.microsoft.com/office/drawing/2014/chart" uri="{C3380CC4-5D6E-409C-BE32-E72D297353CC}">
                      <c16:uniqueId val="{00000027-8CDB-4921-BB95-AAF4D64C88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xmlns:c16r2="http://schemas.microsoft.com/office/drawing/2015/06/chart">
                    <c:ext xmlns:c15="http://schemas.microsoft.com/office/drawing/2012/chart" uri="{CE6537A1-D6FC-4f65-9D91-7224C49458BB}"/>
                  </c:extLst>
                </c:dLbls>
                <c:cat>
                  <c:numRef>
                    <c:extLst xmlns:c15="http://schemas.microsoft.com/office/drawing/2012/chart" xmlns:c16r2="http://schemas.microsoft.com/office/drawing/2015/06/chart">
                      <c:ext xmlns:c15="http://schemas.microsoft.com/office/drawing/2012/chart" uri="{02D57815-91ED-43cb-92C2-25804820EDAC}">
                        <c15:formulaRef>
                          <c15:sqref>'[Chart in Microsoft Word]met'!$B$3:$B$7</c15:sqref>
                        </c15:formulaRef>
                      </c:ext>
                    </c:extLst>
                    <c:numCache>
                      <c:formatCode>General</c:formatCode>
                      <c:ptCount val="5"/>
                      <c:pt idx="0">
                        <c:v>0</c:v>
                      </c:pt>
                      <c:pt idx="1">
                        <c:v>1</c:v>
                      </c:pt>
                      <c:pt idx="2">
                        <c:v>2</c:v>
                      </c:pt>
                      <c:pt idx="3">
                        <c:v>3</c:v>
                      </c:pt>
                      <c:pt idx="4">
                        <c:v>4</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'[Chart in Microsoft Word]met'!$F$3:$F$7</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3-F4C5-4E90-8C6D-3C90F4D0670A}"/>
                  </c:ext>
                </c:extLst>
              </c15:ser>
            </c15:filteredPieSeries>
            <c15:filteredPie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'[Chart in Microsoft Word]met'!$G$2</c15:sqref>
                        </c15:formulaRef>
                      </c:ext>
                    </c:extLst>
                    <c:strCache>
                      <c:ptCount val="1"/>
                    </c:strCache>
                  </c:strRef>
                </c:tx>
                <c:dPt>
                  <c:idx val="0"/>
                  <c:bubble3D val="0"/>
                  <c:spPr>
                    <a:solidFill>
                      <a:schemeClr val="accent1"/>
                    </a:solidFill>
                    <a:ln>
                      <a:noFill/>
                    </a:ln>
                    <a:effectLst/>
                  </c:spPr>
                  <c:extLst xmlns:c15="http://schemas.microsoft.com/office/drawing/2012/chart" xmlns:c16r2="http://schemas.microsoft.com/office/drawing/2015/06/chart">
                    <c:ext xmlns:c16="http://schemas.microsoft.com/office/drawing/2014/chart" uri="{C3380CC4-5D6E-409C-BE32-E72D297353CC}">
                      <c16:uniqueId val="{00000029-8CDB-4921-BB95-AAF4D64C88DA}"/>
                    </c:ext>
                  </c:extLst>
                </c:dPt>
                <c:dPt>
                  <c:idx val="1"/>
                  <c:bubble3D val="0"/>
                  <c:spPr>
                    <a:solidFill>
                      <a:schemeClr val="accent2"/>
                    </a:solidFill>
                    <a:ln>
                      <a:noFill/>
                    </a:ln>
                    <a:effectLst/>
                  </c:spPr>
                  <c:extLst xmlns:c15="http://schemas.microsoft.com/office/drawing/2012/chart" xmlns:c16r2="http://schemas.microsoft.com/office/drawing/2015/06/chart">
                    <c:ext xmlns:c16="http://schemas.microsoft.com/office/drawing/2014/chart" uri="{C3380CC4-5D6E-409C-BE32-E72D297353CC}">
                      <c16:uniqueId val="{0000002B-8CDB-4921-BB95-AAF4D64C88DA}"/>
                    </c:ext>
                  </c:extLst>
                </c:dPt>
                <c:dPt>
                  <c:idx val="2"/>
                  <c:bubble3D val="0"/>
                  <c:spPr>
                    <a:solidFill>
                      <a:schemeClr val="accent3"/>
                    </a:solidFill>
                    <a:ln>
                      <a:noFill/>
                    </a:ln>
                    <a:effectLst/>
                  </c:spPr>
                  <c:extLst xmlns:c15="http://schemas.microsoft.com/office/drawing/2012/chart" xmlns:c16r2="http://schemas.microsoft.com/office/drawing/2015/06/chart">
                    <c:ext xmlns:c16="http://schemas.microsoft.com/office/drawing/2014/chart" uri="{C3380CC4-5D6E-409C-BE32-E72D297353CC}">
                      <c16:uniqueId val="{0000002D-8CDB-4921-BB95-AAF4D64C88DA}"/>
                    </c:ext>
                  </c:extLst>
                </c:dPt>
                <c:dPt>
                  <c:idx val="3"/>
                  <c:bubble3D val="0"/>
                  <c:spPr>
                    <a:solidFill>
                      <a:schemeClr val="accent4"/>
                    </a:solidFill>
                    <a:ln>
                      <a:noFill/>
                    </a:ln>
                    <a:effectLst/>
                  </c:spPr>
                  <c:extLst xmlns:c15="http://schemas.microsoft.com/office/drawing/2012/chart" xmlns:c16r2="http://schemas.microsoft.com/office/drawing/2015/06/chart">
                    <c:ext xmlns:c16="http://schemas.microsoft.com/office/drawing/2014/chart" uri="{C3380CC4-5D6E-409C-BE32-E72D297353CC}">
                      <c16:uniqueId val="{0000002F-8CDB-4921-BB95-AAF4D64C88DA}"/>
                    </c:ext>
                  </c:extLst>
                </c:dPt>
                <c:dPt>
                  <c:idx val="4"/>
                  <c:bubble3D val="0"/>
                  <c:spPr>
                    <a:solidFill>
                      <a:schemeClr val="accent5"/>
                    </a:solidFill>
                    <a:ln>
                      <a:noFill/>
                    </a:ln>
                    <a:effectLst/>
                  </c:spPr>
                  <c:extLst xmlns:c15="http://schemas.microsoft.com/office/drawing/2012/chart" xmlns:c16r2="http://schemas.microsoft.com/office/drawing/2015/06/chart">
                    <c:ext xmlns:c16="http://schemas.microsoft.com/office/drawing/2014/chart" uri="{C3380CC4-5D6E-409C-BE32-E72D297353CC}">
                      <c16:uniqueId val="{00000031-8CDB-4921-BB95-AAF4D64C88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xmlns:c16r2="http://schemas.microsoft.com/office/drawing/2015/06/chart">
                    <c:ext xmlns:c15="http://schemas.microsoft.com/office/drawing/2012/chart" uri="{CE6537A1-D6FC-4f65-9D91-7224C49458BB}"/>
                  </c:extLst>
                </c:dLbls>
                <c:cat>
                  <c:numRef>
                    <c:extLst xmlns:c15="http://schemas.microsoft.com/office/drawing/2012/chart" xmlns:c16r2="http://schemas.microsoft.com/office/drawing/2015/06/chart">
                      <c:ext xmlns:c15="http://schemas.microsoft.com/office/drawing/2012/chart" uri="{02D57815-91ED-43cb-92C2-25804820EDAC}">
                        <c15:formulaRef>
                          <c15:sqref>'[Chart in Microsoft Word]met'!$B$3:$B$7</c15:sqref>
                        </c15:formulaRef>
                      </c:ext>
                    </c:extLst>
                    <c:numCache>
                      <c:formatCode>General</c:formatCode>
                      <c:ptCount val="5"/>
                      <c:pt idx="0">
                        <c:v>0</c:v>
                      </c:pt>
                      <c:pt idx="1">
                        <c:v>1</c:v>
                      </c:pt>
                      <c:pt idx="2">
                        <c:v>2</c:v>
                      </c:pt>
                      <c:pt idx="3">
                        <c:v>3</c:v>
                      </c:pt>
                      <c:pt idx="4">
                        <c:v>4</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'[Chart in Microsoft Word]met'!$G$3:$G$7</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4-F4C5-4E90-8C6D-3C90F4D0670A}"/>
                  </c:ext>
                </c:extLst>
              </c15:ser>
            </c15:filteredPieSeries>
          </c:ext>
        </c:extLst>
      </c:pieChart>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a:t>Gllogovc</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19F1-416A-8C63-F4E7CEAED7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Gllogovc!$B$19:$E$19</c:f>
              <c:strCache>
                <c:ptCount val="4"/>
                <c:pt idx="0">
                  <c:v>Qeverisja 
demokratike</c:v>
                </c:pt>
                <c:pt idx="1">
                  <c:v>Menaxhimi 
komunal</c:v>
                </c:pt>
                <c:pt idx="2">
                  <c:v>Ofrimi i 
shërbimeve</c:v>
                </c:pt>
                <c:pt idx="3">
                  <c:v>Total</c:v>
                </c:pt>
              </c:strCache>
            </c:strRef>
          </c:cat>
          <c:val>
            <c:numRef>
              <c:f>Gllogovc!$B$20:$E$20</c:f>
              <c:numCache>
                <c:formatCode>0.00</c:formatCode>
                <c:ptCount val="4"/>
                <c:pt idx="0">
                  <c:v>92.5</c:v>
                </c:pt>
                <c:pt idx="1">
                  <c:v>71.428571428571431</c:v>
                </c:pt>
                <c:pt idx="2">
                  <c:v>60</c:v>
                </c:pt>
                <c:pt idx="3">
                  <c:v>76.530612244897952</c:v>
                </c:pt>
              </c:numCache>
            </c:numRef>
          </c:val>
          <c:extLst xmlns:c16r2="http://schemas.microsoft.com/office/drawing/2015/06/chart">
            <c:ext xmlns:c16="http://schemas.microsoft.com/office/drawing/2014/chart" uri="{C3380CC4-5D6E-409C-BE32-E72D297353CC}">
              <c16:uniqueId val="{00000000-19F1-416A-8C63-F4E7CEAED79B}"/>
            </c:ext>
          </c:extLst>
        </c:ser>
        <c:dLbls>
          <c:showLegendKey val="0"/>
          <c:showVal val="0"/>
          <c:showCatName val="0"/>
          <c:showSerName val="0"/>
          <c:showPercent val="0"/>
          <c:showBubbleSize val="0"/>
        </c:dLbls>
        <c:gapWidth val="100"/>
        <c:overlap val="-24"/>
        <c:axId val="-886373008"/>
        <c:axId val="-886353424"/>
      </c:barChart>
      <c:catAx>
        <c:axId val="-886373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353424"/>
        <c:crosses val="autoZero"/>
        <c:auto val="1"/>
        <c:lblAlgn val="ctr"/>
        <c:lblOffset val="100"/>
        <c:noMultiLvlLbl val="0"/>
      </c:catAx>
      <c:valAx>
        <c:axId val="-88635342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86373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b="0">
                <a:latin typeface="Aptos (Body)"/>
              </a:rPr>
              <a:t>Graçanicë</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rgbClr val="FF0000"/>
            </a:solidFill>
            <a:ln>
              <a:noFill/>
            </a:ln>
            <a:effectLst/>
          </c:spPr>
          <c:invertIfNegative val="0"/>
          <c:dPt>
            <c:idx val="0"/>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2-0242-4E10-AB1B-23268FC6C1C8}"/>
              </c:ext>
            </c:extLst>
          </c:dPt>
          <c:dPt>
            <c:idx val="3"/>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4-0242-4E10-AB1B-23268FC6C1C8}"/>
              </c:ext>
            </c:extLst>
          </c:dPt>
          <c:cat>
            <c:strRef>
              <c:f>Graçanicë!$B$2:$E$2</c:f>
              <c:strCache>
                <c:ptCount val="4"/>
                <c:pt idx="0">
                  <c:v>Komunat duhet të kenë raportuar të dhënat në SMPK sipas afatit të përcaktuar në nenin 19.2 të Ligjit për SMPK/GPK</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Graçanicë!$B$3:$E$3</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0-0242-4E10-AB1B-23268FC6C1C8}"/>
            </c:ext>
          </c:extLst>
        </c:ser>
        <c:dLbls>
          <c:showLegendKey val="0"/>
          <c:showVal val="0"/>
          <c:showCatName val="0"/>
          <c:showSerName val="0"/>
          <c:showPercent val="0"/>
          <c:showBubbleSize val="0"/>
        </c:dLbls>
        <c:gapWidth val="182"/>
        <c:axId val="-886341456"/>
        <c:axId val="-886365936"/>
      </c:barChart>
      <c:catAx>
        <c:axId val="-88634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86365936"/>
        <c:crosses val="autoZero"/>
        <c:auto val="1"/>
        <c:lblAlgn val="ctr"/>
        <c:lblOffset val="100"/>
        <c:noMultiLvlLbl val="0"/>
      </c:catAx>
      <c:valAx>
        <c:axId val="-886365936"/>
        <c:scaling>
          <c:orientation val="minMax"/>
        </c:scaling>
        <c:delete val="1"/>
        <c:axPos val="b"/>
        <c:numFmt formatCode="General" sourceLinked="1"/>
        <c:majorTickMark val="none"/>
        <c:minorTickMark val="none"/>
        <c:tickLblPos val="nextTo"/>
        <c:crossAx val="-886341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a:t>Graçanicë</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1">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AC16-41BA-B004-45714A9C40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Graçanicë!$B$19:$E$19</c:f>
              <c:strCache>
                <c:ptCount val="4"/>
                <c:pt idx="0">
                  <c:v>Qeverisja 
demokratike</c:v>
                </c:pt>
                <c:pt idx="1">
                  <c:v>Menaxhimi 
komunal</c:v>
                </c:pt>
                <c:pt idx="2">
                  <c:v>Ofrimi i 
shërbimeve</c:v>
                </c:pt>
                <c:pt idx="3">
                  <c:v>Total</c:v>
                </c:pt>
              </c:strCache>
            </c:strRef>
          </c:cat>
          <c:val>
            <c:numRef>
              <c:f>Graçanicë!$B$20:$E$20</c:f>
              <c:numCache>
                <c:formatCode>0.00</c:formatCode>
                <c:ptCount val="4"/>
                <c:pt idx="0">
                  <c:v>47.5</c:v>
                </c:pt>
                <c:pt idx="1">
                  <c:v>14.285714285714285</c:v>
                </c:pt>
                <c:pt idx="2">
                  <c:v>10</c:v>
                </c:pt>
                <c:pt idx="3">
                  <c:v>26.530612244897959</c:v>
                </c:pt>
              </c:numCache>
            </c:numRef>
          </c:val>
          <c:extLst xmlns:c16r2="http://schemas.microsoft.com/office/drawing/2015/06/chart">
            <c:ext xmlns:c16="http://schemas.microsoft.com/office/drawing/2014/chart" uri="{C3380CC4-5D6E-409C-BE32-E72D297353CC}">
              <c16:uniqueId val="{00000000-AC16-41BA-B004-45714A9C40A6}"/>
            </c:ext>
          </c:extLst>
        </c:ser>
        <c:dLbls>
          <c:showLegendKey val="0"/>
          <c:showVal val="0"/>
          <c:showCatName val="0"/>
          <c:showSerName val="0"/>
          <c:showPercent val="0"/>
          <c:showBubbleSize val="0"/>
        </c:dLbls>
        <c:gapWidth val="100"/>
        <c:overlap val="-24"/>
        <c:axId val="-886374096"/>
        <c:axId val="-886356144"/>
      </c:barChart>
      <c:catAx>
        <c:axId val="-886374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356144"/>
        <c:crosses val="autoZero"/>
        <c:auto val="1"/>
        <c:lblAlgn val="ctr"/>
        <c:lblOffset val="100"/>
        <c:noMultiLvlLbl val="0"/>
      </c:catAx>
      <c:valAx>
        <c:axId val="-88635614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8637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a:latin typeface="Aptos(Body)"/>
              </a:rPr>
              <a:t>Hani</a:t>
            </a:r>
            <a:r>
              <a:rPr lang="en-US" sz="1400" baseline="0">
                <a:latin typeface="Aptos(Body)"/>
              </a:rPr>
              <a:t> i </a:t>
            </a:r>
            <a:r>
              <a:rPr lang="en-US" sz="1400">
                <a:latin typeface="Aptos(Body)"/>
              </a:rPr>
              <a:t>Elezit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lumMod val="60000"/>
                <a:lumOff val="40000"/>
              </a:schemeClr>
            </a:solidFill>
            <a:ln>
              <a:noFill/>
            </a:ln>
            <a:effectLst/>
          </c:spPr>
          <c:invertIfNegative val="0"/>
          <c:dPt>
            <c:idx val="0"/>
            <c:invertIfNegative val="0"/>
            <c:bubble3D val="0"/>
            <c:spPr>
              <a:solidFill>
                <a:srgbClr val="4EA72E"/>
              </a:solidFill>
              <a:ln>
                <a:noFill/>
              </a:ln>
              <a:effectLst/>
            </c:spPr>
          </c:dPt>
          <c:dPt>
            <c:idx val="1"/>
            <c:invertIfNegative val="0"/>
            <c:bubble3D val="0"/>
            <c:spPr>
              <a:solidFill>
                <a:srgbClr val="4EA72E"/>
              </a:solidFill>
              <a:ln>
                <a:noFill/>
              </a:ln>
              <a:effectLst/>
            </c:spPr>
          </c:dPt>
          <c:dPt>
            <c:idx val="2"/>
            <c:invertIfNegative val="0"/>
            <c:bubble3D val="0"/>
            <c:spPr>
              <a:solidFill>
                <a:srgbClr val="4EA72E"/>
              </a:solidFill>
              <a:ln>
                <a:noFill/>
              </a:ln>
              <a:effectLst/>
            </c:spPr>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B952-4EE2-BB79-DD828F1A47D4}"/>
              </c:ext>
            </c:extLst>
          </c:dPt>
          <c:cat>
            <c:strRef>
              <c:f>'Hani i Elezit'!$B$2:$E$2</c:f>
              <c:strCache>
                <c:ptCount val="4"/>
                <c:pt idx="0">
                  <c:v>Komunat duhet të kenë raportuar të dhënat në SMPK sipas afatit të përcaktuar në nenin 19.2 të Ligjit për SMPK/GPK</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'Hani i Elezit'!$B$3:$E$3</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0-B952-4EE2-BB79-DD828F1A47D4}"/>
            </c:ext>
          </c:extLst>
        </c:ser>
        <c:dLbls>
          <c:showLegendKey val="0"/>
          <c:showVal val="0"/>
          <c:showCatName val="0"/>
          <c:showSerName val="0"/>
          <c:showPercent val="0"/>
          <c:showBubbleSize val="0"/>
        </c:dLbls>
        <c:gapWidth val="182"/>
        <c:axId val="-886345264"/>
        <c:axId val="-886355600"/>
      </c:barChart>
      <c:catAx>
        <c:axId val="-886345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86355600"/>
        <c:crosses val="autoZero"/>
        <c:auto val="1"/>
        <c:lblAlgn val="ctr"/>
        <c:lblOffset val="100"/>
        <c:noMultiLvlLbl val="0"/>
      </c:catAx>
      <c:valAx>
        <c:axId val="-886355600"/>
        <c:scaling>
          <c:orientation val="minMax"/>
        </c:scaling>
        <c:delete val="1"/>
        <c:axPos val="b"/>
        <c:numFmt formatCode="General" sourceLinked="1"/>
        <c:majorTickMark val="none"/>
        <c:minorTickMark val="none"/>
        <c:tickLblPos val="nextTo"/>
        <c:crossAx val="-88634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a:t>Hani I Elezit</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6ABD-426E-91EF-257A704E1A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'Hani i Elezit'!$B$19:$E$19</c:f>
              <c:strCache>
                <c:ptCount val="4"/>
                <c:pt idx="0">
                  <c:v>Qeverisja 
demokratike</c:v>
                </c:pt>
                <c:pt idx="1">
                  <c:v>Menaxhimi 
komunal</c:v>
                </c:pt>
                <c:pt idx="2">
                  <c:v>Ofrimi i 
shërbimeve</c:v>
                </c:pt>
                <c:pt idx="3">
                  <c:v>Total</c:v>
                </c:pt>
              </c:strCache>
            </c:strRef>
          </c:cat>
          <c:val>
            <c:numRef>
              <c:f>'Hani i Elezit'!$B$20:$E$20</c:f>
              <c:numCache>
                <c:formatCode>0.00</c:formatCode>
                <c:ptCount val="4"/>
                <c:pt idx="0">
                  <c:v>82.5</c:v>
                </c:pt>
                <c:pt idx="1">
                  <c:v>46.428571428571431</c:v>
                </c:pt>
                <c:pt idx="2">
                  <c:v>50</c:v>
                </c:pt>
                <c:pt idx="3">
                  <c:v>62.244897959183675</c:v>
                </c:pt>
              </c:numCache>
            </c:numRef>
          </c:val>
          <c:extLst xmlns:c16r2="http://schemas.microsoft.com/office/drawing/2015/06/chart">
            <c:ext xmlns:c16="http://schemas.microsoft.com/office/drawing/2014/chart" uri="{C3380CC4-5D6E-409C-BE32-E72D297353CC}">
              <c16:uniqueId val="{00000000-6ABD-426E-91EF-257A704E1A6F}"/>
            </c:ext>
          </c:extLst>
        </c:ser>
        <c:dLbls>
          <c:showLegendKey val="0"/>
          <c:showVal val="0"/>
          <c:showCatName val="0"/>
          <c:showSerName val="0"/>
          <c:showPercent val="0"/>
          <c:showBubbleSize val="0"/>
        </c:dLbls>
        <c:gapWidth val="100"/>
        <c:overlap val="-24"/>
        <c:axId val="-886356688"/>
        <c:axId val="-886346896"/>
      </c:barChart>
      <c:catAx>
        <c:axId val="-8863566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346896"/>
        <c:crosses val="autoZero"/>
        <c:auto val="1"/>
        <c:lblAlgn val="ctr"/>
        <c:lblOffset val="100"/>
        <c:noMultiLvlLbl val="0"/>
      </c:catAx>
      <c:valAx>
        <c:axId val="-88634689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8635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a:latin typeface="Aptos (Body)"/>
              </a:rPr>
              <a:t>Istog</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tx2">
                <a:lumMod val="60000"/>
                <a:lumOff val="40000"/>
              </a:schemeClr>
            </a:solidFill>
            <a:ln>
              <a:noFill/>
            </a:ln>
            <a:effectLst/>
          </c:spPr>
          <c:invertIfNegative val="0"/>
          <c:dPt>
            <c:idx val="0"/>
            <c:invertIfNegative val="0"/>
            <c:bubble3D val="0"/>
            <c:spPr>
              <a:solidFill>
                <a:srgbClr val="4EA72E"/>
              </a:solidFill>
              <a:ln>
                <a:noFill/>
              </a:ln>
              <a:effectLst/>
            </c:spPr>
          </c:dPt>
          <c:dPt>
            <c:idx val="1"/>
            <c:invertIfNegative val="0"/>
            <c:bubble3D val="0"/>
            <c:spPr>
              <a:solidFill>
                <a:srgbClr val="4EA72E"/>
              </a:solidFill>
              <a:ln>
                <a:noFill/>
              </a:ln>
              <a:effectLst/>
            </c:spPr>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2-49D5-49A3-A173-66567F9CA2F8}"/>
              </c:ext>
            </c:extLst>
          </c:dPt>
          <c:dPt>
            <c:idx val="3"/>
            <c:invertIfNegative val="0"/>
            <c:bubble3D val="0"/>
            <c:spPr>
              <a:solidFill>
                <a:srgbClr val="4EA72E"/>
              </a:solidFill>
              <a:ln>
                <a:noFill/>
              </a:ln>
              <a:effectLst/>
            </c:spPr>
          </c:dPt>
          <c:cat>
            <c:strRef>
              <c:f>Istog!$B$2:$E$2</c:f>
              <c:strCache>
                <c:ptCount val="4"/>
                <c:pt idx="0">
                  <c:v>Komunat duhet të kenë raportuar të dhënat në SMPK sipas afatit të përcaktuar në nenin 19.2 të Ligjit për SMPK/GPK</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Istog!$B$3:$E$3</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0-49D5-49A3-A173-66567F9CA2F8}"/>
            </c:ext>
          </c:extLst>
        </c:ser>
        <c:dLbls>
          <c:showLegendKey val="0"/>
          <c:showVal val="0"/>
          <c:showCatName val="0"/>
          <c:showSerName val="0"/>
          <c:showPercent val="0"/>
          <c:showBubbleSize val="0"/>
        </c:dLbls>
        <c:gapWidth val="182"/>
        <c:axId val="-886358864"/>
        <c:axId val="-886357776"/>
      </c:barChart>
      <c:catAx>
        <c:axId val="-886358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86357776"/>
        <c:crosses val="autoZero"/>
        <c:auto val="1"/>
        <c:lblAlgn val="ctr"/>
        <c:lblOffset val="100"/>
        <c:noMultiLvlLbl val="0"/>
      </c:catAx>
      <c:valAx>
        <c:axId val="-886357776"/>
        <c:scaling>
          <c:orientation val="minMax"/>
        </c:scaling>
        <c:delete val="1"/>
        <c:axPos val="b"/>
        <c:numFmt formatCode="General" sourceLinked="1"/>
        <c:majorTickMark val="none"/>
        <c:minorTickMark val="none"/>
        <c:tickLblPos val="nextTo"/>
        <c:crossAx val="-886358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a:t>Istog</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F3BF-4046-989B-826E8C4DF4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Istog!$B$19:$E$19</c:f>
              <c:strCache>
                <c:ptCount val="4"/>
                <c:pt idx="0">
                  <c:v>Qeverisja 
demokratike</c:v>
                </c:pt>
                <c:pt idx="1">
                  <c:v>Menaxhimi 
komunal</c:v>
                </c:pt>
                <c:pt idx="2">
                  <c:v>Ofrimi i 
shërbimeve</c:v>
                </c:pt>
                <c:pt idx="3">
                  <c:v>Total</c:v>
                </c:pt>
              </c:strCache>
            </c:strRef>
          </c:cat>
          <c:val>
            <c:numRef>
              <c:f>Istog!$B$20:$E$20</c:f>
              <c:numCache>
                <c:formatCode>0.00</c:formatCode>
                <c:ptCount val="4"/>
                <c:pt idx="0">
                  <c:v>87.5</c:v>
                </c:pt>
                <c:pt idx="1">
                  <c:v>53.571428571428569</c:v>
                </c:pt>
                <c:pt idx="2">
                  <c:v>60</c:v>
                </c:pt>
                <c:pt idx="3">
                  <c:v>69.387755102040813</c:v>
                </c:pt>
              </c:numCache>
            </c:numRef>
          </c:val>
          <c:extLst xmlns:c16r2="http://schemas.microsoft.com/office/drawing/2015/06/chart">
            <c:ext xmlns:c16="http://schemas.microsoft.com/office/drawing/2014/chart" uri="{C3380CC4-5D6E-409C-BE32-E72D297353CC}">
              <c16:uniqueId val="{00000000-F3BF-4046-989B-826E8C4DF4B4}"/>
            </c:ext>
          </c:extLst>
        </c:ser>
        <c:dLbls>
          <c:showLegendKey val="0"/>
          <c:showVal val="0"/>
          <c:showCatName val="0"/>
          <c:showSerName val="0"/>
          <c:showPercent val="0"/>
          <c:showBubbleSize val="0"/>
        </c:dLbls>
        <c:gapWidth val="100"/>
        <c:overlap val="-24"/>
        <c:axId val="-886347440"/>
        <c:axId val="-886361584"/>
      </c:barChart>
      <c:catAx>
        <c:axId val="-8863474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361584"/>
        <c:crosses val="autoZero"/>
        <c:auto val="1"/>
        <c:lblAlgn val="ctr"/>
        <c:lblOffset val="100"/>
        <c:noMultiLvlLbl val="0"/>
      </c:catAx>
      <c:valAx>
        <c:axId val="-88636158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86347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a:t>Junik</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rgbClr val="4EA72E"/>
            </a:solidFill>
            <a:ln>
              <a:noFill/>
            </a:ln>
            <a:effectLst/>
          </c:spPr>
          <c:invertIfNegative val="0"/>
          <c:dPt>
            <c:idx val="0"/>
            <c:invertIfNegative val="0"/>
            <c:bubble3D val="0"/>
            <c:spPr>
              <a:solidFill>
                <a:srgbClr val="4EA72E"/>
              </a:solidFill>
              <a:ln>
                <a:noFill/>
              </a:ln>
              <a:effectLst/>
            </c:spPr>
            <c:extLst xmlns:c16r2="http://schemas.microsoft.com/office/drawing/2015/06/chart">
              <c:ext xmlns:c16="http://schemas.microsoft.com/office/drawing/2014/chart" uri="{C3380CC4-5D6E-409C-BE32-E72D297353CC}">
                <c16:uniqueId val="{00000005-C381-49D5-9B42-0A8C77F8718D}"/>
              </c:ext>
            </c:extLst>
          </c:dPt>
          <c:dPt>
            <c:idx val="1"/>
            <c:invertIfNegative val="0"/>
            <c:bubble3D val="0"/>
            <c:spPr>
              <a:solidFill>
                <a:srgbClr val="4EA72E"/>
              </a:solidFill>
              <a:ln>
                <a:noFill/>
              </a:ln>
              <a:effectLst/>
            </c:spPr>
            <c:extLst xmlns:c16r2="http://schemas.microsoft.com/office/drawing/2015/06/chart">
              <c:ext xmlns:c16="http://schemas.microsoft.com/office/drawing/2014/chart" uri="{C3380CC4-5D6E-409C-BE32-E72D297353CC}">
                <c16:uniqueId val="{00000004-C381-49D5-9B42-0A8C77F8718D}"/>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2-C381-49D5-9B42-0A8C77F8718D}"/>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C381-49D5-9B42-0A8C77F8718D}"/>
              </c:ext>
            </c:extLst>
          </c:dPt>
          <c:cat>
            <c:strRef>
              <c:f>Junik!$B$2:$E$2</c:f>
              <c:strCache>
                <c:ptCount val="4"/>
                <c:pt idx="0">
                  <c:v>Komunat duhet të kenë raportuar të dhënat në SMPK sipas afatit të përcaktuar në nenin 19.2 të Ligjit për SMPK/GPK</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Junik!$B$3:$E$3</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0-C381-49D5-9B42-0A8C77F8718D}"/>
            </c:ext>
          </c:extLst>
        </c:ser>
        <c:dLbls>
          <c:showLegendKey val="0"/>
          <c:showVal val="0"/>
          <c:showCatName val="0"/>
          <c:showSerName val="0"/>
          <c:showPercent val="0"/>
          <c:showBubbleSize val="0"/>
        </c:dLbls>
        <c:gapWidth val="182"/>
        <c:axId val="-886363760"/>
        <c:axId val="-886370288"/>
      </c:barChart>
      <c:catAx>
        <c:axId val="-886363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86370288"/>
        <c:crosses val="autoZero"/>
        <c:auto val="1"/>
        <c:lblAlgn val="ctr"/>
        <c:lblOffset val="100"/>
        <c:noMultiLvlLbl val="0"/>
      </c:catAx>
      <c:valAx>
        <c:axId val="-886370288"/>
        <c:scaling>
          <c:orientation val="minMax"/>
        </c:scaling>
        <c:delete val="1"/>
        <c:axPos val="b"/>
        <c:numFmt formatCode="General" sourceLinked="1"/>
        <c:majorTickMark val="none"/>
        <c:minorTickMark val="none"/>
        <c:tickLblPos val="nextTo"/>
        <c:crossAx val="-886363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a:t>Junik</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612C-4D04-8827-50EE9BA132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Junik!$B$19:$E$19</c:f>
              <c:strCache>
                <c:ptCount val="4"/>
                <c:pt idx="0">
                  <c:v>Qeverisja 
demokratike</c:v>
                </c:pt>
                <c:pt idx="1">
                  <c:v>Menaxhimi 
komunal</c:v>
                </c:pt>
                <c:pt idx="2">
                  <c:v>Ofrimi i 
shërbimeve</c:v>
                </c:pt>
                <c:pt idx="3">
                  <c:v>Total</c:v>
                </c:pt>
              </c:strCache>
            </c:strRef>
          </c:cat>
          <c:val>
            <c:numRef>
              <c:f>Junik!$B$20:$E$20</c:f>
              <c:numCache>
                <c:formatCode>0.00</c:formatCode>
                <c:ptCount val="4"/>
                <c:pt idx="0">
                  <c:v>70</c:v>
                </c:pt>
                <c:pt idx="1">
                  <c:v>35.714285714285715</c:v>
                </c:pt>
                <c:pt idx="2">
                  <c:v>46.666666666666664</c:v>
                </c:pt>
                <c:pt idx="3">
                  <c:v>53.061224489795919</c:v>
                </c:pt>
              </c:numCache>
            </c:numRef>
          </c:val>
          <c:extLst xmlns:c16r2="http://schemas.microsoft.com/office/drawing/2015/06/chart">
            <c:ext xmlns:c16="http://schemas.microsoft.com/office/drawing/2014/chart" uri="{C3380CC4-5D6E-409C-BE32-E72D297353CC}">
              <c16:uniqueId val="{00000000-612C-4D04-8827-50EE9BA13273}"/>
            </c:ext>
          </c:extLst>
        </c:ser>
        <c:dLbls>
          <c:showLegendKey val="0"/>
          <c:showVal val="0"/>
          <c:showCatName val="0"/>
          <c:showSerName val="0"/>
          <c:showPercent val="0"/>
          <c:showBubbleSize val="0"/>
        </c:dLbls>
        <c:gapWidth val="100"/>
        <c:overlap val="-24"/>
        <c:axId val="-886343632"/>
        <c:axId val="-886369744"/>
      </c:barChart>
      <c:catAx>
        <c:axId val="-8863436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369744"/>
        <c:crosses val="autoZero"/>
        <c:auto val="1"/>
        <c:lblAlgn val="ctr"/>
        <c:lblOffset val="100"/>
        <c:noMultiLvlLbl val="0"/>
      </c:catAx>
      <c:valAx>
        <c:axId val="-88636974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86343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b="0">
                <a:latin typeface="Aptos (Body)"/>
              </a:rPr>
              <a:t>Kaçanik</a:t>
            </a:r>
          </a:p>
        </c:rich>
      </c:tx>
      <c:layout>
        <c:manualLayout>
          <c:xMode val="edge"/>
          <c:yMode val="edge"/>
          <c:x val="0.39776750782838444"/>
          <c:y val="3.40522133938706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lumMod val="60000"/>
                <a:lumOff val="40000"/>
              </a:schemeClr>
            </a:solidFill>
            <a:ln>
              <a:noFill/>
            </a:ln>
            <a:effectLst/>
          </c:spPr>
          <c:invertIfNegative val="0"/>
          <c:dPt>
            <c:idx val="0"/>
            <c:invertIfNegative val="0"/>
            <c:bubble3D val="0"/>
            <c:spPr>
              <a:solidFill>
                <a:srgbClr val="4EA72E"/>
              </a:solidFill>
              <a:ln>
                <a:noFill/>
              </a:ln>
              <a:effectLst/>
            </c:spPr>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F422-4A9C-B1B6-191042F04042}"/>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2-F422-4A9C-B1B6-191042F04042}"/>
              </c:ext>
            </c:extLst>
          </c:dPt>
          <c:dPt>
            <c:idx val="3"/>
            <c:invertIfNegative val="0"/>
            <c:bubble3D val="0"/>
            <c:spPr>
              <a:solidFill>
                <a:srgbClr val="4EA72E"/>
              </a:solidFill>
              <a:ln>
                <a:noFill/>
              </a:ln>
              <a:effectLst/>
            </c:spPr>
          </c:dPt>
          <c:cat>
            <c:strRef>
              <c:f>Kaçanik!$B$2:$E$2</c:f>
              <c:strCache>
                <c:ptCount val="4"/>
                <c:pt idx="0">
                  <c:v>Komunat duhet të kenë raportuar të dhënat në SMPK sipas afatit të përcaktuar në nenin 19.2 të Ligjit për SMPK/GPK</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Kaçanik!$B$3:$E$3</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0-F422-4A9C-B1B6-191042F04042}"/>
            </c:ext>
          </c:extLst>
        </c:ser>
        <c:dLbls>
          <c:showLegendKey val="0"/>
          <c:showVal val="0"/>
          <c:showCatName val="0"/>
          <c:showSerName val="0"/>
          <c:showPercent val="0"/>
          <c:showBubbleSize val="0"/>
        </c:dLbls>
        <c:gapWidth val="182"/>
        <c:axId val="-886352336"/>
        <c:axId val="-886352880"/>
      </c:barChart>
      <c:catAx>
        <c:axId val="-886352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86352880"/>
        <c:crosses val="autoZero"/>
        <c:auto val="1"/>
        <c:lblAlgn val="ctr"/>
        <c:lblOffset val="100"/>
        <c:noMultiLvlLbl val="0"/>
      </c:catAx>
      <c:valAx>
        <c:axId val="-886352880"/>
        <c:scaling>
          <c:orientation val="minMax"/>
        </c:scaling>
        <c:delete val="1"/>
        <c:axPos val="b"/>
        <c:numFmt formatCode="General" sourceLinked="1"/>
        <c:majorTickMark val="none"/>
        <c:minorTickMark val="none"/>
        <c:tickLblPos val="nextTo"/>
        <c:crossAx val="-886352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Kushtet minimale GPK 2024-2026</a:t>
            </a:r>
          </a:p>
        </c:rich>
      </c:tx>
      <c:layout>
        <c:manualLayout>
          <c:xMode val="edge"/>
          <c:yMode val="edge"/>
          <c:x val="0.11661203856920307"/>
          <c:y val="3.3361134278565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Word]met'!$C$21:$E$21</c:f>
              <c:numCache>
                <c:formatCode>General</c:formatCode>
                <c:ptCount val="3"/>
                <c:pt idx="0">
                  <c:v>2024</c:v>
                </c:pt>
                <c:pt idx="1">
                  <c:v>2025</c:v>
                </c:pt>
                <c:pt idx="2">
                  <c:v>2026</c:v>
                </c:pt>
              </c:numCache>
            </c:numRef>
          </c:cat>
          <c:val>
            <c:numRef>
              <c:f>'[Chart in Microsoft Word]met'!$C$22:$E$22</c:f>
              <c:numCache>
                <c:formatCode>General</c:formatCode>
                <c:ptCount val="3"/>
                <c:pt idx="0">
                  <c:v>11</c:v>
                </c:pt>
                <c:pt idx="1">
                  <c:v>12</c:v>
                </c:pt>
                <c:pt idx="2">
                  <c:v>5</c:v>
                </c:pt>
              </c:numCache>
            </c:numRef>
          </c:val>
          <c:extLst xmlns:c16r2="http://schemas.microsoft.com/office/drawing/2015/06/chart">
            <c:ext xmlns:c16="http://schemas.microsoft.com/office/drawing/2014/chart" uri="{C3380CC4-5D6E-409C-BE32-E72D297353CC}">
              <c16:uniqueId val="{00000000-3C13-42BC-9555-9591AE7AAFD4}"/>
            </c:ext>
          </c:extLst>
        </c:ser>
        <c:dLbls>
          <c:dLblPos val="outEnd"/>
          <c:showLegendKey val="0"/>
          <c:showVal val="1"/>
          <c:showCatName val="0"/>
          <c:showSerName val="0"/>
          <c:showPercent val="0"/>
          <c:showBubbleSize val="0"/>
        </c:dLbls>
        <c:gapWidth val="219"/>
        <c:overlap val="-27"/>
        <c:axId val="-983720000"/>
        <c:axId val="-983719456"/>
      </c:barChart>
      <c:catAx>
        <c:axId val="-98372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3719456"/>
        <c:crosses val="autoZero"/>
        <c:auto val="1"/>
        <c:lblAlgn val="ctr"/>
        <c:lblOffset val="100"/>
        <c:noMultiLvlLbl val="0"/>
      </c:catAx>
      <c:valAx>
        <c:axId val="-9837194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83720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0"/>
              <a:t>Kaçanik</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7137-406B-BCF7-5982942878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Kaçanik!$B$19:$E$19</c:f>
              <c:strCache>
                <c:ptCount val="4"/>
                <c:pt idx="0">
                  <c:v>Qeverisja 
demokratike</c:v>
                </c:pt>
                <c:pt idx="1">
                  <c:v>Menaxhimi 
komunal</c:v>
                </c:pt>
                <c:pt idx="2">
                  <c:v>Ofrimi i 
shërbimeve</c:v>
                </c:pt>
                <c:pt idx="3">
                  <c:v>Total</c:v>
                </c:pt>
              </c:strCache>
            </c:strRef>
          </c:cat>
          <c:val>
            <c:numRef>
              <c:f>Kaçanik!$B$20:$E$20</c:f>
              <c:numCache>
                <c:formatCode>0.00</c:formatCode>
                <c:ptCount val="4"/>
                <c:pt idx="0">
                  <c:v>60</c:v>
                </c:pt>
                <c:pt idx="1">
                  <c:v>28.571428571428569</c:v>
                </c:pt>
                <c:pt idx="2">
                  <c:v>23.333333333333332</c:v>
                </c:pt>
                <c:pt idx="3">
                  <c:v>39.795918367346935</c:v>
                </c:pt>
              </c:numCache>
            </c:numRef>
          </c:val>
          <c:extLst xmlns:c16r2="http://schemas.microsoft.com/office/drawing/2015/06/chart">
            <c:ext xmlns:c16="http://schemas.microsoft.com/office/drawing/2014/chart" uri="{C3380CC4-5D6E-409C-BE32-E72D297353CC}">
              <c16:uniqueId val="{00000000-7137-406B-BCF7-598294287846}"/>
            </c:ext>
          </c:extLst>
        </c:ser>
        <c:dLbls>
          <c:showLegendKey val="0"/>
          <c:showVal val="0"/>
          <c:showCatName val="0"/>
          <c:showSerName val="0"/>
          <c:showPercent val="0"/>
          <c:showBubbleSize val="0"/>
        </c:dLbls>
        <c:gapWidth val="100"/>
        <c:overlap val="-24"/>
        <c:axId val="-886346352"/>
        <c:axId val="-886350704"/>
      </c:barChart>
      <c:catAx>
        <c:axId val="-8863463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350704"/>
        <c:crosses val="autoZero"/>
        <c:auto val="1"/>
        <c:lblAlgn val="ctr"/>
        <c:lblOffset val="100"/>
        <c:noMultiLvlLbl val="0"/>
      </c:catAx>
      <c:valAx>
        <c:axId val="-88635070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86346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a:t>Kamenicë</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lumMod val="60000"/>
                <a:lumOff val="40000"/>
              </a:schemeClr>
            </a:solidFill>
            <a:ln>
              <a:noFill/>
            </a:ln>
            <a:effectLst/>
          </c:spPr>
          <c:invertIfNegative val="0"/>
          <c:dPt>
            <c:idx val="0"/>
            <c:invertIfNegative val="0"/>
            <c:bubble3D val="0"/>
            <c:spPr>
              <a:solidFill>
                <a:srgbClr val="4EA72E"/>
              </a:solidFill>
              <a:ln>
                <a:noFill/>
              </a:ln>
              <a:effectLst/>
            </c:spPr>
          </c:dPt>
          <c:dPt>
            <c:idx val="1"/>
            <c:invertIfNegative val="0"/>
            <c:bubble3D val="0"/>
            <c:spPr>
              <a:solidFill>
                <a:srgbClr val="4EA72E"/>
              </a:solidFill>
              <a:ln>
                <a:noFill/>
              </a:ln>
              <a:effectLst/>
            </c:spPr>
          </c:dPt>
          <c:dPt>
            <c:idx val="2"/>
            <c:invertIfNegative val="0"/>
            <c:bubble3D val="0"/>
            <c:spPr>
              <a:solidFill>
                <a:srgbClr val="4EA72E"/>
              </a:solidFill>
              <a:ln>
                <a:noFill/>
              </a:ln>
              <a:effectLst/>
            </c:spPr>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2-0BF8-416E-8803-982C0AF684E3}"/>
              </c:ext>
            </c:extLst>
          </c:dPt>
          <c:cat>
            <c:strRef>
              <c:f>Kamenicë!$B$2:$E$2</c:f>
              <c:strCache>
                <c:ptCount val="4"/>
                <c:pt idx="0">
                  <c:v>Komunat duhet të kenë raportuar të dhënat në SMPK sipas afatit të përcaktuar në nenin 19.2 të Ligjit për SMPK/GPK</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Kamenicë!$B$3:$E$3</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0-0BF8-416E-8803-982C0AF684E3}"/>
            </c:ext>
          </c:extLst>
        </c:ser>
        <c:dLbls>
          <c:showLegendKey val="0"/>
          <c:showVal val="0"/>
          <c:showCatName val="0"/>
          <c:showSerName val="0"/>
          <c:showPercent val="0"/>
          <c:showBubbleSize val="0"/>
        </c:dLbls>
        <c:gapWidth val="182"/>
        <c:axId val="-886345808"/>
        <c:axId val="-886368656"/>
      </c:barChart>
      <c:catAx>
        <c:axId val="-886345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86368656"/>
        <c:crosses val="autoZero"/>
        <c:auto val="1"/>
        <c:lblAlgn val="ctr"/>
        <c:lblOffset val="100"/>
        <c:noMultiLvlLbl val="0"/>
      </c:catAx>
      <c:valAx>
        <c:axId val="-886368656"/>
        <c:scaling>
          <c:orientation val="minMax"/>
        </c:scaling>
        <c:delete val="1"/>
        <c:axPos val="b"/>
        <c:numFmt formatCode="General" sourceLinked="1"/>
        <c:majorTickMark val="none"/>
        <c:minorTickMark val="none"/>
        <c:tickLblPos val="nextTo"/>
        <c:crossAx val="-886345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a:t>Kamenicë</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C71F-4A20-8AD0-C06DEEEF38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Kamenicë!$B$19:$E$19</c:f>
              <c:strCache>
                <c:ptCount val="4"/>
                <c:pt idx="0">
                  <c:v>Qeverisja 
demokratike</c:v>
                </c:pt>
                <c:pt idx="1">
                  <c:v>Menaxhimi 
komunal</c:v>
                </c:pt>
                <c:pt idx="2">
                  <c:v>Ofrimi i 
shërbimeve</c:v>
                </c:pt>
                <c:pt idx="3">
                  <c:v>Total</c:v>
                </c:pt>
              </c:strCache>
            </c:strRef>
          </c:cat>
          <c:val>
            <c:numRef>
              <c:f>Kamenicë!$B$20:$E$20</c:f>
              <c:numCache>
                <c:formatCode>0.00</c:formatCode>
                <c:ptCount val="4"/>
                <c:pt idx="0">
                  <c:v>35</c:v>
                </c:pt>
                <c:pt idx="1">
                  <c:v>32.142857142857146</c:v>
                </c:pt>
                <c:pt idx="2">
                  <c:v>30</c:v>
                </c:pt>
                <c:pt idx="3">
                  <c:v>32.653061224489797</c:v>
                </c:pt>
              </c:numCache>
            </c:numRef>
          </c:val>
          <c:extLst xmlns:c16r2="http://schemas.microsoft.com/office/drawing/2015/06/chart">
            <c:ext xmlns:c16="http://schemas.microsoft.com/office/drawing/2014/chart" uri="{C3380CC4-5D6E-409C-BE32-E72D297353CC}">
              <c16:uniqueId val="{00000000-C71F-4A20-8AD0-C06DEEEF3882}"/>
            </c:ext>
          </c:extLst>
        </c:ser>
        <c:dLbls>
          <c:showLegendKey val="0"/>
          <c:showVal val="0"/>
          <c:showCatName val="0"/>
          <c:showSerName val="0"/>
          <c:showPercent val="0"/>
          <c:showBubbleSize val="0"/>
        </c:dLbls>
        <c:gapWidth val="100"/>
        <c:overlap val="-24"/>
        <c:axId val="-886361040"/>
        <c:axId val="-886367568"/>
      </c:barChart>
      <c:catAx>
        <c:axId val="-8863610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367568"/>
        <c:crosses val="autoZero"/>
        <c:auto val="1"/>
        <c:lblAlgn val="ctr"/>
        <c:lblOffset val="100"/>
        <c:noMultiLvlLbl val="0"/>
      </c:catAx>
      <c:valAx>
        <c:axId val="-88636756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86361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lgn="ctr" rtl="0">
            <a:defRPr lang="en-US" sz="1400" b="0" i="0"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Sheet1!$C$116</c:f>
              <c:strCache>
                <c:ptCount val="1"/>
                <c:pt idx="0">
                  <c:v>Klinë</c:v>
                </c:pt>
              </c:strCache>
            </c:strRef>
          </c:tx>
          <c:spPr>
            <a:solidFill>
              <a:schemeClr val="accent6"/>
            </a:solidFill>
            <a:ln>
              <a:noFill/>
            </a:ln>
            <a:effectLst/>
          </c:spPr>
          <c:invertIfNegative val="0"/>
          <c:dPt>
            <c:idx val="1"/>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33CA-4A58-83E9-263B25D0E97E}"/>
              </c:ext>
            </c:extLst>
          </c:dPt>
          <c:cat>
            <c:strRef>
              <c:f>Sheet1!$B$117:$B$120</c:f>
              <c:strCache>
                <c:ptCount val="4"/>
                <c:pt idx="0">
                  <c:v>Komunat duhet të kenë raportuar të dhënat në SMPK sipas afatit të përcaktuar </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Sheet1!$C$117:$C$120</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2-33CA-4A58-83E9-263B25D0E97E}"/>
            </c:ext>
          </c:extLst>
        </c:ser>
        <c:dLbls>
          <c:showLegendKey val="0"/>
          <c:showVal val="0"/>
          <c:showCatName val="0"/>
          <c:showSerName val="0"/>
          <c:showPercent val="0"/>
          <c:showBubbleSize val="0"/>
        </c:dLbls>
        <c:gapWidth val="150"/>
        <c:axId val="-886360496"/>
        <c:axId val="-886359952"/>
      </c:barChart>
      <c:catAx>
        <c:axId val="-886360496"/>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886359952"/>
        <c:crosses val="autoZero"/>
        <c:auto val="1"/>
        <c:lblAlgn val="ctr"/>
        <c:lblOffset val="100"/>
        <c:noMultiLvlLbl val="0"/>
      </c:catAx>
      <c:valAx>
        <c:axId val="-886359952"/>
        <c:scaling>
          <c:orientation val="minMax"/>
        </c:scaling>
        <c:delete val="1"/>
        <c:axPos val="b"/>
        <c:numFmt formatCode="General" sourceLinked="1"/>
        <c:majorTickMark val="out"/>
        <c:minorTickMark val="none"/>
        <c:tickLblPos val="nextTo"/>
        <c:crossAx val="-886360496"/>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a:t>Klinë</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B910-4DFA-A785-826052E099E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Klinë!$B$19:$E$19</c:f>
              <c:strCache>
                <c:ptCount val="4"/>
                <c:pt idx="0">
                  <c:v>Qeverisja 
demokratike</c:v>
                </c:pt>
                <c:pt idx="1">
                  <c:v>Menaxhimi 
komunal</c:v>
                </c:pt>
                <c:pt idx="2">
                  <c:v>Ofrimi i 
shërbimeve</c:v>
                </c:pt>
                <c:pt idx="3">
                  <c:v>Total</c:v>
                </c:pt>
              </c:strCache>
            </c:strRef>
          </c:cat>
          <c:val>
            <c:numRef>
              <c:f>Klinë!$B$20:$E$20</c:f>
              <c:numCache>
                <c:formatCode>0.00</c:formatCode>
                <c:ptCount val="4"/>
                <c:pt idx="0">
                  <c:v>85</c:v>
                </c:pt>
                <c:pt idx="1">
                  <c:v>39.285714285714285</c:v>
                </c:pt>
                <c:pt idx="2">
                  <c:v>43.333333333333336</c:v>
                </c:pt>
                <c:pt idx="3">
                  <c:v>59.183673469387756</c:v>
                </c:pt>
              </c:numCache>
            </c:numRef>
          </c:val>
          <c:extLst xmlns:c16r2="http://schemas.microsoft.com/office/drawing/2015/06/chart">
            <c:ext xmlns:c16="http://schemas.microsoft.com/office/drawing/2014/chart" uri="{C3380CC4-5D6E-409C-BE32-E72D297353CC}">
              <c16:uniqueId val="{00000000-B910-4DFA-A785-826052E099E4}"/>
            </c:ext>
          </c:extLst>
        </c:ser>
        <c:dLbls>
          <c:showLegendKey val="0"/>
          <c:showVal val="0"/>
          <c:showCatName val="0"/>
          <c:showSerName val="0"/>
          <c:showPercent val="0"/>
          <c:showBubbleSize val="0"/>
        </c:dLbls>
        <c:gapWidth val="100"/>
        <c:overlap val="-24"/>
        <c:axId val="-878494672"/>
        <c:axId val="-878491408"/>
      </c:barChart>
      <c:catAx>
        <c:axId val="-8784946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491408"/>
        <c:crosses val="autoZero"/>
        <c:auto val="1"/>
        <c:lblAlgn val="ctr"/>
        <c:lblOffset val="100"/>
        <c:noMultiLvlLbl val="0"/>
      </c:catAx>
      <c:valAx>
        <c:axId val="-87849140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78494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a:t>Kllokot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rgbClr val="FF0000"/>
            </a:solidFill>
            <a:ln>
              <a:noFill/>
            </a:ln>
            <a:effectLst/>
          </c:spPr>
          <c:invertIfNegative val="0"/>
          <c:dPt>
            <c:idx val="1"/>
            <c:invertIfNegative val="0"/>
            <c:bubble3D val="0"/>
            <c:spPr>
              <a:solidFill>
                <a:srgbClr val="4EA72E"/>
              </a:solidFill>
              <a:ln>
                <a:noFill/>
              </a:ln>
              <a:effectLst/>
            </c:spPr>
            <c:extLst xmlns:c16r2="http://schemas.microsoft.com/office/drawing/2015/06/chart">
              <c:ext xmlns:c16="http://schemas.microsoft.com/office/drawing/2014/chart" uri="{C3380CC4-5D6E-409C-BE32-E72D297353CC}">
                <c16:uniqueId val="{00000002-30BA-4D2E-834F-C60E5794A1A9}"/>
              </c:ext>
            </c:extLst>
          </c:dPt>
          <c:cat>
            <c:strRef>
              <c:f>Kllokot!$B$2:$E$2</c:f>
              <c:strCache>
                <c:ptCount val="4"/>
                <c:pt idx="0">
                  <c:v>Komunat duhet të kenë raportuar të dhënat në SMPK sipas afatit të përcaktuar në nenin 19.2 të Ligjit për SMPK/GPK</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Kllokot!$B$3:$E$3</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0-30BA-4D2E-834F-C60E5794A1A9}"/>
            </c:ext>
          </c:extLst>
        </c:ser>
        <c:dLbls>
          <c:showLegendKey val="0"/>
          <c:showVal val="0"/>
          <c:showCatName val="0"/>
          <c:showSerName val="0"/>
          <c:showPercent val="0"/>
          <c:showBubbleSize val="0"/>
        </c:dLbls>
        <c:gapWidth val="182"/>
        <c:axId val="-878503920"/>
        <c:axId val="-878484880"/>
      </c:barChart>
      <c:catAx>
        <c:axId val="-878503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78484880"/>
        <c:crosses val="autoZero"/>
        <c:auto val="1"/>
        <c:lblAlgn val="ctr"/>
        <c:lblOffset val="100"/>
        <c:noMultiLvlLbl val="0"/>
      </c:catAx>
      <c:valAx>
        <c:axId val="-878484880"/>
        <c:scaling>
          <c:orientation val="minMax"/>
        </c:scaling>
        <c:delete val="1"/>
        <c:axPos val="b"/>
        <c:numFmt formatCode="General" sourceLinked="1"/>
        <c:majorTickMark val="none"/>
        <c:minorTickMark val="none"/>
        <c:tickLblPos val="nextTo"/>
        <c:crossAx val="-878503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b="0">
                <a:solidFill>
                  <a:sysClr val="windowText" lastClr="000000"/>
                </a:solidFill>
              </a:rPr>
              <a:t>Kllokot</a:t>
            </a:r>
          </a:p>
          <a:p>
            <a:pPr>
              <a:defRPr sz="1400" b="0">
                <a:solidFill>
                  <a:sysClr val="windowText" lastClr="000000"/>
                </a:solidFill>
              </a:defRPr>
            </a:pPr>
            <a:r>
              <a:rPr lang="en-US" sz="1400" b="0">
                <a:solidFill>
                  <a:sysClr val="windowText" lastClr="000000"/>
                </a:solidFill>
              </a:rPr>
              <a:t> </a:t>
            </a:r>
          </a:p>
        </c:rich>
      </c:tx>
      <c:layout>
        <c:manualLayout>
          <c:xMode val="edge"/>
          <c:yMode val="edge"/>
          <c:x val="0.40658038434850818"/>
          <c:y val="5.0697084917617234E-3"/>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609492563429571"/>
          <c:y val="0.10802784380725994"/>
          <c:w val="0.85334951881014875"/>
          <c:h val="0.66180699995047776"/>
        </c:manualLayout>
      </c:layout>
      <c:barChart>
        <c:barDir val="col"/>
        <c:grouping val="clustered"/>
        <c:varyColors val="0"/>
        <c:ser>
          <c:idx val="0"/>
          <c:order val="0"/>
          <c:tx>
            <c:strRef>
              <c:f>'Alb 2023'!$O$44</c:f>
              <c:strCache>
                <c:ptCount val="1"/>
                <c:pt idx="0">
                  <c:v>Qeverisja demokratike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'Alb 2023'!$O$45</c:f>
              <c:numCache>
                <c:formatCode>0.00%</c:formatCode>
                <c:ptCount val="1"/>
                <c:pt idx="0">
                  <c:v>0</c:v>
                </c:pt>
              </c:numCache>
            </c:numRef>
          </c:val>
          <c:extLst xmlns:c16r2="http://schemas.microsoft.com/office/drawing/2015/06/chart">
            <c:ext xmlns:c16="http://schemas.microsoft.com/office/drawing/2014/chart" uri="{C3380CC4-5D6E-409C-BE32-E72D297353CC}">
              <c16:uniqueId val="{00000000-4583-4880-969E-27F1CFE47272}"/>
            </c:ext>
          </c:extLst>
        </c:ser>
        <c:ser>
          <c:idx val="1"/>
          <c:order val="1"/>
          <c:tx>
            <c:strRef>
              <c:f>'Alb 2023'!$P$44</c:f>
              <c:strCache>
                <c:ptCount val="1"/>
                <c:pt idx="0">
                  <c:v>Menaxhimi komunal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'Alb 2023'!$P$45</c:f>
              <c:numCache>
                <c:formatCode>0.00%</c:formatCode>
                <c:ptCount val="1"/>
                <c:pt idx="0">
                  <c:v>0</c:v>
                </c:pt>
              </c:numCache>
            </c:numRef>
          </c:val>
          <c:extLst xmlns:c16r2="http://schemas.microsoft.com/office/drawing/2015/06/chart">
            <c:ext xmlns:c16="http://schemas.microsoft.com/office/drawing/2014/chart" uri="{C3380CC4-5D6E-409C-BE32-E72D297353CC}">
              <c16:uniqueId val="{00000001-4583-4880-969E-27F1CFE47272}"/>
            </c:ext>
          </c:extLst>
        </c:ser>
        <c:ser>
          <c:idx val="2"/>
          <c:order val="2"/>
          <c:tx>
            <c:strRef>
              <c:f>'Alb 2023'!$Q$44</c:f>
              <c:strCache>
                <c:ptCount val="1"/>
                <c:pt idx="0">
                  <c:v>Ofrimi i shërbimeve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'Alb 2023'!$Q$45</c:f>
              <c:numCache>
                <c:formatCode>0.00%</c:formatCode>
                <c:ptCount val="1"/>
                <c:pt idx="0">
                  <c:v>0</c:v>
                </c:pt>
              </c:numCache>
            </c:numRef>
          </c:val>
          <c:extLst xmlns:c16r2="http://schemas.microsoft.com/office/drawing/2015/06/chart">
            <c:ext xmlns:c16="http://schemas.microsoft.com/office/drawing/2014/chart" uri="{C3380CC4-5D6E-409C-BE32-E72D297353CC}">
              <c16:uniqueId val="{00000002-4583-4880-969E-27F1CFE47272}"/>
            </c:ext>
          </c:extLst>
        </c:ser>
        <c:ser>
          <c:idx val="3"/>
          <c:order val="3"/>
          <c:tx>
            <c:strRef>
              <c:f>'Alb 2023'!$R$44</c:f>
              <c:strCache>
                <c:ptCount val="1"/>
                <c:pt idx="0">
                  <c:v>Performanca e përgjithshme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'Alb 2023'!$R$45</c:f>
              <c:numCache>
                <c:formatCode>0.00%</c:formatCode>
                <c:ptCount val="1"/>
                <c:pt idx="0">
                  <c:v>0</c:v>
                </c:pt>
              </c:numCache>
            </c:numRef>
          </c:val>
          <c:extLst xmlns:c16r2="http://schemas.microsoft.com/office/drawing/2015/06/chart">
            <c:ext xmlns:c16="http://schemas.microsoft.com/office/drawing/2014/chart" uri="{C3380CC4-5D6E-409C-BE32-E72D297353CC}">
              <c16:uniqueId val="{00000003-4583-4880-969E-27F1CFE47272}"/>
            </c:ext>
          </c:extLst>
        </c:ser>
        <c:dLbls>
          <c:showLegendKey val="0"/>
          <c:showVal val="1"/>
          <c:showCatName val="0"/>
          <c:showSerName val="0"/>
          <c:showPercent val="0"/>
          <c:showBubbleSize val="0"/>
        </c:dLbls>
        <c:gapWidth val="100"/>
        <c:overlap val="-24"/>
        <c:axId val="-878500112"/>
        <c:axId val="-878487056"/>
      </c:barChart>
      <c:catAx>
        <c:axId val="-878500112"/>
        <c:scaling>
          <c:orientation val="minMax"/>
        </c:scaling>
        <c:delete val="1"/>
        <c:axPos val="b"/>
        <c:numFmt formatCode="General" sourceLinked="1"/>
        <c:majorTickMark val="none"/>
        <c:minorTickMark val="none"/>
        <c:tickLblPos val="nextTo"/>
        <c:crossAx val="-878487056"/>
        <c:crosses val="autoZero"/>
        <c:auto val="1"/>
        <c:lblAlgn val="ctr"/>
        <c:lblOffset val="100"/>
        <c:noMultiLvlLbl val="0"/>
      </c:catAx>
      <c:valAx>
        <c:axId val="-878487056"/>
        <c:scaling>
          <c:orientation val="minMax"/>
          <c:max val="1"/>
          <c:min val="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878500112"/>
        <c:crosses val="autoZero"/>
        <c:crossBetween val="between"/>
      </c:valAx>
      <c:spPr>
        <a:noFill/>
        <a:ln>
          <a:noFill/>
        </a:ln>
        <a:effectLst/>
      </c:spPr>
    </c:plotArea>
    <c:legend>
      <c:legendPos val="b"/>
      <c:layout>
        <c:manualLayout>
          <c:xMode val="edge"/>
          <c:yMode val="edge"/>
          <c:x val="0.26833076899870273"/>
          <c:y val="0.79183028156983337"/>
          <c:w val="0.62302532205356165"/>
          <c:h val="0.1789722923785470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lgn="ctr" rtl="0">
            <a:defRPr lang="en-US" sz="1400" b="0" i="0"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Sheet1!$C$128</c:f>
              <c:strCache>
                <c:ptCount val="1"/>
                <c:pt idx="0">
                  <c:v>Leposaviq</c:v>
                </c:pt>
              </c:strCache>
            </c:strRef>
          </c:tx>
          <c:spPr>
            <a:solidFill>
              <a:srgbClr val="FF0000"/>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ED3A-4B01-998D-6A069DAD8567}"/>
              </c:ext>
            </c:extLst>
          </c:dPt>
          <c:dPt>
            <c:idx val="1"/>
            <c:invertIfNegative val="0"/>
            <c:bubble3D val="0"/>
            <c:spPr>
              <a:solidFill>
                <a:schemeClr val="accent6"/>
              </a:solidFill>
              <a:ln>
                <a:noFill/>
              </a:ln>
              <a:effectLst/>
            </c:spPr>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ED3A-4B01-998D-6A069DAD8567}"/>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ED3A-4B01-998D-6A069DAD8567}"/>
              </c:ext>
            </c:extLst>
          </c:dPt>
          <c:cat>
            <c:strRef>
              <c:f>Sheet1!$B$129:$B$132</c:f>
              <c:strCache>
                <c:ptCount val="4"/>
                <c:pt idx="0">
                  <c:v>Komunat duhet të kenë raportuar të dhënat në SMPK sipas afatit të përcaktuar </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Sheet1!$C$129:$C$132</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4-ED3A-4B01-998D-6A069DAD8567}"/>
            </c:ext>
          </c:extLst>
        </c:ser>
        <c:dLbls>
          <c:showLegendKey val="0"/>
          <c:showVal val="0"/>
          <c:showCatName val="0"/>
          <c:showSerName val="0"/>
          <c:showPercent val="0"/>
          <c:showBubbleSize val="0"/>
        </c:dLbls>
        <c:gapWidth val="150"/>
        <c:axId val="-878478352"/>
        <c:axId val="-878493040"/>
      </c:barChart>
      <c:catAx>
        <c:axId val="-878478352"/>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878493040"/>
        <c:crosses val="autoZero"/>
        <c:auto val="1"/>
        <c:lblAlgn val="ctr"/>
        <c:lblOffset val="100"/>
        <c:noMultiLvlLbl val="0"/>
      </c:catAx>
      <c:valAx>
        <c:axId val="-878493040"/>
        <c:scaling>
          <c:orientation val="minMax"/>
        </c:scaling>
        <c:delete val="1"/>
        <c:axPos val="b"/>
        <c:numFmt formatCode="General" sourceLinked="1"/>
        <c:majorTickMark val="out"/>
        <c:minorTickMark val="none"/>
        <c:tickLblPos val="nextTo"/>
        <c:crossAx val="-878478352"/>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b="0">
                <a:solidFill>
                  <a:sysClr val="windowText" lastClr="000000"/>
                </a:solidFill>
              </a:rPr>
              <a:t>Leposaviq </a:t>
            </a:r>
          </a:p>
        </c:rich>
      </c:tx>
      <c:layout>
        <c:manualLayout>
          <c:xMode val="edge"/>
          <c:yMode val="edge"/>
          <c:x val="0.37656107641717201"/>
          <c:y val="1.0139416983523447E-2"/>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609492563429571"/>
          <c:y val="0.10802784380725994"/>
          <c:w val="0.85334951881014875"/>
          <c:h val="0.66180699995047776"/>
        </c:manualLayout>
      </c:layout>
      <c:barChart>
        <c:barDir val="col"/>
        <c:grouping val="clustered"/>
        <c:varyColors val="0"/>
        <c:ser>
          <c:idx val="0"/>
          <c:order val="0"/>
          <c:tx>
            <c:strRef>
              <c:f>'Alb 2023'!$O$44</c:f>
              <c:strCache>
                <c:ptCount val="1"/>
                <c:pt idx="0">
                  <c:v>Qeverisja demokratike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'Alb 2023'!$O$45</c:f>
              <c:numCache>
                <c:formatCode>0.00%</c:formatCode>
                <c:ptCount val="1"/>
                <c:pt idx="0">
                  <c:v>0</c:v>
                </c:pt>
              </c:numCache>
            </c:numRef>
          </c:val>
          <c:extLst xmlns:c16r2="http://schemas.microsoft.com/office/drawing/2015/06/chart">
            <c:ext xmlns:c16="http://schemas.microsoft.com/office/drawing/2014/chart" uri="{C3380CC4-5D6E-409C-BE32-E72D297353CC}">
              <c16:uniqueId val="{00000000-4583-4880-969E-27F1CFE47272}"/>
            </c:ext>
          </c:extLst>
        </c:ser>
        <c:ser>
          <c:idx val="1"/>
          <c:order val="1"/>
          <c:tx>
            <c:strRef>
              <c:f>'Alb 2023'!$P$44</c:f>
              <c:strCache>
                <c:ptCount val="1"/>
                <c:pt idx="0">
                  <c:v>Menaxhimi komunal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'Alb 2023'!$P$45</c:f>
              <c:numCache>
                <c:formatCode>0.00%</c:formatCode>
                <c:ptCount val="1"/>
                <c:pt idx="0">
                  <c:v>0</c:v>
                </c:pt>
              </c:numCache>
            </c:numRef>
          </c:val>
          <c:extLst xmlns:c16r2="http://schemas.microsoft.com/office/drawing/2015/06/chart">
            <c:ext xmlns:c16="http://schemas.microsoft.com/office/drawing/2014/chart" uri="{C3380CC4-5D6E-409C-BE32-E72D297353CC}">
              <c16:uniqueId val="{00000001-4583-4880-969E-27F1CFE47272}"/>
            </c:ext>
          </c:extLst>
        </c:ser>
        <c:ser>
          <c:idx val="2"/>
          <c:order val="2"/>
          <c:tx>
            <c:strRef>
              <c:f>'Alb 2023'!$Q$44</c:f>
              <c:strCache>
                <c:ptCount val="1"/>
                <c:pt idx="0">
                  <c:v>Ofrimi i shërbimeve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'Alb 2023'!$Q$45</c:f>
              <c:numCache>
                <c:formatCode>0.00%</c:formatCode>
                <c:ptCount val="1"/>
                <c:pt idx="0">
                  <c:v>0</c:v>
                </c:pt>
              </c:numCache>
            </c:numRef>
          </c:val>
          <c:extLst xmlns:c16r2="http://schemas.microsoft.com/office/drawing/2015/06/chart">
            <c:ext xmlns:c16="http://schemas.microsoft.com/office/drawing/2014/chart" uri="{C3380CC4-5D6E-409C-BE32-E72D297353CC}">
              <c16:uniqueId val="{00000002-4583-4880-969E-27F1CFE47272}"/>
            </c:ext>
          </c:extLst>
        </c:ser>
        <c:ser>
          <c:idx val="3"/>
          <c:order val="3"/>
          <c:tx>
            <c:strRef>
              <c:f>'Alb 2023'!$R$44</c:f>
              <c:strCache>
                <c:ptCount val="1"/>
                <c:pt idx="0">
                  <c:v>Performanca e përgjithshme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'Alb 2023'!$R$45</c:f>
              <c:numCache>
                <c:formatCode>0.00%</c:formatCode>
                <c:ptCount val="1"/>
                <c:pt idx="0">
                  <c:v>0</c:v>
                </c:pt>
              </c:numCache>
            </c:numRef>
          </c:val>
          <c:extLst xmlns:c16r2="http://schemas.microsoft.com/office/drawing/2015/06/chart">
            <c:ext xmlns:c16="http://schemas.microsoft.com/office/drawing/2014/chart" uri="{C3380CC4-5D6E-409C-BE32-E72D297353CC}">
              <c16:uniqueId val="{00000003-4583-4880-969E-27F1CFE47272}"/>
            </c:ext>
          </c:extLst>
        </c:ser>
        <c:dLbls>
          <c:showLegendKey val="0"/>
          <c:showVal val="1"/>
          <c:showCatName val="0"/>
          <c:showSerName val="0"/>
          <c:showPercent val="0"/>
          <c:showBubbleSize val="0"/>
        </c:dLbls>
        <c:gapWidth val="100"/>
        <c:overlap val="-24"/>
        <c:axId val="-878485968"/>
        <c:axId val="-878477808"/>
      </c:barChart>
      <c:catAx>
        <c:axId val="-878485968"/>
        <c:scaling>
          <c:orientation val="minMax"/>
        </c:scaling>
        <c:delete val="1"/>
        <c:axPos val="b"/>
        <c:numFmt formatCode="General" sourceLinked="1"/>
        <c:majorTickMark val="none"/>
        <c:minorTickMark val="none"/>
        <c:tickLblPos val="nextTo"/>
        <c:crossAx val="-878477808"/>
        <c:crosses val="autoZero"/>
        <c:auto val="1"/>
        <c:lblAlgn val="ctr"/>
        <c:lblOffset val="100"/>
        <c:noMultiLvlLbl val="0"/>
      </c:catAx>
      <c:valAx>
        <c:axId val="-878477808"/>
        <c:scaling>
          <c:orientation val="minMax"/>
          <c:max val="1"/>
          <c:min val="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878485968"/>
        <c:crosses val="autoZero"/>
        <c:crossBetween val="between"/>
      </c:valAx>
      <c:spPr>
        <a:noFill/>
        <a:ln>
          <a:noFill/>
        </a:ln>
        <a:effectLst/>
      </c:spPr>
    </c:plotArea>
    <c:legend>
      <c:legendPos val="b"/>
      <c:layout>
        <c:manualLayout>
          <c:xMode val="edge"/>
          <c:yMode val="edge"/>
          <c:x val="0.26833076899870273"/>
          <c:y val="0.79183028156983337"/>
          <c:w val="0.62302532205356165"/>
          <c:h val="0.1789722923785470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lgn="ctr" rtl="0">
            <a:defRPr lang="en-US" sz="1400" b="0" i="0"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Sheet1!$C$134</c:f>
              <c:strCache>
                <c:ptCount val="1"/>
                <c:pt idx="0">
                  <c:v>Lipjan</c:v>
                </c:pt>
              </c:strCache>
            </c:strRef>
          </c:tx>
          <c:spPr>
            <a:solidFill>
              <a:srgbClr val="FF0000"/>
            </a:solidFill>
            <a:ln>
              <a:noFill/>
            </a:ln>
            <a:effectLst/>
          </c:spPr>
          <c:invertIfNegative val="0"/>
          <c:dPt>
            <c:idx val="0"/>
            <c:invertIfNegative val="0"/>
            <c:bubble3D val="0"/>
            <c:spPr>
              <a:solidFill>
                <a:schemeClr val="accent6"/>
              </a:solidFill>
              <a:ln>
                <a:noFill/>
              </a:ln>
              <a:effectLst/>
            </c:spPr>
          </c:dPt>
          <c:dPt>
            <c:idx val="1"/>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13AF-4508-AFE3-920A4D531E83}"/>
              </c:ext>
            </c:extLst>
          </c:dPt>
          <c:dPt>
            <c:idx val="3"/>
            <c:invertIfNegative val="0"/>
            <c:bubble3D val="0"/>
            <c:spPr>
              <a:solidFill>
                <a:schemeClr val="accent6"/>
              </a:solidFill>
              <a:ln>
                <a:noFill/>
              </a:ln>
              <a:effectLst/>
            </c:spPr>
          </c:dPt>
          <c:cat>
            <c:strRef>
              <c:f>Sheet1!$B$135:$B$138</c:f>
              <c:strCache>
                <c:ptCount val="4"/>
                <c:pt idx="0">
                  <c:v>Komunat duhet të kenë raportuar të dhënat në SMPK sipas afatit të përcaktuar </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Sheet1!$C$135:$C$138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2-13AF-4508-AFE3-920A4D531E83}"/>
            </c:ext>
          </c:extLst>
        </c:ser>
        <c:dLbls>
          <c:showLegendKey val="0"/>
          <c:showVal val="0"/>
          <c:showCatName val="0"/>
          <c:showSerName val="0"/>
          <c:showPercent val="0"/>
          <c:showBubbleSize val="0"/>
        </c:dLbls>
        <c:gapWidth val="150"/>
        <c:axId val="-878478896"/>
        <c:axId val="-878491952"/>
      </c:barChart>
      <c:catAx>
        <c:axId val="-878478896"/>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878491952"/>
        <c:crosses val="autoZero"/>
        <c:auto val="1"/>
        <c:lblAlgn val="ctr"/>
        <c:lblOffset val="100"/>
        <c:noMultiLvlLbl val="0"/>
      </c:catAx>
      <c:valAx>
        <c:axId val="-878491952"/>
        <c:scaling>
          <c:orientation val="minMax"/>
        </c:scaling>
        <c:delete val="1"/>
        <c:axPos val="b"/>
        <c:numFmt formatCode="General" sourceLinked="1"/>
        <c:majorTickMark val="out"/>
        <c:minorTickMark val="none"/>
        <c:tickLblPos val="nextTo"/>
        <c:crossAx val="-878478896"/>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333333333333333E-2"/>
          <c:y val="0.27314814814814814"/>
          <c:w val="0.93888888888888888"/>
          <c:h val="0.64202172645086042"/>
        </c:manualLayout>
      </c:layout>
      <c:lineChart>
        <c:grouping val="standard"/>
        <c:varyColors val="0"/>
        <c:ser>
          <c:idx val="0"/>
          <c:order val="0"/>
          <c:spPr>
            <a:ln w="34925" cap="rnd">
              <a:solidFill>
                <a:schemeClr val="lt1"/>
              </a:solidFill>
              <a:round/>
            </a:ln>
            <a:effectLst>
              <a:outerShdw dist="25400" dir="2700000" algn="tl" rotWithShape="0">
                <a:schemeClr val="accent1"/>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'[Chart in Microsoft Word]Performanca nder vite'!$N$3:$P$3</c:f>
              <c:strCache>
                <c:ptCount val="3"/>
                <c:pt idx="0">
                  <c:v>GPK 2024</c:v>
                </c:pt>
                <c:pt idx="1">
                  <c:v>GPK 2025</c:v>
                </c:pt>
                <c:pt idx="2">
                  <c:v>GPK 2026</c:v>
                </c:pt>
              </c:strCache>
            </c:strRef>
          </c:cat>
          <c:val>
            <c:numRef>
              <c:f>'[Chart in Microsoft Word]Performanca nder vite'!$N$4:$P$4</c:f>
              <c:numCache>
                <c:formatCode>0.00%</c:formatCode>
                <c:ptCount val="3"/>
                <c:pt idx="0">
                  <c:v>0.49809999999999999</c:v>
                </c:pt>
                <c:pt idx="1">
                  <c:v>0.60229999999999995</c:v>
                </c:pt>
                <c:pt idx="2">
                  <c:v>0.46329999999999999</c:v>
                </c:pt>
              </c:numCache>
            </c:numRef>
          </c:val>
          <c:smooth val="0"/>
          <c:extLst xmlns:c16r2="http://schemas.microsoft.com/office/drawing/2015/06/chart">
            <c:ext xmlns:c16="http://schemas.microsoft.com/office/drawing/2014/chart" uri="{C3380CC4-5D6E-409C-BE32-E72D297353CC}">
              <c16:uniqueId val="{00000000-45C0-4B71-AB8A-B359DEF61CF0}"/>
            </c:ext>
          </c:extLst>
        </c:ser>
        <c:dLbls>
          <c:dLblPos val="t"/>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1064361904"/>
        <c:axId val="-1064385840"/>
      </c:lineChart>
      <c:catAx>
        <c:axId val="-106436190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r>
                  <a:rPr lang="en-US" sz="1000" b="1" i="0" u="none" strike="noStrike" kern="1200" baseline="0">
                    <a:solidFill>
                      <a:sysClr val="window" lastClr="FFFFFF"/>
                    </a:solidFill>
                  </a:rPr>
                  <a:t>Performanca mesatare e komunave përfituese  në GPK tri vitet e fundit</a:t>
                </a:r>
              </a:p>
            </c:rich>
          </c:tx>
          <c:layout>
            <c:manualLayout>
              <c:xMode val="edge"/>
              <c:yMode val="edge"/>
              <c:x val="0.16628095246358318"/>
              <c:y val="4.167134702567772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0" i="0" u="none" strike="noStrike" kern="1200" spc="100" baseline="0">
                <a:solidFill>
                  <a:schemeClr val="lt1"/>
                </a:solidFill>
                <a:latin typeface="+mn-lt"/>
                <a:ea typeface="+mn-ea"/>
                <a:cs typeface="+mn-cs"/>
              </a:defRPr>
            </a:pPr>
            <a:endParaRPr lang="en-US"/>
          </a:p>
        </c:txPr>
        <c:crossAx val="-1064385840"/>
        <c:crosses val="autoZero"/>
        <c:auto val="1"/>
        <c:lblAlgn val="ctr"/>
        <c:lblOffset val="100"/>
        <c:noMultiLvlLbl val="0"/>
      </c:catAx>
      <c:valAx>
        <c:axId val="-1064385840"/>
        <c:scaling>
          <c:orientation val="minMax"/>
        </c:scaling>
        <c:delete val="1"/>
        <c:axPos val="l"/>
        <c:numFmt formatCode="0.00%" sourceLinked="1"/>
        <c:majorTickMark val="none"/>
        <c:minorTickMark val="none"/>
        <c:tickLblPos val="nextTo"/>
        <c:crossAx val="-1064361904"/>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0"/>
              <a:t>Lipjan</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D773-43CC-925D-C2A1F5B727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Lipjan!$B$19:$E$19</c:f>
              <c:strCache>
                <c:ptCount val="4"/>
                <c:pt idx="0">
                  <c:v>Qeverisja 
demokratike</c:v>
                </c:pt>
                <c:pt idx="1">
                  <c:v>Menaxhimi 
komunal</c:v>
                </c:pt>
                <c:pt idx="2">
                  <c:v>Ofrimi i 
shërbimeve</c:v>
                </c:pt>
                <c:pt idx="3">
                  <c:v>Total</c:v>
                </c:pt>
              </c:strCache>
            </c:strRef>
          </c:cat>
          <c:val>
            <c:numRef>
              <c:f>Lipjan!$B$20:$E$20</c:f>
              <c:numCache>
                <c:formatCode>0.00</c:formatCode>
                <c:ptCount val="4"/>
                <c:pt idx="0">
                  <c:v>85</c:v>
                </c:pt>
                <c:pt idx="1">
                  <c:v>50</c:v>
                </c:pt>
                <c:pt idx="2">
                  <c:v>80</c:v>
                </c:pt>
                <c:pt idx="3">
                  <c:v>73.469387755102048</c:v>
                </c:pt>
              </c:numCache>
            </c:numRef>
          </c:val>
          <c:extLst xmlns:c16r2="http://schemas.microsoft.com/office/drawing/2015/06/chart">
            <c:ext xmlns:c16="http://schemas.microsoft.com/office/drawing/2014/chart" uri="{C3380CC4-5D6E-409C-BE32-E72D297353CC}">
              <c16:uniqueId val="{00000000-D773-43CC-925D-C2A1F5B727C9}"/>
            </c:ext>
          </c:extLst>
        </c:ser>
        <c:dLbls>
          <c:showLegendKey val="0"/>
          <c:showVal val="0"/>
          <c:showCatName val="0"/>
          <c:showSerName val="0"/>
          <c:showPercent val="0"/>
          <c:showBubbleSize val="0"/>
        </c:dLbls>
        <c:gapWidth val="100"/>
        <c:overlap val="-24"/>
        <c:axId val="-878482160"/>
        <c:axId val="-878499568"/>
      </c:barChart>
      <c:catAx>
        <c:axId val="-8784821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499568"/>
        <c:crosses val="autoZero"/>
        <c:auto val="1"/>
        <c:lblAlgn val="ctr"/>
        <c:lblOffset val="100"/>
        <c:noMultiLvlLbl val="0"/>
      </c:catAx>
      <c:valAx>
        <c:axId val="-87849956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7848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lgn="ctr" rtl="0">
            <a:defRPr lang="en-US" sz="1400" b="0" i="0"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Sheet1!$C$140</c:f>
              <c:strCache>
                <c:ptCount val="1"/>
                <c:pt idx="0">
                  <c:v>Malishevë</c:v>
                </c:pt>
              </c:strCache>
            </c:strRef>
          </c:tx>
          <c:spPr>
            <a:solidFill>
              <a:srgbClr val="FF0000"/>
            </a:solidFill>
            <a:ln>
              <a:noFill/>
            </a:ln>
            <a:effectLst/>
          </c:spPr>
          <c:invertIfNegative val="0"/>
          <c:dPt>
            <c:idx val="0"/>
            <c:invertIfNegative val="0"/>
            <c:bubble3D val="0"/>
            <c:spPr>
              <a:solidFill>
                <a:schemeClr val="accent6"/>
              </a:solidFill>
              <a:ln>
                <a:noFill/>
              </a:ln>
              <a:effectLst/>
            </c:spPr>
          </c:dPt>
          <c:dPt>
            <c:idx val="1"/>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0-168C-4A11-B466-AFDC157E5A18}"/>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2-168C-4A11-B466-AFDC157E5A18}"/>
              </c:ext>
            </c:extLst>
          </c:dPt>
          <c:dPt>
            <c:idx val="3"/>
            <c:invertIfNegative val="0"/>
            <c:bubble3D val="0"/>
            <c:spPr>
              <a:solidFill>
                <a:schemeClr val="accent6"/>
              </a:solidFill>
              <a:ln>
                <a:noFill/>
              </a:ln>
              <a:effectLst/>
            </c:spPr>
          </c:dPt>
          <c:cat>
            <c:strRef>
              <c:f>Sheet1!$B$141:$B$144</c:f>
              <c:strCache>
                <c:ptCount val="4"/>
                <c:pt idx="0">
                  <c:v>Komunat duhet të kenë raportuar të dhënat në SMPK sipas afatit të përcaktuar </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Sheet1!$C$141:$C$144</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3-168C-4A11-B466-AFDC157E5A18}"/>
            </c:ext>
          </c:extLst>
        </c:ser>
        <c:dLbls>
          <c:showLegendKey val="0"/>
          <c:showVal val="0"/>
          <c:showCatName val="0"/>
          <c:showSerName val="0"/>
          <c:showPercent val="0"/>
          <c:showBubbleSize val="0"/>
        </c:dLbls>
        <c:gapWidth val="150"/>
        <c:axId val="-878477264"/>
        <c:axId val="-878498480"/>
      </c:barChart>
      <c:catAx>
        <c:axId val="-878477264"/>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878498480"/>
        <c:crosses val="autoZero"/>
        <c:auto val="1"/>
        <c:lblAlgn val="ctr"/>
        <c:lblOffset val="100"/>
        <c:noMultiLvlLbl val="0"/>
      </c:catAx>
      <c:valAx>
        <c:axId val="-878498480"/>
        <c:scaling>
          <c:orientation val="minMax"/>
        </c:scaling>
        <c:delete val="1"/>
        <c:axPos val="b"/>
        <c:numFmt formatCode="General" sourceLinked="1"/>
        <c:majorTickMark val="out"/>
        <c:minorTickMark val="none"/>
        <c:tickLblPos val="nextTo"/>
        <c:crossAx val="-878477264"/>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a:t>Malishevë</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A5A6-47A8-9C54-7345A093C8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Malishevë!$B$19:$E$19</c:f>
              <c:strCache>
                <c:ptCount val="4"/>
                <c:pt idx="0">
                  <c:v>Qeverisja 
demokratike</c:v>
                </c:pt>
                <c:pt idx="1">
                  <c:v>Menaxhimi 
komunal</c:v>
                </c:pt>
                <c:pt idx="2">
                  <c:v>Ofrimi i 
shërbimeve</c:v>
                </c:pt>
                <c:pt idx="3">
                  <c:v>Total</c:v>
                </c:pt>
              </c:strCache>
            </c:strRef>
          </c:cat>
          <c:val>
            <c:numRef>
              <c:f>Malishevë!$B$20:$E$20</c:f>
              <c:numCache>
                <c:formatCode>0.00</c:formatCode>
                <c:ptCount val="4"/>
                <c:pt idx="0">
                  <c:v>32.5</c:v>
                </c:pt>
                <c:pt idx="1">
                  <c:v>17.857142857142858</c:v>
                </c:pt>
                <c:pt idx="2">
                  <c:v>26.666666666666668</c:v>
                </c:pt>
                <c:pt idx="3">
                  <c:v>26.530612244897959</c:v>
                </c:pt>
              </c:numCache>
            </c:numRef>
          </c:val>
          <c:extLst xmlns:c16r2="http://schemas.microsoft.com/office/drawing/2015/06/chart">
            <c:ext xmlns:c16="http://schemas.microsoft.com/office/drawing/2014/chart" uri="{C3380CC4-5D6E-409C-BE32-E72D297353CC}">
              <c16:uniqueId val="{00000000-A5A6-47A8-9C54-7345A093C88F}"/>
            </c:ext>
          </c:extLst>
        </c:ser>
        <c:dLbls>
          <c:showLegendKey val="0"/>
          <c:showVal val="0"/>
          <c:showCatName val="0"/>
          <c:showSerName val="0"/>
          <c:showPercent val="0"/>
          <c:showBubbleSize val="0"/>
        </c:dLbls>
        <c:gapWidth val="100"/>
        <c:overlap val="-24"/>
        <c:axId val="-878502832"/>
        <c:axId val="-878497936"/>
      </c:barChart>
      <c:catAx>
        <c:axId val="-878502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497936"/>
        <c:crosses val="autoZero"/>
        <c:auto val="1"/>
        <c:lblAlgn val="ctr"/>
        <c:lblOffset val="100"/>
        <c:noMultiLvlLbl val="0"/>
      </c:catAx>
      <c:valAx>
        <c:axId val="-8784979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78502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ctr" rtl="0">
              <a:defRPr lang="sr-Latn-RS" sz="1600" b="0" i="0" u="none" strike="noStrike" kern="1200" baseline="0">
                <a:solidFill>
                  <a:sysClr val="windowText" lastClr="000000"/>
                </a:solidFill>
                <a:latin typeface="+mn-lt"/>
                <a:ea typeface="+mn-ea"/>
                <a:cs typeface="+mn-cs"/>
              </a:defRPr>
            </a:pPr>
            <a:r>
              <a:rPr lang="en-US" sz="1600" b="0" i="0"/>
              <a:t>Mamusha</a:t>
            </a:r>
          </a:p>
        </c:rich>
      </c:tx>
      <c:overlay val="0"/>
      <c:spPr>
        <a:noFill/>
        <a:ln>
          <a:noFill/>
        </a:ln>
        <a:effectLst/>
      </c:spPr>
      <c:txPr>
        <a:bodyPr rot="0" spcFirstLastPara="1" vertOverflow="ellipsis" vert="horz" wrap="square" anchor="ctr" anchorCtr="1"/>
        <a:lstStyle/>
        <a:p>
          <a:pPr algn="ctr" rtl="0">
            <a:defRPr lang="sr-Latn-RS" sz="1600" b="0" i="0"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Sheet1!$C$146</c:f>
              <c:strCache>
                <c:ptCount val="1"/>
                <c:pt idx="0">
                  <c:v>Mamusha</c:v>
                </c:pt>
              </c:strCache>
            </c:strRef>
          </c:tx>
          <c:spPr>
            <a:solidFill>
              <a:schemeClr val="accent6"/>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EBCF-457F-A70C-C0B3AC545E3D}"/>
              </c:ext>
            </c:extLst>
          </c:dPt>
          <c:dPt>
            <c:idx val="1"/>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2-EBCF-457F-A70C-C0B3AC545E3D}"/>
              </c:ext>
            </c:extLst>
          </c:dPt>
          <c:dPt>
            <c:idx val="2"/>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4-EBCF-457F-A70C-C0B3AC545E3D}"/>
              </c:ext>
            </c:extLst>
          </c:dPt>
          <c:cat>
            <c:strRef>
              <c:f>Sheet1!$B$147:$B$150</c:f>
              <c:strCache>
                <c:ptCount val="4"/>
                <c:pt idx="0">
                  <c:v>Komunat duhet të kenë raportuar të dhënat në SMPK sipas afatit të përcaktuar </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Sheet1!$C$147:$C$150</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5-EBCF-457F-A70C-C0B3AC545E3D}"/>
            </c:ext>
          </c:extLst>
        </c:ser>
        <c:dLbls>
          <c:showLegendKey val="0"/>
          <c:showVal val="0"/>
          <c:showCatName val="0"/>
          <c:showSerName val="0"/>
          <c:showPercent val="0"/>
          <c:showBubbleSize val="0"/>
        </c:dLbls>
        <c:gapWidth val="150"/>
        <c:axId val="-878485424"/>
        <c:axId val="-878476720"/>
      </c:barChart>
      <c:catAx>
        <c:axId val="-878485424"/>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878476720"/>
        <c:crosses val="autoZero"/>
        <c:auto val="1"/>
        <c:lblAlgn val="ctr"/>
        <c:lblOffset val="100"/>
        <c:noMultiLvlLbl val="0"/>
      </c:catAx>
      <c:valAx>
        <c:axId val="-878476720"/>
        <c:scaling>
          <c:orientation val="minMax"/>
        </c:scaling>
        <c:delete val="1"/>
        <c:axPos val="b"/>
        <c:numFmt formatCode="General" sourceLinked="1"/>
        <c:majorTickMark val="out"/>
        <c:minorTickMark val="none"/>
        <c:tickLblPos val="nextTo"/>
        <c:crossAx val="-878485424"/>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b="0"/>
              <a:t>Mamushë</a:t>
            </a: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B644-45BA-B582-044032F5B05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Mamushë!$B$19:$E$19</c:f>
              <c:strCache>
                <c:ptCount val="4"/>
                <c:pt idx="0">
                  <c:v>Qeverisja 
demokratike</c:v>
                </c:pt>
                <c:pt idx="1">
                  <c:v>Menaxhimi 
komunal</c:v>
                </c:pt>
                <c:pt idx="2">
                  <c:v>Ofrimi i 
shërbimeve</c:v>
                </c:pt>
                <c:pt idx="3">
                  <c:v>Total</c:v>
                </c:pt>
              </c:strCache>
            </c:strRef>
          </c:cat>
          <c:val>
            <c:numRef>
              <c:f>Mamushë!$B$20:$E$20</c:f>
              <c:numCache>
                <c:formatCode>0.00</c:formatCode>
                <c:ptCount val="4"/>
                <c:pt idx="0">
                  <c:v>15</c:v>
                </c:pt>
                <c:pt idx="1">
                  <c:v>35.714285714285715</c:v>
                </c:pt>
                <c:pt idx="2">
                  <c:v>33.333333333333329</c:v>
                </c:pt>
                <c:pt idx="3">
                  <c:v>26.530612244897959</c:v>
                </c:pt>
              </c:numCache>
            </c:numRef>
          </c:val>
          <c:extLst xmlns:c16r2="http://schemas.microsoft.com/office/drawing/2015/06/chart">
            <c:ext xmlns:c16="http://schemas.microsoft.com/office/drawing/2014/chart" uri="{C3380CC4-5D6E-409C-BE32-E72D297353CC}">
              <c16:uniqueId val="{00000000-B644-45BA-B582-044032F5B05B}"/>
            </c:ext>
          </c:extLst>
        </c:ser>
        <c:dLbls>
          <c:showLegendKey val="0"/>
          <c:showVal val="0"/>
          <c:showCatName val="0"/>
          <c:showSerName val="0"/>
          <c:showPercent val="0"/>
          <c:showBubbleSize val="0"/>
        </c:dLbls>
        <c:gapWidth val="100"/>
        <c:overlap val="-24"/>
        <c:axId val="-878496304"/>
        <c:axId val="-878489776"/>
      </c:barChart>
      <c:catAx>
        <c:axId val="-878496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489776"/>
        <c:crosses val="autoZero"/>
        <c:auto val="1"/>
        <c:lblAlgn val="ctr"/>
        <c:lblOffset val="100"/>
        <c:noMultiLvlLbl val="0"/>
      </c:catAx>
      <c:valAx>
        <c:axId val="-87848977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78496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a:t>Mitrovicë e Jugut</a:t>
            </a:r>
          </a:p>
        </c:rich>
      </c:tx>
      <c:layout>
        <c:manualLayout>
          <c:xMode val="edge"/>
          <c:yMode val="edge"/>
          <c:x val="0.2289899768696993"/>
          <c:y val="3.89105058365758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rgbClr val="FF0000"/>
            </a:solidFill>
            <a:ln>
              <a:noFill/>
            </a:ln>
            <a:effectLst/>
          </c:spPr>
          <c:invertIfNegative val="0"/>
          <c:dPt>
            <c:idx val="0"/>
            <c:invertIfNegative val="0"/>
            <c:bubble3D val="0"/>
            <c:spPr>
              <a:solidFill>
                <a:schemeClr val="accent6"/>
              </a:solidFill>
              <a:ln>
                <a:noFill/>
              </a:ln>
              <a:effectLst/>
            </c:spPr>
          </c:dPt>
          <c:dPt>
            <c:idx val="1"/>
            <c:invertIfNegative val="0"/>
            <c:bubble3D val="0"/>
            <c:spPr>
              <a:solidFill>
                <a:schemeClr val="accent6"/>
              </a:solidFill>
              <a:ln>
                <a:noFill/>
              </a:ln>
              <a:effectLst/>
            </c:spPr>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5BAF-4980-AABA-DC64A96FF69D}"/>
              </c:ext>
            </c:extLst>
          </c:dPt>
          <c:dPt>
            <c:idx val="3"/>
            <c:invertIfNegative val="0"/>
            <c:bubble3D val="0"/>
            <c:spPr>
              <a:solidFill>
                <a:schemeClr val="accent6"/>
              </a:solidFill>
              <a:ln>
                <a:noFill/>
              </a:ln>
              <a:effectLst/>
            </c:spPr>
          </c:dPt>
          <c:cat>
            <c:strRef>
              <c:f>'Mitrovicë e Jugut'!$B$2:$E$2</c:f>
              <c:strCache>
                <c:ptCount val="4"/>
                <c:pt idx="0">
                  <c:v>Komunat duhet të kenë raportuar të dhënat në SMPK sipas afatit të përcaktuar në nenin 19.2 të Ligjit për SMPK/GPK</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'Mitrovicë e Jugut'!$B$3:$E$3</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0-5BAF-4980-AABA-DC64A96FF69D}"/>
            </c:ext>
          </c:extLst>
        </c:ser>
        <c:dLbls>
          <c:showLegendKey val="0"/>
          <c:showVal val="0"/>
          <c:showCatName val="0"/>
          <c:showSerName val="0"/>
          <c:showPercent val="0"/>
          <c:showBubbleSize val="0"/>
        </c:dLbls>
        <c:gapWidth val="182"/>
        <c:axId val="-878484336"/>
        <c:axId val="-878483792"/>
      </c:barChart>
      <c:catAx>
        <c:axId val="-878484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78483792"/>
        <c:crosses val="autoZero"/>
        <c:auto val="1"/>
        <c:lblAlgn val="ctr"/>
        <c:lblOffset val="100"/>
        <c:noMultiLvlLbl val="0"/>
      </c:catAx>
      <c:valAx>
        <c:axId val="-878483792"/>
        <c:scaling>
          <c:orientation val="minMax"/>
        </c:scaling>
        <c:delete val="1"/>
        <c:axPos val="b"/>
        <c:numFmt formatCode="General" sourceLinked="1"/>
        <c:majorTickMark val="none"/>
        <c:minorTickMark val="none"/>
        <c:tickLblPos val="nextTo"/>
        <c:crossAx val="-87848433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b="0"/>
              <a:t>Mitrovicë e Jugut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4B69-4186-AFB9-C61509640C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'Mitrovicë e Jugut'!$B$19:$E$19</c:f>
              <c:strCache>
                <c:ptCount val="4"/>
                <c:pt idx="0">
                  <c:v>Qeverisja 
demokratike</c:v>
                </c:pt>
                <c:pt idx="1">
                  <c:v>Menaxhimi 
komunal</c:v>
                </c:pt>
                <c:pt idx="2">
                  <c:v>Ofrimi i 
shërbimeve</c:v>
                </c:pt>
                <c:pt idx="3">
                  <c:v>Total</c:v>
                </c:pt>
              </c:strCache>
            </c:strRef>
          </c:cat>
          <c:val>
            <c:numRef>
              <c:f>'Mitrovicë e Jugut'!$B$20:$E$20</c:f>
              <c:numCache>
                <c:formatCode>0.00</c:formatCode>
                <c:ptCount val="4"/>
                <c:pt idx="0">
                  <c:v>72.5</c:v>
                </c:pt>
                <c:pt idx="1">
                  <c:v>17.857142857142858</c:v>
                </c:pt>
                <c:pt idx="2">
                  <c:v>43.333333333333336</c:v>
                </c:pt>
                <c:pt idx="3">
                  <c:v>47.959183673469383</c:v>
                </c:pt>
              </c:numCache>
            </c:numRef>
          </c:val>
          <c:extLst xmlns:c16r2="http://schemas.microsoft.com/office/drawing/2015/06/chart">
            <c:ext xmlns:c16="http://schemas.microsoft.com/office/drawing/2014/chart" uri="{C3380CC4-5D6E-409C-BE32-E72D297353CC}">
              <c16:uniqueId val="{00000000-4B69-4186-AFB9-C61509640C96}"/>
            </c:ext>
          </c:extLst>
        </c:ser>
        <c:dLbls>
          <c:showLegendKey val="0"/>
          <c:showVal val="0"/>
          <c:showCatName val="0"/>
          <c:showSerName val="0"/>
          <c:showPercent val="0"/>
          <c:showBubbleSize val="0"/>
        </c:dLbls>
        <c:gapWidth val="100"/>
        <c:overlap val="-24"/>
        <c:axId val="-878502288"/>
        <c:axId val="-878488688"/>
      </c:barChart>
      <c:catAx>
        <c:axId val="-8785022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488688"/>
        <c:crosses val="autoZero"/>
        <c:auto val="1"/>
        <c:lblAlgn val="ctr"/>
        <c:lblOffset val="100"/>
        <c:noMultiLvlLbl val="0"/>
      </c:catAx>
      <c:valAx>
        <c:axId val="-87848868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78502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ctr" rtl="0">
              <a:defRPr lang="sr-Latn-RS" sz="1600" b="0" i="0" u="none" strike="noStrike" kern="1200" baseline="0">
                <a:solidFill>
                  <a:sysClr val="windowText" lastClr="000000"/>
                </a:solidFill>
                <a:latin typeface="+mn-lt"/>
                <a:ea typeface="+mn-ea"/>
                <a:cs typeface="+mn-cs"/>
              </a:defRPr>
            </a:pPr>
            <a:r>
              <a:rPr lang="en-US" sz="1600" b="0" i="0"/>
              <a:t>Mitrovicë e Veriut </a:t>
            </a:r>
          </a:p>
        </c:rich>
      </c:tx>
      <c:overlay val="0"/>
      <c:spPr>
        <a:noFill/>
        <a:ln>
          <a:noFill/>
        </a:ln>
        <a:effectLst/>
      </c:spPr>
      <c:txPr>
        <a:bodyPr rot="0" spcFirstLastPara="1" vertOverflow="ellipsis" vert="horz" wrap="square" anchor="ctr" anchorCtr="1"/>
        <a:lstStyle/>
        <a:p>
          <a:pPr algn="ctr" rtl="0">
            <a:defRPr lang="sr-Latn-RS" sz="1600" b="0" i="0"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Sheet1!$C$212</c:f>
              <c:strCache>
                <c:ptCount val="1"/>
                <c:pt idx="0">
                  <c:v>Mitrovicë e veriut </c:v>
                </c:pt>
              </c:strCache>
            </c:strRef>
          </c:tx>
          <c:spPr>
            <a:solidFill>
              <a:schemeClr val="accent6"/>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DD02-49DB-8E82-050D5B36DFE3}"/>
              </c:ext>
            </c:extLst>
          </c:dPt>
          <c:dPt>
            <c:idx val="1"/>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2-DD02-49DB-8E82-050D5B36DFE3}"/>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4-DD02-49DB-8E82-050D5B36DFE3}"/>
              </c:ext>
            </c:extLst>
          </c:dPt>
          <c:dPt>
            <c:idx val="3"/>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6-DD02-49DB-8E82-050D5B36DFE3}"/>
              </c:ext>
            </c:extLst>
          </c:dPt>
          <c:cat>
            <c:strRef>
              <c:f>Sheet1!$B$213:$B$216</c:f>
              <c:strCache>
                <c:ptCount val="4"/>
                <c:pt idx="0">
                  <c:v>Komunat duhet të kenë raportuar të dhënat në SMPK sipas afatit të përcaktuar </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Sheet1!$C$213:$C$216</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7-DD02-49DB-8E82-050D5B36DFE3}"/>
            </c:ext>
          </c:extLst>
        </c:ser>
        <c:dLbls>
          <c:showLegendKey val="0"/>
          <c:showVal val="0"/>
          <c:showCatName val="0"/>
          <c:showSerName val="0"/>
          <c:showPercent val="0"/>
          <c:showBubbleSize val="0"/>
        </c:dLbls>
        <c:gapWidth val="150"/>
        <c:axId val="-878490864"/>
        <c:axId val="-878507728"/>
      </c:barChart>
      <c:catAx>
        <c:axId val="-878490864"/>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878507728"/>
        <c:crosses val="autoZero"/>
        <c:auto val="1"/>
        <c:lblAlgn val="ctr"/>
        <c:lblOffset val="100"/>
        <c:noMultiLvlLbl val="0"/>
      </c:catAx>
      <c:valAx>
        <c:axId val="-878507728"/>
        <c:scaling>
          <c:orientation val="minMax"/>
        </c:scaling>
        <c:delete val="1"/>
        <c:axPos val="b"/>
        <c:numFmt formatCode="General" sourceLinked="1"/>
        <c:majorTickMark val="out"/>
        <c:minorTickMark val="none"/>
        <c:tickLblPos val="nextTo"/>
        <c:crossAx val="-878490864"/>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b="0"/>
              <a:t>Mitrovicë e Veriut</a:t>
            </a:r>
          </a:p>
        </c:rich>
      </c:tx>
      <c:layout>
        <c:manualLayout>
          <c:xMode val="edge"/>
          <c:yMode val="edge"/>
          <c:x val="0.16066066066066065"/>
          <c:y val="3.837850803550012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3B8F-4620-8C5B-4383CDD619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'Mitrovicë e Veriut'!$B$19:$E$19</c:f>
              <c:strCache>
                <c:ptCount val="4"/>
                <c:pt idx="0">
                  <c:v>Qeverisja 
demokratike</c:v>
                </c:pt>
                <c:pt idx="1">
                  <c:v>Menaxhimi 
komunal</c:v>
                </c:pt>
                <c:pt idx="2">
                  <c:v>Ofrimi i 
shërbimeve</c:v>
                </c:pt>
                <c:pt idx="3">
                  <c:v>Total</c:v>
                </c:pt>
              </c:strCache>
            </c:strRef>
          </c:cat>
          <c:val>
            <c:numRef>
              <c:f>'Mitrovicë e Veriut'!$B$20:$E$20</c:f>
              <c:numCache>
                <c:formatCode>0.00</c:formatCode>
                <c:ptCount val="4"/>
                <c:pt idx="0">
                  <c:v>10</c:v>
                </c:pt>
                <c:pt idx="1">
                  <c:v>17.857142857142858</c:v>
                </c:pt>
                <c:pt idx="2">
                  <c:v>13.333333333333334</c:v>
                </c:pt>
                <c:pt idx="3">
                  <c:v>13.26530612244898</c:v>
                </c:pt>
              </c:numCache>
            </c:numRef>
          </c:val>
          <c:extLst xmlns:c16r2="http://schemas.microsoft.com/office/drawing/2015/06/chart">
            <c:ext xmlns:c16="http://schemas.microsoft.com/office/drawing/2014/chart" uri="{C3380CC4-5D6E-409C-BE32-E72D297353CC}">
              <c16:uniqueId val="{00000000-3B8F-4620-8C5B-4383CDD619B5}"/>
            </c:ext>
          </c:extLst>
        </c:ser>
        <c:dLbls>
          <c:showLegendKey val="0"/>
          <c:showVal val="0"/>
          <c:showCatName val="0"/>
          <c:showSerName val="0"/>
          <c:showPercent val="0"/>
          <c:showBubbleSize val="0"/>
        </c:dLbls>
        <c:gapWidth val="100"/>
        <c:overlap val="-24"/>
        <c:axId val="-878509360"/>
        <c:axId val="-878490320"/>
      </c:barChart>
      <c:catAx>
        <c:axId val="-8785093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490320"/>
        <c:crosses val="autoZero"/>
        <c:auto val="1"/>
        <c:lblAlgn val="ctr"/>
        <c:lblOffset val="100"/>
        <c:noMultiLvlLbl val="0"/>
      </c:catAx>
      <c:valAx>
        <c:axId val="-87849032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78509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r>
              <a:rPr lang="en-US" sz="1400">
                <a:solidFill>
                  <a:sysClr val="windowText" lastClr="000000"/>
                </a:solidFill>
              </a:rPr>
              <a:t>Novobërdë</a:t>
            </a:r>
          </a:p>
        </c:rich>
      </c:tx>
      <c:overlay val="0"/>
      <c:spPr>
        <a:noFill/>
        <a:ln>
          <a:noFill/>
        </a:ln>
        <a:effectLst/>
      </c:spPr>
      <c:txPr>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6"/>
            </a:solidFill>
            <a:ln>
              <a:noFill/>
            </a:ln>
            <a:effectLst/>
          </c:spPr>
          <c:invertIfNegative val="0"/>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7BE8-44FA-BCBC-26D4792F7980}"/>
              </c:ext>
            </c:extLst>
          </c:dPt>
          <c:cat>
            <c:strRef>
              <c:f>Novobërdë!$B$2:$E$2</c:f>
              <c:strCache>
                <c:ptCount val="4"/>
                <c:pt idx="0">
                  <c:v>Komunat duhet të kenë raportuar të dhënat në SMPK sipas afatit të përcaktuar në nenin 19.2 të Ligjit për SMPK/GPK</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Novobërdë!$B$3:$E$3</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0-7BE8-44FA-BCBC-26D4792F7980}"/>
            </c:ext>
          </c:extLst>
        </c:ser>
        <c:dLbls>
          <c:showLegendKey val="0"/>
          <c:showVal val="0"/>
          <c:showCatName val="0"/>
          <c:showSerName val="0"/>
          <c:showPercent val="0"/>
          <c:showBubbleSize val="0"/>
        </c:dLbls>
        <c:gapWidth val="182"/>
        <c:axId val="-878505552"/>
        <c:axId val="-878501744"/>
      </c:barChart>
      <c:catAx>
        <c:axId val="-878505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78501744"/>
        <c:crosses val="autoZero"/>
        <c:auto val="1"/>
        <c:lblAlgn val="ctr"/>
        <c:lblOffset val="100"/>
        <c:noMultiLvlLbl val="0"/>
      </c:catAx>
      <c:valAx>
        <c:axId val="-878501744"/>
        <c:scaling>
          <c:orientation val="minMax"/>
        </c:scaling>
        <c:delete val="1"/>
        <c:axPos val="b"/>
        <c:numFmt formatCode="General" sourceLinked="1"/>
        <c:majorTickMark val="none"/>
        <c:minorTickMark val="none"/>
        <c:tickLblPos val="nextTo"/>
        <c:crossAx val="-878505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349118726707203E-2"/>
          <c:y val="0.10484932132537657"/>
          <c:w val="0.96666666666666667"/>
          <c:h val="0.81377316367564168"/>
        </c:manualLayout>
      </c:layout>
      <c:lineChart>
        <c:grouping val="standard"/>
        <c:varyColors val="0"/>
        <c:ser>
          <c:idx val="0"/>
          <c:order val="0"/>
          <c:spPr>
            <a:ln w="34925" cap="rnd">
              <a:solidFill>
                <a:schemeClr val="lt1"/>
              </a:solidFill>
              <a:round/>
            </a:ln>
            <a:effectLst>
              <a:outerShdw dist="25400" dir="2700000" algn="tl" rotWithShape="0">
                <a:schemeClr val="accent1"/>
              </a:outerShdw>
            </a:effectLst>
          </c:spPr>
          <c:marker>
            <c:symbol val="none"/>
          </c:marker>
          <c:dLbls>
            <c:dLbl>
              <c:idx val="0"/>
              <c:layout>
                <c:manualLayout>
                  <c:x val="-0.18389301426289686"/>
                  <c:y val="-4.58817805403580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191-4176-ACAC-673719BE18AD}"/>
                </c:ext>
                <c:ext xmlns:c15="http://schemas.microsoft.com/office/drawing/2012/chart" uri="{CE6537A1-D6FC-4f65-9D91-7224C49458BB}"/>
              </c:extLst>
            </c:dLbl>
            <c:dLbl>
              <c:idx val="1"/>
              <c:layout>
                <c:manualLayout>
                  <c:x val="-7.8693361728360528E-2"/>
                  <c:y val="-3.53788563314831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191-4176-ACAC-673719BE18AD}"/>
                </c:ext>
                <c:ext xmlns:c15="http://schemas.microsoft.com/office/drawing/2012/chart" uri="{CE6537A1-D6FC-4f65-9D91-7224C49458BB}"/>
              </c:extLst>
            </c:dLbl>
            <c:dLbl>
              <c:idx val="2"/>
              <c:layout>
                <c:manualLayout>
                  <c:x val="-2.0013998250218722E-2"/>
                  <c:y val="-4.16666666666666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191-4176-ACAC-673719BE18A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in Microsoft Word]Performanca nder vite'!$B$3:$D$3</c:f>
              <c:strCache>
                <c:ptCount val="3"/>
                <c:pt idx="0">
                  <c:v>GPK 2024</c:v>
                </c:pt>
                <c:pt idx="1">
                  <c:v>GPK 2025</c:v>
                </c:pt>
                <c:pt idx="2">
                  <c:v>GPK 2026</c:v>
                </c:pt>
              </c:strCache>
            </c:strRef>
          </c:cat>
          <c:val>
            <c:numRef>
              <c:f>'[Chart in Microsoft Word]Performanca nder vite'!$B$4:$D$4</c:f>
              <c:numCache>
                <c:formatCode>0.00%</c:formatCode>
                <c:ptCount val="3"/>
                <c:pt idx="0">
                  <c:v>0.42159999999999997</c:v>
                </c:pt>
                <c:pt idx="1">
                  <c:v>0.47689999999999999</c:v>
                </c:pt>
                <c:pt idx="2">
                  <c:v>0.41760000000000003</c:v>
                </c:pt>
              </c:numCache>
            </c:numRef>
          </c:val>
          <c:smooth val="0"/>
          <c:extLst xmlns:c16r2="http://schemas.microsoft.com/office/drawing/2015/06/chart">
            <c:ext xmlns:c16="http://schemas.microsoft.com/office/drawing/2014/chart" uri="{C3380CC4-5D6E-409C-BE32-E72D297353CC}">
              <c16:uniqueId val="{00000000-F191-4176-ACAC-673719BE18AD}"/>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1064361360"/>
        <c:axId val="-1064390192"/>
      </c:lineChart>
      <c:catAx>
        <c:axId val="-106436136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r>
                  <a:rPr lang="en-US" sz="800"/>
                  <a:t>Performanca mesatare e komunave në GPK tri vitet e fundit</a:t>
                </a:r>
              </a:p>
            </c:rich>
          </c:tx>
          <c:layout>
            <c:manualLayout>
              <c:xMode val="edge"/>
              <c:yMode val="edge"/>
              <c:x val="0.16263709474038165"/>
              <c:y val="3.123313242843383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0" i="0" u="none" strike="noStrike" kern="1200" spc="100" baseline="0">
                <a:solidFill>
                  <a:schemeClr val="lt1"/>
                </a:solidFill>
                <a:latin typeface="+mn-lt"/>
                <a:ea typeface="+mn-ea"/>
                <a:cs typeface="+mn-cs"/>
              </a:defRPr>
            </a:pPr>
            <a:endParaRPr lang="en-US"/>
          </a:p>
        </c:txPr>
        <c:crossAx val="-1064390192"/>
        <c:crosses val="autoZero"/>
        <c:auto val="1"/>
        <c:lblAlgn val="ctr"/>
        <c:lblOffset val="100"/>
        <c:noMultiLvlLbl val="0"/>
      </c:catAx>
      <c:valAx>
        <c:axId val="-1064390192"/>
        <c:scaling>
          <c:orientation val="minMax"/>
        </c:scaling>
        <c:delete val="1"/>
        <c:axPos val="l"/>
        <c:numFmt formatCode="0.00%" sourceLinked="1"/>
        <c:majorTickMark val="none"/>
        <c:minorTickMark val="none"/>
        <c:tickLblPos val="nextTo"/>
        <c:crossAx val="-10643613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a:t>Novobërdë</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Novobërdë!$B$19:$E$19</c:f>
              <c:strCache>
                <c:ptCount val="4"/>
                <c:pt idx="0">
                  <c:v>Qeverisja 
demokratike</c:v>
                </c:pt>
                <c:pt idx="1">
                  <c:v>Menaxhimi 
komunal</c:v>
                </c:pt>
                <c:pt idx="2">
                  <c:v>Ofrimi i 
shërbimeve</c:v>
                </c:pt>
                <c:pt idx="3">
                  <c:v>Total</c:v>
                </c:pt>
              </c:strCache>
            </c:strRef>
          </c:cat>
          <c:val>
            <c:numRef>
              <c:f>Novobërdë!$B$20:$E$20</c:f>
              <c:numCache>
                <c:formatCode>0.00</c:formatCode>
                <c:ptCount val="4"/>
                <c:pt idx="0">
                  <c:v>0</c:v>
                </c:pt>
                <c:pt idx="1">
                  <c:v>0</c:v>
                </c:pt>
                <c:pt idx="2">
                  <c:v>6.666666666666667</c:v>
                </c:pt>
                <c:pt idx="3">
                  <c:v>2.0408163265306123</c:v>
                </c:pt>
              </c:numCache>
            </c:numRef>
          </c:val>
          <c:extLst xmlns:c16r2="http://schemas.microsoft.com/office/drawing/2015/06/chart">
            <c:ext xmlns:c16="http://schemas.microsoft.com/office/drawing/2014/chart" uri="{C3380CC4-5D6E-409C-BE32-E72D297353CC}">
              <c16:uniqueId val="{00000000-39D9-44CE-8BCA-71B74914928A}"/>
            </c:ext>
          </c:extLst>
        </c:ser>
        <c:dLbls>
          <c:showLegendKey val="0"/>
          <c:showVal val="0"/>
          <c:showCatName val="0"/>
          <c:showSerName val="0"/>
          <c:showPercent val="0"/>
          <c:showBubbleSize val="0"/>
        </c:dLbls>
        <c:gapWidth val="219"/>
        <c:overlap val="-27"/>
        <c:axId val="-878461488"/>
        <c:axId val="-878450608"/>
      </c:barChart>
      <c:catAx>
        <c:axId val="-87846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78450608"/>
        <c:crosses val="autoZero"/>
        <c:auto val="1"/>
        <c:lblAlgn val="ctr"/>
        <c:lblOffset val="100"/>
        <c:noMultiLvlLbl val="0"/>
      </c:catAx>
      <c:valAx>
        <c:axId val="-878450608"/>
        <c:scaling>
          <c:orientation val="minMax"/>
        </c:scaling>
        <c:delete val="1"/>
        <c:axPos val="l"/>
        <c:numFmt formatCode="0.00" sourceLinked="1"/>
        <c:majorTickMark val="none"/>
        <c:minorTickMark val="none"/>
        <c:tickLblPos val="nextTo"/>
        <c:crossAx val="-878461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lgn="ctr" rtl="0">
            <a:defRPr lang="sr-Latn-RS" sz="1400" b="0" i="0"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Sheet1!$C$164</c:f>
              <c:strCache>
                <c:ptCount val="1"/>
                <c:pt idx="0">
                  <c:v>Obiliq</c:v>
                </c:pt>
              </c:strCache>
            </c:strRef>
          </c:tx>
          <c:spPr>
            <a:solidFill>
              <a:schemeClr val="accent6"/>
            </a:solidFill>
            <a:ln>
              <a:noFill/>
            </a:ln>
            <a:effectLst/>
          </c:spPr>
          <c:invertIfNegative val="0"/>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483F-4437-94F9-94DA41433640}"/>
              </c:ext>
            </c:extLst>
          </c:dPt>
          <c:cat>
            <c:strRef>
              <c:f>Sheet1!$B$165:$B$168</c:f>
              <c:strCache>
                <c:ptCount val="4"/>
                <c:pt idx="0">
                  <c:v>Komunat duhet të kenë raportuar të dhënat në SMPK sipas afatit të përcaktuar </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Sheet1!$C$165:$C$168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0-483F-4437-94F9-94DA41433640}"/>
            </c:ext>
          </c:extLst>
        </c:ser>
        <c:dLbls>
          <c:showLegendKey val="0"/>
          <c:showVal val="0"/>
          <c:showCatName val="0"/>
          <c:showSerName val="0"/>
          <c:showPercent val="0"/>
          <c:showBubbleSize val="0"/>
        </c:dLbls>
        <c:gapWidth val="150"/>
        <c:axId val="-878458224"/>
        <c:axId val="-878451696"/>
      </c:barChart>
      <c:catAx>
        <c:axId val="-878458224"/>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878451696"/>
        <c:crosses val="autoZero"/>
        <c:auto val="1"/>
        <c:lblAlgn val="ctr"/>
        <c:lblOffset val="100"/>
        <c:noMultiLvlLbl val="0"/>
      </c:catAx>
      <c:valAx>
        <c:axId val="-878451696"/>
        <c:scaling>
          <c:orientation val="minMax"/>
        </c:scaling>
        <c:delete val="1"/>
        <c:axPos val="b"/>
        <c:numFmt formatCode="General" sourceLinked="1"/>
        <c:majorTickMark val="out"/>
        <c:minorTickMark val="none"/>
        <c:tickLblPos val="nextTo"/>
        <c:crossAx val="-878458224"/>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a:t>Obiliq</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AF15-40B1-8F7C-BB5F3660E9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Obiliq!$B$19:$E$19</c:f>
              <c:strCache>
                <c:ptCount val="4"/>
                <c:pt idx="0">
                  <c:v>Qeverisja 
demokratike</c:v>
                </c:pt>
                <c:pt idx="1">
                  <c:v>Menaxhimi 
komunal</c:v>
                </c:pt>
                <c:pt idx="2">
                  <c:v>Ofrimi i 
shërbimeve</c:v>
                </c:pt>
                <c:pt idx="3">
                  <c:v>Total</c:v>
                </c:pt>
              </c:strCache>
            </c:strRef>
          </c:cat>
          <c:val>
            <c:numRef>
              <c:f>Obiliq!$B$20:$E$20</c:f>
              <c:numCache>
                <c:formatCode>0.00</c:formatCode>
                <c:ptCount val="4"/>
                <c:pt idx="0">
                  <c:v>97.5</c:v>
                </c:pt>
                <c:pt idx="1">
                  <c:v>64.285714285714292</c:v>
                </c:pt>
                <c:pt idx="2">
                  <c:v>50</c:v>
                </c:pt>
                <c:pt idx="3">
                  <c:v>73.469387755102048</c:v>
                </c:pt>
              </c:numCache>
            </c:numRef>
          </c:val>
          <c:extLst xmlns:c16r2="http://schemas.microsoft.com/office/drawing/2015/06/chart">
            <c:ext xmlns:c16="http://schemas.microsoft.com/office/drawing/2014/chart" uri="{C3380CC4-5D6E-409C-BE32-E72D297353CC}">
              <c16:uniqueId val="{00000000-AF15-40B1-8F7C-BB5F3660E951}"/>
            </c:ext>
          </c:extLst>
        </c:ser>
        <c:dLbls>
          <c:showLegendKey val="0"/>
          <c:showVal val="0"/>
          <c:showCatName val="0"/>
          <c:showSerName val="0"/>
          <c:showPercent val="0"/>
          <c:showBubbleSize val="0"/>
        </c:dLbls>
        <c:gapWidth val="100"/>
        <c:overlap val="-24"/>
        <c:axId val="-878469648"/>
        <c:axId val="-878463664"/>
      </c:barChart>
      <c:catAx>
        <c:axId val="-878469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463664"/>
        <c:crosses val="autoZero"/>
        <c:auto val="1"/>
        <c:lblAlgn val="ctr"/>
        <c:lblOffset val="100"/>
        <c:noMultiLvlLbl val="0"/>
      </c:catAx>
      <c:valAx>
        <c:axId val="-87846366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78469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lgn="ctr" rtl="0">
            <a:defRPr lang="sr-Latn-RS" sz="1400" b="0" i="0"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Sheet1!$C$170</c:f>
              <c:strCache>
                <c:ptCount val="1"/>
                <c:pt idx="0">
                  <c:v>Partesh</c:v>
                </c:pt>
              </c:strCache>
            </c:strRef>
          </c:tx>
          <c:spPr>
            <a:solidFill>
              <a:schemeClr val="accent6"/>
            </a:solidFill>
            <a:ln>
              <a:noFill/>
            </a:ln>
            <a:effectLst/>
          </c:spPr>
          <c:invertIfNegative val="0"/>
          <c:dPt>
            <c:idx val="1"/>
            <c:invertIfNegative val="0"/>
            <c:bubble3D val="0"/>
            <c:extLst xmlns:c16r2="http://schemas.microsoft.com/office/drawing/2015/06/chart">
              <c:ext xmlns:c16="http://schemas.microsoft.com/office/drawing/2014/chart" uri="{C3380CC4-5D6E-409C-BE32-E72D297353CC}">
                <c16:uniqueId val="{00000000-5ACE-4B05-98EE-B400FA6FBB37}"/>
              </c:ext>
            </c:extLst>
          </c:dPt>
          <c:dPt>
            <c:idx val="2"/>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2-5ACE-4B05-98EE-B400FA6FBB37}"/>
              </c:ext>
            </c:extLst>
          </c:dPt>
          <c:dPt>
            <c:idx val="3"/>
            <c:invertIfNegative val="0"/>
            <c:bubble3D val="0"/>
            <c:extLst xmlns:c16r2="http://schemas.microsoft.com/office/drawing/2015/06/chart">
              <c:ext xmlns:c16="http://schemas.microsoft.com/office/drawing/2014/chart" uri="{C3380CC4-5D6E-409C-BE32-E72D297353CC}">
                <c16:uniqueId val="{00000003-5ACE-4B05-98EE-B400FA6FBB37}"/>
              </c:ext>
            </c:extLst>
          </c:dPt>
          <c:cat>
            <c:strRef>
              <c:f>Sheet1!$B$171:$B$174</c:f>
              <c:strCache>
                <c:ptCount val="4"/>
                <c:pt idx="0">
                  <c:v>Komunat duhet të kenë raportuar të dhënat në SMPK sipas afatit të përcaktuar </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Sheet1!$C$171:$C$174</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4-5ACE-4B05-98EE-B400FA6FBB37}"/>
            </c:ext>
          </c:extLst>
        </c:ser>
        <c:dLbls>
          <c:showLegendKey val="0"/>
          <c:showVal val="0"/>
          <c:showCatName val="0"/>
          <c:showSerName val="0"/>
          <c:showPercent val="0"/>
          <c:showBubbleSize val="0"/>
        </c:dLbls>
        <c:gapWidth val="150"/>
        <c:axId val="-878457680"/>
        <c:axId val="-878450064"/>
      </c:barChart>
      <c:catAx>
        <c:axId val="-878457680"/>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878450064"/>
        <c:crosses val="autoZero"/>
        <c:auto val="1"/>
        <c:lblAlgn val="ctr"/>
        <c:lblOffset val="100"/>
        <c:noMultiLvlLbl val="0"/>
      </c:catAx>
      <c:valAx>
        <c:axId val="-878450064"/>
        <c:scaling>
          <c:orientation val="minMax"/>
        </c:scaling>
        <c:delete val="1"/>
        <c:axPos val="b"/>
        <c:numFmt formatCode="General" sourceLinked="1"/>
        <c:majorTickMark val="out"/>
        <c:minorTickMark val="none"/>
        <c:tickLblPos val="nextTo"/>
        <c:crossAx val="-878457680"/>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a:t>Partesh</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46A6-4E34-B9BB-3773E9A2F1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Partesh!$B$20:$E$20</c:f>
              <c:strCache>
                <c:ptCount val="4"/>
                <c:pt idx="0">
                  <c:v>Qeverisja 
demokratike</c:v>
                </c:pt>
                <c:pt idx="1">
                  <c:v>Menaxhimi 
komunal</c:v>
                </c:pt>
                <c:pt idx="2">
                  <c:v>Ofrimi i 
shërbimeve</c:v>
                </c:pt>
                <c:pt idx="3">
                  <c:v>Total</c:v>
                </c:pt>
              </c:strCache>
            </c:strRef>
          </c:cat>
          <c:val>
            <c:numRef>
              <c:f>Partesh!$B$21:$E$21</c:f>
              <c:numCache>
                <c:formatCode>0.00</c:formatCode>
                <c:ptCount val="4"/>
                <c:pt idx="0">
                  <c:v>17.5</c:v>
                </c:pt>
                <c:pt idx="1">
                  <c:v>7.1428571428571423</c:v>
                </c:pt>
                <c:pt idx="2">
                  <c:v>6.666666666666667</c:v>
                </c:pt>
                <c:pt idx="3">
                  <c:v>11.224489795918368</c:v>
                </c:pt>
              </c:numCache>
            </c:numRef>
          </c:val>
          <c:extLst xmlns:c16r2="http://schemas.microsoft.com/office/drawing/2015/06/chart">
            <c:ext xmlns:c16="http://schemas.microsoft.com/office/drawing/2014/chart" uri="{C3380CC4-5D6E-409C-BE32-E72D297353CC}">
              <c16:uniqueId val="{00000000-46A6-4E34-B9BB-3773E9A2F1EE}"/>
            </c:ext>
          </c:extLst>
        </c:ser>
        <c:dLbls>
          <c:showLegendKey val="0"/>
          <c:showVal val="0"/>
          <c:showCatName val="0"/>
          <c:showSerName val="0"/>
          <c:showPercent val="0"/>
          <c:showBubbleSize val="0"/>
        </c:dLbls>
        <c:gapWidth val="100"/>
        <c:overlap val="-24"/>
        <c:axId val="-878469104"/>
        <c:axId val="-878460944"/>
      </c:barChart>
      <c:catAx>
        <c:axId val="-878469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460944"/>
        <c:crosses val="autoZero"/>
        <c:auto val="1"/>
        <c:lblAlgn val="ctr"/>
        <c:lblOffset val="100"/>
        <c:noMultiLvlLbl val="0"/>
      </c:catAx>
      <c:valAx>
        <c:axId val="-87846094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78469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lgn="ctr" rtl="0">
            <a:defRPr lang="en-US" sz="1400" b="0" i="0"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Sheet1!$C$176</c:f>
              <c:strCache>
                <c:ptCount val="1"/>
                <c:pt idx="0">
                  <c:v>Pejë</c:v>
                </c:pt>
              </c:strCache>
            </c:strRef>
          </c:tx>
          <c:spPr>
            <a:solidFill>
              <a:srgbClr val="FF0000"/>
            </a:solidFill>
            <a:ln>
              <a:noFill/>
            </a:ln>
            <a:effectLst/>
          </c:spPr>
          <c:invertIfNegative val="0"/>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7544-43C7-A689-E8F2FE4CE08D}"/>
              </c:ext>
            </c:extLst>
          </c:dPt>
          <c:dPt>
            <c:idx val="2"/>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3-7544-43C7-A689-E8F2FE4CE08D}"/>
              </c:ext>
            </c:extLst>
          </c:dPt>
          <c:cat>
            <c:strRef>
              <c:f>Sheet1!$B$177:$B$180</c:f>
              <c:strCache>
                <c:ptCount val="4"/>
                <c:pt idx="0">
                  <c:v>Komunat duhet të kenë raportuar të dhënat në SMPK sipas afatit të përcaktuar </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Sheet1!$C$177:$C$180</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4-7544-43C7-A689-E8F2FE4CE08D}"/>
            </c:ext>
          </c:extLst>
        </c:ser>
        <c:dLbls>
          <c:showLegendKey val="0"/>
          <c:showVal val="0"/>
          <c:showCatName val="0"/>
          <c:showSerName val="0"/>
          <c:showPercent val="0"/>
          <c:showBubbleSize val="0"/>
        </c:dLbls>
        <c:gapWidth val="150"/>
        <c:axId val="-878453872"/>
        <c:axId val="-878460400"/>
      </c:barChart>
      <c:catAx>
        <c:axId val="-878453872"/>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878460400"/>
        <c:crosses val="autoZero"/>
        <c:auto val="1"/>
        <c:lblAlgn val="ctr"/>
        <c:lblOffset val="100"/>
        <c:noMultiLvlLbl val="0"/>
      </c:catAx>
      <c:valAx>
        <c:axId val="-878460400"/>
        <c:scaling>
          <c:orientation val="minMax"/>
        </c:scaling>
        <c:delete val="1"/>
        <c:axPos val="b"/>
        <c:numFmt formatCode="General" sourceLinked="1"/>
        <c:majorTickMark val="out"/>
        <c:minorTickMark val="none"/>
        <c:tickLblPos val="nextTo"/>
        <c:crossAx val="-878453872"/>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a:t>Pejë</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94EC-4AA8-A9B8-CCDBA8437B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Pejë!$B$19:$E$19</c:f>
              <c:strCache>
                <c:ptCount val="4"/>
                <c:pt idx="0">
                  <c:v>Qeverisja 
demokratike</c:v>
                </c:pt>
                <c:pt idx="1">
                  <c:v>Menaxhimi 
komunal</c:v>
                </c:pt>
                <c:pt idx="2">
                  <c:v>Ofrimi i 
shërbimeve</c:v>
                </c:pt>
                <c:pt idx="3">
                  <c:v>Total</c:v>
                </c:pt>
              </c:strCache>
            </c:strRef>
          </c:cat>
          <c:val>
            <c:numRef>
              <c:f>Pejë!$B$20:$E$20</c:f>
              <c:numCache>
                <c:formatCode>0.00</c:formatCode>
                <c:ptCount val="4"/>
                <c:pt idx="0">
                  <c:v>45</c:v>
                </c:pt>
                <c:pt idx="1">
                  <c:v>39.285714285714285</c:v>
                </c:pt>
                <c:pt idx="2">
                  <c:v>53.333333333333336</c:v>
                </c:pt>
                <c:pt idx="3">
                  <c:v>45.91836734693878</c:v>
                </c:pt>
              </c:numCache>
            </c:numRef>
          </c:val>
          <c:extLst xmlns:c16r2="http://schemas.microsoft.com/office/drawing/2015/06/chart">
            <c:ext xmlns:c16="http://schemas.microsoft.com/office/drawing/2014/chart" uri="{C3380CC4-5D6E-409C-BE32-E72D297353CC}">
              <c16:uniqueId val="{00000000-94EC-4AA8-A9B8-CCDBA8437B6B}"/>
            </c:ext>
          </c:extLst>
        </c:ser>
        <c:dLbls>
          <c:showLegendKey val="0"/>
          <c:showVal val="0"/>
          <c:showCatName val="0"/>
          <c:showSerName val="0"/>
          <c:showPercent val="0"/>
          <c:showBubbleSize val="0"/>
        </c:dLbls>
        <c:gapWidth val="100"/>
        <c:overlap val="-24"/>
        <c:axId val="-878475088"/>
        <c:axId val="-878468560"/>
      </c:barChart>
      <c:catAx>
        <c:axId val="-878475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468560"/>
        <c:crosses val="autoZero"/>
        <c:auto val="1"/>
        <c:lblAlgn val="ctr"/>
        <c:lblOffset val="100"/>
        <c:noMultiLvlLbl val="0"/>
      </c:catAx>
      <c:valAx>
        <c:axId val="-87846856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78475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a:t>Podujevë</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6"/>
            </a:solidFill>
            <a:ln>
              <a:noFill/>
            </a:ln>
            <a:effectLst/>
          </c:spPr>
          <c:invertIfNegative val="0"/>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3510-4AEC-873F-97EBF0E28321}"/>
              </c:ext>
            </c:extLst>
          </c:dPt>
          <c:cat>
            <c:strRef>
              <c:f>Podujevë!$B$2:$E$2</c:f>
              <c:strCache>
                <c:ptCount val="4"/>
                <c:pt idx="0">
                  <c:v>Komunat duhet të kenë raportuar të dhënat në SMPK sipas afatit të përcaktuar në nenin 19.2 të Ligjit për SMPK/GPK</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Podujevë!$B$3:$E$3</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0-3510-4AEC-873F-97EBF0E28321}"/>
            </c:ext>
          </c:extLst>
        </c:ser>
        <c:dLbls>
          <c:showLegendKey val="0"/>
          <c:showVal val="0"/>
          <c:showCatName val="0"/>
          <c:showSerName val="0"/>
          <c:showPercent val="0"/>
          <c:showBubbleSize val="0"/>
        </c:dLbls>
        <c:gapWidth val="182"/>
        <c:axId val="-878474544"/>
        <c:axId val="-878468016"/>
      </c:barChart>
      <c:catAx>
        <c:axId val="-878474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78468016"/>
        <c:crosses val="autoZero"/>
        <c:auto val="1"/>
        <c:lblAlgn val="ctr"/>
        <c:lblOffset val="100"/>
        <c:noMultiLvlLbl val="0"/>
      </c:catAx>
      <c:valAx>
        <c:axId val="-878468016"/>
        <c:scaling>
          <c:orientation val="minMax"/>
        </c:scaling>
        <c:delete val="1"/>
        <c:axPos val="b"/>
        <c:numFmt formatCode="General" sourceLinked="1"/>
        <c:majorTickMark val="none"/>
        <c:minorTickMark val="none"/>
        <c:tickLblPos val="nextTo"/>
        <c:crossAx val="-878474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a:t>Podujevë</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59DF-414D-9F24-537FEAB5A5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Podujevë!$B$19:$E$19</c:f>
              <c:strCache>
                <c:ptCount val="4"/>
                <c:pt idx="0">
                  <c:v>Qeverisja 
demokratike</c:v>
                </c:pt>
                <c:pt idx="1">
                  <c:v>Menaxhimi 
komunal</c:v>
                </c:pt>
                <c:pt idx="2">
                  <c:v>Ofrimi i 
shërbimeve</c:v>
                </c:pt>
                <c:pt idx="3">
                  <c:v>Total</c:v>
                </c:pt>
              </c:strCache>
            </c:strRef>
          </c:cat>
          <c:val>
            <c:numRef>
              <c:f>Podujevë!$B$20:$E$20</c:f>
              <c:numCache>
                <c:formatCode>0.00</c:formatCode>
                <c:ptCount val="4"/>
                <c:pt idx="0">
                  <c:v>65</c:v>
                </c:pt>
                <c:pt idx="1">
                  <c:v>46.428571428571431</c:v>
                </c:pt>
                <c:pt idx="2">
                  <c:v>40</c:v>
                </c:pt>
                <c:pt idx="3">
                  <c:v>52.040816326530617</c:v>
                </c:pt>
              </c:numCache>
            </c:numRef>
          </c:val>
          <c:extLst xmlns:c16r2="http://schemas.microsoft.com/office/drawing/2015/06/chart">
            <c:ext xmlns:c16="http://schemas.microsoft.com/office/drawing/2014/chart" uri="{C3380CC4-5D6E-409C-BE32-E72D297353CC}">
              <c16:uniqueId val="{00000000-59DF-414D-9F24-537FEAB5A56C}"/>
            </c:ext>
          </c:extLst>
        </c:ser>
        <c:dLbls>
          <c:showLegendKey val="0"/>
          <c:showVal val="0"/>
          <c:showCatName val="0"/>
          <c:showSerName val="0"/>
          <c:showPercent val="0"/>
          <c:showBubbleSize val="0"/>
        </c:dLbls>
        <c:gapWidth val="100"/>
        <c:overlap val="-24"/>
        <c:axId val="-878449520"/>
        <c:axId val="-878457136"/>
      </c:barChart>
      <c:catAx>
        <c:axId val="-8784495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457136"/>
        <c:crosses val="autoZero"/>
        <c:auto val="1"/>
        <c:lblAlgn val="ctr"/>
        <c:lblOffset val="100"/>
        <c:noMultiLvlLbl val="0"/>
      </c:catAx>
      <c:valAx>
        <c:axId val="-8784571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78449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lgn="ctr" rtl="0">
            <a:defRPr lang="sr-Latn-RS" sz="1400" b="0" i="0"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Sheet1!$C$188</c:f>
              <c:strCache>
                <c:ptCount val="1"/>
                <c:pt idx="0">
                  <c:v>Prishtinë</c:v>
                </c:pt>
              </c:strCache>
            </c:strRef>
          </c:tx>
          <c:spPr>
            <a:solidFill>
              <a:srgbClr val="FF0000"/>
            </a:solidFill>
            <a:ln>
              <a:noFill/>
            </a:ln>
            <a:effectLst/>
          </c:spPr>
          <c:invertIfNegative val="0"/>
          <c:dPt>
            <c:idx val="0"/>
            <c:invertIfNegative val="0"/>
            <c:bubble3D val="0"/>
            <c:spPr>
              <a:solidFill>
                <a:schemeClr val="accent6"/>
              </a:solidFill>
              <a:ln>
                <a:noFill/>
              </a:ln>
              <a:effectLst/>
            </c:spPr>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9C5A-41FE-92F1-CF0F376E5D8E}"/>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9C5A-41FE-92F1-CF0F376E5D8E}"/>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9C5A-41FE-92F1-CF0F376E5D8E}"/>
              </c:ext>
            </c:extLst>
          </c:dPt>
          <c:cat>
            <c:strRef>
              <c:f>Sheet1!$B$189:$B$192</c:f>
              <c:strCache>
                <c:ptCount val="4"/>
                <c:pt idx="0">
                  <c:v>Komunat duhet të kenë raportuar të dhënat në SMPK sipas afatit të përcaktuar </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Sheet1!$C$189:$C$192</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6-9C5A-41FE-92F1-CF0F376E5D8E}"/>
            </c:ext>
          </c:extLst>
        </c:ser>
        <c:dLbls>
          <c:showLegendKey val="0"/>
          <c:showVal val="0"/>
          <c:showCatName val="0"/>
          <c:showSerName val="0"/>
          <c:showPercent val="0"/>
          <c:showBubbleSize val="0"/>
        </c:dLbls>
        <c:gapWidth val="150"/>
        <c:axId val="-878452784"/>
        <c:axId val="-878446256"/>
      </c:barChart>
      <c:catAx>
        <c:axId val="-878452784"/>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878446256"/>
        <c:crosses val="autoZero"/>
        <c:auto val="1"/>
        <c:lblAlgn val="ctr"/>
        <c:lblOffset val="100"/>
        <c:noMultiLvlLbl val="0"/>
      </c:catAx>
      <c:valAx>
        <c:axId val="-878446256"/>
        <c:scaling>
          <c:orientation val="minMax"/>
        </c:scaling>
        <c:delete val="1"/>
        <c:axPos val="b"/>
        <c:numFmt formatCode="General" sourceLinked="1"/>
        <c:majorTickMark val="out"/>
        <c:minorTickMark val="none"/>
        <c:tickLblPos val="nextTo"/>
        <c:crossAx val="-878452784"/>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r>
              <a:rPr lang="en-US"/>
              <a:t>Performanca</a:t>
            </a:r>
            <a:r>
              <a:rPr lang="en-US" baseline="0"/>
              <a:t> e përgjithshme GPK </a:t>
            </a:r>
            <a:r>
              <a:rPr lang="en-US"/>
              <a:t>2026</a:t>
            </a:r>
          </a:p>
        </c:rich>
      </c:tx>
      <c:layout>
        <c:manualLayout>
          <c:xMode val="edge"/>
          <c:yMode val="edge"/>
          <c:x val="0.23504273504273504"/>
          <c:y val="1.2498048475429313E-2"/>
        </c:manualLayout>
      </c:layout>
      <c:overlay val="0"/>
      <c:spPr>
        <a:noFill/>
        <a:ln>
          <a:noFill/>
        </a:ln>
        <a:effectLst/>
      </c:spPr>
      <c:txPr>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'[Grafet-performanca e pergjithshme.xlsx]Sheet2'!$A$1:$A$42</c:f>
              <c:strCache>
                <c:ptCount val="42"/>
                <c:pt idx="0">
                  <c:v>Komunat</c:v>
                </c:pt>
                <c:pt idx="4">
                  <c:v>Klokot Vrbovac/Kllokot Vërbovc</c:v>
                </c:pt>
                <c:pt idx="5">
                  <c:v>Leposavić/Leposaviq </c:v>
                </c:pt>
                <c:pt idx="6">
                  <c:v>Štrpce/Shtërpcë </c:v>
                </c:pt>
                <c:pt idx="7">
                  <c:v>Zubin Potok/Zubin Potok </c:v>
                </c:pt>
                <c:pt idx="8">
                  <c:v>Zvečan/Zveçan</c:v>
                </c:pt>
                <c:pt idx="9">
                  <c:v>Novo Brdo/Novobërdë </c:v>
                </c:pt>
                <c:pt idx="10">
                  <c:v>Parteš/Partesh </c:v>
                </c:pt>
                <c:pt idx="11">
                  <c:v>Severna Mitrovica/Mitrovicë e veriut </c:v>
                </c:pt>
                <c:pt idx="12">
                  <c:v>Ranilug/Ranillug </c:v>
                </c:pt>
                <c:pt idx="13">
                  <c:v>Gračanica/Graçanicë </c:v>
                </c:pt>
                <c:pt idx="14">
                  <c:v>Malishevë/Mališevo</c:v>
                </c:pt>
                <c:pt idx="15">
                  <c:v>Mamushë/Mamuša</c:v>
                </c:pt>
                <c:pt idx="16">
                  <c:v>Prishtinë/Priština</c:v>
                </c:pt>
                <c:pt idx="17">
                  <c:v>Viti/Vitina</c:v>
                </c:pt>
                <c:pt idx="18">
                  <c:v>Kamenicë/Kamenica </c:v>
                </c:pt>
                <c:pt idx="19">
                  <c:v>Kaçanik/Kačanik</c:v>
                </c:pt>
                <c:pt idx="20">
                  <c:v>Fushë Kosovë/Kosovo Polje</c:v>
                </c:pt>
                <c:pt idx="21">
                  <c:v>Gjilan/Gnjilane</c:v>
                </c:pt>
                <c:pt idx="22">
                  <c:v>Pejë/Peć</c:v>
                </c:pt>
                <c:pt idx="23">
                  <c:v>Mitrovicë e jugut/Južna Mitrovica</c:v>
                </c:pt>
                <c:pt idx="24">
                  <c:v>Shtime/Štimlje </c:v>
                </c:pt>
                <c:pt idx="25">
                  <c:v>Podujevë/Podujevo</c:v>
                </c:pt>
                <c:pt idx="26">
                  <c:v>Gjakovë/Đakovica </c:v>
                </c:pt>
                <c:pt idx="27">
                  <c:v>Junik/Junik</c:v>
                </c:pt>
                <c:pt idx="28">
                  <c:v>Klinë/Klina</c:v>
                </c:pt>
                <c:pt idx="29">
                  <c:v>Suharekë/Suva Reka </c:v>
                </c:pt>
                <c:pt idx="30">
                  <c:v>Ferizaj/Uroševac</c:v>
                </c:pt>
                <c:pt idx="31">
                  <c:v>Dragash/Dragaš </c:v>
                </c:pt>
                <c:pt idx="32">
                  <c:v>Hani i Elezit/Elez Han </c:v>
                </c:pt>
                <c:pt idx="33">
                  <c:v>Deçan/Dečane </c:v>
                </c:pt>
                <c:pt idx="34">
                  <c:v>Vushtrri/Vučitrn </c:v>
                </c:pt>
                <c:pt idx="35">
                  <c:v>Istog/Istok </c:v>
                </c:pt>
                <c:pt idx="36">
                  <c:v>Prizren/Prizren </c:v>
                </c:pt>
                <c:pt idx="37">
                  <c:v>Lipjan/Lipljan</c:v>
                </c:pt>
                <c:pt idx="38">
                  <c:v>Obiliq/Obilić </c:v>
                </c:pt>
                <c:pt idx="39">
                  <c:v>Rahovec/Orahovac</c:v>
                </c:pt>
                <c:pt idx="40">
                  <c:v>Skenderaj/Srbica </c:v>
                </c:pt>
                <c:pt idx="41">
                  <c:v>Gllogovc/Glogovac </c:v>
                </c:pt>
              </c:strCache>
            </c:strRef>
          </c:cat>
          <c:val>
            <c:numRef>
              <c:f>'[Grafet-performanca e pergjithshme.xlsx]Sheet2'!$B$1:$B$42</c:f>
              <c:numCache>
                <c:formatCode>General</c:formatCode>
                <c:ptCount val="42"/>
                <c:pt idx="4" formatCode="0.00%">
                  <c:v>0</c:v>
                </c:pt>
                <c:pt idx="5" formatCode="0.00%">
                  <c:v>0</c:v>
                </c:pt>
                <c:pt idx="6" formatCode="0.00%">
                  <c:v>0</c:v>
                </c:pt>
                <c:pt idx="7" formatCode="0.00%">
                  <c:v>0</c:v>
                </c:pt>
                <c:pt idx="8" formatCode="0.00%">
                  <c:v>0</c:v>
                </c:pt>
                <c:pt idx="9" formatCode="0.00%">
                  <c:v>0.02</c:v>
                </c:pt>
                <c:pt idx="10" formatCode="0.00%">
                  <c:v>0.112</c:v>
                </c:pt>
                <c:pt idx="11" formatCode="0.00%">
                  <c:v>0.13300000000000001</c:v>
                </c:pt>
                <c:pt idx="12" formatCode="0.00%">
                  <c:v>0.16300000000000001</c:v>
                </c:pt>
                <c:pt idx="13" formatCode="0.00%">
                  <c:v>0.26500000000000001</c:v>
                </c:pt>
                <c:pt idx="14" formatCode="0.00%">
                  <c:v>0.26500000000000001</c:v>
                </c:pt>
                <c:pt idx="15" formatCode="0.00%">
                  <c:v>0.26500000000000001</c:v>
                </c:pt>
                <c:pt idx="16" formatCode="0.00%">
                  <c:v>0.29599999999999999</c:v>
                </c:pt>
                <c:pt idx="17" formatCode="0.00%">
                  <c:v>0.316</c:v>
                </c:pt>
                <c:pt idx="18" formatCode="0.00%">
                  <c:v>0.32700000000000001</c:v>
                </c:pt>
                <c:pt idx="19" formatCode="0.00%">
                  <c:v>0.39800000000000002</c:v>
                </c:pt>
                <c:pt idx="20" formatCode="0.00%">
                  <c:v>0.41799999999999998</c:v>
                </c:pt>
                <c:pt idx="21" formatCode="0.00%">
                  <c:v>0.44900000000000001</c:v>
                </c:pt>
                <c:pt idx="22" formatCode="0.00%">
                  <c:v>0.45900000000000002</c:v>
                </c:pt>
                <c:pt idx="23" formatCode="0.00%">
                  <c:v>0.48</c:v>
                </c:pt>
                <c:pt idx="24" formatCode="0.00%">
                  <c:v>0.49</c:v>
                </c:pt>
                <c:pt idx="25" formatCode="0.00%">
                  <c:v>0.52</c:v>
                </c:pt>
                <c:pt idx="26" formatCode="0.00%">
                  <c:v>0.53100000000000003</c:v>
                </c:pt>
                <c:pt idx="27" formatCode="0.00%">
                  <c:v>0.53100000000000003</c:v>
                </c:pt>
                <c:pt idx="28" formatCode="0.00%">
                  <c:v>0.59199999999999997</c:v>
                </c:pt>
                <c:pt idx="29" formatCode="0.00%">
                  <c:v>0.59199999999999997</c:v>
                </c:pt>
                <c:pt idx="30" formatCode="0.00%">
                  <c:v>0.60199999999999998</c:v>
                </c:pt>
                <c:pt idx="31" formatCode="0.00%">
                  <c:v>0.61199999999999999</c:v>
                </c:pt>
                <c:pt idx="32" formatCode="0.00%">
                  <c:v>0.622</c:v>
                </c:pt>
                <c:pt idx="33" formatCode="0.00%">
                  <c:v>0.64300000000000002</c:v>
                </c:pt>
                <c:pt idx="34" formatCode="0.00%">
                  <c:v>0.64300000000000002</c:v>
                </c:pt>
                <c:pt idx="35" formatCode="0.00%">
                  <c:v>0.69399999999999995</c:v>
                </c:pt>
                <c:pt idx="36" formatCode="0.00%">
                  <c:v>0.72399999999999998</c:v>
                </c:pt>
                <c:pt idx="37" formatCode="0.00%">
                  <c:v>0.73499999999999999</c:v>
                </c:pt>
                <c:pt idx="38" formatCode="0.00%">
                  <c:v>0.73499999999999999</c:v>
                </c:pt>
                <c:pt idx="39" formatCode="0.00%">
                  <c:v>0.73499999999999999</c:v>
                </c:pt>
                <c:pt idx="40" formatCode="0.00%">
                  <c:v>0.73499999999999999</c:v>
                </c:pt>
                <c:pt idx="41" formatCode="0.00%">
                  <c:v>0.76500000000000001</c:v>
                </c:pt>
              </c:numCache>
            </c:numRef>
          </c:val>
          <c:extLst xmlns:c16r2="http://schemas.microsoft.com/office/drawing/2015/06/chart">
            <c:ext xmlns:c16="http://schemas.microsoft.com/office/drawing/2014/chart" uri="{C3380CC4-5D6E-409C-BE32-E72D297353CC}">
              <c16:uniqueId val="{00000000-8ACD-41FA-AEE4-7F4D5383B871}"/>
            </c:ext>
          </c:extLst>
        </c:ser>
        <c:dLbls>
          <c:showLegendKey val="0"/>
          <c:showVal val="1"/>
          <c:showCatName val="0"/>
          <c:showSerName val="0"/>
          <c:showPercent val="0"/>
          <c:showBubbleSize val="0"/>
        </c:dLbls>
        <c:gapWidth val="6"/>
        <c:axId val="-1064378224"/>
        <c:axId val="-1064386928"/>
      </c:barChart>
      <c:catAx>
        <c:axId val="-1064378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1064386928"/>
        <c:crosses val="autoZero"/>
        <c:auto val="1"/>
        <c:lblAlgn val="ctr"/>
        <c:lblOffset val="100"/>
        <c:noMultiLvlLbl val="0"/>
      </c:catAx>
      <c:valAx>
        <c:axId val="-106438692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643782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a:t>Prishtinë</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2A07-4141-B214-0E23793196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Prishtinë!$B$19:$E$19</c:f>
              <c:strCache>
                <c:ptCount val="4"/>
                <c:pt idx="0">
                  <c:v>Qeverisja 
demokratike</c:v>
                </c:pt>
                <c:pt idx="1">
                  <c:v>Menaxhimi 
komunal</c:v>
                </c:pt>
                <c:pt idx="2">
                  <c:v>Ofrimi i 
shërbimeve</c:v>
                </c:pt>
                <c:pt idx="3">
                  <c:v>Total</c:v>
                </c:pt>
              </c:strCache>
            </c:strRef>
          </c:cat>
          <c:val>
            <c:numRef>
              <c:f>Prishtinë!$B$20:$E$20</c:f>
              <c:numCache>
                <c:formatCode>0.00</c:formatCode>
                <c:ptCount val="4"/>
                <c:pt idx="0">
                  <c:v>12.5</c:v>
                </c:pt>
                <c:pt idx="1">
                  <c:v>57.142857142857139</c:v>
                </c:pt>
                <c:pt idx="2">
                  <c:v>26.666666666666668</c:v>
                </c:pt>
                <c:pt idx="3">
                  <c:v>29.591836734693878</c:v>
                </c:pt>
              </c:numCache>
            </c:numRef>
          </c:val>
          <c:extLst xmlns:c16r2="http://schemas.microsoft.com/office/drawing/2015/06/chart">
            <c:ext xmlns:c16="http://schemas.microsoft.com/office/drawing/2014/chart" uri="{C3380CC4-5D6E-409C-BE32-E72D297353CC}">
              <c16:uniqueId val="{00000000-2A07-4141-B214-0E2379319693}"/>
            </c:ext>
          </c:extLst>
        </c:ser>
        <c:dLbls>
          <c:showLegendKey val="0"/>
          <c:showVal val="0"/>
          <c:showCatName val="0"/>
          <c:showSerName val="0"/>
          <c:showPercent val="0"/>
          <c:showBubbleSize val="0"/>
        </c:dLbls>
        <c:gapWidth val="100"/>
        <c:overlap val="-24"/>
        <c:axId val="-878448976"/>
        <c:axId val="-878456592"/>
      </c:barChart>
      <c:catAx>
        <c:axId val="-8784489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456592"/>
        <c:crosses val="autoZero"/>
        <c:auto val="1"/>
        <c:lblAlgn val="ctr"/>
        <c:lblOffset val="100"/>
        <c:noMultiLvlLbl val="0"/>
      </c:catAx>
      <c:valAx>
        <c:axId val="-87845659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78448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a:t>Prizren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6"/>
            </a:solidFill>
            <a:ln>
              <a:noFill/>
            </a:ln>
            <a:effectLst/>
          </c:spPr>
          <c:invertIfNegative val="0"/>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A792-4427-A65B-6FCBD789E976}"/>
              </c:ext>
            </c:extLst>
          </c:dPt>
          <c:cat>
            <c:strRef>
              <c:f>Prizren!$B$2:$E$2</c:f>
              <c:strCache>
                <c:ptCount val="4"/>
                <c:pt idx="0">
                  <c:v>Komunat duhet të kenë raportuar të dhënat në SMPK sipas afatit të përcaktuar në nenin 19.2 të Ligjit për SMPK/GPK</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Prizren!$B$3:$E$3</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0-A792-4427-A65B-6FCBD789E976}"/>
            </c:ext>
          </c:extLst>
        </c:ser>
        <c:dLbls>
          <c:showLegendKey val="0"/>
          <c:showVal val="0"/>
          <c:showCatName val="0"/>
          <c:showSerName val="0"/>
          <c:showPercent val="0"/>
          <c:showBubbleSize val="0"/>
        </c:dLbls>
        <c:gapWidth val="182"/>
        <c:axId val="-878452240"/>
        <c:axId val="-878451152"/>
      </c:barChart>
      <c:catAx>
        <c:axId val="-878452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78451152"/>
        <c:crosses val="autoZero"/>
        <c:auto val="1"/>
        <c:lblAlgn val="ctr"/>
        <c:lblOffset val="100"/>
        <c:noMultiLvlLbl val="0"/>
      </c:catAx>
      <c:valAx>
        <c:axId val="-878451152"/>
        <c:scaling>
          <c:orientation val="minMax"/>
        </c:scaling>
        <c:delete val="1"/>
        <c:axPos val="b"/>
        <c:numFmt formatCode="General" sourceLinked="1"/>
        <c:majorTickMark val="none"/>
        <c:minorTickMark val="none"/>
        <c:tickLblPos val="nextTo"/>
        <c:crossAx val="-878452240"/>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a:t>Prizren</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0904-4497-8218-30615B53A2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Prizren!$B$19:$E$19</c:f>
              <c:strCache>
                <c:ptCount val="4"/>
                <c:pt idx="0">
                  <c:v>Qeverisja 
demokratike</c:v>
                </c:pt>
                <c:pt idx="1">
                  <c:v>Menaxhimi 
komunal</c:v>
                </c:pt>
                <c:pt idx="2">
                  <c:v>Ofrimi i 
shërbimeve</c:v>
                </c:pt>
                <c:pt idx="3">
                  <c:v>Total</c:v>
                </c:pt>
              </c:strCache>
            </c:strRef>
          </c:cat>
          <c:val>
            <c:numRef>
              <c:f>Prizren!$B$20:$E$20</c:f>
              <c:numCache>
                <c:formatCode>0.00</c:formatCode>
                <c:ptCount val="4"/>
                <c:pt idx="0">
                  <c:v>77.5</c:v>
                </c:pt>
                <c:pt idx="1">
                  <c:v>78.571428571428569</c:v>
                </c:pt>
                <c:pt idx="2">
                  <c:v>60</c:v>
                </c:pt>
                <c:pt idx="3">
                  <c:v>72.448979591836732</c:v>
                </c:pt>
              </c:numCache>
            </c:numRef>
          </c:val>
          <c:extLst xmlns:c16r2="http://schemas.microsoft.com/office/drawing/2015/06/chart">
            <c:ext xmlns:c16="http://schemas.microsoft.com/office/drawing/2014/chart" uri="{C3380CC4-5D6E-409C-BE32-E72D297353CC}">
              <c16:uniqueId val="{00000000-0904-4497-8218-30615B53A27A}"/>
            </c:ext>
          </c:extLst>
        </c:ser>
        <c:dLbls>
          <c:showLegendKey val="0"/>
          <c:showVal val="0"/>
          <c:showCatName val="0"/>
          <c:showSerName val="0"/>
          <c:showPercent val="0"/>
          <c:showBubbleSize val="0"/>
        </c:dLbls>
        <c:gapWidth val="100"/>
        <c:overlap val="-24"/>
        <c:axId val="-878470736"/>
        <c:axId val="-878447888"/>
      </c:barChart>
      <c:catAx>
        <c:axId val="-8784707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447888"/>
        <c:crosses val="autoZero"/>
        <c:auto val="1"/>
        <c:lblAlgn val="ctr"/>
        <c:lblOffset val="100"/>
        <c:noMultiLvlLbl val="0"/>
      </c:catAx>
      <c:valAx>
        <c:axId val="-87844788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78470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lgn="ctr" rtl="0">
            <a:defRPr lang="sr-Latn-RS" sz="1400" b="0" i="0"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Sheet1!$C$200</c:f>
              <c:strCache>
                <c:ptCount val="1"/>
                <c:pt idx="0">
                  <c:v>Rahovec</c:v>
                </c:pt>
              </c:strCache>
            </c:strRef>
          </c:tx>
          <c:spPr>
            <a:solidFill>
              <a:schemeClr val="accent1"/>
            </a:solidFill>
            <a:ln>
              <a:noFill/>
            </a:ln>
            <a:effectLst/>
          </c:spPr>
          <c:invertIfNegative val="0"/>
          <c:dPt>
            <c:idx val="0"/>
            <c:invertIfNegative val="0"/>
            <c:bubble3D val="0"/>
            <c:spPr>
              <a:solidFill>
                <a:schemeClr val="accent6"/>
              </a:solidFill>
              <a:ln>
                <a:noFill/>
              </a:ln>
              <a:effectLst/>
            </c:spPr>
          </c:dPt>
          <c:dPt>
            <c:idx val="1"/>
            <c:invertIfNegative val="0"/>
            <c:bubble3D val="0"/>
            <c:spPr>
              <a:solidFill>
                <a:schemeClr val="accent6"/>
              </a:solidFill>
              <a:ln>
                <a:noFill/>
              </a:ln>
              <a:effectLst/>
            </c:spPr>
          </c:dPt>
          <c:dPt>
            <c:idx val="2"/>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6FF4-441C-B515-B31BF5282DD8}"/>
              </c:ext>
            </c:extLst>
          </c:dPt>
          <c:dPt>
            <c:idx val="3"/>
            <c:invertIfNegative val="0"/>
            <c:bubble3D val="0"/>
            <c:spPr>
              <a:solidFill>
                <a:schemeClr val="accent6"/>
              </a:solidFill>
              <a:ln>
                <a:noFill/>
              </a:ln>
              <a:effectLst/>
            </c:spPr>
          </c:dPt>
          <c:cat>
            <c:strRef>
              <c:f>Sheet1!$B$207:$B$210</c:f>
              <c:strCache>
                <c:ptCount val="4"/>
                <c:pt idx="0">
                  <c:v>Komunat duhet të kenë raportuar të dhënat në SMPK sipas afatit të përcaktuar </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Sheet1!$C$201:$C$204</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2-6FF4-441C-B515-B31BF5282DD8}"/>
            </c:ext>
          </c:extLst>
        </c:ser>
        <c:dLbls>
          <c:showLegendKey val="0"/>
          <c:showVal val="0"/>
          <c:showCatName val="0"/>
          <c:showSerName val="0"/>
          <c:showPercent val="0"/>
          <c:showBubbleSize val="0"/>
        </c:dLbls>
        <c:gapWidth val="150"/>
        <c:axId val="-878445168"/>
        <c:axId val="-878473456"/>
      </c:barChart>
      <c:catAx>
        <c:axId val="-878445168"/>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878473456"/>
        <c:crosses val="autoZero"/>
        <c:auto val="1"/>
        <c:lblAlgn val="ctr"/>
        <c:lblOffset val="100"/>
        <c:noMultiLvlLbl val="0"/>
      </c:catAx>
      <c:valAx>
        <c:axId val="-878473456"/>
        <c:scaling>
          <c:orientation val="minMax"/>
        </c:scaling>
        <c:delete val="1"/>
        <c:axPos val="b"/>
        <c:numFmt formatCode="General" sourceLinked="1"/>
        <c:majorTickMark val="out"/>
        <c:minorTickMark val="none"/>
        <c:tickLblPos val="nextTo"/>
        <c:crossAx val="-878445168"/>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a:t>Rahovec</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D9F0-44F9-89A2-DA14E859A35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Rahovec!$B$19:$E$19</c:f>
              <c:strCache>
                <c:ptCount val="4"/>
                <c:pt idx="0">
                  <c:v>Qeverisja 
demokratike</c:v>
                </c:pt>
                <c:pt idx="1">
                  <c:v>Menaxhimi 
komunal</c:v>
                </c:pt>
                <c:pt idx="2">
                  <c:v>Ofrimi i 
shërbimeve</c:v>
                </c:pt>
                <c:pt idx="3">
                  <c:v>Total</c:v>
                </c:pt>
              </c:strCache>
            </c:strRef>
          </c:cat>
          <c:val>
            <c:numRef>
              <c:f>Rahovec!$B$20:$E$20</c:f>
              <c:numCache>
                <c:formatCode>0.00</c:formatCode>
                <c:ptCount val="4"/>
                <c:pt idx="0">
                  <c:v>95</c:v>
                </c:pt>
                <c:pt idx="1">
                  <c:v>60.714285714285708</c:v>
                </c:pt>
                <c:pt idx="2">
                  <c:v>56.666666666666664</c:v>
                </c:pt>
                <c:pt idx="3">
                  <c:v>73.469387755102048</c:v>
                </c:pt>
              </c:numCache>
            </c:numRef>
          </c:val>
          <c:extLst xmlns:c16r2="http://schemas.microsoft.com/office/drawing/2015/06/chart">
            <c:ext xmlns:c16="http://schemas.microsoft.com/office/drawing/2014/chart" uri="{C3380CC4-5D6E-409C-BE32-E72D297353CC}">
              <c16:uniqueId val="{00000000-D9F0-44F9-89A2-DA14E859A35F}"/>
            </c:ext>
          </c:extLst>
        </c:ser>
        <c:dLbls>
          <c:showLegendKey val="0"/>
          <c:showVal val="0"/>
          <c:showCatName val="0"/>
          <c:showSerName val="0"/>
          <c:showPercent val="0"/>
          <c:showBubbleSize val="0"/>
        </c:dLbls>
        <c:gapWidth val="100"/>
        <c:overlap val="-24"/>
        <c:axId val="-873921968"/>
        <c:axId val="-873929584"/>
      </c:barChart>
      <c:catAx>
        <c:axId val="-873921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929584"/>
        <c:crosses val="autoZero"/>
        <c:auto val="1"/>
        <c:lblAlgn val="ctr"/>
        <c:lblOffset val="100"/>
        <c:noMultiLvlLbl val="0"/>
      </c:catAx>
      <c:valAx>
        <c:axId val="-87392958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7392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lgn="ctr" rtl="0">
            <a:defRPr lang="sr-Latn-RS" sz="1400" b="0" i="0"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Sheet1!$C$206</c:f>
              <c:strCache>
                <c:ptCount val="1"/>
                <c:pt idx="0">
                  <c:v>Ranillug</c:v>
                </c:pt>
              </c:strCache>
            </c:strRef>
          </c:tx>
          <c:spPr>
            <a:solidFill>
              <a:srgbClr val="FF0000"/>
            </a:solidFill>
            <a:ln>
              <a:noFill/>
            </a:ln>
            <a:effectLst/>
          </c:spPr>
          <c:invertIfNegative val="0"/>
          <c:dPt>
            <c:idx val="0"/>
            <c:invertIfNegative val="0"/>
            <c:bubble3D val="0"/>
            <c:spPr>
              <a:solidFill>
                <a:schemeClr val="accent6"/>
              </a:solidFill>
              <a:ln>
                <a:noFill/>
              </a:ln>
              <a:effectLst/>
            </c:spPr>
          </c:dPt>
          <c:dPt>
            <c:idx val="1"/>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0-F797-4EC1-BF52-C763B8B9D5B0}"/>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4-F797-4EC1-BF52-C763B8B9D5B0}"/>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2-F797-4EC1-BF52-C763B8B9D5B0}"/>
              </c:ext>
            </c:extLst>
          </c:dPt>
          <c:cat>
            <c:strRef>
              <c:f>Sheet1!$B$207:$B$210</c:f>
              <c:strCache>
                <c:ptCount val="4"/>
                <c:pt idx="0">
                  <c:v>Komunat duhet të kenë raportuar të dhënat në SMPK sipas afatit të përcaktuar </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Sheet1!$C$207:$C$210</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3-F797-4EC1-BF52-C763B8B9D5B0}"/>
            </c:ext>
          </c:extLst>
        </c:ser>
        <c:dLbls>
          <c:showLegendKey val="0"/>
          <c:showVal val="0"/>
          <c:showCatName val="0"/>
          <c:showSerName val="0"/>
          <c:showPercent val="0"/>
          <c:showBubbleSize val="0"/>
        </c:dLbls>
        <c:gapWidth val="150"/>
        <c:axId val="-873924144"/>
        <c:axId val="-873929040"/>
      </c:barChart>
      <c:catAx>
        <c:axId val="-873924144"/>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873929040"/>
        <c:crosses val="autoZero"/>
        <c:auto val="1"/>
        <c:lblAlgn val="ctr"/>
        <c:lblOffset val="100"/>
        <c:noMultiLvlLbl val="0"/>
      </c:catAx>
      <c:valAx>
        <c:axId val="-873929040"/>
        <c:scaling>
          <c:orientation val="minMax"/>
        </c:scaling>
        <c:delete val="1"/>
        <c:axPos val="b"/>
        <c:numFmt formatCode="General" sourceLinked="1"/>
        <c:majorTickMark val="out"/>
        <c:minorTickMark val="none"/>
        <c:tickLblPos val="nextTo"/>
        <c:crossAx val="-873924144"/>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a:t>Ranillug</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81DF-4AC8-9ED4-D1E2F439CB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Ranillug!$B$19:$E$19</c:f>
              <c:strCache>
                <c:ptCount val="4"/>
                <c:pt idx="0">
                  <c:v>Qeverisja 
demokratike</c:v>
                </c:pt>
                <c:pt idx="1">
                  <c:v>Menaxhimi 
komunal</c:v>
                </c:pt>
                <c:pt idx="2">
                  <c:v>Ofrimi i 
shërbimeve</c:v>
                </c:pt>
                <c:pt idx="3">
                  <c:v>Total</c:v>
                </c:pt>
              </c:strCache>
            </c:strRef>
          </c:cat>
          <c:val>
            <c:numRef>
              <c:f>Ranillug!$B$20:$E$20</c:f>
              <c:numCache>
                <c:formatCode>0.00</c:formatCode>
                <c:ptCount val="4"/>
                <c:pt idx="0">
                  <c:v>22.5</c:v>
                </c:pt>
                <c:pt idx="1">
                  <c:v>17.857142857142858</c:v>
                </c:pt>
                <c:pt idx="2">
                  <c:v>6.666666666666667</c:v>
                </c:pt>
                <c:pt idx="3">
                  <c:v>16.326530612244898</c:v>
                </c:pt>
              </c:numCache>
            </c:numRef>
          </c:val>
          <c:extLst xmlns:c16r2="http://schemas.microsoft.com/office/drawing/2015/06/chart">
            <c:ext xmlns:c16="http://schemas.microsoft.com/office/drawing/2014/chart" uri="{C3380CC4-5D6E-409C-BE32-E72D297353CC}">
              <c16:uniqueId val="{00000000-81DF-4AC8-9ED4-D1E2F439CBA4}"/>
            </c:ext>
          </c:extLst>
        </c:ser>
        <c:dLbls>
          <c:showLegendKey val="0"/>
          <c:showVal val="0"/>
          <c:showCatName val="0"/>
          <c:showSerName val="0"/>
          <c:showPercent val="0"/>
          <c:showBubbleSize val="0"/>
        </c:dLbls>
        <c:gapWidth val="100"/>
        <c:overlap val="-24"/>
        <c:axId val="-873915440"/>
        <c:axId val="-873921424"/>
      </c:barChart>
      <c:catAx>
        <c:axId val="-8739154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921424"/>
        <c:crosses val="autoZero"/>
        <c:auto val="1"/>
        <c:lblAlgn val="ctr"/>
        <c:lblOffset val="100"/>
        <c:noMultiLvlLbl val="0"/>
      </c:catAx>
      <c:valAx>
        <c:axId val="-87392142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73915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lgn="ctr" rtl="0">
            <a:defRPr lang="en-US" sz="1400" b="0" i="0"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Sheet1!$C$230</c:f>
              <c:strCache>
                <c:ptCount val="1"/>
                <c:pt idx="0">
                  <c:v>Shtërpcë </c:v>
                </c:pt>
              </c:strCache>
            </c:strRef>
          </c:tx>
          <c:spPr>
            <a:solidFill>
              <a:srgbClr val="FF0000"/>
            </a:solidFill>
            <a:ln>
              <a:noFill/>
            </a:ln>
            <a:effectLst/>
          </c:spPr>
          <c:invertIfNegative val="0"/>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4E66-461A-8E82-8462CEE6C708}"/>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4E66-461A-8E82-8462CEE6C708}"/>
              </c:ext>
            </c:extLst>
          </c:dPt>
          <c:cat>
            <c:strRef>
              <c:f>Sheet1!$B$231:$B$234</c:f>
              <c:strCache>
                <c:ptCount val="4"/>
                <c:pt idx="0">
                  <c:v>Komunat duhet të kenë raportuar të dhënat në SMPK sipas afatit të përcaktuar </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Sheet1!$C$231:$C$234</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4-4E66-461A-8E82-8462CEE6C708}"/>
            </c:ext>
          </c:extLst>
        </c:ser>
        <c:dLbls>
          <c:showLegendKey val="0"/>
          <c:showVal val="0"/>
          <c:showCatName val="0"/>
          <c:showSerName val="0"/>
          <c:showPercent val="0"/>
          <c:showBubbleSize val="0"/>
        </c:dLbls>
        <c:gapWidth val="150"/>
        <c:axId val="-873932848"/>
        <c:axId val="-873907280"/>
      </c:barChart>
      <c:catAx>
        <c:axId val="-873932848"/>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873907280"/>
        <c:crosses val="autoZero"/>
        <c:auto val="1"/>
        <c:lblAlgn val="ctr"/>
        <c:lblOffset val="100"/>
        <c:noMultiLvlLbl val="0"/>
      </c:catAx>
      <c:valAx>
        <c:axId val="-873907280"/>
        <c:scaling>
          <c:orientation val="minMax"/>
        </c:scaling>
        <c:delete val="1"/>
        <c:axPos val="b"/>
        <c:numFmt formatCode="General" sourceLinked="1"/>
        <c:majorTickMark val="out"/>
        <c:minorTickMark val="none"/>
        <c:tickLblPos val="nextTo"/>
        <c:crossAx val="-873932848"/>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b="0" i="0" u="none" strike="noStrike" baseline="0">
                <a:effectLst/>
              </a:rPr>
              <a:t>Shtërpcë</a:t>
            </a:r>
            <a:r>
              <a:rPr lang="en-US" sz="1400" b="0">
                <a:solidFill>
                  <a:sysClr val="windowText" lastClr="000000"/>
                </a:solidFill>
              </a:rPr>
              <a:t> </a:t>
            </a:r>
          </a:p>
        </c:rich>
      </c:tx>
      <c:layout>
        <c:manualLayout>
          <c:xMode val="edge"/>
          <c:yMode val="edge"/>
          <c:x val="0.39217425408030893"/>
          <c:y val="1.5209125475285171E-2"/>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609492563429571"/>
          <c:y val="0.10802784380725994"/>
          <c:w val="0.85334951881014875"/>
          <c:h val="0.66180699995047776"/>
        </c:manualLayout>
      </c:layout>
      <c:barChart>
        <c:barDir val="col"/>
        <c:grouping val="clustered"/>
        <c:varyColors val="0"/>
        <c:ser>
          <c:idx val="0"/>
          <c:order val="0"/>
          <c:tx>
            <c:strRef>
              <c:f>'Alb 2023'!$O$44</c:f>
              <c:strCache>
                <c:ptCount val="1"/>
                <c:pt idx="0">
                  <c:v>Qeverisja demokratike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'Alb 2023'!$O$45</c:f>
              <c:numCache>
                <c:formatCode>0.00%</c:formatCode>
                <c:ptCount val="1"/>
                <c:pt idx="0">
                  <c:v>0</c:v>
                </c:pt>
              </c:numCache>
            </c:numRef>
          </c:val>
          <c:extLst xmlns:c16r2="http://schemas.microsoft.com/office/drawing/2015/06/chart">
            <c:ext xmlns:c16="http://schemas.microsoft.com/office/drawing/2014/chart" uri="{C3380CC4-5D6E-409C-BE32-E72D297353CC}">
              <c16:uniqueId val="{00000000-4583-4880-969E-27F1CFE47272}"/>
            </c:ext>
          </c:extLst>
        </c:ser>
        <c:ser>
          <c:idx val="1"/>
          <c:order val="1"/>
          <c:tx>
            <c:strRef>
              <c:f>'Alb 2023'!$P$44</c:f>
              <c:strCache>
                <c:ptCount val="1"/>
                <c:pt idx="0">
                  <c:v>Menaxhimi komunal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'Alb 2023'!$P$45</c:f>
              <c:numCache>
                <c:formatCode>0.00%</c:formatCode>
                <c:ptCount val="1"/>
                <c:pt idx="0">
                  <c:v>0</c:v>
                </c:pt>
              </c:numCache>
            </c:numRef>
          </c:val>
          <c:extLst xmlns:c16r2="http://schemas.microsoft.com/office/drawing/2015/06/chart">
            <c:ext xmlns:c16="http://schemas.microsoft.com/office/drawing/2014/chart" uri="{C3380CC4-5D6E-409C-BE32-E72D297353CC}">
              <c16:uniqueId val="{00000001-4583-4880-969E-27F1CFE47272}"/>
            </c:ext>
          </c:extLst>
        </c:ser>
        <c:ser>
          <c:idx val="2"/>
          <c:order val="2"/>
          <c:tx>
            <c:strRef>
              <c:f>'Alb 2023'!$Q$44</c:f>
              <c:strCache>
                <c:ptCount val="1"/>
                <c:pt idx="0">
                  <c:v>Ofrimi i shërbimeve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'Alb 2023'!$Q$45</c:f>
              <c:numCache>
                <c:formatCode>0.00%</c:formatCode>
                <c:ptCount val="1"/>
                <c:pt idx="0">
                  <c:v>0</c:v>
                </c:pt>
              </c:numCache>
            </c:numRef>
          </c:val>
          <c:extLst xmlns:c16r2="http://schemas.microsoft.com/office/drawing/2015/06/chart">
            <c:ext xmlns:c16="http://schemas.microsoft.com/office/drawing/2014/chart" uri="{C3380CC4-5D6E-409C-BE32-E72D297353CC}">
              <c16:uniqueId val="{00000002-4583-4880-969E-27F1CFE47272}"/>
            </c:ext>
          </c:extLst>
        </c:ser>
        <c:ser>
          <c:idx val="3"/>
          <c:order val="3"/>
          <c:tx>
            <c:strRef>
              <c:f>'Alb 2023'!$R$44</c:f>
              <c:strCache>
                <c:ptCount val="1"/>
                <c:pt idx="0">
                  <c:v>Performanca e përgjithshme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'Alb 2023'!$R$45</c:f>
              <c:numCache>
                <c:formatCode>0.00%</c:formatCode>
                <c:ptCount val="1"/>
                <c:pt idx="0">
                  <c:v>0</c:v>
                </c:pt>
              </c:numCache>
            </c:numRef>
          </c:val>
          <c:extLst xmlns:c16r2="http://schemas.microsoft.com/office/drawing/2015/06/chart">
            <c:ext xmlns:c16="http://schemas.microsoft.com/office/drawing/2014/chart" uri="{C3380CC4-5D6E-409C-BE32-E72D297353CC}">
              <c16:uniqueId val="{00000003-4583-4880-969E-27F1CFE47272}"/>
            </c:ext>
          </c:extLst>
        </c:ser>
        <c:dLbls>
          <c:showLegendKey val="0"/>
          <c:showVal val="1"/>
          <c:showCatName val="0"/>
          <c:showSerName val="0"/>
          <c:showPercent val="0"/>
          <c:showBubbleSize val="0"/>
        </c:dLbls>
        <c:gapWidth val="100"/>
        <c:overlap val="-24"/>
        <c:axId val="-873915984"/>
        <c:axId val="-873930672"/>
      </c:barChart>
      <c:catAx>
        <c:axId val="-873915984"/>
        <c:scaling>
          <c:orientation val="minMax"/>
        </c:scaling>
        <c:delete val="1"/>
        <c:axPos val="b"/>
        <c:numFmt formatCode="General" sourceLinked="1"/>
        <c:majorTickMark val="none"/>
        <c:minorTickMark val="none"/>
        <c:tickLblPos val="nextTo"/>
        <c:crossAx val="-873930672"/>
        <c:crosses val="autoZero"/>
        <c:auto val="1"/>
        <c:lblAlgn val="ctr"/>
        <c:lblOffset val="100"/>
        <c:noMultiLvlLbl val="0"/>
      </c:catAx>
      <c:valAx>
        <c:axId val="-873930672"/>
        <c:scaling>
          <c:orientation val="minMax"/>
          <c:max val="1"/>
          <c:min val="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873915984"/>
        <c:crosses val="autoZero"/>
        <c:crossBetween val="between"/>
      </c:valAx>
      <c:spPr>
        <a:noFill/>
        <a:ln>
          <a:noFill/>
        </a:ln>
        <a:effectLst/>
      </c:spPr>
    </c:plotArea>
    <c:legend>
      <c:legendPos val="b"/>
      <c:layout>
        <c:manualLayout>
          <c:xMode val="edge"/>
          <c:yMode val="edge"/>
          <c:x val="0.20702808700636557"/>
          <c:y val="0.79183028156983337"/>
          <c:w val="0.6843279934835732"/>
          <c:h val="0.1789722923785470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lgn="ctr" rtl="0">
            <a:defRPr lang="sr-Latn-RS" sz="1050" b="1" i="1"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Sheet1!$C$218</c:f>
              <c:strCache>
                <c:ptCount val="1"/>
                <c:pt idx="0">
                  <c:v>Shtime</c:v>
                </c:pt>
              </c:strCache>
            </c:strRef>
          </c:tx>
          <c:spPr>
            <a:solidFill>
              <a:schemeClr val="accent6"/>
            </a:solidFill>
            <a:ln>
              <a:noFill/>
            </a:ln>
            <a:effectLst/>
          </c:spPr>
          <c:invertIfNegative val="0"/>
          <c:dPt>
            <c:idx val="1"/>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3-5164-4881-AFB2-3F9C78307BAE}"/>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4-5164-4881-AFB2-3F9C78307BAE}"/>
              </c:ext>
            </c:extLst>
          </c:dPt>
          <c:dPt>
            <c:idx val="3"/>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5164-4881-AFB2-3F9C78307BAE}"/>
              </c:ext>
            </c:extLst>
          </c:dPt>
          <c:cat>
            <c:strRef>
              <c:f>Sheet1!$B$219:$B$222</c:f>
              <c:strCache>
                <c:ptCount val="4"/>
                <c:pt idx="0">
                  <c:v>Komunat duhet të kenë raportuar të dhënat në SMPK sipas afatit të përcaktuar </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Sheet1!$C$219:$C$222</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2-5164-4881-AFB2-3F9C78307BAE}"/>
            </c:ext>
          </c:extLst>
        </c:ser>
        <c:dLbls>
          <c:showLegendKey val="0"/>
          <c:showVal val="0"/>
          <c:showCatName val="0"/>
          <c:showSerName val="0"/>
          <c:showPercent val="0"/>
          <c:showBubbleSize val="0"/>
        </c:dLbls>
        <c:gapWidth val="150"/>
        <c:axId val="-873913264"/>
        <c:axId val="-873933936"/>
      </c:barChart>
      <c:catAx>
        <c:axId val="-873913264"/>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873933936"/>
        <c:crosses val="autoZero"/>
        <c:auto val="1"/>
        <c:lblAlgn val="ctr"/>
        <c:lblOffset val="100"/>
        <c:noMultiLvlLbl val="0"/>
      </c:catAx>
      <c:valAx>
        <c:axId val="-873933936"/>
        <c:scaling>
          <c:orientation val="minMax"/>
        </c:scaling>
        <c:delete val="1"/>
        <c:axPos val="b"/>
        <c:numFmt formatCode="General" sourceLinked="1"/>
        <c:majorTickMark val="out"/>
        <c:minorTickMark val="none"/>
        <c:tickLblPos val="nextTo"/>
        <c:crossAx val="-873913264"/>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900"/>
              <a:t>Perfomanca e përgjithshme e komunave përfituese në</a:t>
            </a:r>
            <a:r>
              <a:rPr lang="en-GB" sz="900" baseline="0"/>
              <a:t> 29 treguesit e GPK-së</a:t>
            </a:r>
            <a:endParaRPr lang="en-GB" sz="9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'[Grafet-performanca e pergjithshme.xlsx]Sheet2'!$A$57:$A$61</c:f>
              <c:strCache>
                <c:ptCount val="5"/>
                <c:pt idx="0">
                  <c:v>Rahovec/Orahovac</c:v>
                </c:pt>
                <c:pt idx="1">
                  <c:v>Dragash/Dragaš </c:v>
                </c:pt>
                <c:pt idx="2">
                  <c:v>Klinë/Klina</c:v>
                </c:pt>
                <c:pt idx="3">
                  <c:v>Mamushë/Mamuša</c:v>
                </c:pt>
                <c:pt idx="4">
                  <c:v>Parteš/Partesh </c:v>
                </c:pt>
              </c:strCache>
            </c:strRef>
          </c:cat>
          <c:val>
            <c:numRef>
              <c:f>'[Grafet-performanca e pergjithshme.xlsx]Sheet2'!$B$57:$B$61</c:f>
              <c:numCache>
                <c:formatCode>0.00%</c:formatCode>
                <c:ptCount val="5"/>
                <c:pt idx="0">
                  <c:v>0.73499999999999999</c:v>
                </c:pt>
                <c:pt idx="1">
                  <c:v>0.61199999999999999</c:v>
                </c:pt>
                <c:pt idx="2">
                  <c:v>0.59199999999999997</c:v>
                </c:pt>
                <c:pt idx="3">
                  <c:v>0.26500000000000001</c:v>
                </c:pt>
                <c:pt idx="4">
                  <c:v>0.112</c:v>
                </c:pt>
              </c:numCache>
            </c:numRef>
          </c:val>
          <c:extLst xmlns:c16r2="http://schemas.microsoft.com/office/drawing/2015/06/chart">
            <c:ext xmlns:c16="http://schemas.microsoft.com/office/drawing/2014/chart" uri="{C3380CC4-5D6E-409C-BE32-E72D297353CC}">
              <c16:uniqueId val="{00000000-85D4-4EB3-B47B-05227AA6EA95}"/>
            </c:ext>
          </c:extLst>
        </c:ser>
        <c:dLbls>
          <c:dLblPos val="outEnd"/>
          <c:showLegendKey val="0"/>
          <c:showVal val="1"/>
          <c:showCatName val="0"/>
          <c:showSerName val="0"/>
          <c:showPercent val="0"/>
          <c:showBubbleSize val="0"/>
        </c:dLbls>
        <c:gapWidth val="182"/>
        <c:axId val="-1064380944"/>
        <c:axId val="-1064379312"/>
      </c:barChart>
      <c:catAx>
        <c:axId val="-1064380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4379312"/>
        <c:crosses val="autoZero"/>
        <c:auto val="1"/>
        <c:lblAlgn val="ctr"/>
        <c:lblOffset val="100"/>
        <c:noMultiLvlLbl val="0"/>
      </c:catAx>
      <c:valAx>
        <c:axId val="-106437931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6438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Shtime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3B2D-461A-98D8-2D947B352E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Shtime!$B$19:$E$19</c:f>
              <c:strCache>
                <c:ptCount val="4"/>
                <c:pt idx="0">
                  <c:v>Qeverisja 
demokratike</c:v>
                </c:pt>
                <c:pt idx="1">
                  <c:v>Menaxhimi 
komunal</c:v>
                </c:pt>
                <c:pt idx="2">
                  <c:v>Ofrimi i 
shërbimeve</c:v>
                </c:pt>
                <c:pt idx="3">
                  <c:v>Total</c:v>
                </c:pt>
              </c:strCache>
            </c:strRef>
          </c:cat>
          <c:val>
            <c:numRef>
              <c:f>Shtime!$B$20:$E$20</c:f>
              <c:numCache>
                <c:formatCode>0.00</c:formatCode>
                <c:ptCount val="4"/>
                <c:pt idx="0">
                  <c:v>62.5</c:v>
                </c:pt>
                <c:pt idx="1">
                  <c:v>50</c:v>
                </c:pt>
                <c:pt idx="2">
                  <c:v>30</c:v>
                </c:pt>
                <c:pt idx="3">
                  <c:v>48.979591836734691</c:v>
                </c:pt>
              </c:numCache>
            </c:numRef>
          </c:val>
          <c:extLst xmlns:c16r2="http://schemas.microsoft.com/office/drawing/2015/06/chart">
            <c:ext xmlns:c16="http://schemas.microsoft.com/office/drawing/2014/chart" uri="{C3380CC4-5D6E-409C-BE32-E72D297353CC}">
              <c16:uniqueId val="{00000000-3B2D-461A-98D8-2D947B352E9B}"/>
            </c:ext>
          </c:extLst>
        </c:ser>
        <c:dLbls>
          <c:showLegendKey val="0"/>
          <c:showVal val="0"/>
          <c:showCatName val="0"/>
          <c:showSerName val="0"/>
          <c:showPercent val="0"/>
          <c:showBubbleSize val="0"/>
        </c:dLbls>
        <c:gapWidth val="100"/>
        <c:overlap val="-24"/>
        <c:axId val="-873926864"/>
        <c:axId val="-873919792"/>
      </c:barChart>
      <c:catAx>
        <c:axId val="-8739268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919792"/>
        <c:crosses val="autoZero"/>
        <c:auto val="1"/>
        <c:lblAlgn val="ctr"/>
        <c:lblOffset val="100"/>
        <c:noMultiLvlLbl val="0"/>
      </c:catAx>
      <c:valAx>
        <c:axId val="-87391979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73926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lgn="ctr" rtl="0">
            <a:defRPr lang="en-US" sz="1050" b="1" i="1"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Sheet1!$C$224</c:f>
              <c:strCache>
                <c:ptCount val="1"/>
                <c:pt idx="0">
                  <c:v>Skenderaj</c:v>
                </c:pt>
              </c:strCache>
            </c:strRef>
          </c:tx>
          <c:spPr>
            <a:solidFill>
              <a:srgbClr val="FF0000"/>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CC18-4687-8F36-F0122DFFDBC6}"/>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CC18-4687-8F36-F0122DFFDBC6}"/>
              </c:ext>
            </c:extLst>
          </c:dPt>
          <c:dPt>
            <c:idx val="2"/>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CC18-4687-8F36-F0122DFFDBC6}"/>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CC18-4687-8F36-F0122DFFDBC6}"/>
              </c:ext>
            </c:extLst>
          </c:dPt>
          <c:cat>
            <c:strRef>
              <c:f>Sheet1!$B$225:$B$228</c:f>
              <c:strCache>
                <c:ptCount val="4"/>
                <c:pt idx="0">
                  <c:v>Komunat duhet të kenë raportuar të dhënat në SMPK sipas afatit të përcaktuar </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Sheet1!$C$225:$C$228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8-CC18-4687-8F36-F0122DFFDBC6}"/>
            </c:ext>
          </c:extLst>
        </c:ser>
        <c:dLbls>
          <c:showLegendKey val="0"/>
          <c:showVal val="0"/>
          <c:showCatName val="0"/>
          <c:showSerName val="0"/>
          <c:showPercent val="0"/>
          <c:showBubbleSize val="0"/>
        </c:dLbls>
        <c:gapWidth val="150"/>
        <c:axId val="-873918160"/>
        <c:axId val="-873917616"/>
      </c:barChart>
      <c:catAx>
        <c:axId val="-873918160"/>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873917616"/>
        <c:crosses val="autoZero"/>
        <c:auto val="1"/>
        <c:lblAlgn val="ctr"/>
        <c:lblOffset val="100"/>
        <c:noMultiLvlLbl val="0"/>
      </c:catAx>
      <c:valAx>
        <c:axId val="-873917616"/>
        <c:scaling>
          <c:orientation val="minMax"/>
        </c:scaling>
        <c:delete val="1"/>
        <c:axPos val="b"/>
        <c:numFmt formatCode="General" sourceLinked="1"/>
        <c:majorTickMark val="out"/>
        <c:minorTickMark val="none"/>
        <c:tickLblPos val="nextTo"/>
        <c:crossAx val="-873918160"/>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800"/>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Skenderaj</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9667-445B-BD9B-FA2083A5C4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Skenderaj!$B$19:$E$19</c:f>
              <c:strCache>
                <c:ptCount val="4"/>
                <c:pt idx="0">
                  <c:v>Qeverisja 
demokratike</c:v>
                </c:pt>
                <c:pt idx="1">
                  <c:v>Menaxhimi 
komunal</c:v>
                </c:pt>
                <c:pt idx="2">
                  <c:v>Ofrimi i 
shërbimeve</c:v>
                </c:pt>
                <c:pt idx="3">
                  <c:v>Total</c:v>
                </c:pt>
              </c:strCache>
            </c:strRef>
          </c:cat>
          <c:val>
            <c:numRef>
              <c:f>Skenderaj!$B$20:$E$20</c:f>
              <c:numCache>
                <c:formatCode>0.00</c:formatCode>
                <c:ptCount val="4"/>
                <c:pt idx="0">
                  <c:v>92.5</c:v>
                </c:pt>
                <c:pt idx="1">
                  <c:v>53.571428571428569</c:v>
                </c:pt>
                <c:pt idx="2">
                  <c:v>66.666666666666657</c:v>
                </c:pt>
                <c:pt idx="3">
                  <c:v>73.469387755102048</c:v>
                </c:pt>
              </c:numCache>
            </c:numRef>
          </c:val>
          <c:extLst xmlns:c16r2="http://schemas.microsoft.com/office/drawing/2015/06/chart">
            <c:ext xmlns:c16="http://schemas.microsoft.com/office/drawing/2014/chart" uri="{C3380CC4-5D6E-409C-BE32-E72D297353CC}">
              <c16:uniqueId val="{00000000-9667-445B-BD9B-FA2083A5C4E5}"/>
            </c:ext>
          </c:extLst>
        </c:ser>
        <c:dLbls>
          <c:showLegendKey val="0"/>
          <c:showVal val="0"/>
          <c:showCatName val="0"/>
          <c:showSerName val="0"/>
          <c:showPercent val="0"/>
          <c:showBubbleSize val="0"/>
        </c:dLbls>
        <c:gapWidth val="100"/>
        <c:overlap val="-24"/>
        <c:axId val="-873932304"/>
        <c:axId val="-873925776"/>
      </c:barChart>
      <c:catAx>
        <c:axId val="-873932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925776"/>
        <c:crosses val="autoZero"/>
        <c:auto val="1"/>
        <c:lblAlgn val="ctr"/>
        <c:lblOffset val="100"/>
        <c:noMultiLvlLbl val="0"/>
      </c:catAx>
      <c:valAx>
        <c:axId val="-87392577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73932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lgn="ctr" rtl="0">
            <a:defRPr lang="en-US" sz="1000" b="1" i="1"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Sheet1!$C$236</c:f>
              <c:strCache>
                <c:ptCount val="1"/>
                <c:pt idx="0">
                  <c:v>Suharekë</c:v>
                </c:pt>
              </c:strCache>
            </c:strRef>
          </c:tx>
          <c:spPr>
            <a:solidFill>
              <a:srgbClr val="FF0000"/>
            </a:solidFill>
            <a:ln>
              <a:noFill/>
            </a:ln>
            <a:effectLst/>
          </c:spPr>
          <c:invertIfNegative val="0"/>
          <c:dPt>
            <c:idx val="0"/>
            <c:invertIfNegative val="0"/>
            <c:bubble3D val="0"/>
            <c:spPr>
              <a:solidFill>
                <a:schemeClr val="accent6"/>
              </a:solidFill>
              <a:ln>
                <a:noFill/>
              </a:ln>
              <a:effectLst/>
            </c:spPr>
          </c:dPt>
          <c:dPt>
            <c:idx val="1"/>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D9E8-4BA6-BE5B-386D7DD470DF}"/>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D9E8-4BA6-BE5B-386D7DD470DF}"/>
              </c:ext>
            </c:extLst>
          </c:dPt>
          <c:dPt>
            <c:idx val="3"/>
            <c:invertIfNegative val="0"/>
            <c:bubble3D val="0"/>
            <c:spPr>
              <a:solidFill>
                <a:schemeClr val="accent6"/>
              </a:solidFill>
              <a:ln>
                <a:noFill/>
              </a:ln>
              <a:effectLst/>
            </c:spPr>
          </c:dPt>
          <c:cat>
            <c:strRef>
              <c:f>Sheet1!$B$237:$B$240</c:f>
              <c:strCache>
                <c:ptCount val="4"/>
                <c:pt idx="0">
                  <c:v>Komunat duhet të kenë raportuar të dhënat në SMPK sipas afatit të përcaktuar </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Sheet1!$C$237:$C$240</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4-D9E8-4BA6-BE5B-386D7DD470DF}"/>
            </c:ext>
          </c:extLst>
        </c:ser>
        <c:dLbls>
          <c:showLegendKey val="0"/>
          <c:showVal val="0"/>
          <c:showCatName val="0"/>
          <c:showSerName val="0"/>
          <c:showPercent val="0"/>
          <c:showBubbleSize val="0"/>
        </c:dLbls>
        <c:gapWidth val="150"/>
        <c:axId val="-873937744"/>
        <c:axId val="-873931760"/>
      </c:barChart>
      <c:catAx>
        <c:axId val="-873937744"/>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en-US"/>
          </a:p>
        </c:txPr>
        <c:crossAx val="-873931760"/>
        <c:crosses val="autoZero"/>
        <c:auto val="1"/>
        <c:lblAlgn val="ctr"/>
        <c:lblOffset val="100"/>
        <c:noMultiLvlLbl val="0"/>
      </c:catAx>
      <c:valAx>
        <c:axId val="-873931760"/>
        <c:scaling>
          <c:orientation val="minMax"/>
        </c:scaling>
        <c:delete val="1"/>
        <c:axPos val="b"/>
        <c:numFmt formatCode="General" sourceLinked="1"/>
        <c:majorTickMark val="out"/>
        <c:minorTickMark val="none"/>
        <c:tickLblPos val="nextTo"/>
        <c:crossAx val="-873937744"/>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Suharekë</a:t>
            </a:r>
          </a:p>
        </c:rich>
      </c:tx>
      <c:layout>
        <c:manualLayout>
          <c:xMode val="edge"/>
          <c:yMode val="edge"/>
          <c:x val="0.34427293823555105"/>
          <c:y val="3.6194415718717683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5B47-4D35-BC1A-97DB28676C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Suharekë!$B$19:$E$19</c:f>
              <c:strCache>
                <c:ptCount val="4"/>
                <c:pt idx="0">
                  <c:v>Qeverisja 
demokratike</c:v>
                </c:pt>
                <c:pt idx="1">
                  <c:v>Menaxhimi 
komunal</c:v>
                </c:pt>
                <c:pt idx="2">
                  <c:v>Ofrimi i 
shërbimeve</c:v>
                </c:pt>
                <c:pt idx="3">
                  <c:v>Total</c:v>
                </c:pt>
              </c:strCache>
            </c:strRef>
          </c:cat>
          <c:val>
            <c:numRef>
              <c:f>Suharekë!$B$20:$E$20</c:f>
              <c:numCache>
                <c:formatCode>0.00</c:formatCode>
                <c:ptCount val="4"/>
                <c:pt idx="0">
                  <c:v>82.5</c:v>
                </c:pt>
                <c:pt idx="1">
                  <c:v>46.428571428571431</c:v>
                </c:pt>
                <c:pt idx="2">
                  <c:v>40</c:v>
                </c:pt>
                <c:pt idx="3">
                  <c:v>59.183673469387756</c:v>
                </c:pt>
              </c:numCache>
            </c:numRef>
          </c:val>
          <c:extLst xmlns:c16r2="http://schemas.microsoft.com/office/drawing/2015/06/chart">
            <c:ext xmlns:c16="http://schemas.microsoft.com/office/drawing/2014/chart" uri="{C3380CC4-5D6E-409C-BE32-E72D297353CC}">
              <c16:uniqueId val="{00000000-5B47-4D35-BC1A-97DB28676C3F}"/>
            </c:ext>
          </c:extLst>
        </c:ser>
        <c:dLbls>
          <c:showLegendKey val="0"/>
          <c:showVal val="0"/>
          <c:showCatName val="0"/>
          <c:showSerName val="0"/>
          <c:showPercent val="0"/>
          <c:showBubbleSize val="0"/>
        </c:dLbls>
        <c:gapWidth val="100"/>
        <c:overlap val="-24"/>
        <c:axId val="-873912176"/>
        <c:axId val="-873925232"/>
      </c:barChart>
      <c:catAx>
        <c:axId val="-8739121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925232"/>
        <c:crosses val="autoZero"/>
        <c:auto val="1"/>
        <c:lblAlgn val="ctr"/>
        <c:lblOffset val="100"/>
        <c:noMultiLvlLbl val="0"/>
      </c:catAx>
      <c:valAx>
        <c:axId val="-87392523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73912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lgn="ctr" rtl="0">
            <a:defRPr lang="en-US" sz="1050" b="1" i="1"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Sheet1!$C$242</c:f>
              <c:strCache>
                <c:ptCount val="1"/>
                <c:pt idx="0">
                  <c:v>Viti</c:v>
                </c:pt>
              </c:strCache>
            </c:strRef>
          </c:tx>
          <c:spPr>
            <a:solidFill>
              <a:schemeClr val="accent6"/>
            </a:solidFill>
            <a:ln>
              <a:noFill/>
            </a:ln>
            <a:effectLst/>
          </c:spPr>
          <c:invertIfNegative val="0"/>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9F1E-440E-8DEA-EA84F3254A6D}"/>
              </c:ext>
            </c:extLst>
          </c:dPt>
          <c:cat>
            <c:strRef>
              <c:f>Sheet1!$B$243:$B$246</c:f>
              <c:strCache>
                <c:ptCount val="4"/>
                <c:pt idx="0">
                  <c:v>Komunat duhet të kenë raportuar të dhënat në SMPK sipas afatit të përcaktuar </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Sheet1!$C$243:$C$246</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0-9F1E-440E-8DEA-EA84F3254A6D}"/>
            </c:ext>
          </c:extLst>
        </c:ser>
        <c:dLbls>
          <c:showLegendKey val="0"/>
          <c:showVal val="0"/>
          <c:showCatName val="0"/>
          <c:showSerName val="0"/>
          <c:showPercent val="0"/>
          <c:showBubbleSize val="0"/>
        </c:dLbls>
        <c:gapWidth val="150"/>
        <c:axId val="-873936112"/>
        <c:axId val="-873924688"/>
      </c:barChart>
      <c:catAx>
        <c:axId val="-873936112"/>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en-US"/>
          </a:p>
        </c:txPr>
        <c:crossAx val="-873924688"/>
        <c:crosses val="autoZero"/>
        <c:auto val="1"/>
        <c:lblAlgn val="ctr"/>
        <c:lblOffset val="100"/>
        <c:noMultiLvlLbl val="0"/>
      </c:catAx>
      <c:valAx>
        <c:axId val="-873924688"/>
        <c:scaling>
          <c:orientation val="minMax"/>
        </c:scaling>
        <c:delete val="1"/>
        <c:axPos val="b"/>
        <c:numFmt formatCode="General" sourceLinked="1"/>
        <c:majorTickMark val="out"/>
        <c:minorTickMark val="none"/>
        <c:tickLblPos val="nextTo"/>
        <c:crossAx val="-873936112"/>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Viti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C171-497A-B699-27C6E6EBD9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Viti!$B$19:$E$19</c:f>
              <c:strCache>
                <c:ptCount val="4"/>
                <c:pt idx="0">
                  <c:v>Qeverisja 
demokratike</c:v>
                </c:pt>
                <c:pt idx="1">
                  <c:v>Menaxhimi 
komunal</c:v>
                </c:pt>
                <c:pt idx="2">
                  <c:v>Ofrimi i 
shërbimeve</c:v>
                </c:pt>
                <c:pt idx="3">
                  <c:v>Total</c:v>
                </c:pt>
              </c:strCache>
            </c:strRef>
          </c:cat>
          <c:val>
            <c:numRef>
              <c:f>Viti!$B$20:$E$20</c:f>
              <c:numCache>
                <c:formatCode>0.00</c:formatCode>
                <c:ptCount val="4"/>
                <c:pt idx="0">
                  <c:v>47.5</c:v>
                </c:pt>
                <c:pt idx="1">
                  <c:v>21.428571428571427</c:v>
                </c:pt>
                <c:pt idx="2">
                  <c:v>20</c:v>
                </c:pt>
                <c:pt idx="3">
                  <c:v>31.632653061224492</c:v>
                </c:pt>
              </c:numCache>
            </c:numRef>
          </c:val>
          <c:extLst xmlns:c16r2="http://schemas.microsoft.com/office/drawing/2015/06/chart">
            <c:ext xmlns:c16="http://schemas.microsoft.com/office/drawing/2014/chart" uri="{C3380CC4-5D6E-409C-BE32-E72D297353CC}">
              <c16:uniqueId val="{00000000-C171-497A-B699-27C6E6EBD99F}"/>
            </c:ext>
          </c:extLst>
        </c:ser>
        <c:dLbls>
          <c:showLegendKey val="0"/>
          <c:showVal val="0"/>
          <c:showCatName val="0"/>
          <c:showSerName val="0"/>
          <c:showPercent val="0"/>
          <c:showBubbleSize val="0"/>
        </c:dLbls>
        <c:gapWidth val="100"/>
        <c:overlap val="-24"/>
        <c:axId val="-873905648"/>
        <c:axId val="-873908912"/>
      </c:barChart>
      <c:catAx>
        <c:axId val="-873905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908912"/>
        <c:crosses val="autoZero"/>
        <c:auto val="1"/>
        <c:lblAlgn val="ctr"/>
        <c:lblOffset val="100"/>
        <c:noMultiLvlLbl val="0"/>
      </c:catAx>
      <c:valAx>
        <c:axId val="-87390891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73905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r>
              <a:rPr lang="en-US" sz="1300"/>
              <a:t>Vushtrri</a:t>
            </a:r>
          </a:p>
        </c:rich>
      </c:tx>
      <c:overlay val="0"/>
      <c:spPr>
        <a:noFill/>
        <a:ln>
          <a:noFill/>
        </a:ln>
        <a:effectLst/>
      </c:spPr>
      <c:txPr>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6"/>
            </a:solidFill>
            <a:ln>
              <a:noFill/>
            </a:ln>
            <a:effectLst/>
          </c:spPr>
          <c:invertIfNegative val="0"/>
          <c:dPt>
            <c:idx val="0"/>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FFF7-46C7-9CC7-C4152B19D1A1}"/>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2-FFF7-46C7-9CC7-C4152B19D1A1}"/>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FFF7-46C7-9CC7-C4152B19D1A1}"/>
              </c:ext>
            </c:extLst>
          </c:dPt>
          <c:dPt>
            <c:idx val="3"/>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4-FFF7-46C7-9CC7-C4152B19D1A1}"/>
              </c:ext>
            </c:extLst>
          </c:dPt>
          <c:cat>
            <c:strRef>
              <c:f>Vushtrri!$B$2:$E$2</c:f>
              <c:strCache>
                <c:ptCount val="4"/>
                <c:pt idx="0">
                  <c:v>Komunat duhet të kenë raportuar të dhënat në SMPK sipas afatit të përcaktuar në nenin 19.2 të Ligjit për SMPK/GPK</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Vushtrri!$B$3:$E$3</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0-FFF7-46C7-9CC7-C4152B19D1A1}"/>
            </c:ext>
          </c:extLst>
        </c:ser>
        <c:dLbls>
          <c:showLegendKey val="0"/>
          <c:showVal val="0"/>
          <c:showCatName val="0"/>
          <c:showSerName val="0"/>
          <c:showPercent val="0"/>
          <c:showBubbleSize val="0"/>
        </c:dLbls>
        <c:gapWidth val="182"/>
        <c:axId val="-873910000"/>
        <c:axId val="-873905104"/>
      </c:barChart>
      <c:catAx>
        <c:axId val="-873910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873905104"/>
        <c:crosses val="autoZero"/>
        <c:auto val="1"/>
        <c:lblAlgn val="ctr"/>
        <c:lblOffset val="100"/>
        <c:noMultiLvlLbl val="0"/>
      </c:catAx>
      <c:valAx>
        <c:axId val="-873905104"/>
        <c:scaling>
          <c:orientation val="minMax"/>
        </c:scaling>
        <c:delete val="1"/>
        <c:axPos val="b"/>
        <c:numFmt formatCode="General" sourceLinked="1"/>
        <c:majorTickMark val="none"/>
        <c:minorTickMark val="none"/>
        <c:tickLblPos val="nextTo"/>
        <c:crossAx val="-873910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Vushtrri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c:spPr>
          </c:dPt>
          <c:dPt>
            <c:idx val="2"/>
            <c:invertIfNegative val="0"/>
            <c:bubble3D val="0"/>
            <c:spPr>
              <a:solidFill>
                <a:schemeClr val="accent6"/>
              </a:solidFill>
              <a:ln>
                <a:noFill/>
              </a:ln>
              <a:effectLst>
                <a:outerShdw blurRad="57150" dist="19050" dir="5400000" algn="ctr" rotWithShape="0">
                  <a:srgbClr val="000000">
                    <a:alpha val="63000"/>
                  </a:srgbClr>
                </a:outerShdw>
              </a:effectLst>
            </c:spPr>
          </c:dPt>
          <c:dPt>
            <c:idx val="3"/>
            <c:invertIfNegative val="0"/>
            <c:bubble3D val="0"/>
            <c:spPr>
              <a:solidFill>
                <a:schemeClr val="accent4">
                  <a:lumMod val="40000"/>
                  <a:lumOff val="6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A581-4358-AC14-5A3C9C5B58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Vushtrri!$B$19:$E$19</c:f>
              <c:strCache>
                <c:ptCount val="4"/>
                <c:pt idx="0">
                  <c:v>Qeverisja 
demokratike</c:v>
                </c:pt>
                <c:pt idx="1">
                  <c:v>Menaxhimi 
komunal</c:v>
                </c:pt>
                <c:pt idx="2">
                  <c:v>Ofrimi i 
shërbimeve</c:v>
                </c:pt>
                <c:pt idx="3">
                  <c:v>Total</c:v>
                </c:pt>
              </c:strCache>
            </c:strRef>
          </c:cat>
          <c:val>
            <c:numRef>
              <c:f>Vushtrri!$B$20:$E$20</c:f>
              <c:numCache>
                <c:formatCode>0.00</c:formatCode>
                <c:ptCount val="4"/>
                <c:pt idx="0">
                  <c:v>85</c:v>
                </c:pt>
                <c:pt idx="1">
                  <c:v>35.714285714285715</c:v>
                </c:pt>
                <c:pt idx="2">
                  <c:v>63.333333333333329</c:v>
                </c:pt>
                <c:pt idx="3">
                  <c:v>64.285714285714292</c:v>
                </c:pt>
              </c:numCache>
            </c:numRef>
          </c:val>
          <c:extLst xmlns:c16r2="http://schemas.microsoft.com/office/drawing/2015/06/chart">
            <c:ext xmlns:c16="http://schemas.microsoft.com/office/drawing/2014/chart" uri="{C3380CC4-5D6E-409C-BE32-E72D297353CC}">
              <c16:uniqueId val="{00000000-A581-4358-AC14-5A3C9C5B5847}"/>
            </c:ext>
          </c:extLst>
        </c:ser>
        <c:dLbls>
          <c:showLegendKey val="0"/>
          <c:showVal val="0"/>
          <c:showCatName val="0"/>
          <c:showSerName val="0"/>
          <c:showPercent val="0"/>
          <c:showBubbleSize val="0"/>
        </c:dLbls>
        <c:gapWidth val="100"/>
        <c:overlap val="-24"/>
        <c:axId val="-873934480"/>
        <c:axId val="-873937200"/>
      </c:barChart>
      <c:catAx>
        <c:axId val="-8739344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937200"/>
        <c:crosses val="autoZero"/>
        <c:auto val="1"/>
        <c:lblAlgn val="ctr"/>
        <c:lblOffset val="100"/>
        <c:noMultiLvlLbl val="0"/>
      </c:catAx>
      <c:valAx>
        <c:axId val="-87393720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873934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lgn="ctr" rtl="0">
            <a:defRPr lang="en-US" sz="1050" b="1" i="1"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Sheet1!$C$254</c:f>
              <c:strCache>
                <c:ptCount val="1"/>
                <c:pt idx="0">
                  <c:v>Zubin Potok</c:v>
                </c:pt>
              </c:strCache>
            </c:strRef>
          </c:tx>
          <c:spPr>
            <a:solidFill>
              <a:schemeClr val="accent1"/>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D4BA-40F0-AEEB-D17C993AB926}"/>
              </c:ext>
            </c:extLst>
          </c:dPt>
          <c:dPt>
            <c:idx val="1"/>
            <c:invertIfNegative val="0"/>
            <c:bubble3D val="0"/>
            <c:spPr>
              <a:solidFill>
                <a:schemeClr val="accent6"/>
              </a:solidFill>
              <a:ln>
                <a:noFill/>
              </a:ln>
              <a:effectLst/>
            </c:spPr>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D4BA-40F0-AEEB-D17C993AB926}"/>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D4BA-40F0-AEEB-D17C993AB926}"/>
              </c:ext>
            </c:extLst>
          </c:dPt>
          <c:cat>
            <c:strRef>
              <c:f>Sheet1!$B$255:$B$258</c:f>
              <c:strCache>
                <c:ptCount val="4"/>
                <c:pt idx="0">
                  <c:v>Komunat duhet të kenë raportuar të dhënat në SMPK sipas afatit të përcaktuar </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Sheet1!$C$255:$C$258</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4-D4BA-40F0-AEEB-D17C993AB926}"/>
            </c:ext>
          </c:extLst>
        </c:ser>
        <c:dLbls>
          <c:showLegendKey val="0"/>
          <c:showVal val="0"/>
          <c:showCatName val="0"/>
          <c:showSerName val="0"/>
          <c:showPercent val="0"/>
          <c:showBubbleSize val="0"/>
        </c:dLbls>
        <c:gapWidth val="150"/>
        <c:axId val="-873935568"/>
        <c:axId val="-873918704"/>
      </c:barChart>
      <c:catAx>
        <c:axId val="-873935568"/>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873918704"/>
        <c:crosses val="autoZero"/>
        <c:auto val="1"/>
        <c:lblAlgn val="ctr"/>
        <c:lblOffset val="100"/>
        <c:noMultiLvlLbl val="0"/>
      </c:catAx>
      <c:valAx>
        <c:axId val="-873918704"/>
        <c:scaling>
          <c:orientation val="minMax"/>
        </c:scaling>
        <c:delete val="1"/>
        <c:axPos val="b"/>
        <c:numFmt formatCode="General" sourceLinked="1"/>
        <c:majorTickMark val="out"/>
        <c:minorTickMark val="none"/>
        <c:tickLblPos val="nextTo"/>
        <c:crossAx val="-873935568"/>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a:t>Fushat</a:t>
            </a:r>
            <a:r>
              <a:rPr lang="en-US" sz="900" b="1" baseline="0"/>
              <a:t> e GPK-së sipas vitit të performancës</a:t>
            </a:r>
            <a:endParaRPr lang="en-US" sz="900" b="1"/>
          </a:p>
        </c:rich>
      </c:tx>
      <c:layout>
        <c:manualLayout>
          <c:xMode val="edge"/>
          <c:yMode val="edge"/>
          <c:x val="0.32575678040244965"/>
          <c:y val="5.09259259259259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 in Microsoft Word]Performanca nder vite'!$C$25</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Word]Performanca nder vite'!$B$26:$B$28</c:f>
              <c:strCache>
                <c:ptCount val="3"/>
                <c:pt idx="0">
                  <c:v>Qeverisja Demokratike</c:v>
                </c:pt>
                <c:pt idx="1">
                  <c:v>Menaxhimi Komunal</c:v>
                </c:pt>
                <c:pt idx="2">
                  <c:v>Ofrimi i shërbimeve</c:v>
                </c:pt>
              </c:strCache>
            </c:strRef>
          </c:cat>
          <c:val>
            <c:numRef>
              <c:f>'[Chart in Microsoft Word]Performanca nder vite'!$C$26:$C$28</c:f>
              <c:numCache>
                <c:formatCode>0.0%</c:formatCode>
                <c:ptCount val="3"/>
                <c:pt idx="0">
                  <c:v>0.51580000000000004</c:v>
                </c:pt>
                <c:pt idx="1">
                  <c:v>0.33550000000000002</c:v>
                </c:pt>
                <c:pt idx="2">
                  <c:v>0.36320000000000002</c:v>
                </c:pt>
              </c:numCache>
            </c:numRef>
          </c:val>
          <c:extLst xmlns:c16r2="http://schemas.microsoft.com/office/drawing/2015/06/chart">
            <c:ext xmlns:c16="http://schemas.microsoft.com/office/drawing/2014/chart" uri="{C3380CC4-5D6E-409C-BE32-E72D297353CC}">
              <c16:uniqueId val="{00000000-DF77-4D63-9062-4B22E6A6B645}"/>
            </c:ext>
          </c:extLst>
        </c:ser>
        <c:ser>
          <c:idx val="1"/>
          <c:order val="1"/>
          <c:tx>
            <c:strRef>
              <c:f>'[Chart in Microsoft Word]Performanca nder vite'!$D$25</c:f>
              <c:strCache>
                <c:ptCount val="1"/>
                <c:pt idx="0">
                  <c:v>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Word]Performanca nder vite'!$B$26:$B$28</c:f>
              <c:strCache>
                <c:ptCount val="3"/>
                <c:pt idx="0">
                  <c:v>Qeverisja Demokratike</c:v>
                </c:pt>
                <c:pt idx="1">
                  <c:v>Menaxhimi Komunal</c:v>
                </c:pt>
                <c:pt idx="2">
                  <c:v>Ofrimi i shërbimeve</c:v>
                </c:pt>
              </c:strCache>
            </c:strRef>
          </c:cat>
          <c:val>
            <c:numRef>
              <c:f>'[Chart in Microsoft Word]Performanca nder vite'!$D$26:$D$28</c:f>
              <c:numCache>
                <c:formatCode>0.0%</c:formatCode>
                <c:ptCount val="3"/>
                <c:pt idx="0">
                  <c:v>0.50138504155124652</c:v>
                </c:pt>
                <c:pt idx="1">
                  <c:v>0.42206477732793518</c:v>
                </c:pt>
                <c:pt idx="2">
                  <c:v>0.4959514170040486</c:v>
                </c:pt>
              </c:numCache>
            </c:numRef>
          </c:val>
          <c:extLst xmlns:c16r2="http://schemas.microsoft.com/office/drawing/2015/06/chart">
            <c:ext xmlns:c16="http://schemas.microsoft.com/office/drawing/2014/chart" uri="{C3380CC4-5D6E-409C-BE32-E72D297353CC}">
              <c16:uniqueId val="{00000001-DF77-4D63-9062-4B22E6A6B645}"/>
            </c:ext>
          </c:extLst>
        </c:ser>
        <c:ser>
          <c:idx val="2"/>
          <c:order val="2"/>
          <c:tx>
            <c:strRef>
              <c:f>'[Chart in Microsoft Word]Performanca nder vite'!$E$25</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Word]Performanca nder vite'!$B$26:$B$28</c:f>
              <c:strCache>
                <c:ptCount val="3"/>
                <c:pt idx="0">
                  <c:v>Qeverisja Demokratike</c:v>
                </c:pt>
                <c:pt idx="1">
                  <c:v>Menaxhimi Komunal</c:v>
                </c:pt>
                <c:pt idx="2">
                  <c:v>Ofrimi i shërbimeve</c:v>
                </c:pt>
              </c:strCache>
            </c:strRef>
          </c:cat>
          <c:val>
            <c:numRef>
              <c:f>'[Chart in Microsoft Word]Performanca nder vite'!$E$26:$E$28</c:f>
              <c:numCache>
                <c:formatCode>0.0%</c:formatCode>
                <c:ptCount val="3"/>
                <c:pt idx="0">
                  <c:v>0.4526</c:v>
                </c:pt>
                <c:pt idx="1">
                  <c:v>0.38369999999999999</c:v>
                </c:pt>
                <c:pt idx="2">
                  <c:v>0.41299999999999998</c:v>
                </c:pt>
              </c:numCache>
            </c:numRef>
          </c:val>
          <c:extLst xmlns:c16r2="http://schemas.microsoft.com/office/drawing/2015/06/chart">
            <c:ext xmlns:c16="http://schemas.microsoft.com/office/drawing/2014/chart" uri="{C3380CC4-5D6E-409C-BE32-E72D297353CC}">
              <c16:uniqueId val="{00000002-DF77-4D63-9062-4B22E6A6B645}"/>
            </c:ext>
          </c:extLst>
        </c:ser>
        <c:dLbls>
          <c:dLblPos val="outEnd"/>
          <c:showLegendKey val="0"/>
          <c:showVal val="1"/>
          <c:showCatName val="0"/>
          <c:showSerName val="0"/>
          <c:showPercent val="0"/>
          <c:showBubbleSize val="0"/>
        </c:dLbls>
        <c:gapWidth val="219"/>
        <c:overlap val="-27"/>
        <c:axId val="-1064377680"/>
        <c:axId val="-1130116304"/>
      </c:barChart>
      <c:catAx>
        <c:axId val="-106437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0116304"/>
        <c:crosses val="autoZero"/>
        <c:auto val="1"/>
        <c:lblAlgn val="ctr"/>
        <c:lblOffset val="100"/>
        <c:noMultiLvlLbl val="0"/>
      </c:catAx>
      <c:valAx>
        <c:axId val="-113011630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0643776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sz="1050">
                <a:solidFill>
                  <a:sysClr val="windowText" lastClr="000000"/>
                </a:solidFill>
              </a:rPr>
              <a:t>Zubin Potok </a:t>
            </a:r>
          </a:p>
        </c:rich>
      </c:tx>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609492563429571"/>
          <c:y val="0.10802784380725994"/>
          <c:w val="0.85334951881014875"/>
          <c:h val="0.66180699995047776"/>
        </c:manualLayout>
      </c:layout>
      <c:barChart>
        <c:barDir val="col"/>
        <c:grouping val="clustered"/>
        <c:varyColors val="0"/>
        <c:ser>
          <c:idx val="0"/>
          <c:order val="0"/>
          <c:tx>
            <c:strRef>
              <c:f>'Alb 2023'!$O$115</c:f>
              <c:strCache>
                <c:ptCount val="1"/>
                <c:pt idx="0">
                  <c:v>Qeverisja demokratike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'Alb 2023'!$O$116</c:f>
              <c:numCache>
                <c:formatCode>0.0%</c:formatCode>
                <c:ptCount val="1"/>
                <c:pt idx="0">
                  <c:v>0</c:v>
                </c:pt>
              </c:numCache>
            </c:numRef>
          </c:val>
          <c:extLst xmlns:c16r2="http://schemas.microsoft.com/office/drawing/2015/06/chart">
            <c:ext xmlns:c16="http://schemas.microsoft.com/office/drawing/2014/chart" uri="{C3380CC4-5D6E-409C-BE32-E72D297353CC}">
              <c16:uniqueId val="{00000000-AF42-447E-BACD-A8AAA425CB6E}"/>
            </c:ext>
          </c:extLst>
        </c:ser>
        <c:ser>
          <c:idx val="1"/>
          <c:order val="1"/>
          <c:tx>
            <c:strRef>
              <c:f>'Alb 2023'!$P$115</c:f>
              <c:strCache>
                <c:ptCount val="1"/>
                <c:pt idx="0">
                  <c:v>Menaxhimi komunal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'Alb 2023'!$P$116</c:f>
              <c:numCache>
                <c:formatCode>0.0%</c:formatCode>
                <c:ptCount val="1"/>
                <c:pt idx="0">
                  <c:v>0</c:v>
                </c:pt>
              </c:numCache>
            </c:numRef>
          </c:val>
          <c:extLst xmlns:c16r2="http://schemas.microsoft.com/office/drawing/2015/06/chart">
            <c:ext xmlns:c16="http://schemas.microsoft.com/office/drawing/2014/chart" uri="{C3380CC4-5D6E-409C-BE32-E72D297353CC}">
              <c16:uniqueId val="{00000001-AF42-447E-BACD-A8AAA425CB6E}"/>
            </c:ext>
          </c:extLst>
        </c:ser>
        <c:ser>
          <c:idx val="2"/>
          <c:order val="2"/>
          <c:tx>
            <c:strRef>
              <c:f>'Alb 2023'!$Q$115</c:f>
              <c:strCache>
                <c:ptCount val="1"/>
                <c:pt idx="0">
                  <c:v>Ofrimi i shërbimeve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'Alb 2023'!$Q$116</c:f>
              <c:numCache>
                <c:formatCode>0.0%</c:formatCode>
                <c:ptCount val="1"/>
                <c:pt idx="0">
                  <c:v>0</c:v>
                </c:pt>
              </c:numCache>
            </c:numRef>
          </c:val>
          <c:extLst xmlns:c16r2="http://schemas.microsoft.com/office/drawing/2015/06/chart">
            <c:ext xmlns:c16="http://schemas.microsoft.com/office/drawing/2014/chart" uri="{C3380CC4-5D6E-409C-BE32-E72D297353CC}">
              <c16:uniqueId val="{00000002-AF42-447E-BACD-A8AAA425CB6E}"/>
            </c:ext>
          </c:extLst>
        </c:ser>
        <c:ser>
          <c:idx val="3"/>
          <c:order val="3"/>
          <c:tx>
            <c:strRef>
              <c:f>'Alb 2023'!$R$115</c:f>
              <c:strCache>
                <c:ptCount val="1"/>
                <c:pt idx="0">
                  <c:v>Performanca e përgjithshme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'Alb 2023'!$R$116</c:f>
              <c:numCache>
                <c:formatCode>0.0%</c:formatCode>
                <c:ptCount val="1"/>
                <c:pt idx="0">
                  <c:v>0</c:v>
                </c:pt>
              </c:numCache>
            </c:numRef>
          </c:val>
          <c:extLst xmlns:c16r2="http://schemas.microsoft.com/office/drawing/2015/06/chart">
            <c:ext xmlns:c16="http://schemas.microsoft.com/office/drawing/2014/chart" uri="{C3380CC4-5D6E-409C-BE32-E72D297353CC}">
              <c16:uniqueId val="{00000003-AF42-447E-BACD-A8AAA425CB6E}"/>
            </c:ext>
          </c:extLst>
        </c:ser>
        <c:dLbls>
          <c:showLegendKey val="0"/>
          <c:showVal val="1"/>
          <c:showCatName val="0"/>
          <c:showSerName val="0"/>
          <c:showPercent val="0"/>
          <c:showBubbleSize val="0"/>
        </c:dLbls>
        <c:gapWidth val="100"/>
        <c:overlap val="-24"/>
        <c:axId val="-873885520"/>
        <c:axId val="-873902384"/>
      </c:barChart>
      <c:catAx>
        <c:axId val="-873885520"/>
        <c:scaling>
          <c:orientation val="minMax"/>
        </c:scaling>
        <c:delete val="1"/>
        <c:axPos val="b"/>
        <c:numFmt formatCode="General" sourceLinked="1"/>
        <c:majorTickMark val="none"/>
        <c:minorTickMark val="none"/>
        <c:tickLblPos val="nextTo"/>
        <c:crossAx val="-873902384"/>
        <c:crosses val="autoZero"/>
        <c:auto val="1"/>
        <c:lblAlgn val="ctr"/>
        <c:lblOffset val="100"/>
        <c:noMultiLvlLbl val="0"/>
      </c:catAx>
      <c:valAx>
        <c:axId val="-873902384"/>
        <c:scaling>
          <c:orientation val="minMax"/>
          <c:max val="1"/>
          <c:min val="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873885520"/>
        <c:crosses val="autoZero"/>
        <c:crossBetween val="between"/>
      </c:valAx>
      <c:spPr>
        <a:noFill/>
        <a:ln>
          <a:noFill/>
        </a:ln>
        <a:effectLst/>
      </c:spPr>
    </c:plotArea>
    <c:legend>
      <c:legendPos val="b"/>
      <c:layout>
        <c:manualLayout>
          <c:xMode val="edge"/>
          <c:yMode val="edge"/>
          <c:x val="0.26833076899870273"/>
          <c:y val="0.79183028156983337"/>
          <c:w val="0.62302532205356165"/>
          <c:h val="0.1789722923785470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ctr" rtl="0">
              <a:defRPr lang="en-US" sz="1400" b="1" i="1" u="none" strike="noStrike" kern="1200" baseline="0">
                <a:solidFill>
                  <a:sysClr val="windowText" lastClr="000000"/>
                </a:solidFill>
                <a:latin typeface="+mn-lt"/>
                <a:ea typeface="+mn-ea"/>
                <a:cs typeface="+mn-cs"/>
              </a:defRPr>
            </a:pPr>
            <a:r>
              <a:rPr lang="en-US" sz="1000"/>
              <a:t>Zveçan</a:t>
            </a:r>
          </a:p>
        </c:rich>
      </c:tx>
      <c:overlay val="0"/>
      <c:spPr>
        <a:noFill/>
        <a:ln>
          <a:noFill/>
        </a:ln>
        <a:effectLst/>
      </c:spPr>
      <c:txPr>
        <a:bodyPr rot="0" spcFirstLastPara="1" vertOverflow="ellipsis" vert="horz" wrap="square" anchor="ctr" anchorCtr="1"/>
        <a:lstStyle/>
        <a:p>
          <a:pPr algn="ctr" rtl="0">
            <a:defRPr lang="en-US" sz="1400" b="1" i="1"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Sheet1!$C$260</c:f>
              <c:strCache>
                <c:ptCount val="1"/>
                <c:pt idx="0">
                  <c:v>Zveçan</c:v>
                </c:pt>
              </c:strCache>
            </c:strRef>
          </c:tx>
          <c:spPr>
            <a:solidFill>
              <a:srgbClr val="FF0000"/>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6-65DE-4AB7-BEC1-7A2A159F66BA}"/>
              </c:ext>
            </c:extLst>
          </c:dPt>
          <c:dPt>
            <c:idx val="1"/>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65DE-4AB7-BEC1-7A2A159F66BA}"/>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65DE-4AB7-BEC1-7A2A159F66BA}"/>
              </c:ext>
            </c:extLst>
          </c:dPt>
          <c:dPt>
            <c:idx val="3"/>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3-65DE-4AB7-BEC1-7A2A159F66BA}"/>
              </c:ext>
            </c:extLst>
          </c:dPt>
          <c:cat>
            <c:strRef>
              <c:f>Sheet1!$B$261:$B$264</c:f>
              <c:strCache>
                <c:ptCount val="4"/>
                <c:pt idx="0">
                  <c:v>Komunat duhet të kenë raportuar të dhënat në SMPK sipas afatit të përcaktuar </c:v>
                </c:pt>
                <c:pt idx="1">
                  <c:v>Komunat duhet të kenë respektuar obligimin ligjor për të rishqyrtuar aktet komunale të vlerësuara si të kundërligjshme nga autoriteti mbikëqyrës</c:v>
                </c:pt>
                <c:pt idx="2">
                  <c:v>Opinioni i auditimit duhet të jetë të paktën i pamodifikuar me theksim të çështjes</c:v>
                </c:pt>
                <c:pt idx="3">
                  <c:v>Komunat duhet të kenë shpenzuar 75% ose më tepër të buxhetit final për investime kapitale</c:v>
                </c:pt>
              </c:strCache>
            </c:strRef>
          </c:cat>
          <c:val>
            <c:numRef>
              <c:f>Sheet1!$C$261:$C$264</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4-65DE-4AB7-BEC1-7A2A159F66BA}"/>
            </c:ext>
          </c:extLst>
        </c:ser>
        <c:dLbls>
          <c:showLegendKey val="0"/>
          <c:showVal val="0"/>
          <c:showCatName val="0"/>
          <c:showSerName val="0"/>
          <c:showPercent val="0"/>
          <c:showBubbleSize val="0"/>
        </c:dLbls>
        <c:gapWidth val="150"/>
        <c:axId val="-873879536"/>
        <c:axId val="-873892592"/>
      </c:barChart>
      <c:catAx>
        <c:axId val="-873879536"/>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en-US"/>
          </a:p>
        </c:txPr>
        <c:crossAx val="-873892592"/>
        <c:crosses val="autoZero"/>
        <c:auto val="1"/>
        <c:lblAlgn val="ctr"/>
        <c:lblOffset val="100"/>
        <c:noMultiLvlLbl val="0"/>
      </c:catAx>
      <c:valAx>
        <c:axId val="-873892592"/>
        <c:scaling>
          <c:orientation val="minMax"/>
        </c:scaling>
        <c:delete val="1"/>
        <c:axPos val="b"/>
        <c:numFmt formatCode="General" sourceLinked="1"/>
        <c:majorTickMark val="out"/>
        <c:minorTickMark val="none"/>
        <c:tickLblPos val="nextTo"/>
        <c:crossAx val="-873879536"/>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sz="1050">
                <a:solidFill>
                  <a:sysClr val="windowText" lastClr="000000"/>
                </a:solidFill>
              </a:rPr>
              <a:t>Zveçan </a:t>
            </a:r>
          </a:p>
        </c:rich>
      </c:tx>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609492563429571"/>
          <c:y val="0.10802784380725994"/>
          <c:w val="0.85334951881014875"/>
          <c:h val="0.66180699995047776"/>
        </c:manualLayout>
      </c:layout>
      <c:barChart>
        <c:barDir val="col"/>
        <c:grouping val="clustered"/>
        <c:varyColors val="0"/>
        <c:ser>
          <c:idx val="0"/>
          <c:order val="0"/>
          <c:tx>
            <c:strRef>
              <c:f>'Alb 2023'!$O$118</c:f>
              <c:strCache>
                <c:ptCount val="1"/>
                <c:pt idx="0">
                  <c:v>Qeverisja demokratike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'Alb 2023'!$O$119</c:f>
              <c:numCache>
                <c:formatCode>0.0%</c:formatCode>
                <c:ptCount val="1"/>
                <c:pt idx="0">
                  <c:v>0</c:v>
                </c:pt>
              </c:numCache>
            </c:numRef>
          </c:val>
          <c:extLst xmlns:c16r2="http://schemas.microsoft.com/office/drawing/2015/06/chart">
            <c:ext xmlns:c16="http://schemas.microsoft.com/office/drawing/2014/chart" uri="{C3380CC4-5D6E-409C-BE32-E72D297353CC}">
              <c16:uniqueId val="{00000000-A85C-4DD0-9DA2-A58568DA8518}"/>
            </c:ext>
          </c:extLst>
        </c:ser>
        <c:ser>
          <c:idx val="1"/>
          <c:order val="1"/>
          <c:tx>
            <c:strRef>
              <c:f>'Alb 2023'!$P$118</c:f>
              <c:strCache>
                <c:ptCount val="1"/>
                <c:pt idx="0">
                  <c:v>Menaxhimi komunal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'Alb 2023'!$P$119</c:f>
              <c:numCache>
                <c:formatCode>0.0%</c:formatCode>
                <c:ptCount val="1"/>
                <c:pt idx="0">
                  <c:v>0</c:v>
                </c:pt>
              </c:numCache>
            </c:numRef>
          </c:val>
          <c:extLst xmlns:c16r2="http://schemas.microsoft.com/office/drawing/2015/06/chart">
            <c:ext xmlns:c16="http://schemas.microsoft.com/office/drawing/2014/chart" uri="{C3380CC4-5D6E-409C-BE32-E72D297353CC}">
              <c16:uniqueId val="{00000001-A85C-4DD0-9DA2-A58568DA8518}"/>
            </c:ext>
          </c:extLst>
        </c:ser>
        <c:ser>
          <c:idx val="2"/>
          <c:order val="2"/>
          <c:tx>
            <c:strRef>
              <c:f>'Alb 2023'!$Q$118</c:f>
              <c:strCache>
                <c:ptCount val="1"/>
                <c:pt idx="0">
                  <c:v>Ofrimi i shërbimeve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'Alb 2023'!$Q$119</c:f>
              <c:numCache>
                <c:formatCode>0.0%</c:formatCode>
                <c:ptCount val="1"/>
                <c:pt idx="0">
                  <c:v>0</c:v>
                </c:pt>
              </c:numCache>
            </c:numRef>
          </c:val>
          <c:extLst xmlns:c16r2="http://schemas.microsoft.com/office/drawing/2015/06/chart">
            <c:ext xmlns:c16="http://schemas.microsoft.com/office/drawing/2014/chart" uri="{C3380CC4-5D6E-409C-BE32-E72D297353CC}">
              <c16:uniqueId val="{00000002-A85C-4DD0-9DA2-A58568DA8518}"/>
            </c:ext>
          </c:extLst>
        </c:ser>
        <c:ser>
          <c:idx val="3"/>
          <c:order val="3"/>
          <c:tx>
            <c:strRef>
              <c:f>'Alb 2023'!$R$118</c:f>
              <c:strCache>
                <c:ptCount val="1"/>
                <c:pt idx="0">
                  <c:v>Performanca e përgjithshme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'Alb 2023'!$R$119</c:f>
              <c:numCache>
                <c:formatCode>0.0%</c:formatCode>
                <c:ptCount val="1"/>
                <c:pt idx="0">
                  <c:v>0</c:v>
                </c:pt>
              </c:numCache>
            </c:numRef>
          </c:val>
          <c:extLst xmlns:c16r2="http://schemas.microsoft.com/office/drawing/2015/06/chart">
            <c:ext xmlns:c16="http://schemas.microsoft.com/office/drawing/2014/chart" uri="{C3380CC4-5D6E-409C-BE32-E72D297353CC}">
              <c16:uniqueId val="{00000003-A85C-4DD0-9DA2-A58568DA8518}"/>
            </c:ext>
          </c:extLst>
        </c:ser>
        <c:dLbls>
          <c:showLegendKey val="0"/>
          <c:showVal val="1"/>
          <c:showCatName val="0"/>
          <c:showSerName val="0"/>
          <c:showPercent val="0"/>
          <c:showBubbleSize val="0"/>
        </c:dLbls>
        <c:gapWidth val="100"/>
        <c:overlap val="-24"/>
        <c:axId val="-873903472"/>
        <c:axId val="-873899664"/>
      </c:barChart>
      <c:catAx>
        <c:axId val="-873903472"/>
        <c:scaling>
          <c:orientation val="minMax"/>
        </c:scaling>
        <c:delete val="1"/>
        <c:axPos val="b"/>
        <c:numFmt formatCode="General" sourceLinked="1"/>
        <c:majorTickMark val="none"/>
        <c:minorTickMark val="none"/>
        <c:tickLblPos val="nextTo"/>
        <c:crossAx val="-873899664"/>
        <c:crosses val="autoZero"/>
        <c:auto val="1"/>
        <c:lblAlgn val="ctr"/>
        <c:lblOffset val="100"/>
        <c:noMultiLvlLbl val="0"/>
      </c:catAx>
      <c:valAx>
        <c:axId val="-873899664"/>
        <c:scaling>
          <c:orientation val="minMax"/>
          <c:max val="1"/>
          <c:min val="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873903472"/>
        <c:crosses val="autoZero"/>
        <c:crossBetween val="between"/>
      </c:valAx>
      <c:spPr>
        <a:noFill/>
        <a:ln>
          <a:noFill/>
        </a:ln>
        <a:effectLst/>
      </c:spPr>
    </c:plotArea>
    <c:legend>
      <c:legendPos val="b"/>
      <c:layout>
        <c:manualLayout>
          <c:xMode val="edge"/>
          <c:yMode val="edge"/>
          <c:x val="0.26833076899870273"/>
          <c:y val="0.79183028156983337"/>
          <c:w val="0.62302532205356165"/>
          <c:h val="0.1789722923785470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withinLinear" id="14">
  <a:schemeClr val="accent1"/>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withinLinear" id="14">
  <a:schemeClr val="accent1"/>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withinLinear" id="14">
  <a:schemeClr val="accent1"/>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withinLinear" id="14">
  <a:schemeClr val="accent1"/>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withinLinear" id="14">
  <a:schemeClr val="accent1"/>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withinLinear" id="14">
  <a:schemeClr val="accent1"/>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withinLinear" id="14">
  <a:schemeClr val="accent1"/>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withinLinear" id="14">
  <a:schemeClr val="accent1"/>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withinLinear" id="14">
  <a:schemeClr val="accent1"/>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withinLinear" id="14">
  <a:schemeClr val="accent1"/>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withinLinear" id="14">
  <a:schemeClr val="accent1"/>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withinLinear" id="14">
  <a:schemeClr val="accent1"/>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withinLinear" id="14">
  <a:schemeClr val="accent1"/>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withinLinear" id="14">
  <a:schemeClr val="accent1"/>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withinLinear" id="14">
  <a:schemeClr val="accent1"/>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withinLinear" id="14">
  <a:schemeClr val="accent1"/>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63F35-5B5D-43F7-A585-B8126DA84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11556</Words>
  <Characters>65873</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Saranda Husaj</dc:creator>
  <cp:keywords/>
  <dc:description/>
  <cp:lastModifiedBy>Ilija Savic</cp:lastModifiedBy>
  <cp:revision>2</cp:revision>
  <dcterms:created xsi:type="dcterms:W3CDTF">2026-07-01T13:14:00Z</dcterms:created>
  <dcterms:modified xsi:type="dcterms:W3CDTF">2026-07-01T13:14:00Z</dcterms:modified>
</cp:coreProperties>
</file>